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2D165A40"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105576E4" w:rsidR="00AD3606" w:rsidRPr="00E85629" w:rsidRDefault="00AD3606" w:rsidP="00472BAD">
            <w:pPr>
              <w:tabs>
                <w:tab w:val="left" w:pos="851"/>
              </w:tabs>
              <w:spacing w:before="0" w:line="240" w:lineRule="atLeast"/>
              <w:jc w:val="right"/>
              <w:rPr>
                <w:b/>
              </w:rPr>
            </w:pPr>
            <w:r>
              <w:rPr>
                <w:b/>
              </w:rPr>
              <w:t>Document C23/</w:t>
            </w:r>
            <w:r w:rsidR="00C74E7E">
              <w:rPr>
                <w:b/>
              </w:rPr>
              <w:t>1</w:t>
            </w:r>
            <w:r w:rsidR="005A2AA3">
              <w:rPr>
                <w:b/>
              </w:rPr>
              <w:t>1</w:t>
            </w:r>
            <w:r w:rsidR="00B66772">
              <w:rPr>
                <w:b/>
              </w:rPr>
              <w:t>1</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6A37F158" w:rsidR="00AD3606" w:rsidRPr="00E85629" w:rsidRDefault="003620EA" w:rsidP="00AD3606">
            <w:pPr>
              <w:tabs>
                <w:tab w:val="left" w:pos="851"/>
              </w:tabs>
              <w:spacing w:before="0"/>
              <w:jc w:val="right"/>
              <w:rPr>
                <w:b/>
              </w:rPr>
            </w:pPr>
            <w:r>
              <w:rPr>
                <w:b/>
              </w:rPr>
              <w:t>1 September</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14672AA5" w:rsidR="00AD3606" w:rsidRPr="00E85629" w:rsidRDefault="00AD3606" w:rsidP="00AD3606">
            <w:pPr>
              <w:tabs>
                <w:tab w:val="left" w:pos="851"/>
              </w:tabs>
              <w:spacing w:before="0" w:line="240" w:lineRule="atLeast"/>
              <w:jc w:val="right"/>
              <w:rPr>
                <w:b/>
              </w:rPr>
            </w:pPr>
            <w:r>
              <w:rPr>
                <w:b/>
              </w:rPr>
              <w:t xml:space="preserve">Original: </w:t>
            </w:r>
            <w:r w:rsidR="00C74E7E">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78E218A2" w14:textId="3915B0B0" w:rsidR="00915F63" w:rsidRPr="00915F63" w:rsidRDefault="00915F63" w:rsidP="00915F63">
            <w:pPr>
              <w:pStyle w:val="Title1"/>
              <w:framePr w:hSpace="0" w:wrap="auto" w:vAnchor="margin" w:hAnchor="text" w:yAlign="inline"/>
              <w:spacing w:before="120"/>
              <w:jc w:val="center"/>
              <w:rPr>
                <w:lang w:val="en-CA"/>
              </w:rPr>
            </w:pPr>
            <w:bookmarkStart w:id="4" w:name="dsource" w:colFirst="0" w:colLast="0"/>
            <w:bookmarkEnd w:id="3"/>
            <w:r w:rsidRPr="00915F63">
              <w:rPr>
                <w:lang w:val="en-CA"/>
              </w:rPr>
              <w:t>SUMMARY RECORD</w:t>
            </w:r>
          </w:p>
          <w:p w14:paraId="14D7FFA8" w14:textId="10282728" w:rsidR="00915F63" w:rsidRPr="00915F63" w:rsidRDefault="00915F63" w:rsidP="00915F63">
            <w:pPr>
              <w:pStyle w:val="Title1"/>
              <w:framePr w:hSpace="0" w:wrap="auto" w:vAnchor="margin" w:hAnchor="text" w:yAlign="inline"/>
              <w:spacing w:before="120"/>
              <w:jc w:val="center"/>
              <w:rPr>
                <w:lang w:val="en-CA"/>
              </w:rPr>
            </w:pPr>
            <w:r w:rsidRPr="00915F63">
              <w:rPr>
                <w:lang w:val="en-CA"/>
              </w:rPr>
              <w:t>OF THE</w:t>
            </w:r>
          </w:p>
          <w:p w14:paraId="598EF21A" w14:textId="1E14AA9E" w:rsidR="00915F63" w:rsidRPr="00915F63" w:rsidRDefault="00B66772" w:rsidP="00915F63">
            <w:pPr>
              <w:pStyle w:val="Source"/>
              <w:framePr w:hSpace="0" w:wrap="auto" w:vAnchor="margin" w:hAnchor="text" w:yAlign="inline"/>
              <w:spacing w:before="120"/>
              <w:jc w:val="center"/>
              <w:rPr>
                <w:lang w:val="en-CA"/>
              </w:rPr>
            </w:pPr>
            <w:r>
              <w:rPr>
                <w:b w:val="0"/>
                <w:lang w:val="en-CA"/>
              </w:rPr>
              <w:t>SIXTH</w:t>
            </w:r>
            <w:r w:rsidR="0020159F" w:rsidRPr="0020159F">
              <w:rPr>
                <w:b w:val="0"/>
                <w:lang w:val="en-CA"/>
              </w:rPr>
              <w:t xml:space="preserve"> </w:t>
            </w:r>
            <w:r w:rsidR="00606F98" w:rsidRPr="00606F98">
              <w:rPr>
                <w:b w:val="0"/>
                <w:lang w:val="en-CA"/>
              </w:rPr>
              <w:t>PLENARY MEETING</w:t>
            </w:r>
          </w:p>
        </w:tc>
      </w:tr>
      <w:tr w:rsidR="00AD3606" w:rsidRPr="00813E5E" w14:paraId="62B9C291" w14:textId="77777777" w:rsidTr="00AD3606">
        <w:trPr>
          <w:cantSplit/>
        </w:trPr>
        <w:tc>
          <w:tcPr>
            <w:tcW w:w="9214" w:type="dxa"/>
            <w:gridSpan w:val="2"/>
            <w:tcMar>
              <w:left w:w="0" w:type="dxa"/>
            </w:tcMar>
          </w:tcPr>
          <w:p w14:paraId="55473F77" w14:textId="13D65A3A" w:rsidR="00915F63" w:rsidRPr="00915F63" w:rsidRDefault="00B66772" w:rsidP="00915F63">
            <w:pPr>
              <w:pStyle w:val="Subtitle"/>
              <w:framePr w:hSpace="0" w:wrap="auto" w:hAnchor="text" w:xAlign="left" w:yAlign="inline"/>
              <w:spacing w:after="240"/>
              <w:jc w:val="center"/>
              <w:rPr>
                <w:b/>
                <w:bCs/>
                <w:sz w:val="24"/>
                <w:szCs w:val="24"/>
                <w:lang w:val="en-CA"/>
              </w:rPr>
            </w:pPr>
            <w:bookmarkStart w:id="5" w:name="dtitle1" w:colFirst="0" w:colLast="0"/>
            <w:bookmarkEnd w:id="4"/>
            <w:r w:rsidRPr="00B66772">
              <w:rPr>
                <w:sz w:val="24"/>
                <w:szCs w:val="24"/>
                <w:lang w:val="en-CA"/>
              </w:rPr>
              <w:t>Friday, 21 July 2023, from 1115 to 1205 hours</w:t>
            </w:r>
          </w:p>
          <w:p w14:paraId="556A1BCF" w14:textId="3DF7A207" w:rsidR="00AD3606" w:rsidRPr="00813E5E" w:rsidRDefault="00915F63" w:rsidP="00915F63">
            <w:pPr>
              <w:pStyle w:val="Subtitle"/>
              <w:framePr w:hSpace="0" w:wrap="auto" w:hAnchor="text" w:xAlign="left" w:yAlign="inline"/>
              <w:spacing w:after="240"/>
              <w:jc w:val="center"/>
            </w:pPr>
            <w:r w:rsidRPr="00915F63">
              <w:rPr>
                <w:b/>
                <w:bCs/>
                <w:sz w:val="24"/>
                <w:szCs w:val="24"/>
                <w:lang w:val="en-CA"/>
              </w:rPr>
              <w:t>Chairman:</w:t>
            </w:r>
            <w:r w:rsidRPr="00915F63">
              <w:rPr>
                <w:sz w:val="24"/>
                <w:szCs w:val="24"/>
                <w:lang w:val="en-CA"/>
              </w:rPr>
              <w:t xml:space="preserve"> </w:t>
            </w:r>
            <w:proofErr w:type="spellStart"/>
            <w:r w:rsidRPr="00915F63">
              <w:rPr>
                <w:sz w:val="24"/>
                <w:szCs w:val="24"/>
                <w:lang w:val="en-CA"/>
              </w:rPr>
              <w:t>Mr</w:t>
            </w:r>
            <w:proofErr w:type="spellEnd"/>
            <w:r w:rsidRPr="00915F63">
              <w:rPr>
                <w:sz w:val="24"/>
                <w:szCs w:val="24"/>
                <w:lang w:val="en-CA"/>
              </w:rPr>
              <w:t xml:space="preserve"> C. MARTINEZ (Paraguay)</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tbl>
            <w:tblPr>
              <w:tblW w:w="9476" w:type="dxa"/>
              <w:tblLayout w:type="fixed"/>
              <w:tblLook w:val="0000" w:firstRow="0" w:lastRow="0" w:firstColumn="0" w:lastColumn="0" w:noHBand="0" w:noVBand="0"/>
            </w:tblPr>
            <w:tblGrid>
              <w:gridCol w:w="484"/>
              <w:gridCol w:w="6320"/>
              <w:gridCol w:w="2672"/>
            </w:tblGrid>
            <w:tr w:rsidR="00915F63" w:rsidRPr="00DF2340" w14:paraId="2D0B4307" w14:textId="77777777" w:rsidTr="004367F0">
              <w:tc>
                <w:tcPr>
                  <w:tcW w:w="255" w:type="pct"/>
                </w:tcPr>
                <w:p w14:paraId="4F797EE7" w14:textId="77777777" w:rsidR="00DF2340" w:rsidRPr="00DF2340" w:rsidRDefault="00DF2340" w:rsidP="00915F63">
                  <w:pPr>
                    <w:framePr w:hSpace="180" w:wrap="around" w:vAnchor="page" w:hAnchor="page" w:x="1821" w:y="2317"/>
                    <w:spacing w:before="480"/>
                    <w:rPr>
                      <w:b/>
                      <w:bCs/>
                      <w:sz w:val="22"/>
                      <w:szCs w:val="22"/>
                      <w:lang w:val="en-CA"/>
                    </w:rPr>
                  </w:pPr>
                  <w:bookmarkStart w:id="6" w:name="_Hlk141438382"/>
                  <w:r w:rsidRPr="00DF2340">
                    <w:rPr>
                      <w:b/>
                      <w:bCs/>
                      <w:sz w:val="22"/>
                      <w:szCs w:val="22"/>
                      <w:lang w:val="en-CA"/>
                    </w:rPr>
                    <w:br w:type="page"/>
                  </w:r>
                  <w:r w:rsidRPr="00DF2340">
                    <w:rPr>
                      <w:b/>
                      <w:bCs/>
                      <w:sz w:val="22"/>
                      <w:szCs w:val="22"/>
                      <w:lang w:val="en-CA"/>
                    </w:rPr>
                    <w:br w:type="page"/>
                  </w:r>
                </w:p>
              </w:tc>
              <w:tc>
                <w:tcPr>
                  <w:tcW w:w="3335" w:type="pct"/>
                </w:tcPr>
                <w:p w14:paraId="03063FEF" w14:textId="77777777" w:rsidR="00DF2340" w:rsidRPr="00DF2340" w:rsidRDefault="00DF2340" w:rsidP="00143BBD">
                  <w:pPr>
                    <w:framePr w:hSpace="180" w:wrap="around" w:vAnchor="page" w:hAnchor="page" w:x="1821" w:y="2317"/>
                    <w:spacing w:before="480" w:after="120"/>
                    <w:rPr>
                      <w:b/>
                      <w:bCs/>
                      <w:sz w:val="22"/>
                      <w:szCs w:val="22"/>
                      <w:lang w:val="en-CA"/>
                    </w:rPr>
                  </w:pPr>
                  <w:r w:rsidRPr="00DF2340">
                    <w:rPr>
                      <w:b/>
                      <w:bCs/>
                      <w:sz w:val="22"/>
                      <w:szCs w:val="22"/>
                      <w:lang w:val="en-CA"/>
                    </w:rPr>
                    <w:t>Subjects discussed</w:t>
                  </w:r>
                </w:p>
              </w:tc>
              <w:tc>
                <w:tcPr>
                  <w:tcW w:w="1410" w:type="pct"/>
                </w:tcPr>
                <w:p w14:paraId="21CF6966" w14:textId="77777777" w:rsidR="00DF2340" w:rsidRPr="00DF2340" w:rsidRDefault="00DF2340" w:rsidP="00143BBD">
                  <w:pPr>
                    <w:framePr w:hSpace="180" w:wrap="around" w:vAnchor="page" w:hAnchor="page" w:x="1821" w:y="2317"/>
                    <w:spacing w:before="480"/>
                    <w:jc w:val="center"/>
                    <w:rPr>
                      <w:b/>
                      <w:bCs/>
                      <w:sz w:val="22"/>
                      <w:szCs w:val="22"/>
                      <w:lang w:val="en-CA"/>
                    </w:rPr>
                  </w:pPr>
                  <w:r w:rsidRPr="00DF2340">
                    <w:rPr>
                      <w:b/>
                      <w:bCs/>
                      <w:sz w:val="22"/>
                      <w:szCs w:val="22"/>
                      <w:lang w:val="en-CA"/>
                    </w:rPr>
                    <w:t>Documents</w:t>
                  </w:r>
                </w:p>
              </w:tc>
            </w:tr>
            <w:tr w:rsidR="00100217" w:rsidRPr="00DF2340" w14:paraId="1D44A2EC" w14:textId="77777777" w:rsidTr="004367F0">
              <w:trPr>
                <w:trHeight w:val="20"/>
              </w:trPr>
              <w:tc>
                <w:tcPr>
                  <w:tcW w:w="255" w:type="pct"/>
                </w:tcPr>
                <w:p w14:paraId="24172D46" w14:textId="77777777" w:rsidR="00100217" w:rsidRPr="00DF2340" w:rsidRDefault="00100217" w:rsidP="00100217">
                  <w:pPr>
                    <w:framePr w:hSpace="180" w:wrap="around" w:vAnchor="page" w:hAnchor="page" w:x="1821" w:y="2317"/>
                    <w:spacing w:before="80" w:after="80"/>
                    <w:rPr>
                      <w:sz w:val="22"/>
                      <w:szCs w:val="22"/>
                      <w:lang w:val="en-CA"/>
                    </w:rPr>
                  </w:pPr>
                  <w:r w:rsidRPr="00DF2340">
                    <w:rPr>
                      <w:sz w:val="22"/>
                      <w:szCs w:val="22"/>
                      <w:lang w:val="en-CA"/>
                    </w:rPr>
                    <w:t>1</w:t>
                  </w:r>
                </w:p>
              </w:tc>
              <w:tc>
                <w:tcPr>
                  <w:tcW w:w="3335" w:type="pct"/>
                </w:tcPr>
                <w:p w14:paraId="2830A615" w14:textId="5B2CC493" w:rsidR="00100217" w:rsidRPr="00100217" w:rsidRDefault="00100217" w:rsidP="00100217">
                  <w:pPr>
                    <w:framePr w:hSpace="180" w:wrap="around" w:vAnchor="page" w:hAnchor="page" w:x="1821" w:y="2317"/>
                    <w:spacing w:before="80" w:after="80"/>
                    <w:rPr>
                      <w:rFonts w:asciiTheme="minorHAnsi" w:hAnsiTheme="minorHAnsi" w:cstheme="minorHAnsi"/>
                      <w:sz w:val="22"/>
                      <w:szCs w:val="22"/>
                      <w:lang w:val="en-CA"/>
                    </w:rPr>
                  </w:pPr>
                  <w:r w:rsidRPr="00100217">
                    <w:rPr>
                      <w:sz w:val="22"/>
                      <w:szCs w:val="22"/>
                    </w:rPr>
                    <w:t>Strategy for the coordination of efforts among the three Sectors of the Union (continued)</w:t>
                  </w:r>
                </w:p>
              </w:tc>
              <w:tc>
                <w:tcPr>
                  <w:tcW w:w="1410" w:type="pct"/>
                </w:tcPr>
                <w:p w14:paraId="6D602A53" w14:textId="2FB09F2C" w:rsidR="00100217" w:rsidRPr="00100217" w:rsidRDefault="003620EA" w:rsidP="00100217">
                  <w:pPr>
                    <w:framePr w:hSpace="180" w:wrap="around" w:vAnchor="page" w:hAnchor="page" w:x="1821" w:y="2317"/>
                    <w:tabs>
                      <w:tab w:val="clear" w:pos="567"/>
                      <w:tab w:val="clear" w:pos="1134"/>
                      <w:tab w:val="clear" w:pos="1701"/>
                      <w:tab w:val="clear" w:pos="2268"/>
                    </w:tabs>
                    <w:spacing w:before="80" w:after="80"/>
                    <w:ind w:left="-109"/>
                    <w:jc w:val="center"/>
                    <w:rPr>
                      <w:rFonts w:asciiTheme="minorHAnsi" w:hAnsiTheme="minorHAnsi" w:cstheme="minorHAnsi"/>
                      <w:sz w:val="22"/>
                      <w:szCs w:val="22"/>
                      <w:lang w:val="en-CA"/>
                    </w:rPr>
                  </w:pPr>
                  <w:hyperlink r:id="rId8" w:history="1">
                    <w:r w:rsidR="00100217" w:rsidRPr="005B471E">
                      <w:rPr>
                        <w:rStyle w:val="Hyperlink"/>
                        <w:sz w:val="22"/>
                        <w:szCs w:val="22"/>
                        <w:lang w:val="en-CA"/>
                      </w:rPr>
                      <w:t>C23/27</w:t>
                    </w:r>
                  </w:hyperlink>
                  <w:r w:rsidR="00100217" w:rsidRPr="00100217">
                    <w:rPr>
                      <w:sz w:val="22"/>
                      <w:szCs w:val="22"/>
                      <w:lang w:val="en-CA"/>
                    </w:rPr>
                    <w:t xml:space="preserve">, </w:t>
                  </w:r>
                  <w:hyperlink r:id="rId9" w:history="1">
                    <w:r w:rsidR="00100217" w:rsidRPr="005B471E">
                      <w:rPr>
                        <w:rStyle w:val="Hyperlink"/>
                        <w:sz w:val="22"/>
                        <w:szCs w:val="22"/>
                        <w:lang w:val="en-CA"/>
                      </w:rPr>
                      <w:t>C23/72(Rev.1)+Corr.1</w:t>
                    </w:r>
                  </w:hyperlink>
                  <w:r w:rsidR="00100217" w:rsidRPr="00100217">
                    <w:rPr>
                      <w:sz w:val="22"/>
                      <w:szCs w:val="22"/>
                      <w:lang w:val="en-CA"/>
                    </w:rPr>
                    <w:t xml:space="preserve">, </w:t>
                  </w:r>
                  <w:hyperlink r:id="rId10" w:history="1">
                    <w:r w:rsidR="00100217" w:rsidRPr="005B471E">
                      <w:rPr>
                        <w:rStyle w:val="Hyperlink"/>
                        <w:sz w:val="22"/>
                        <w:szCs w:val="22"/>
                        <w:lang w:val="en-CA"/>
                      </w:rPr>
                      <w:t>C23/79</w:t>
                    </w:r>
                  </w:hyperlink>
                </w:p>
              </w:tc>
            </w:tr>
            <w:tr w:rsidR="00100217" w:rsidRPr="00DF2340" w14:paraId="57EB8A2E" w14:textId="77777777" w:rsidTr="00F45D96">
              <w:trPr>
                <w:trHeight w:val="20"/>
              </w:trPr>
              <w:tc>
                <w:tcPr>
                  <w:tcW w:w="255" w:type="pct"/>
                </w:tcPr>
                <w:p w14:paraId="6D2AF972" w14:textId="77777777" w:rsidR="00100217" w:rsidRPr="00DF2340" w:rsidRDefault="00100217" w:rsidP="00100217">
                  <w:pPr>
                    <w:framePr w:hSpace="180" w:wrap="around" w:vAnchor="page" w:hAnchor="page" w:x="1821" w:y="2317"/>
                    <w:spacing w:before="80" w:after="80"/>
                    <w:rPr>
                      <w:sz w:val="22"/>
                      <w:szCs w:val="22"/>
                      <w:lang w:val="en-CA"/>
                    </w:rPr>
                  </w:pPr>
                  <w:r w:rsidRPr="00DF2340">
                    <w:rPr>
                      <w:sz w:val="22"/>
                      <w:szCs w:val="22"/>
                      <w:lang w:val="en-CA"/>
                    </w:rPr>
                    <w:t>2</w:t>
                  </w:r>
                </w:p>
              </w:tc>
              <w:tc>
                <w:tcPr>
                  <w:tcW w:w="3335" w:type="pct"/>
                </w:tcPr>
                <w:p w14:paraId="24B06FB8" w14:textId="04C508E5" w:rsidR="00100217" w:rsidRPr="00100217" w:rsidRDefault="00100217" w:rsidP="00100217">
                  <w:pPr>
                    <w:framePr w:hSpace="180" w:wrap="around" w:vAnchor="page" w:hAnchor="page" w:x="1821" w:y="2317"/>
                    <w:spacing w:before="80" w:after="80"/>
                    <w:rPr>
                      <w:rFonts w:asciiTheme="minorHAnsi" w:hAnsiTheme="minorHAnsi" w:cstheme="minorHAnsi"/>
                      <w:sz w:val="22"/>
                      <w:szCs w:val="22"/>
                      <w:lang w:val="en-CA"/>
                    </w:rPr>
                  </w:pPr>
                  <w:r w:rsidRPr="00100217">
                    <w:rPr>
                      <w:sz w:val="22"/>
                      <w:szCs w:val="22"/>
                    </w:rPr>
                    <w:t>Report on ITU’s role in implementing the outcomes of WSIS and the 2030 Agenda for Sustainable Development as well as in their follow-up and review process (continued)</w:t>
                  </w:r>
                </w:p>
              </w:tc>
              <w:tc>
                <w:tcPr>
                  <w:tcW w:w="1410" w:type="pct"/>
                </w:tcPr>
                <w:p w14:paraId="1FBAAF80" w14:textId="311E2FC0" w:rsidR="00100217" w:rsidRPr="00100217" w:rsidRDefault="003620EA" w:rsidP="00100217">
                  <w:pPr>
                    <w:framePr w:hSpace="180" w:wrap="around" w:vAnchor="page" w:hAnchor="page" w:x="1821" w:y="2317"/>
                    <w:tabs>
                      <w:tab w:val="clear" w:pos="567"/>
                      <w:tab w:val="clear" w:pos="1134"/>
                      <w:tab w:val="clear" w:pos="1701"/>
                      <w:tab w:val="clear" w:pos="2268"/>
                    </w:tabs>
                    <w:spacing w:before="80" w:after="80"/>
                    <w:ind w:right="177"/>
                    <w:jc w:val="center"/>
                    <w:rPr>
                      <w:rFonts w:asciiTheme="minorHAnsi" w:hAnsiTheme="minorHAnsi" w:cstheme="minorHAnsi"/>
                      <w:sz w:val="22"/>
                      <w:szCs w:val="22"/>
                      <w:lang w:val="en-CA"/>
                    </w:rPr>
                  </w:pPr>
                  <w:hyperlink r:id="rId11" w:history="1">
                    <w:r w:rsidR="00100217" w:rsidRPr="005B471E">
                      <w:rPr>
                        <w:rStyle w:val="Hyperlink"/>
                        <w:sz w:val="22"/>
                        <w:szCs w:val="22"/>
                        <w:lang w:val="en-CA"/>
                      </w:rPr>
                      <w:t>C23/61</w:t>
                    </w:r>
                  </w:hyperlink>
                  <w:r w:rsidR="00100217" w:rsidRPr="00100217">
                    <w:rPr>
                      <w:sz w:val="22"/>
                      <w:szCs w:val="22"/>
                      <w:lang w:val="en-CA"/>
                    </w:rPr>
                    <w:t xml:space="preserve">, </w:t>
                  </w:r>
                  <w:hyperlink r:id="rId12" w:history="1">
                    <w:r w:rsidR="00100217" w:rsidRPr="005B471E">
                      <w:rPr>
                        <w:rStyle w:val="Hyperlink"/>
                        <w:sz w:val="22"/>
                        <w:szCs w:val="22"/>
                        <w:lang w:val="en-CA"/>
                      </w:rPr>
                      <w:t>C23/71</w:t>
                    </w:r>
                  </w:hyperlink>
                  <w:r w:rsidR="00100217" w:rsidRPr="00100217">
                    <w:rPr>
                      <w:sz w:val="22"/>
                      <w:szCs w:val="22"/>
                      <w:lang w:val="en-CA"/>
                    </w:rPr>
                    <w:t xml:space="preserve">, </w:t>
                  </w:r>
                  <w:hyperlink r:id="rId13" w:history="1">
                    <w:r w:rsidR="00100217" w:rsidRPr="005B471E">
                      <w:rPr>
                        <w:rStyle w:val="Hyperlink"/>
                        <w:sz w:val="22"/>
                        <w:szCs w:val="22"/>
                        <w:lang w:val="en-CA"/>
                      </w:rPr>
                      <w:t>C23/81</w:t>
                    </w:r>
                  </w:hyperlink>
                  <w:r w:rsidR="00100217" w:rsidRPr="00100217">
                    <w:rPr>
                      <w:sz w:val="22"/>
                      <w:szCs w:val="22"/>
                      <w:lang w:val="en-CA"/>
                    </w:rPr>
                    <w:t xml:space="preserve">, </w:t>
                  </w:r>
                  <w:hyperlink r:id="rId14" w:history="1">
                    <w:r w:rsidR="00100217" w:rsidRPr="005B471E">
                      <w:rPr>
                        <w:rStyle w:val="Hyperlink"/>
                        <w:sz w:val="22"/>
                        <w:szCs w:val="22"/>
                        <w:lang w:val="en-CA"/>
                      </w:rPr>
                      <w:t>C23/83</w:t>
                    </w:r>
                  </w:hyperlink>
                  <w:r w:rsidR="00100217" w:rsidRPr="00100217">
                    <w:rPr>
                      <w:sz w:val="22"/>
                      <w:szCs w:val="22"/>
                      <w:lang w:val="en-CA"/>
                    </w:rPr>
                    <w:t xml:space="preserve">, </w:t>
                  </w:r>
                  <w:hyperlink r:id="rId15" w:history="1">
                    <w:r w:rsidR="00100217" w:rsidRPr="005B471E">
                      <w:rPr>
                        <w:rStyle w:val="Hyperlink"/>
                        <w:sz w:val="22"/>
                        <w:szCs w:val="22"/>
                        <w:lang w:val="en-CA"/>
                      </w:rPr>
                      <w:t>C23/85+Corr.1,2</w:t>
                    </w:r>
                  </w:hyperlink>
                  <w:r w:rsidR="00100217" w:rsidRPr="00100217">
                    <w:rPr>
                      <w:sz w:val="22"/>
                      <w:szCs w:val="22"/>
                      <w:lang w:val="en-CA"/>
                    </w:rPr>
                    <w:t xml:space="preserve">, </w:t>
                  </w:r>
                  <w:hyperlink r:id="rId16" w:history="1">
                    <w:r w:rsidR="00100217" w:rsidRPr="005B471E">
                      <w:rPr>
                        <w:rStyle w:val="Hyperlink"/>
                        <w:sz w:val="22"/>
                        <w:szCs w:val="22"/>
                        <w:lang w:val="en-CA"/>
                      </w:rPr>
                      <w:t>C23/96</w:t>
                    </w:r>
                  </w:hyperlink>
                  <w:r w:rsidR="00100217" w:rsidRPr="00100217">
                    <w:rPr>
                      <w:sz w:val="22"/>
                      <w:szCs w:val="22"/>
                      <w:lang w:val="en-CA"/>
                    </w:rPr>
                    <w:t xml:space="preserve">, </w:t>
                  </w:r>
                  <w:hyperlink r:id="rId17" w:history="1">
                    <w:r w:rsidR="00100217" w:rsidRPr="005B471E">
                      <w:rPr>
                        <w:rStyle w:val="Hyperlink"/>
                        <w:sz w:val="22"/>
                        <w:szCs w:val="22"/>
                        <w:lang w:val="en-CA"/>
                      </w:rPr>
                      <w:t>C23/DT/9</w:t>
                    </w:r>
                  </w:hyperlink>
                  <w:r w:rsidR="00100217" w:rsidRPr="00100217">
                    <w:rPr>
                      <w:sz w:val="22"/>
                      <w:szCs w:val="22"/>
                      <w:lang w:val="en-CA"/>
                    </w:rPr>
                    <w:t xml:space="preserve">, </w:t>
                  </w:r>
                  <w:hyperlink r:id="rId18" w:history="1">
                    <w:r w:rsidR="00100217" w:rsidRPr="005B471E">
                      <w:rPr>
                        <w:rStyle w:val="Hyperlink"/>
                        <w:sz w:val="22"/>
                        <w:szCs w:val="22"/>
                        <w:lang w:val="en-CA"/>
                      </w:rPr>
                      <w:t>C23/DT/10</w:t>
                    </w:r>
                  </w:hyperlink>
                </w:p>
              </w:tc>
            </w:tr>
            <w:tr w:rsidR="00100217" w:rsidRPr="00DF2340" w14:paraId="03AD913B" w14:textId="77777777" w:rsidTr="006B62A6">
              <w:trPr>
                <w:trHeight w:val="20"/>
              </w:trPr>
              <w:tc>
                <w:tcPr>
                  <w:tcW w:w="255" w:type="pct"/>
                </w:tcPr>
                <w:p w14:paraId="0220E7E6" w14:textId="77777777" w:rsidR="00100217" w:rsidRPr="00DF2340" w:rsidRDefault="00100217" w:rsidP="00100217">
                  <w:pPr>
                    <w:framePr w:hSpace="180" w:wrap="around" w:vAnchor="page" w:hAnchor="page" w:x="1821" w:y="2317"/>
                    <w:spacing w:before="80" w:after="80"/>
                    <w:rPr>
                      <w:sz w:val="22"/>
                      <w:szCs w:val="22"/>
                      <w:lang w:val="en-CA"/>
                    </w:rPr>
                  </w:pPr>
                  <w:r w:rsidRPr="00DF2340">
                    <w:rPr>
                      <w:sz w:val="22"/>
                      <w:szCs w:val="22"/>
                      <w:lang w:val="en-CA"/>
                    </w:rPr>
                    <w:t>3</w:t>
                  </w:r>
                </w:p>
              </w:tc>
              <w:tc>
                <w:tcPr>
                  <w:tcW w:w="3335" w:type="pct"/>
                </w:tcPr>
                <w:p w14:paraId="436D0638" w14:textId="242345A6" w:rsidR="00100217" w:rsidRPr="00100217" w:rsidRDefault="00100217" w:rsidP="00100217">
                  <w:pPr>
                    <w:framePr w:hSpace="180" w:wrap="around" w:vAnchor="page" w:hAnchor="page" w:x="1821" w:y="2317"/>
                    <w:spacing w:before="80" w:after="80"/>
                    <w:rPr>
                      <w:rFonts w:asciiTheme="minorHAnsi" w:hAnsiTheme="minorHAnsi" w:cstheme="minorHAnsi"/>
                      <w:sz w:val="22"/>
                      <w:szCs w:val="22"/>
                      <w:lang w:val="en-CA"/>
                    </w:rPr>
                  </w:pPr>
                  <w:r w:rsidRPr="00100217">
                    <w:rPr>
                      <w:sz w:val="22"/>
                      <w:szCs w:val="22"/>
                    </w:rPr>
                    <w:t xml:space="preserve">Statement by Tunisia on the Djerba Declaration of the </w:t>
                  </w:r>
                  <w:proofErr w:type="spellStart"/>
                  <w:r w:rsidRPr="00100217">
                    <w:rPr>
                      <w:sz w:val="22"/>
                      <w:szCs w:val="22"/>
                    </w:rPr>
                    <w:t>XVIIIth</w:t>
                  </w:r>
                  <w:proofErr w:type="spellEnd"/>
                  <w:r w:rsidRPr="00100217">
                    <w:rPr>
                      <w:sz w:val="22"/>
                      <w:szCs w:val="22"/>
                    </w:rPr>
                    <w:t xml:space="preserve"> Conference of Heads of State and Government of French-speaking countries</w:t>
                  </w:r>
                </w:p>
              </w:tc>
              <w:tc>
                <w:tcPr>
                  <w:tcW w:w="1410" w:type="pct"/>
                </w:tcPr>
                <w:p w14:paraId="48947DDE" w14:textId="39B21C12" w:rsidR="00100217" w:rsidRPr="00100217" w:rsidRDefault="003620EA" w:rsidP="00100217">
                  <w:pPr>
                    <w:framePr w:hSpace="180" w:wrap="around" w:vAnchor="page" w:hAnchor="page" w:x="1821" w:y="2317"/>
                    <w:tabs>
                      <w:tab w:val="clear" w:pos="567"/>
                      <w:tab w:val="clear" w:pos="1134"/>
                      <w:tab w:val="clear" w:pos="1701"/>
                      <w:tab w:val="clear" w:pos="2268"/>
                    </w:tabs>
                    <w:spacing w:before="80" w:after="80"/>
                    <w:jc w:val="center"/>
                    <w:rPr>
                      <w:rFonts w:asciiTheme="minorHAnsi" w:hAnsiTheme="minorHAnsi" w:cstheme="minorHAnsi"/>
                      <w:sz w:val="22"/>
                      <w:szCs w:val="22"/>
                      <w:lang w:val="en-CA"/>
                    </w:rPr>
                  </w:pPr>
                  <w:hyperlink r:id="rId19" w:history="1">
                    <w:r w:rsidR="00100217" w:rsidRPr="005B471E">
                      <w:rPr>
                        <w:rStyle w:val="Hyperlink"/>
                        <w:sz w:val="22"/>
                        <w:szCs w:val="22"/>
                        <w:lang w:val="en-CA"/>
                      </w:rPr>
                      <w:t>C23/INF/18</w:t>
                    </w:r>
                  </w:hyperlink>
                </w:p>
              </w:tc>
            </w:tr>
            <w:tr w:rsidR="00100217" w:rsidRPr="00DF2340" w14:paraId="365094B8" w14:textId="77777777" w:rsidTr="004367F0">
              <w:trPr>
                <w:trHeight w:val="20"/>
              </w:trPr>
              <w:tc>
                <w:tcPr>
                  <w:tcW w:w="255" w:type="pct"/>
                </w:tcPr>
                <w:p w14:paraId="34A94745" w14:textId="77777777" w:rsidR="00100217" w:rsidRPr="00DF2340" w:rsidRDefault="00100217" w:rsidP="00100217">
                  <w:pPr>
                    <w:framePr w:hSpace="180" w:wrap="around" w:vAnchor="page" w:hAnchor="page" w:x="1821" w:y="2317"/>
                    <w:spacing w:before="80" w:after="80"/>
                    <w:rPr>
                      <w:sz w:val="22"/>
                      <w:szCs w:val="22"/>
                      <w:lang w:val="en-CA"/>
                    </w:rPr>
                  </w:pPr>
                  <w:r w:rsidRPr="00DF2340">
                    <w:rPr>
                      <w:sz w:val="22"/>
                      <w:szCs w:val="22"/>
                      <w:lang w:val="en-CA"/>
                    </w:rPr>
                    <w:t>4</w:t>
                  </w:r>
                </w:p>
              </w:tc>
              <w:tc>
                <w:tcPr>
                  <w:tcW w:w="3335" w:type="pct"/>
                </w:tcPr>
                <w:p w14:paraId="5D1FFCCE" w14:textId="718A2FB6" w:rsidR="00100217" w:rsidRPr="00100217" w:rsidRDefault="00100217" w:rsidP="00100217">
                  <w:pPr>
                    <w:framePr w:hSpace="180" w:wrap="around" w:vAnchor="page" w:hAnchor="page" w:x="1821" w:y="2317"/>
                    <w:spacing w:before="80" w:after="80"/>
                    <w:rPr>
                      <w:rFonts w:asciiTheme="minorHAnsi" w:hAnsiTheme="minorHAnsi" w:cstheme="minorHAnsi"/>
                      <w:sz w:val="22"/>
                      <w:szCs w:val="22"/>
                      <w:lang w:val="en-CA"/>
                    </w:rPr>
                  </w:pPr>
                  <w:r w:rsidRPr="00100217">
                    <w:rPr>
                      <w:sz w:val="22"/>
                      <w:szCs w:val="22"/>
                    </w:rPr>
                    <w:t>Twenty-five years of ITU’s work programme on gender equality (continued)</w:t>
                  </w:r>
                </w:p>
              </w:tc>
              <w:tc>
                <w:tcPr>
                  <w:tcW w:w="1410" w:type="pct"/>
                </w:tcPr>
                <w:p w14:paraId="2F324367" w14:textId="3E2B93F8" w:rsidR="00100217" w:rsidRPr="00100217" w:rsidRDefault="003620EA" w:rsidP="00100217">
                  <w:pPr>
                    <w:framePr w:hSpace="180" w:wrap="around" w:vAnchor="page" w:hAnchor="page" w:x="1821" w:y="2317"/>
                    <w:tabs>
                      <w:tab w:val="clear" w:pos="567"/>
                      <w:tab w:val="clear" w:pos="1134"/>
                      <w:tab w:val="clear" w:pos="1701"/>
                      <w:tab w:val="clear" w:pos="2268"/>
                    </w:tabs>
                    <w:spacing w:before="80" w:after="80"/>
                    <w:jc w:val="center"/>
                    <w:rPr>
                      <w:rFonts w:asciiTheme="minorHAnsi" w:hAnsiTheme="minorHAnsi" w:cstheme="minorHAnsi"/>
                      <w:sz w:val="22"/>
                      <w:szCs w:val="22"/>
                      <w:lang w:val="en-CA"/>
                    </w:rPr>
                  </w:pPr>
                  <w:hyperlink r:id="rId20" w:history="1">
                    <w:r w:rsidR="00100217" w:rsidRPr="005B471E">
                      <w:rPr>
                        <w:rStyle w:val="Hyperlink"/>
                        <w:sz w:val="22"/>
                        <w:szCs w:val="22"/>
                        <w:lang w:val="en-CA"/>
                      </w:rPr>
                      <w:t>C23/6</w:t>
                    </w:r>
                  </w:hyperlink>
                  <w:r w:rsidR="00100217" w:rsidRPr="00100217">
                    <w:rPr>
                      <w:sz w:val="22"/>
                      <w:szCs w:val="22"/>
                      <w:lang w:val="en-CA"/>
                    </w:rPr>
                    <w:t xml:space="preserve">, </w:t>
                  </w:r>
                  <w:hyperlink r:id="rId21" w:history="1">
                    <w:r w:rsidR="00100217" w:rsidRPr="005B471E">
                      <w:rPr>
                        <w:rStyle w:val="Hyperlink"/>
                        <w:sz w:val="22"/>
                        <w:szCs w:val="22"/>
                        <w:lang w:val="en-CA"/>
                      </w:rPr>
                      <w:t>C23/76(Rev.1)</w:t>
                    </w:r>
                  </w:hyperlink>
                  <w:r w:rsidR="00100217" w:rsidRPr="00100217">
                    <w:rPr>
                      <w:sz w:val="22"/>
                      <w:szCs w:val="22"/>
                      <w:lang w:val="en-CA"/>
                    </w:rPr>
                    <w:t xml:space="preserve">, </w:t>
                  </w:r>
                  <w:hyperlink r:id="rId22" w:history="1">
                    <w:r w:rsidR="00100217" w:rsidRPr="005B471E">
                      <w:rPr>
                        <w:rStyle w:val="Hyperlink"/>
                        <w:sz w:val="22"/>
                        <w:szCs w:val="22"/>
                        <w:lang w:val="en-CA"/>
                      </w:rPr>
                      <w:t>C23/91(Rev.1)+Corr.1</w:t>
                    </w:r>
                  </w:hyperlink>
                </w:p>
              </w:tc>
            </w:tr>
            <w:tr w:rsidR="00100217" w:rsidRPr="00DF2340" w14:paraId="7CF5A773" w14:textId="77777777" w:rsidTr="004367F0">
              <w:trPr>
                <w:trHeight w:val="20"/>
              </w:trPr>
              <w:tc>
                <w:tcPr>
                  <w:tcW w:w="255" w:type="pct"/>
                </w:tcPr>
                <w:p w14:paraId="0B2DB636" w14:textId="7725E9C0" w:rsidR="00100217" w:rsidRPr="00DF2340" w:rsidRDefault="00100217" w:rsidP="00100217">
                  <w:pPr>
                    <w:framePr w:hSpace="180" w:wrap="around" w:vAnchor="page" w:hAnchor="page" w:x="1821" w:y="2317"/>
                    <w:spacing w:before="80" w:after="80"/>
                    <w:rPr>
                      <w:sz w:val="22"/>
                      <w:szCs w:val="22"/>
                      <w:lang w:val="en-CA"/>
                    </w:rPr>
                  </w:pPr>
                  <w:r>
                    <w:rPr>
                      <w:sz w:val="22"/>
                      <w:szCs w:val="22"/>
                      <w:lang w:val="en-CA"/>
                    </w:rPr>
                    <w:t>5</w:t>
                  </w:r>
                </w:p>
              </w:tc>
              <w:tc>
                <w:tcPr>
                  <w:tcW w:w="3335" w:type="pct"/>
                </w:tcPr>
                <w:p w14:paraId="73B3F11C" w14:textId="2D75FA5E" w:rsidR="00100217" w:rsidRPr="00100217" w:rsidRDefault="00100217" w:rsidP="00100217">
                  <w:pPr>
                    <w:framePr w:hSpace="180" w:wrap="around" w:vAnchor="page" w:hAnchor="page" w:x="1821" w:y="2317"/>
                    <w:spacing w:before="80" w:after="80"/>
                    <w:rPr>
                      <w:rFonts w:asciiTheme="minorHAnsi" w:hAnsiTheme="minorHAnsi" w:cstheme="minorHAnsi"/>
                      <w:sz w:val="22"/>
                      <w:szCs w:val="22"/>
                    </w:rPr>
                  </w:pPr>
                  <w:r w:rsidRPr="00100217">
                    <w:rPr>
                      <w:sz w:val="22"/>
                      <w:szCs w:val="22"/>
                    </w:rPr>
                    <w:t>Obsolete Council resolutions and decisions</w:t>
                  </w:r>
                </w:p>
              </w:tc>
              <w:tc>
                <w:tcPr>
                  <w:tcW w:w="1410" w:type="pct"/>
                </w:tcPr>
                <w:p w14:paraId="5935B88C" w14:textId="2035ED3A" w:rsidR="00100217" w:rsidRPr="00100217" w:rsidRDefault="003620EA" w:rsidP="00100217">
                  <w:pPr>
                    <w:framePr w:hSpace="180" w:wrap="around" w:vAnchor="page" w:hAnchor="page" w:x="1821" w:y="2317"/>
                    <w:tabs>
                      <w:tab w:val="clear" w:pos="567"/>
                      <w:tab w:val="clear" w:pos="1134"/>
                      <w:tab w:val="clear" w:pos="1701"/>
                      <w:tab w:val="clear" w:pos="2268"/>
                    </w:tabs>
                    <w:spacing w:before="80" w:after="80"/>
                    <w:ind w:left="-109"/>
                    <w:jc w:val="center"/>
                    <w:rPr>
                      <w:rFonts w:asciiTheme="minorHAnsi" w:hAnsiTheme="minorHAnsi" w:cstheme="minorHAnsi"/>
                      <w:sz w:val="22"/>
                      <w:szCs w:val="22"/>
                      <w:lang w:val="en-CA"/>
                    </w:rPr>
                  </w:pPr>
                  <w:hyperlink r:id="rId23" w:history="1">
                    <w:r w:rsidR="00100217" w:rsidRPr="005B471E">
                      <w:rPr>
                        <w:rStyle w:val="Hyperlink"/>
                        <w:sz w:val="22"/>
                        <w:szCs w:val="22"/>
                        <w:lang w:val="en-CA"/>
                      </w:rPr>
                      <w:t>C23/3(Rev.1)</w:t>
                    </w:r>
                  </w:hyperlink>
                </w:p>
              </w:tc>
            </w:tr>
            <w:bookmarkEnd w:id="6"/>
          </w:tbl>
          <w:p w14:paraId="65250B1E" w14:textId="77777777" w:rsidR="00AD3606" w:rsidRDefault="00AD3606" w:rsidP="00F16BAB">
            <w:pPr>
              <w:spacing w:after="160"/>
            </w:pPr>
          </w:p>
        </w:tc>
      </w:tr>
      <w:bookmarkEnd w:id="5"/>
    </w:tbl>
    <w:p w14:paraId="7FE52F59"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p w14:paraId="42420163" w14:textId="1ACA09CF" w:rsidR="00100217" w:rsidRPr="00100217" w:rsidRDefault="00100217" w:rsidP="00100217">
      <w:pPr>
        <w:tabs>
          <w:tab w:val="clear" w:pos="567"/>
          <w:tab w:val="clear" w:pos="1134"/>
          <w:tab w:val="clear" w:pos="1701"/>
          <w:tab w:val="clear" w:pos="2268"/>
          <w:tab w:val="clear" w:pos="2835"/>
        </w:tabs>
        <w:spacing w:after="120"/>
        <w:ind w:left="567" w:hanging="567"/>
        <w:jc w:val="both"/>
        <w:rPr>
          <w:rFonts w:asciiTheme="minorHAnsi" w:hAnsiTheme="minorHAnsi"/>
          <w:b/>
          <w:bCs/>
          <w:szCs w:val="24"/>
        </w:rPr>
      </w:pPr>
      <w:r w:rsidRPr="00100217">
        <w:rPr>
          <w:rFonts w:asciiTheme="minorHAnsi" w:hAnsiTheme="minorHAnsi" w:cstheme="minorHAnsi"/>
          <w:b/>
          <w:bCs/>
          <w:szCs w:val="24"/>
          <w:lang w:val="en-CA"/>
        </w:rPr>
        <w:lastRenderedPageBreak/>
        <w:t>1</w:t>
      </w:r>
      <w:r w:rsidRPr="00100217">
        <w:rPr>
          <w:rFonts w:asciiTheme="minorHAnsi" w:hAnsiTheme="minorHAnsi" w:cstheme="minorHAnsi"/>
          <w:b/>
          <w:bCs/>
          <w:szCs w:val="24"/>
          <w:lang w:val="en-CA"/>
        </w:rPr>
        <w:tab/>
      </w:r>
      <w:r w:rsidRPr="00100217">
        <w:rPr>
          <w:b/>
          <w:bCs/>
          <w:szCs w:val="24"/>
        </w:rPr>
        <w:t xml:space="preserve">Strategy for the coordination of efforts among the three Sectors of the Union (continued) (Documents </w:t>
      </w:r>
      <w:hyperlink r:id="rId24" w:history="1">
        <w:r w:rsidRPr="005B471E">
          <w:rPr>
            <w:rStyle w:val="Hyperlink"/>
            <w:b/>
            <w:bCs/>
            <w:szCs w:val="24"/>
          </w:rPr>
          <w:t>C23/27</w:t>
        </w:r>
      </w:hyperlink>
      <w:r w:rsidRPr="00100217">
        <w:rPr>
          <w:b/>
          <w:bCs/>
          <w:szCs w:val="24"/>
        </w:rPr>
        <w:t xml:space="preserve">, </w:t>
      </w:r>
      <w:hyperlink r:id="rId25" w:history="1">
        <w:r w:rsidRPr="005B471E">
          <w:rPr>
            <w:rStyle w:val="Hyperlink"/>
            <w:b/>
            <w:bCs/>
            <w:szCs w:val="24"/>
          </w:rPr>
          <w:t>C23/72 (Rev.1)+Corr.1</w:t>
        </w:r>
      </w:hyperlink>
      <w:r w:rsidRPr="00100217">
        <w:rPr>
          <w:b/>
          <w:bCs/>
          <w:szCs w:val="24"/>
        </w:rPr>
        <w:t xml:space="preserve"> and </w:t>
      </w:r>
      <w:hyperlink r:id="rId26" w:history="1">
        <w:r w:rsidRPr="005B471E">
          <w:rPr>
            <w:rStyle w:val="Hyperlink"/>
            <w:b/>
            <w:bCs/>
            <w:szCs w:val="24"/>
          </w:rPr>
          <w:t>C23/79</w:t>
        </w:r>
      </w:hyperlink>
      <w:r w:rsidRPr="00100217">
        <w:rPr>
          <w:b/>
          <w:bCs/>
          <w:szCs w:val="24"/>
        </w:rPr>
        <w:t>)</w:t>
      </w:r>
    </w:p>
    <w:p w14:paraId="793C0E60" w14:textId="77777777" w:rsidR="00100217" w:rsidRPr="00100217" w:rsidRDefault="00100217" w:rsidP="00100217">
      <w:pPr>
        <w:tabs>
          <w:tab w:val="clear" w:pos="567"/>
          <w:tab w:val="clear" w:pos="1134"/>
          <w:tab w:val="clear" w:pos="1701"/>
          <w:tab w:val="clear" w:pos="2268"/>
          <w:tab w:val="clear" w:pos="2835"/>
        </w:tabs>
        <w:spacing w:after="120"/>
        <w:jc w:val="both"/>
        <w:rPr>
          <w:szCs w:val="24"/>
        </w:rPr>
      </w:pPr>
      <w:r w:rsidRPr="00100217">
        <w:rPr>
          <w:szCs w:val="24"/>
        </w:rPr>
        <w:t>1.1</w:t>
      </w:r>
      <w:r w:rsidRPr="00100217">
        <w:rPr>
          <w:szCs w:val="24"/>
        </w:rPr>
        <w:tab/>
        <w:t>The representative of the General Secretariat thanked councillors for the comments made at the previous plenary meeting, which had been noted for future consideration. Providing further clarifications following the previous discussion, he emphasized that the Coordination Committee (</w:t>
      </w:r>
      <w:proofErr w:type="spellStart"/>
      <w:r w:rsidRPr="00100217">
        <w:rPr>
          <w:szCs w:val="24"/>
        </w:rPr>
        <w:t>CoCo</w:t>
      </w:r>
      <w:proofErr w:type="spellEnd"/>
      <w:r w:rsidRPr="00100217">
        <w:rPr>
          <w:szCs w:val="24"/>
        </w:rPr>
        <w:t xml:space="preserve">) retained oversight of all inter-Sectoral coordination decisions. Programmatic coordination, led by the Management Coordination Group (MCG) would continue the work of the Inter-Sectoral Coordination Task Force (ISC-TF). The D.2 group would undertake discussion of performance and transformation decisions at a more informal </w:t>
      </w:r>
      <w:proofErr w:type="gramStart"/>
      <w:r w:rsidRPr="00100217">
        <w:rPr>
          <w:szCs w:val="24"/>
        </w:rPr>
        <w:t>level, and</w:t>
      </w:r>
      <w:proofErr w:type="gramEnd"/>
      <w:r w:rsidRPr="00100217">
        <w:rPr>
          <w:szCs w:val="24"/>
        </w:rPr>
        <w:t xml:space="preserve"> make recommendations on organizational matters for consideration by </w:t>
      </w:r>
      <w:proofErr w:type="spellStart"/>
      <w:r w:rsidRPr="00100217">
        <w:rPr>
          <w:szCs w:val="24"/>
        </w:rPr>
        <w:t>CoCo</w:t>
      </w:r>
      <w:proofErr w:type="spellEnd"/>
      <w:r w:rsidRPr="00100217">
        <w:rPr>
          <w:szCs w:val="24"/>
        </w:rPr>
        <w:t xml:space="preserve">. It was worth noting that the D.2 group was not a new </w:t>
      </w:r>
      <w:proofErr w:type="gramStart"/>
      <w:r w:rsidRPr="00100217">
        <w:rPr>
          <w:szCs w:val="24"/>
        </w:rPr>
        <w:t>entity, but</w:t>
      </w:r>
      <w:proofErr w:type="gramEnd"/>
      <w:r w:rsidRPr="00100217">
        <w:rPr>
          <w:szCs w:val="24"/>
        </w:rPr>
        <w:t xml:space="preserve"> had been in operation since 2008.</w:t>
      </w:r>
    </w:p>
    <w:p w14:paraId="100069CC" w14:textId="02DACCD6" w:rsidR="00100217" w:rsidRPr="00100217" w:rsidRDefault="00100217" w:rsidP="00100217">
      <w:pPr>
        <w:tabs>
          <w:tab w:val="clear" w:pos="567"/>
          <w:tab w:val="clear" w:pos="1134"/>
          <w:tab w:val="clear" w:pos="1701"/>
          <w:tab w:val="clear" w:pos="2268"/>
          <w:tab w:val="clear" w:pos="2835"/>
        </w:tabs>
        <w:spacing w:after="120"/>
        <w:jc w:val="both"/>
        <w:rPr>
          <w:szCs w:val="24"/>
        </w:rPr>
      </w:pPr>
      <w:r w:rsidRPr="00100217">
        <w:rPr>
          <w:szCs w:val="24"/>
        </w:rPr>
        <w:t>1.2</w:t>
      </w:r>
      <w:r w:rsidRPr="00100217">
        <w:rPr>
          <w:szCs w:val="24"/>
        </w:rPr>
        <w:tab/>
        <w:t>One councillor, recalling again that ISC-TF was referenced in Resolution 191 (Rev.</w:t>
      </w:r>
      <w:r>
        <w:rPr>
          <w:szCs w:val="24"/>
        </w:rPr>
        <w:t> </w:t>
      </w:r>
      <w:r w:rsidRPr="00100217">
        <w:rPr>
          <w:szCs w:val="24"/>
        </w:rPr>
        <w:t>Bucharest, 2022), did not believe that the Council had the authority to eliminate it in favour of a new group (MCG). Council decisions must be in line with resolutions of the Plenipotentiary Conference. A revised version of Document C23/27 that aligned with Resolution 191 (Rev. Bucharest, 2022) should be presented to the Council at its next session.</w:t>
      </w:r>
    </w:p>
    <w:p w14:paraId="7AE76064" w14:textId="77777777" w:rsidR="00100217" w:rsidRPr="00100217" w:rsidRDefault="00100217" w:rsidP="00100217">
      <w:pPr>
        <w:tabs>
          <w:tab w:val="clear" w:pos="567"/>
          <w:tab w:val="clear" w:pos="1134"/>
          <w:tab w:val="clear" w:pos="1701"/>
          <w:tab w:val="clear" w:pos="2268"/>
          <w:tab w:val="clear" w:pos="2835"/>
        </w:tabs>
        <w:spacing w:after="120"/>
        <w:jc w:val="both"/>
        <w:rPr>
          <w:szCs w:val="24"/>
        </w:rPr>
      </w:pPr>
      <w:r w:rsidRPr="00100217">
        <w:rPr>
          <w:szCs w:val="24"/>
        </w:rPr>
        <w:t>1.3</w:t>
      </w:r>
      <w:r w:rsidRPr="00100217">
        <w:rPr>
          <w:szCs w:val="24"/>
        </w:rPr>
        <w:tab/>
        <w:t xml:space="preserve">A second councillor concurred that replacing ISC-TF was at odds with Resolution 191 (Rev. Bucharest, 2022) and was of the view that strategic planning and coordination should remain with ISC-TF, improving that body as necessary. Regarding the D.2 group, if it was a channel for informal discussion, there should be a mechanism for sharing the information it considered on a broader basis and its reporting lines needed to be clarified in order, </w:t>
      </w:r>
      <w:r w:rsidRPr="00100217">
        <w:rPr>
          <w:i/>
          <w:iCs/>
          <w:szCs w:val="24"/>
        </w:rPr>
        <w:t>inter alia</w:t>
      </w:r>
      <w:r w:rsidRPr="00100217">
        <w:rPr>
          <w:szCs w:val="24"/>
        </w:rPr>
        <w:t>, to avoid potential conflict with the formal reporting lines to the Directors of the Bureaux.</w:t>
      </w:r>
    </w:p>
    <w:p w14:paraId="1969DFC1" w14:textId="77777777" w:rsidR="00100217" w:rsidRPr="00100217" w:rsidRDefault="00100217" w:rsidP="00100217">
      <w:pPr>
        <w:tabs>
          <w:tab w:val="clear" w:pos="567"/>
          <w:tab w:val="clear" w:pos="1134"/>
          <w:tab w:val="clear" w:pos="1701"/>
          <w:tab w:val="clear" w:pos="2268"/>
          <w:tab w:val="clear" w:pos="2835"/>
        </w:tabs>
        <w:spacing w:after="120"/>
        <w:jc w:val="both"/>
        <w:rPr>
          <w:szCs w:val="24"/>
        </w:rPr>
      </w:pPr>
      <w:r w:rsidRPr="00100217">
        <w:rPr>
          <w:szCs w:val="24"/>
        </w:rPr>
        <w:t>1.4</w:t>
      </w:r>
      <w:r w:rsidRPr="00100217">
        <w:rPr>
          <w:szCs w:val="24"/>
        </w:rPr>
        <w:tab/>
        <w:t xml:space="preserve">One councillor, while appreciating the secretariat’s explanations of how the strategy flowed from the historical coordination, understood the concerns raised about consistency with resolutions and clarity on the informal role of the D.2 group. Those matters should thus be referred to the Council Working Group on financial and human resources (CWG-FHR) for refinement. </w:t>
      </w:r>
    </w:p>
    <w:p w14:paraId="0DB9B9AC" w14:textId="77777777" w:rsidR="00100217" w:rsidRPr="00100217" w:rsidRDefault="00100217" w:rsidP="00100217">
      <w:pPr>
        <w:tabs>
          <w:tab w:val="clear" w:pos="567"/>
          <w:tab w:val="clear" w:pos="1134"/>
          <w:tab w:val="clear" w:pos="1701"/>
          <w:tab w:val="clear" w:pos="2268"/>
          <w:tab w:val="clear" w:pos="2835"/>
        </w:tabs>
        <w:spacing w:after="120"/>
        <w:jc w:val="both"/>
        <w:rPr>
          <w:szCs w:val="24"/>
        </w:rPr>
      </w:pPr>
      <w:r w:rsidRPr="00100217">
        <w:rPr>
          <w:szCs w:val="24"/>
        </w:rPr>
        <w:t>1.5</w:t>
      </w:r>
      <w:r w:rsidRPr="00100217">
        <w:rPr>
          <w:szCs w:val="24"/>
        </w:rPr>
        <w:tab/>
        <w:t>One councillor called for more precise reporting on the three thematic areas, with clear objectives, targets and key performance indicators that would enable the Council to assess the progress made in implementing inter-Sectoral strategy.</w:t>
      </w:r>
    </w:p>
    <w:p w14:paraId="2914A4B2" w14:textId="77777777" w:rsidR="00100217" w:rsidRPr="00100217" w:rsidRDefault="00100217" w:rsidP="00100217">
      <w:pPr>
        <w:tabs>
          <w:tab w:val="clear" w:pos="567"/>
          <w:tab w:val="clear" w:pos="1134"/>
          <w:tab w:val="clear" w:pos="1701"/>
          <w:tab w:val="clear" w:pos="2268"/>
          <w:tab w:val="clear" w:pos="2835"/>
        </w:tabs>
        <w:spacing w:after="120"/>
        <w:jc w:val="both"/>
        <w:rPr>
          <w:szCs w:val="24"/>
        </w:rPr>
      </w:pPr>
      <w:r w:rsidRPr="00100217">
        <w:rPr>
          <w:szCs w:val="24"/>
        </w:rPr>
        <w:t>1.6</w:t>
      </w:r>
      <w:r w:rsidRPr="00100217">
        <w:rPr>
          <w:szCs w:val="24"/>
        </w:rPr>
        <w:tab/>
        <w:t xml:space="preserve">The representative of the General Secretariat said that councillors’ concerns were duly </w:t>
      </w:r>
      <w:proofErr w:type="gramStart"/>
      <w:r w:rsidRPr="00100217">
        <w:rPr>
          <w:szCs w:val="24"/>
        </w:rPr>
        <w:t>noted</w:t>
      </w:r>
      <w:proofErr w:type="gramEnd"/>
      <w:r w:rsidRPr="00100217">
        <w:rPr>
          <w:szCs w:val="24"/>
        </w:rPr>
        <w:t xml:space="preserve"> and the secretariat would report back to the Council and CWG-FHR on the alignment of the new mechanism with Resolution 191 (Rev. Bucharest, 2022). </w:t>
      </w:r>
    </w:p>
    <w:p w14:paraId="17FF16C2" w14:textId="254EB4D5" w:rsidR="00100217" w:rsidRPr="00100217" w:rsidRDefault="00100217" w:rsidP="00100217">
      <w:pPr>
        <w:tabs>
          <w:tab w:val="clear" w:pos="567"/>
          <w:tab w:val="clear" w:pos="1134"/>
          <w:tab w:val="clear" w:pos="1701"/>
          <w:tab w:val="clear" w:pos="2268"/>
          <w:tab w:val="clear" w:pos="2835"/>
        </w:tabs>
        <w:spacing w:after="120"/>
        <w:jc w:val="both"/>
        <w:rPr>
          <w:b/>
          <w:bCs/>
          <w:szCs w:val="24"/>
        </w:rPr>
      </w:pPr>
      <w:r w:rsidRPr="00100217">
        <w:rPr>
          <w:szCs w:val="24"/>
        </w:rPr>
        <w:t>1.7</w:t>
      </w:r>
      <w:r w:rsidRPr="00100217">
        <w:rPr>
          <w:szCs w:val="24"/>
        </w:rPr>
        <w:tab/>
        <w:t xml:space="preserve">In the absence of further comments, and in the light of the discussion of the documents under that agenda item, the Chairman invited the Council to </w:t>
      </w:r>
      <w:r w:rsidR="00EB5A2F">
        <w:rPr>
          <w:szCs w:val="24"/>
        </w:rPr>
        <w:t>transmit</w:t>
      </w:r>
      <w:r w:rsidRPr="00100217">
        <w:rPr>
          <w:szCs w:val="24"/>
        </w:rPr>
        <w:t xml:space="preserve"> Document C23/27 to CWG-FHR.</w:t>
      </w:r>
    </w:p>
    <w:p w14:paraId="3018DF01" w14:textId="77777777" w:rsidR="00100217" w:rsidRPr="00100217" w:rsidRDefault="00100217" w:rsidP="00100217">
      <w:pPr>
        <w:tabs>
          <w:tab w:val="clear" w:pos="567"/>
          <w:tab w:val="clear" w:pos="1134"/>
          <w:tab w:val="clear" w:pos="1701"/>
          <w:tab w:val="clear" w:pos="2268"/>
          <w:tab w:val="clear" w:pos="2835"/>
        </w:tabs>
        <w:spacing w:after="120"/>
        <w:jc w:val="both"/>
        <w:rPr>
          <w:szCs w:val="24"/>
        </w:rPr>
      </w:pPr>
      <w:r w:rsidRPr="00100217">
        <w:rPr>
          <w:szCs w:val="24"/>
        </w:rPr>
        <w:t>1.8</w:t>
      </w:r>
      <w:r w:rsidRPr="00100217">
        <w:rPr>
          <w:szCs w:val="24"/>
        </w:rPr>
        <w:tab/>
        <w:t xml:space="preserve">It was so </w:t>
      </w:r>
      <w:r w:rsidRPr="00100217">
        <w:rPr>
          <w:b/>
          <w:bCs/>
          <w:szCs w:val="24"/>
        </w:rPr>
        <w:t>agreed</w:t>
      </w:r>
      <w:r w:rsidRPr="00100217">
        <w:rPr>
          <w:szCs w:val="24"/>
        </w:rPr>
        <w:t xml:space="preserve">. </w:t>
      </w:r>
    </w:p>
    <w:p w14:paraId="5A48DDFB" w14:textId="087209B6" w:rsidR="00100217" w:rsidRPr="00100217" w:rsidRDefault="00100217" w:rsidP="00100217">
      <w:pPr>
        <w:tabs>
          <w:tab w:val="clear" w:pos="567"/>
          <w:tab w:val="clear" w:pos="1134"/>
          <w:tab w:val="clear" w:pos="1701"/>
          <w:tab w:val="clear" w:pos="2268"/>
          <w:tab w:val="clear" w:pos="2835"/>
        </w:tabs>
        <w:spacing w:before="240" w:after="120"/>
        <w:ind w:left="567" w:hanging="567"/>
        <w:jc w:val="both"/>
        <w:rPr>
          <w:b/>
          <w:bCs/>
          <w:szCs w:val="24"/>
        </w:rPr>
      </w:pPr>
      <w:bookmarkStart w:id="7" w:name="_Hlk141616906"/>
      <w:r w:rsidRPr="00100217">
        <w:rPr>
          <w:b/>
          <w:bCs/>
          <w:szCs w:val="24"/>
        </w:rPr>
        <w:t>2</w:t>
      </w:r>
      <w:r w:rsidRPr="00100217">
        <w:rPr>
          <w:b/>
          <w:bCs/>
          <w:szCs w:val="24"/>
        </w:rPr>
        <w:tab/>
        <w:t xml:space="preserve">Report on ITU’s role in implementing the outcomes of WSIS and the 2030 Agenda for Sustainable Development as well as in their follow-up and review process (continued) (Documents </w:t>
      </w:r>
      <w:hyperlink r:id="rId27" w:history="1">
        <w:r w:rsidRPr="005B471E">
          <w:rPr>
            <w:rStyle w:val="Hyperlink"/>
            <w:b/>
            <w:bCs/>
            <w:szCs w:val="24"/>
          </w:rPr>
          <w:t>C23/61</w:t>
        </w:r>
      </w:hyperlink>
      <w:r w:rsidRPr="00100217">
        <w:rPr>
          <w:b/>
          <w:bCs/>
          <w:szCs w:val="24"/>
        </w:rPr>
        <w:t xml:space="preserve">, </w:t>
      </w:r>
      <w:hyperlink r:id="rId28" w:history="1">
        <w:r w:rsidRPr="005B471E">
          <w:rPr>
            <w:rStyle w:val="Hyperlink"/>
            <w:b/>
            <w:bCs/>
            <w:szCs w:val="24"/>
          </w:rPr>
          <w:t>C23/71</w:t>
        </w:r>
      </w:hyperlink>
      <w:r w:rsidRPr="00100217">
        <w:rPr>
          <w:b/>
          <w:bCs/>
          <w:szCs w:val="24"/>
        </w:rPr>
        <w:t xml:space="preserve">, </w:t>
      </w:r>
      <w:hyperlink r:id="rId29" w:history="1">
        <w:r w:rsidRPr="005B471E">
          <w:rPr>
            <w:rStyle w:val="Hyperlink"/>
            <w:b/>
            <w:bCs/>
            <w:szCs w:val="24"/>
          </w:rPr>
          <w:t>C23/81</w:t>
        </w:r>
      </w:hyperlink>
      <w:r w:rsidRPr="00100217">
        <w:rPr>
          <w:b/>
          <w:bCs/>
          <w:szCs w:val="24"/>
        </w:rPr>
        <w:t xml:space="preserve">, </w:t>
      </w:r>
      <w:hyperlink r:id="rId30" w:history="1">
        <w:r w:rsidRPr="005B471E">
          <w:rPr>
            <w:rStyle w:val="Hyperlink"/>
            <w:b/>
            <w:bCs/>
            <w:szCs w:val="24"/>
          </w:rPr>
          <w:t>C23/83</w:t>
        </w:r>
      </w:hyperlink>
      <w:r w:rsidRPr="00100217">
        <w:rPr>
          <w:b/>
          <w:bCs/>
          <w:szCs w:val="24"/>
        </w:rPr>
        <w:t xml:space="preserve">, </w:t>
      </w:r>
      <w:hyperlink r:id="rId31" w:history="1">
        <w:r w:rsidRPr="005B471E">
          <w:rPr>
            <w:rStyle w:val="Hyperlink"/>
            <w:b/>
            <w:bCs/>
            <w:szCs w:val="24"/>
          </w:rPr>
          <w:t>C23/85+Corr. 1 and 2</w:t>
        </w:r>
      </w:hyperlink>
      <w:r w:rsidRPr="00100217">
        <w:rPr>
          <w:b/>
          <w:bCs/>
          <w:szCs w:val="24"/>
        </w:rPr>
        <w:t xml:space="preserve">, </w:t>
      </w:r>
      <w:hyperlink r:id="rId32" w:history="1">
        <w:r w:rsidR="00025C8F" w:rsidRPr="005B471E">
          <w:rPr>
            <w:rStyle w:val="Hyperlink"/>
            <w:b/>
            <w:bCs/>
            <w:szCs w:val="24"/>
          </w:rPr>
          <w:t>C23/96</w:t>
        </w:r>
      </w:hyperlink>
      <w:r w:rsidR="00025C8F" w:rsidRPr="00100217">
        <w:rPr>
          <w:b/>
          <w:bCs/>
          <w:szCs w:val="24"/>
        </w:rPr>
        <w:t>,</w:t>
      </w:r>
      <w:r w:rsidRPr="00100217">
        <w:rPr>
          <w:b/>
          <w:bCs/>
          <w:szCs w:val="24"/>
        </w:rPr>
        <w:t xml:space="preserve"> </w:t>
      </w:r>
      <w:hyperlink r:id="rId33" w:history="1">
        <w:r w:rsidRPr="005B471E">
          <w:rPr>
            <w:rStyle w:val="Hyperlink"/>
            <w:b/>
            <w:bCs/>
            <w:szCs w:val="24"/>
          </w:rPr>
          <w:t>C23/DT/9</w:t>
        </w:r>
      </w:hyperlink>
      <w:r w:rsidRPr="00100217">
        <w:rPr>
          <w:b/>
          <w:bCs/>
          <w:szCs w:val="24"/>
        </w:rPr>
        <w:t xml:space="preserve"> and </w:t>
      </w:r>
      <w:hyperlink r:id="rId34" w:history="1">
        <w:r w:rsidRPr="005B471E">
          <w:rPr>
            <w:rStyle w:val="Hyperlink"/>
            <w:b/>
            <w:bCs/>
            <w:szCs w:val="24"/>
          </w:rPr>
          <w:t>C23/DT/10</w:t>
        </w:r>
      </w:hyperlink>
      <w:r w:rsidRPr="00100217">
        <w:rPr>
          <w:b/>
          <w:bCs/>
          <w:szCs w:val="24"/>
        </w:rPr>
        <w:t>)</w:t>
      </w:r>
    </w:p>
    <w:bookmarkEnd w:id="7"/>
    <w:p w14:paraId="0CB3291D" w14:textId="77777777" w:rsidR="00100217" w:rsidRPr="00100217" w:rsidRDefault="00100217" w:rsidP="00100217">
      <w:pPr>
        <w:tabs>
          <w:tab w:val="clear" w:pos="567"/>
          <w:tab w:val="clear" w:pos="1134"/>
          <w:tab w:val="clear" w:pos="1701"/>
          <w:tab w:val="clear" w:pos="2268"/>
          <w:tab w:val="clear" w:pos="2835"/>
        </w:tabs>
        <w:spacing w:after="120"/>
        <w:jc w:val="both"/>
        <w:rPr>
          <w:szCs w:val="24"/>
        </w:rPr>
      </w:pPr>
      <w:r w:rsidRPr="00100217">
        <w:rPr>
          <w:szCs w:val="24"/>
        </w:rPr>
        <w:t>2.1</w:t>
      </w:r>
      <w:r w:rsidRPr="00100217">
        <w:rPr>
          <w:szCs w:val="24"/>
        </w:rPr>
        <w:tab/>
        <w:t xml:space="preserve">The councillor from Saudi Arabia, reporting on the result of discussions in an ad hoc group, based on the five contributions submitted under the agenda item, introduced </w:t>
      </w:r>
      <w:r w:rsidRPr="00100217">
        <w:rPr>
          <w:szCs w:val="24"/>
        </w:rPr>
        <w:lastRenderedPageBreak/>
        <w:t xml:space="preserve">Document C23/DT/9, which contained a proposal to revise Council Resolution 1334 (C11, last amended C15), and Document C23/DT/10, which contained a proposal to revise Council Resolution 1332 (C11, last amended C19). The ad hoc group had reached consensus on the documents, which were presented for adoption by the plenary. </w:t>
      </w:r>
    </w:p>
    <w:p w14:paraId="503CE71F" w14:textId="77777777" w:rsidR="00100217" w:rsidRPr="00100217" w:rsidRDefault="00100217" w:rsidP="00100217">
      <w:pPr>
        <w:tabs>
          <w:tab w:val="clear" w:pos="567"/>
          <w:tab w:val="clear" w:pos="1134"/>
          <w:tab w:val="clear" w:pos="1701"/>
          <w:tab w:val="clear" w:pos="2268"/>
          <w:tab w:val="clear" w:pos="2835"/>
        </w:tabs>
        <w:spacing w:after="120"/>
        <w:jc w:val="both"/>
        <w:rPr>
          <w:rFonts w:cs="Calibri"/>
          <w:szCs w:val="24"/>
        </w:rPr>
      </w:pPr>
      <w:r w:rsidRPr="00100217">
        <w:rPr>
          <w:rFonts w:cs="Calibri"/>
          <w:szCs w:val="24"/>
        </w:rPr>
        <w:t>2.2</w:t>
      </w:r>
      <w:r w:rsidRPr="00100217">
        <w:rPr>
          <w:rFonts w:cs="Calibri"/>
          <w:szCs w:val="24"/>
        </w:rPr>
        <w:tab/>
        <w:t>Councillors commended the chairman and members of the ad hoc group for having reached agreement on the important documents which would strengthen the role of ITU in the follow</w:t>
      </w:r>
      <w:r w:rsidRPr="00100217">
        <w:rPr>
          <w:rFonts w:cs="Calibri"/>
          <w:szCs w:val="24"/>
        </w:rPr>
        <w:noBreakHyphen/>
        <w:t xml:space="preserve">up of WSIS outcomes. </w:t>
      </w:r>
    </w:p>
    <w:p w14:paraId="4B7B62D5" w14:textId="77777777" w:rsidR="00100217" w:rsidRPr="00100217" w:rsidRDefault="00100217" w:rsidP="00100217">
      <w:pPr>
        <w:tabs>
          <w:tab w:val="clear" w:pos="567"/>
          <w:tab w:val="clear" w:pos="1134"/>
          <w:tab w:val="clear" w:pos="1701"/>
          <w:tab w:val="clear" w:pos="2268"/>
          <w:tab w:val="clear" w:pos="2835"/>
        </w:tabs>
        <w:spacing w:after="120"/>
        <w:jc w:val="both"/>
        <w:rPr>
          <w:szCs w:val="24"/>
        </w:rPr>
      </w:pPr>
      <w:r w:rsidRPr="00100217">
        <w:rPr>
          <w:szCs w:val="24"/>
        </w:rPr>
        <w:t>2.3</w:t>
      </w:r>
      <w:r w:rsidRPr="00100217">
        <w:rPr>
          <w:szCs w:val="24"/>
        </w:rPr>
        <w:tab/>
        <w:t xml:space="preserve">The Council </w:t>
      </w:r>
      <w:r w:rsidRPr="00100217">
        <w:rPr>
          <w:b/>
          <w:bCs/>
          <w:szCs w:val="24"/>
        </w:rPr>
        <w:t>adopted</w:t>
      </w:r>
      <w:r w:rsidRPr="00100217">
        <w:rPr>
          <w:szCs w:val="24"/>
        </w:rPr>
        <w:t xml:space="preserve"> the revision to Council Resolution 1334 (C11, last amended C15) set out in Document C23/DT/9 and the revision to Council Resolution 1332 (C11, last amended C19) set out in Document C23/DT/10. </w:t>
      </w:r>
    </w:p>
    <w:p w14:paraId="19C7EDE5" w14:textId="35D28035" w:rsidR="00100217" w:rsidRPr="00100217" w:rsidRDefault="00100217" w:rsidP="00100217">
      <w:pPr>
        <w:tabs>
          <w:tab w:val="clear" w:pos="567"/>
          <w:tab w:val="clear" w:pos="1134"/>
          <w:tab w:val="clear" w:pos="1701"/>
          <w:tab w:val="clear" w:pos="2268"/>
          <w:tab w:val="clear" w:pos="2835"/>
        </w:tabs>
        <w:spacing w:before="240" w:after="120"/>
        <w:ind w:left="567" w:hanging="567"/>
        <w:jc w:val="both"/>
        <w:rPr>
          <w:b/>
          <w:bCs/>
          <w:szCs w:val="24"/>
        </w:rPr>
      </w:pPr>
      <w:r w:rsidRPr="00100217">
        <w:rPr>
          <w:b/>
          <w:bCs/>
          <w:szCs w:val="24"/>
        </w:rPr>
        <w:t>3</w:t>
      </w:r>
      <w:r w:rsidRPr="00100217">
        <w:rPr>
          <w:b/>
          <w:bCs/>
          <w:szCs w:val="24"/>
        </w:rPr>
        <w:tab/>
        <w:t xml:space="preserve">Statement by Tunisia on the Djerba Declaration of the </w:t>
      </w:r>
      <w:proofErr w:type="spellStart"/>
      <w:r w:rsidRPr="00100217">
        <w:rPr>
          <w:b/>
          <w:bCs/>
          <w:szCs w:val="24"/>
        </w:rPr>
        <w:t>XVIII</w:t>
      </w:r>
      <w:r w:rsidRPr="00100217">
        <w:rPr>
          <w:b/>
          <w:bCs/>
          <w:szCs w:val="24"/>
          <w:vertAlign w:val="superscript"/>
        </w:rPr>
        <w:t>th</w:t>
      </w:r>
      <w:proofErr w:type="spellEnd"/>
      <w:r w:rsidRPr="00100217">
        <w:rPr>
          <w:b/>
          <w:bCs/>
          <w:szCs w:val="24"/>
        </w:rPr>
        <w:t xml:space="preserve"> Conference of Heads of State and Government of French-speaking countries (Document </w:t>
      </w:r>
      <w:hyperlink r:id="rId35" w:history="1">
        <w:r w:rsidRPr="005B471E">
          <w:rPr>
            <w:rStyle w:val="Hyperlink"/>
            <w:b/>
            <w:bCs/>
            <w:szCs w:val="24"/>
          </w:rPr>
          <w:t>C23/INF/18</w:t>
        </w:r>
      </w:hyperlink>
      <w:r w:rsidRPr="00100217">
        <w:rPr>
          <w:b/>
          <w:bCs/>
          <w:szCs w:val="24"/>
        </w:rPr>
        <w:t>)</w:t>
      </w:r>
    </w:p>
    <w:p w14:paraId="25FE3A71" w14:textId="77777777" w:rsidR="00100217" w:rsidRPr="00100217" w:rsidRDefault="00100217" w:rsidP="00100217">
      <w:pPr>
        <w:tabs>
          <w:tab w:val="clear" w:pos="567"/>
          <w:tab w:val="clear" w:pos="1134"/>
          <w:tab w:val="clear" w:pos="1701"/>
          <w:tab w:val="clear" w:pos="2268"/>
          <w:tab w:val="clear" w:pos="2835"/>
        </w:tabs>
        <w:spacing w:after="120"/>
        <w:jc w:val="both"/>
        <w:rPr>
          <w:szCs w:val="24"/>
        </w:rPr>
      </w:pPr>
      <w:r w:rsidRPr="00100217">
        <w:rPr>
          <w:szCs w:val="24"/>
        </w:rPr>
        <w:t>3.1</w:t>
      </w:r>
      <w:r w:rsidRPr="00100217">
        <w:rPr>
          <w:szCs w:val="24"/>
        </w:rPr>
        <w:tab/>
        <w:t xml:space="preserve">The councillor from Tunisia, drawing attention to Document C23/INF/18, said that the </w:t>
      </w:r>
      <w:proofErr w:type="spellStart"/>
      <w:r w:rsidRPr="00100217">
        <w:rPr>
          <w:szCs w:val="24"/>
        </w:rPr>
        <w:t>XVIII</w:t>
      </w:r>
      <w:r w:rsidRPr="00100217">
        <w:rPr>
          <w:szCs w:val="24"/>
          <w:vertAlign w:val="superscript"/>
        </w:rPr>
        <w:t>th</w:t>
      </w:r>
      <w:proofErr w:type="spellEnd"/>
      <w:r w:rsidRPr="00100217">
        <w:rPr>
          <w:szCs w:val="24"/>
        </w:rPr>
        <w:t xml:space="preserve"> Conference of Heads of State and Government of French-speaking countries, held in Djerba, Tunisia, on 19-20 November 2022, had addressed a theme that was intimately linked to the work of WSIS and ITU, namely “Connectivity in diversity: digital technology, a vector for development and solidarity in the French-speaking world”. It had adopted the Djerba Declaration, which pointed to the opportunities for cooperation, </w:t>
      </w:r>
      <w:proofErr w:type="gramStart"/>
      <w:r w:rsidRPr="00100217">
        <w:rPr>
          <w:szCs w:val="24"/>
        </w:rPr>
        <w:t>development</w:t>
      </w:r>
      <w:proofErr w:type="gramEnd"/>
      <w:r w:rsidRPr="00100217">
        <w:rPr>
          <w:szCs w:val="24"/>
        </w:rPr>
        <w:t xml:space="preserve"> and innovation that digital solutions could offer and underscored the role of digital technologies in ensuring connectivity; promoting shared social values, peace, tolerance and dialogue; fostering learning and knowledge-sharing; creating growth and new revenue-generating activities adding value in all sectors of the economy; modernizing public administration and improving accessibility. The declaration also reiterated the mandate to agencies in Geneva for implementing the United Nations Secretary-General’s digital cooperation roadmap and for review of follow-up of the WSIS Tunis outcomes in 2025.</w:t>
      </w:r>
    </w:p>
    <w:p w14:paraId="2514C922" w14:textId="77777777" w:rsidR="00100217" w:rsidRPr="00100217" w:rsidRDefault="00100217" w:rsidP="00100217">
      <w:pPr>
        <w:tabs>
          <w:tab w:val="clear" w:pos="567"/>
          <w:tab w:val="clear" w:pos="1134"/>
          <w:tab w:val="clear" w:pos="1701"/>
          <w:tab w:val="clear" w:pos="2268"/>
          <w:tab w:val="clear" w:pos="2835"/>
        </w:tabs>
        <w:spacing w:after="120"/>
        <w:jc w:val="both"/>
        <w:rPr>
          <w:szCs w:val="24"/>
        </w:rPr>
      </w:pPr>
      <w:r w:rsidRPr="00100217">
        <w:rPr>
          <w:szCs w:val="24"/>
        </w:rPr>
        <w:t>3.2</w:t>
      </w:r>
      <w:r w:rsidRPr="00100217">
        <w:rPr>
          <w:szCs w:val="24"/>
        </w:rPr>
        <w:tab/>
        <w:t xml:space="preserve">Tunisia was also pleased to note the signing in Paris on 3 April 2023 of a joint Declaration of Cooperation between ITU and the International Organization of La Francophonie (OIF) to strengthen the partnership between the two organizations. </w:t>
      </w:r>
    </w:p>
    <w:p w14:paraId="2974ED27" w14:textId="77777777" w:rsidR="00100217" w:rsidRPr="00100217" w:rsidRDefault="00100217" w:rsidP="00100217">
      <w:pPr>
        <w:tabs>
          <w:tab w:val="clear" w:pos="567"/>
          <w:tab w:val="clear" w:pos="1134"/>
          <w:tab w:val="clear" w:pos="1701"/>
          <w:tab w:val="clear" w:pos="2268"/>
          <w:tab w:val="clear" w:pos="2835"/>
        </w:tabs>
        <w:spacing w:after="120"/>
        <w:jc w:val="both"/>
        <w:rPr>
          <w:rFonts w:asciiTheme="minorHAnsi" w:hAnsiTheme="minorHAnsi" w:cstheme="minorBidi"/>
          <w:szCs w:val="24"/>
        </w:rPr>
      </w:pPr>
      <w:r w:rsidRPr="00100217">
        <w:rPr>
          <w:szCs w:val="24"/>
        </w:rPr>
        <w:t>3.3</w:t>
      </w:r>
      <w:r w:rsidRPr="00100217">
        <w:rPr>
          <w:szCs w:val="24"/>
        </w:rPr>
        <w:tab/>
      </w:r>
      <w:r w:rsidRPr="00100217">
        <w:rPr>
          <w:szCs w:val="24"/>
        </w:rPr>
        <w:tab/>
        <w:t xml:space="preserve">Councillors thanked Tunisia for its statement and for the efforts deployed to promote connectivity and diversity. The councillor from France said that she hoped that synergies between the work of OIF and ITU would continue to be built upon. France would shortly take up the presidency of OIF and would seek to continue the good work begun by Tunisia. </w:t>
      </w:r>
    </w:p>
    <w:p w14:paraId="66DD61FF" w14:textId="6F710950" w:rsidR="00100217" w:rsidRPr="00100217" w:rsidRDefault="00100217" w:rsidP="00100217">
      <w:pPr>
        <w:tabs>
          <w:tab w:val="clear" w:pos="567"/>
          <w:tab w:val="clear" w:pos="1134"/>
          <w:tab w:val="clear" w:pos="1701"/>
          <w:tab w:val="clear" w:pos="2268"/>
          <w:tab w:val="clear" w:pos="2835"/>
        </w:tabs>
        <w:overflowPunct/>
        <w:autoSpaceDE/>
        <w:adjustRightInd/>
        <w:spacing w:before="240" w:after="120"/>
        <w:ind w:left="720" w:hanging="720"/>
        <w:jc w:val="both"/>
        <w:rPr>
          <w:rFonts w:asciiTheme="minorHAnsi" w:hAnsiTheme="minorHAnsi" w:cstheme="minorHAnsi"/>
          <w:b/>
          <w:bCs/>
          <w:szCs w:val="24"/>
          <w:lang w:val="en-CA"/>
        </w:rPr>
      </w:pPr>
      <w:r w:rsidRPr="00100217">
        <w:rPr>
          <w:rFonts w:asciiTheme="minorHAnsi" w:hAnsiTheme="minorHAnsi" w:cstheme="minorHAnsi"/>
          <w:b/>
          <w:bCs/>
          <w:szCs w:val="24"/>
          <w:lang w:val="en-CA"/>
        </w:rPr>
        <w:t>4</w:t>
      </w:r>
      <w:r w:rsidRPr="00100217">
        <w:rPr>
          <w:rFonts w:asciiTheme="minorHAnsi" w:hAnsiTheme="minorHAnsi" w:cstheme="minorHAnsi"/>
          <w:b/>
          <w:bCs/>
          <w:szCs w:val="24"/>
          <w:lang w:val="en-CA"/>
        </w:rPr>
        <w:tab/>
        <w:t xml:space="preserve">Twenty-five years of ITU’s work programme on gender equality (continued) (Documents </w:t>
      </w:r>
      <w:hyperlink r:id="rId36" w:history="1">
        <w:r w:rsidRPr="005B471E">
          <w:rPr>
            <w:rStyle w:val="Hyperlink"/>
            <w:rFonts w:asciiTheme="minorHAnsi" w:hAnsiTheme="minorHAnsi" w:cstheme="minorHAnsi"/>
            <w:b/>
            <w:bCs/>
            <w:szCs w:val="24"/>
            <w:lang w:val="en-CA"/>
          </w:rPr>
          <w:t>C23/6</w:t>
        </w:r>
      </w:hyperlink>
      <w:r w:rsidRPr="00100217">
        <w:rPr>
          <w:rFonts w:asciiTheme="minorHAnsi" w:hAnsiTheme="minorHAnsi" w:cstheme="minorHAnsi"/>
          <w:b/>
          <w:bCs/>
          <w:szCs w:val="24"/>
          <w:lang w:val="en-CA"/>
        </w:rPr>
        <w:t xml:space="preserve">, </w:t>
      </w:r>
      <w:hyperlink r:id="rId37" w:history="1">
        <w:r w:rsidRPr="005B471E">
          <w:rPr>
            <w:rStyle w:val="Hyperlink"/>
            <w:rFonts w:asciiTheme="minorHAnsi" w:hAnsiTheme="minorHAnsi" w:cstheme="minorHAnsi"/>
            <w:b/>
            <w:bCs/>
            <w:szCs w:val="24"/>
            <w:lang w:val="en-CA"/>
          </w:rPr>
          <w:t>C23/76(Rev.1)</w:t>
        </w:r>
      </w:hyperlink>
      <w:r w:rsidRPr="00100217">
        <w:rPr>
          <w:rFonts w:asciiTheme="minorHAnsi" w:hAnsiTheme="minorHAnsi" w:cstheme="minorHAnsi"/>
          <w:b/>
          <w:bCs/>
          <w:szCs w:val="24"/>
          <w:lang w:val="en-CA"/>
        </w:rPr>
        <w:t xml:space="preserve"> and </w:t>
      </w:r>
      <w:hyperlink r:id="rId38" w:history="1">
        <w:r w:rsidRPr="005B471E">
          <w:rPr>
            <w:rStyle w:val="Hyperlink"/>
            <w:rFonts w:asciiTheme="minorHAnsi" w:hAnsiTheme="minorHAnsi" w:cstheme="minorHAnsi"/>
            <w:b/>
            <w:bCs/>
            <w:szCs w:val="24"/>
            <w:lang w:val="en-CA"/>
          </w:rPr>
          <w:t>C23/91(Rev.1)+Corr.1</w:t>
        </w:r>
      </w:hyperlink>
      <w:r w:rsidRPr="00100217">
        <w:rPr>
          <w:rFonts w:asciiTheme="minorHAnsi" w:hAnsiTheme="minorHAnsi" w:cstheme="minorHAnsi"/>
          <w:b/>
          <w:bCs/>
          <w:szCs w:val="24"/>
          <w:lang w:val="en-CA"/>
        </w:rPr>
        <w:t>)</w:t>
      </w:r>
    </w:p>
    <w:p w14:paraId="56055C63" w14:textId="77777777" w:rsidR="00100217" w:rsidRPr="00100217" w:rsidRDefault="00100217" w:rsidP="00100217">
      <w:pPr>
        <w:tabs>
          <w:tab w:val="clear" w:pos="567"/>
          <w:tab w:val="clear" w:pos="1134"/>
          <w:tab w:val="clear" w:pos="1701"/>
          <w:tab w:val="clear" w:pos="2268"/>
          <w:tab w:val="clear" w:pos="2835"/>
        </w:tabs>
        <w:overflowPunct/>
        <w:autoSpaceDE/>
        <w:adjustRightInd/>
        <w:spacing w:after="120"/>
        <w:jc w:val="both"/>
        <w:rPr>
          <w:rFonts w:asciiTheme="minorHAnsi" w:hAnsiTheme="minorHAnsi" w:cstheme="minorHAnsi"/>
          <w:szCs w:val="24"/>
          <w:lang w:val="en-CA"/>
        </w:rPr>
      </w:pPr>
      <w:r w:rsidRPr="00100217">
        <w:rPr>
          <w:rFonts w:asciiTheme="minorHAnsi" w:hAnsiTheme="minorHAnsi" w:cstheme="minorHAnsi"/>
          <w:szCs w:val="24"/>
          <w:lang w:val="en-CA"/>
        </w:rPr>
        <w:t>4.1</w:t>
      </w:r>
      <w:r w:rsidRPr="00100217">
        <w:rPr>
          <w:rFonts w:asciiTheme="minorHAnsi" w:hAnsiTheme="minorHAnsi" w:cstheme="minorHAnsi"/>
          <w:szCs w:val="24"/>
          <w:lang w:val="en-CA"/>
        </w:rPr>
        <w:tab/>
        <w:t>The councillors from Spain and Egypt said that, as a result of informal consultations with interested Member States, revised Documents C23/91(Rev.1)+Corr.1, containing a draft Council decision on the implementation of Resolution 70 (Rev. Bucharest, 2022), and C23/76(Rev.1), containing a proposal for the empowerment and inclusion of women in the activities of ITU, were submitted for approval by the plenary.</w:t>
      </w:r>
    </w:p>
    <w:p w14:paraId="26B61942" w14:textId="77777777" w:rsidR="00100217" w:rsidRPr="00100217" w:rsidRDefault="00100217" w:rsidP="00100217">
      <w:pPr>
        <w:tabs>
          <w:tab w:val="clear" w:pos="567"/>
          <w:tab w:val="clear" w:pos="1134"/>
          <w:tab w:val="clear" w:pos="1701"/>
          <w:tab w:val="clear" w:pos="2268"/>
          <w:tab w:val="clear" w:pos="2835"/>
        </w:tabs>
        <w:spacing w:after="120"/>
        <w:jc w:val="both"/>
        <w:rPr>
          <w:szCs w:val="24"/>
        </w:rPr>
      </w:pPr>
      <w:r w:rsidRPr="00100217">
        <w:rPr>
          <w:rFonts w:asciiTheme="minorHAnsi" w:hAnsiTheme="minorHAnsi" w:cstheme="minorHAnsi"/>
          <w:szCs w:val="24"/>
          <w:lang w:val="en-CA"/>
        </w:rPr>
        <w:t>4.2</w:t>
      </w:r>
      <w:r w:rsidRPr="00100217">
        <w:rPr>
          <w:rFonts w:asciiTheme="minorHAnsi" w:hAnsiTheme="minorHAnsi" w:cstheme="minorHAnsi"/>
          <w:szCs w:val="24"/>
          <w:lang w:val="en-CA"/>
        </w:rPr>
        <w:tab/>
        <w:t xml:space="preserve">The Council </w:t>
      </w:r>
      <w:r w:rsidRPr="00100217">
        <w:rPr>
          <w:rFonts w:asciiTheme="minorHAnsi" w:hAnsiTheme="minorHAnsi" w:cstheme="minorHAnsi"/>
          <w:b/>
          <w:bCs/>
          <w:szCs w:val="24"/>
          <w:lang w:val="en-CA"/>
        </w:rPr>
        <w:t>approved</w:t>
      </w:r>
      <w:r w:rsidRPr="00100217">
        <w:rPr>
          <w:rFonts w:asciiTheme="minorHAnsi" w:hAnsiTheme="minorHAnsi" w:cstheme="minorHAnsi"/>
          <w:szCs w:val="24"/>
          <w:lang w:val="en-CA"/>
        </w:rPr>
        <w:t xml:space="preserve"> Document C23/76(Rev.1) and </w:t>
      </w:r>
      <w:r w:rsidRPr="00100217">
        <w:rPr>
          <w:rFonts w:asciiTheme="minorHAnsi" w:hAnsiTheme="minorHAnsi" w:cstheme="minorHAnsi"/>
          <w:b/>
          <w:bCs/>
          <w:szCs w:val="24"/>
          <w:lang w:val="en-CA"/>
        </w:rPr>
        <w:t xml:space="preserve">adopted </w:t>
      </w:r>
      <w:r w:rsidRPr="00100217">
        <w:rPr>
          <w:rFonts w:asciiTheme="minorHAnsi" w:hAnsiTheme="minorHAnsi" w:cstheme="minorHAnsi"/>
          <w:szCs w:val="24"/>
          <w:lang w:val="en-CA"/>
        </w:rPr>
        <w:t>the decision set out in Document C23/91(Rev.1).</w:t>
      </w:r>
    </w:p>
    <w:p w14:paraId="4CAF6755" w14:textId="4C18FB2B" w:rsidR="00100217" w:rsidRPr="00100217" w:rsidRDefault="00100217" w:rsidP="00100217">
      <w:pPr>
        <w:tabs>
          <w:tab w:val="clear" w:pos="567"/>
          <w:tab w:val="clear" w:pos="1134"/>
          <w:tab w:val="clear" w:pos="1701"/>
          <w:tab w:val="clear" w:pos="2268"/>
          <w:tab w:val="clear" w:pos="2835"/>
        </w:tabs>
        <w:overflowPunct/>
        <w:autoSpaceDE/>
        <w:adjustRightInd/>
        <w:spacing w:after="120"/>
        <w:jc w:val="both"/>
        <w:rPr>
          <w:rFonts w:asciiTheme="minorHAnsi" w:hAnsiTheme="minorHAnsi" w:cstheme="minorHAnsi"/>
          <w:b/>
          <w:bCs/>
          <w:szCs w:val="24"/>
          <w:lang w:val="en-CA"/>
        </w:rPr>
      </w:pPr>
      <w:r w:rsidRPr="00100217">
        <w:rPr>
          <w:rFonts w:asciiTheme="minorHAnsi" w:hAnsiTheme="minorHAnsi" w:cstheme="minorHAnsi"/>
          <w:b/>
          <w:bCs/>
          <w:szCs w:val="24"/>
          <w:lang w:val="en-CA"/>
        </w:rPr>
        <w:lastRenderedPageBreak/>
        <w:t>5</w:t>
      </w:r>
      <w:r w:rsidRPr="00100217">
        <w:rPr>
          <w:rFonts w:asciiTheme="minorHAnsi" w:hAnsiTheme="minorHAnsi" w:cstheme="minorHAnsi"/>
          <w:b/>
          <w:bCs/>
          <w:szCs w:val="24"/>
          <w:lang w:val="en-CA"/>
        </w:rPr>
        <w:tab/>
        <w:t xml:space="preserve">Obsolete Council resolutions and decisions (Document </w:t>
      </w:r>
      <w:hyperlink r:id="rId39" w:history="1">
        <w:r w:rsidRPr="005B471E">
          <w:rPr>
            <w:rStyle w:val="Hyperlink"/>
            <w:rFonts w:asciiTheme="minorHAnsi" w:hAnsiTheme="minorHAnsi" w:cstheme="minorHAnsi"/>
            <w:b/>
            <w:bCs/>
            <w:szCs w:val="24"/>
            <w:lang w:val="en-CA"/>
          </w:rPr>
          <w:t>C23/3(Rev.1)</w:t>
        </w:r>
      </w:hyperlink>
      <w:r w:rsidRPr="00100217">
        <w:rPr>
          <w:rFonts w:asciiTheme="minorHAnsi" w:hAnsiTheme="minorHAnsi" w:cstheme="minorHAnsi"/>
          <w:b/>
          <w:bCs/>
          <w:szCs w:val="24"/>
          <w:lang w:val="en-CA"/>
        </w:rPr>
        <w:t>)</w:t>
      </w:r>
    </w:p>
    <w:p w14:paraId="001C0FBC" w14:textId="77777777" w:rsidR="00100217" w:rsidRPr="00100217" w:rsidRDefault="00100217" w:rsidP="00100217">
      <w:pPr>
        <w:tabs>
          <w:tab w:val="clear" w:pos="567"/>
          <w:tab w:val="clear" w:pos="1134"/>
          <w:tab w:val="clear" w:pos="1701"/>
          <w:tab w:val="clear" w:pos="2268"/>
          <w:tab w:val="clear" w:pos="2835"/>
        </w:tabs>
        <w:overflowPunct/>
        <w:autoSpaceDE/>
        <w:adjustRightInd/>
        <w:spacing w:after="120"/>
        <w:jc w:val="both"/>
        <w:rPr>
          <w:rFonts w:asciiTheme="minorHAnsi" w:hAnsiTheme="minorHAnsi" w:cstheme="minorHAnsi"/>
          <w:szCs w:val="24"/>
          <w:lang w:val="en-CA"/>
        </w:rPr>
      </w:pPr>
      <w:r w:rsidRPr="00100217">
        <w:rPr>
          <w:rFonts w:asciiTheme="minorHAnsi" w:hAnsiTheme="minorHAnsi" w:cstheme="minorHAnsi"/>
          <w:szCs w:val="24"/>
          <w:lang w:val="en-CA"/>
        </w:rPr>
        <w:t>5.1</w:t>
      </w:r>
      <w:r w:rsidRPr="00100217">
        <w:rPr>
          <w:rFonts w:asciiTheme="minorHAnsi" w:hAnsiTheme="minorHAnsi" w:cstheme="minorHAnsi"/>
          <w:szCs w:val="24"/>
          <w:lang w:val="en-CA"/>
        </w:rPr>
        <w:tab/>
        <w:t>A representative of the General Secretariat introduced Document C23/3(Rev.1), containing a list of Council resolutions and decisions to be abrogated.</w:t>
      </w:r>
    </w:p>
    <w:p w14:paraId="4F944955" w14:textId="77777777" w:rsidR="00100217" w:rsidRPr="00100217" w:rsidRDefault="00100217" w:rsidP="00100217">
      <w:pPr>
        <w:tabs>
          <w:tab w:val="clear" w:pos="567"/>
          <w:tab w:val="clear" w:pos="1134"/>
          <w:tab w:val="clear" w:pos="1701"/>
          <w:tab w:val="clear" w:pos="2268"/>
          <w:tab w:val="clear" w:pos="2835"/>
        </w:tabs>
        <w:overflowPunct/>
        <w:autoSpaceDE/>
        <w:adjustRightInd/>
        <w:spacing w:after="120"/>
        <w:jc w:val="both"/>
        <w:rPr>
          <w:rFonts w:asciiTheme="minorHAnsi" w:hAnsiTheme="minorHAnsi" w:cstheme="minorHAnsi"/>
          <w:szCs w:val="24"/>
          <w:lang w:val="en-CA"/>
        </w:rPr>
      </w:pPr>
      <w:r w:rsidRPr="00100217">
        <w:rPr>
          <w:rFonts w:asciiTheme="minorHAnsi" w:hAnsiTheme="minorHAnsi" w:cstheme="minorHAnsi"/>
          <w:szCs w:val="24"/>
          <w:lang w:val="en-CA"/>
        </w:rPr>
        <w:t>5.2</w:t>
      </w:r>
      <w:r w:rsidRPr="00100217">
        <w:rPr>
          <w:rFonts w:asciiTheme="minorHAnsi" w:hAnsiTheme="minorHAnsi" w:cstheme="minorHAnsi"/>
          <w:szCs w:val="24"/>
          <w:lang w:val="en-CA"/>
        </w:rPr>
        <w:tab/>
        <w:t>Some councillors objected to the proposed abrogation of Decision 500 (C-2000), on the use of the term “chairman”, on the grounds that the word “chairman” was widely understood to be gender neutral and was the term used in the basic texts of the Union. Its replacement with the word “chair” – a term that reflected the position of only a certain number of Member States – could have consequences for texts in the other official languages. Consistency needed to be maintained across all official languages of ITU. It was proposed that the issue be referred to the Council Working Group on languages or the Coordination Committee for Terminology for further examination.</w:t>
      </w:r>
    </w:p>
    <w:p w14:paraId="06CE17E7" w14:textId="77777777" w:rsidR="00100217" w:rsidRPr="00100217" w:rsidRDefault="00100217" w:rsidP="00100217">
      <w:pPr>
        <w:tabs>
          <w:tab w:val="clear" w:pos="567"/>
          <w:tab w:val="clear" w:pos="1134"/>
          <w:tab w:val="clear" w:pos="1701"/>
          <w:tab w:val="clear" w:pos="2268"/>
          <w:tab w:val="clear" w:pos="2835"/>
        </w:tabs>
        <w:overflowPunct/>
        <w:autoSpaceDE/>
        <w:adjustRightInd/>
        <w:spacing w:after="120"/>
        <w:jc w:val="both"/>
        <w:rPr>
          <w:rFonts w:asciiTheme="minorHAnsi" w:hAnsiTheme="minorHAnsi" w:cstheme="minorHAnsi"/>
          <w:szCs w:val="24"/>
          <w:lang w:val="en-CA"/>
        </w:rPr>
      </w:pPr>
      <w:r w:rsidRPr="00100217">
        <w:rPr>
          <w:rFonts w:asciiTheme="minorHAnsi" w:hAnsiTheme="minorHAnsi" w:cstheme="minorHAnsi"/>
          <w:szCs w:val="24"/>
          <w:lang w:val="en-CA"/>
        </w:rPr>
        <w:t>5.3</w:t>
      </w:r>
      <w:r w:rsidRPr="00100217">
        <w:rPr>
          <w:rFonts w:asciiTheme="minorHAnsi" w:hAnsiTheme="minorHAnsi" w:cstheme="minorHAnsi"/>
          <w:szCs w:val="24"/>
          <w:lang w:val="en-CA"/>
        </w:rPr>
        <w:tab/>
        <w:t xml:space="preserve">Several councillors expressed support for the abrogation of Decision 500 </w:t>
      </w:r>
      <w:bookmarkStart w:id="8" w:name="_Hlk141627571"/>
      <w:r w:rsidRPr="00100217">
        <w:rPr>
          <w:rFonts w:asciiTheme="minorHAnsi" w:hAnsiTheme="minorHAnsi" w:cstheme="minorHAnsi"/>
          <w:szCs w:val="24"/>
          <w:lang w:val="en-CA"/>
        </w:rPr>
        <w:t>(C-2000)</w:t>
      </w:r>
      <w:bookmarkEnd w:id="8"/>
      <w:r w:rsidRPr="00100217">
        <w:rPr>
          <w:rFonts w:asciiTheme="minorHAnsi" w:hAnsiTheme="minorHAnsi" w:cstheme="minorHAnsi"/>
          <w:szCs w:val="24"/>
          <w:lang w:val="en-CA"/>
        </w:rPr>
        <w:t>, arguing that the use of the word “chairman” for a woman was inappropriate and that ITU should seek to reduce gender bias in its documents by adopting suitable language.</w:t>
      </w:r>
    </w:p>
    <w:p w14:paraId="2B77A880" w14:textId="77777777" w:rsidR="00100217" w:rsidRPr="00100217" w:rsidRDefault="00100217" w:rsidP="00100217">
      <w:pPr>
        <w:tabs>
          <w:tab w:val="clear" w:pos="567"/>
          <w:tab w:val="clear" w:pos="1134"/>
          <w:tab w:val="clear" w:pos="1701"/>
          <w:tab w:val="clear" w:pos="2268"/>
          <w:tab w:val="clear" w:pos="2835"/>
        </w:tabs>
        <w:overflowPunct/>
        <w:autoSpaceDE/>
        <w:adjustRightInd/>
        <w:spacing w:after="120"/>
        <w:jc w:val="both"/>
        <w:rPr>
          <w:rFonts w:asciiTheme="minorHAnsi" w:hAnsiTheme="minorHAnsi" w:cstheme="minorHAnsi"/>
          <w:szCs w:val="24"/>
          <w:lang w:val="en-CA"/>
        </w:rPr>
      </w:pPr>
      <w:r w:rsidRPr="00100217">
        <w:rPr>
          <w:rFonts w:asciiTheme="minorHAnsi" w:hAnsiTheme="minorHAnsi" w:cstheme="minorHAnsi"/>
          <w:szCs w:val="24"/>
          <w:lang w:val="en-CA"/>
        </w:rPr>
        <w:t>5.4</w:t>
      </w:r>
      <w:r w:rsidRPr="00100217">
        <w:rPr>
          <w:rFonts w:asciiTheme="minorHAnsi" w:hAnsiTheme="minorHAnsi" w:cstheme="minorHAnsi"/>
          <w:szCs w:val="24"/>
          <w:lang w:val="en-CA"/>
        </w:rPr>
        <w:tab/>
        <w:t>The representative of the General Secretariat said that, following the adoption of Resolution 70 (Rev. Bucharest, 2022), Decision 500 (C-2000) had become outdated. Use of the word “chair” would be in line with long-standing, well-established practice within the United Nations. The proposed change would be applicable to English-language texts only and would not be retroactively applied. It would have no financial implications.</w:t>
      </w:r>
    </w:p>
    <w:p w14:paraId="2887F717" w14:textId="77777777" w:rsidR="00100217" w:rsidRPr="00100217" w:rsidRDefault="00100217" w:rsidP="00100217">
      <w:pPr>
        <w:tabs>
          <w:tab w:val="clear" w:pos="567"/>
          <w:tab w:val="clear" w:pos="1134"/>
          <w:tab w:val="clear" w:pos="1701"/>
          <w:tab w:val="clear" w:pos="2268"/>
          <w:tab w:val="clear" w:pos="2835"/>
        </w:tabs>
        <w:overflowPunct/>
        <w:autoSpaceDE/>
        <w:adjustRightInd/>
        <w:spacing w:after="120"/>
        <w:jc w:val="both"/>
        <w:rPr>
          <w:rFonts w:asciiTheme="minorHAnsi" w:hAnsiTheme="minorHAnsi" w:cstheme="minorHAnsi"/>
          <w:szCs w:val="24"/>
          <w:lang w:val="en-CA"/>
        </w:rPr>
      </w:pPr>
      <w:bookmarkStart w:id="9" w:name="_Hlk141704546"/>
      <w:r w:rsidRPr="00100217">
        <w:rPr>
          <w:rFonts w:asciiTheme="minorHAnsi" w:hAnsiTheme="minorHAnsi" w:cstheme="minorHAnsi"/>
          <w:szCs w:val="24"/>
          <w:lang w:val="en-CA"/>
        </w:rPr>
        <w:t>5.5</w:t>
      </w:r>
      <w:r w:rsidRPr="00100217">
        <w:rPr>
          <w:rFonts w:asciiTheme="minorHAnsi" w:hAnsiTheme="minorHAnsi" w:cstheme="minorHAnsi"/>
          <w:szCs w:val="24"/>
          <w:lang w:val="en-CA"/>
        </w:rPr>
        <w:tab/>
        <w:t>The Legal Counsel confirmed that the proposed change would have no legal ramifications.</w:t>
      </w:r>
    </w:p>
    <w:bookmarkEnd w:id="9"/>
    <w:p w14:paraId="340D3ACC" w14:textId="1094A4DD" w:rsidR="005A2AA3" w:rsidRDefault="00100217" w:rsidP="00100217">
      <w:pPr>
        <w:tabs>
          <w:tab w:val="clear" w:pos="567"/>
          <w:tab w:val="clear" w:pos="1134"/>
          <w:tab w:val="clear" w:pos="1701"/>
          <w:tab w:val="clear" w:pos="2268"/>
          <w:tab w:val="clear" w:pos="2835"/>
        </w:tabs>
        <w:overflowPunct/>
        <w:autoSpaceDE/>
        <w:adjustRightInd/>
        <w:spacing w:after="120"/>
        <w:jc w:val="both"/>
        <w:rPr>
          <w:rFonts w:eastAsia="SimHei" w:cs="Simplified Arabic"/>
          <w:szCs w:val="24"/>
        </w:rPr>
      </w:pPr>
      <w:r w:rsidRPr="00100217">
        <w:rPr>
          <w:rFonts w:asciiTheme="minorHAnsi" w:hAnsiTheme="minorHAnsi" w:cstheme="minorHAnsi"/>
          <w:szCs w:val="24"/>
          <w:lang w:val="en-CA"/>
        </w:rPr>
        <w:t>5.6</w:t>
      </w:r>
      <w:r w:rsidRPr="00100217">
        <w:rPr>
          <w:rFonts w:asciiTheme="minorHAnsi" w:hAnsiTheme="minorHAnsi" w:cstheme="minorHAnsi"/>
          <w:szCs w:val="24"/>
          <w:lang w:val="en-CA"/>
        </w:rPr>
        <w:tab/>
        <w:t>The Chairman said that the discussion of the item would resume in the seventh plenary meeting.</w:t>
      </w:r>
    </w:p>
    <w:p w14:paraId="16566EB5" w14:textId="03EC32BE" w:rsidR="00A514A4" w:rsidRDefault="00915F63" w:rsidP="00C617E2">
      <w:pPr>
        <w:tabs>
          <w:tab w:val="clear" w:pos="567"/>
          <w:tab w:val="clear" w:pos="1134"/>
          <w:tab w:val="clear" w:pos="1701"/>
          <w:tab w:val="clear" w:pos="2268"/>
          <w:tab w:val="clear" w:pos="2835"/>
          <w:tab w:val="left" w:pos="5812"/>
        </w:tabs>
        <w:overflowPunct/>
        <w:autoSpaceDE/>
        <w:autoSpaceDN/>
        <w:adjustRightInd/>
        <w:spacing w:before="600"/>
        <w:textAlignment w:val="auto"/>
        <w:rPr>
          <w:lang w:val="en-CA"/>
        </w:rPr>
      </w:pPr>
      <w:r w:rsidRPr="00915F63">
        <w:rPr>
          <w:lang w:val="en-CA"/>
        </w:rPr>
        <w:t>The Secretary-General:</w:t>
      </w:r>
      <w:r w:rsidRPr="00915F63">
        <w:rPr>
          <w:lang w:val="en-CA"/>
        </w:rPr>
        <w:tab/>
        <w:t>The Chairman:</w:t>
      </w:r>
      <w:r w:rsidRPr="00915F63">
        <w:rPr>
          <w:lang w:val="en-CA"/>
        </w:rPr>
        <w:br/>
        <w:t>D. BOGDAN-MARTIN</w:t>
      </w:r>
      <w:r w:rsidRPr="00915F63">
        <w:rPr>
          <w:lang w:val="en-CA"/>
        </w:rPr>
        <w:tab/>
        <w:t>C. MARTINEZ</w:t>
      </w:r>
    </w:p>
    <w:p w14:paraId="1A16A7B8" w14:textId="53C2A3F6" w:rsidR="00C617E2" w:rsidRPr="00915F63" w:rsidRDefault="00C617E2" w:rsidP="00896FAB">
      <w:pPr>
        <w:tabs>
          <w:tab w:val="clear" w:pos="567"/>
          <w:tab w:val="clear" w:pos="1134"/>
          <w:tab w:val="clear" w:pos="1701"/>
          <w:tab w:val="clear" w:pos="2268"/>
          <w:tab w:val="clear" w:pos="2835"/>
          <w:tab w:val="left" w:pos="5812"/>
        </w:tabs>
        <w:overflowPunct/>
        <w:autoSpaceDE/>
        <w:autoSpaceDN/>
        <w:adjustRightInd/>
        <w:spacing w:before="840"/>
        <w:jc w:val="center"/>
        <w:textAlignment w:val="auto"/>
        <w:rPr>
          <w:lang w:val="en-CA"/>
        </w:rPr>
      </w:pPr>
      <w:r>
        <w:rPr>
          <w:lang w:val="en-CA"/>
        </w:rPr>
        <w:t>________________</w:t>
      </w:r>
    </w:p>
    <w:sectPr w:rsidR="00C617E2" w:rsidRPr="00915F63" w:rsidSect="00AD3606">
      <w:footerReference w:type="default" r:id="rId40"/>
      <w:headerReference w:type="first" r:id="rId41"/>
      <w:footerReference w:type="first" r:id="rId4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endnote>
  <w:endnote w:type="continuationSeparator" w:id="0">
    <w:p w14:paraId="4A51B857" w14:textId="77777777" w:rsidR="00A54171" w:rsidRDefault="00A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6EAA2A54" w:rsidR="00EE49E8" w:rsidRDefault="00C74E7E" w:rsidP="00EE49E8">
          <w:pPr>
            <w:pStyle w:val="Header"/>
            <w:jc w:val="left"/>
            <w:rPr>
              <w:noProof/>
            </w:rPr>
          </w:pPr>
          <w:r>
            <w:rPr>
              <w:noProof/>
            </w:rPr>
            <w:t xml:space="preserve">DPS </w:t>
          </w:r>
          <w:r w:rsidR="00100217" w:rsidRPr="00100217">
            <w:rPr>
              <w:noProof/>
            </w:rPr>
            <w:t>526818</w:t>
          </w:r>
        </w:p>
      </w:tc>
      <w:tc>
        <w:tcPr>
          <w:tcW w:w="8261" w:type="dxa"/>
        </w:tcPr>
        <w:p w14:paraId="35709C74" w14:textId="38253B0D"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C74E7E">
            <w:rPr>
              <w:bCs/>
            </w:rPr>
            <w:t>1</w:t>
          </w:r>
          <w:r w:rsidR="005A2AA3">
            <w:rPr>
              <w:bCs/>
            </w:rPr>
            <w:t>1</w:t>
          </w:r>
          <w:r w:rsidR="00100217">
            <w:rPr>
              <w:bCs/>
            </w:rPr>
            <w:t>1</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3620EA"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338D79E7"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C74E7E">
            <w:rPr>
              <w:bCs/>
            </w:rPr>
            <w:t>1</w:t>
          </w:r>
          <w:r w:rsidR="005A2AA3">
            <w:rPr>
              <w:bCs/>
            </w:rPr>
            <w:t>1</w:t>
          </w:r>
          <w:r w:rsidR="00100217">
            <w:rPr>
              <w:bCs/>
            </w:rPr>
            <w:t>1</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footnote>
  <w:footnote w:type="continuationSeparator" w:id="0">
    <w:p w14:paraId="13CCF145" w14:textId="77777777" w:rsidR="00A54171" w:rsidRDefault="00A5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9D75057"/>
    <w:multiLevelType w:val="hybridMultilevel"/>
    <w:tmpl w:val="CA8AA51E"/>
    <w:lvl w:ilvl="0" w:tplc="DCFAE88C">
      <w:start w:val="1"/>
      <w:numFmt w:val="bullet"/>
      <w:lvlText w:val=""/>
      <w:lvlJc w:val="left"/>
      <w:pPr>
        <w:ind w:left="2160" w:hanging="360"/>
      </w:pPr>
      <w:rPr>
        <w:rFonts w:ascii="Symbol" w:hAnsi="Symbol"/>
      </w:rPr>
    </w:lvl>
    <w:lvl w:ilvl="1" w:tplc="C51A072C">
      <w:start w:val="1"/>
      <w:numFmt w:val="bullet"/>
      <w:lvlText w:val=""/>
      <w:lvlJc w:val="left"/>
      <w:pPr>
        <w:ind w:left="2160" w:hanging="360"/>
      </w:pPr>
      <w:rPr>
        <w:rFonts w:ascii="Symbol" w:hAnsi="Symbol"/>
      </w:rPr>
    </w:lvl>
    <w:lvl w:ilvl="2" w:tplc="814A832E">
      <w:start w:val="1"/>
      <w:numFmt w:val="bullet"/>
      <w:lvlText w:val=""/>
      <w:lvlJc w:val="left"/>
      <w:pPr>
        <w:ind w:left="2160" w:hanging="360"/>
      </w:pPr>
      <w:rPr>
        <w:rFonts w:ascii="Symbol" w:hAnsi="Symbol"/>
      </w:rPr>
    </w:lvl>
    <w:lvl w:ilvl="3" w:tplc="126E627C">
      <w:start w:val="1"/>
      <w:numFmt w:val="bullet"/>
      <w:lvlText w:val=""/>
      <w:lvlJc w:val="left"/>
      <w:pPr>
        <w:ind w:left="2160" w:hanging="360"/>
      </w:pPr>
      <w:rPr>
        <w:rFonts w:ascii="Symbol" w:hAnsi="Symbol"/>
      </w:rPr>
    </w:lvl>
    <w:lvl w:ilvl="4" w:tplc="9DDEEE86">
      <w:start w:val="1"/>
      <w:numFmt w:val="bullet"/>
      <w:lvlText w:val=""/>
      <w:lvlJc w:val="left"/>
      <w:pPr>
        <w:ind w:left="2160" w:hanging="360"/>
      </w:pPr>
      <w:rPr>
        <w:rFonts w:ascii="Symbol" w:hAnsi="Symbol"/>
      </w:rPr>
    </w:lvl>
    <w:lvl w:ilvl="5" w:tplc="3C4811D0">
      <w:start w:val="1"/>
      <w:numFmt w:val="bullet"/>
      <w:lvlText w:val=""/>
      <w:lvlJc w:val="left"/>
      <w:pPr>
        <w:ind w:left="2160" w:hanging="360"/>
      </w:pPr>
      <w:rPr>
        <w:rFonts w:ascii="Symbol" w:hAnsi="Symbol"/>
      </w:rPr>
    </w:lvl>
    <w:lvl w:ilvl="6" w:tplc="AC84E5D4">
      <w:start w:val="1"/>
      <w:numFmt w:val="bullet"/>
      <w:lvlText w:val=""/>
      <w:lvlJc w:val="left"/>
      <w:pPr>
        <w:ind w:left="2160" w:hanging="360"/>
      </w:pPr>
      <w:rPr>
        <w:rFonts w:ascii="Symbol" w:hAnsi="Symbol"/>
      </w:rPr>
    </w:lvl>
    <w:lvl w:ilvl="7" w:tplc="B51203E8">
      <w:start w:val="1"/>
      <w:numFmt w:val="bullet"/>
      <w:lvlText w:val=""/>
      <w:lvlJc w:val="left"/>
      <w:pPr>
        <w:ind w:left="2160" w:hanging="360"/>
      </w:pPr>
      <w:rPr>
        <w:rFonts w:ascii="Symbol" w:hAnsi="Symbol"/>
      </w:rPr>
    </w:lvl>
    <w:lvl w:ilvl="8" w:tplc="254898CA">
      <w:start w:val="1"/>
      <w:numFmt w:val="bullet"/>
      <w:lvlText w:val=""/>
      <w:lvlJc w:val="left"/>
      <w:pPr>
        <w:ind w:left="2160" w:hanging="360"/>
      </w:pPr>
      <w:rPr>
        <w:rFonts w:ascii="Symbol" w:hAnsi="Symbol"/>
      </w:rPr>
    </w:lvl>
  </w:abstractNum>
  <w:num w:numId="1" w16cid:durableId="1374816267">
    <w:abstractNumId w:val="0"/>
  </w:num>
  <w:num w:numId="2" w16cid:durableId="1286083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25C8F"/>
    <w:rsid w:val="00063016"/>
    <w:rsid w:val="00066795"/>
    <w:rsid w:val="00076AF6"/>
    <w:rsid w:val="00085CF2"/>
    <w:rsid w:val="00085E78"/>
    <w:rsid w:val="000A3885"/>
    <w:rsid w:val="000B1705"/>
    <w:rsid w:val="000D75B2"/>
    <w:rsid w:val="00100217"/>
    <w:rsid w:val="001121F5"/>
    <w:rsid w:val="001400DC"/>
    <w:rsid w:val="00140CE1"/>
    <w:rsid w:val="00143BBD"/>
    <w:rsid w:val="00146BAF"/>
    <w:rsid w:val="0017539C"/>
    <w:rsid w:val="00175AC2"/>
    <w:rsid w:val="0017609F"/>
    <w:rsid w:val="001950EF"/>
    <w:rsid w:val="001A7D1D"/>
    <w:rsid w:val="001B51DD"/>
    <w:rsid w:val="001C628E"/>
    <w:rsid w:val="001E0F7B"/>
    <w:rsid w:val="0020159F"/>
    <w:rsid w:val="002119FD"/>
    <w:rsid w:val="002130E0"/>
    <w:rsid w:val="00223CE8"/>
    <w:rsid w:val="00226DDE"/>
    <w:rsid w:val="00264425"/>
    <w:rsid w:val="00265875"/>
    <w:rsid w:val="0027303B"/>
    <w:rsid w:val="0028109B"/>
    <w:rsid w:val="002A2188"/>
    <w:rsid w:val="002B1F58"/>
    <w:rsid w:val="002C1C7A"/>
    <w:rsid w:val="002C54E2"/>
    <w:rsid w:val="002F6124"/>
    <w:rsid w:val="0030160F"/>
    <w:rsid w:val="00320223"/>
    <w:rsid w:val="00322D0D"/>
    <w:rsid w:val="0034774E"/>
    <w:rsid w:val="00361465"/>
    <w:rsid w:val="003620EA"/>
    <w:rsid w:val="003769F2"/>
    <w:rsid w:val="003877F5"/>
    <w:rsid w:val="003942D4"/>
    <w:rsid w:val="003958A8"/>
    <w:rsid w:val="003C2533"/>
    <w:rsid w:val="003D5A7F"/>
    <w:rsid w:val="0040435A"/>
    <w:rsid w:val="00406FF5"/>
    <w:rsid w:val="00410155"/>
    <w:rsid w:val="00416A24"/>
    <w:rsid w:val="00431D9E"/>
    <w:rsid w:val="00433CE8"/>
    <w:rsid w:val="00434A5C"/>
    <w:rsid w:val="004367F0"/>
    <w:rsid w:val="00451ADD"/>
    <w:rsid w:val="004544D9"/>
    <w:rsid w:val="00472B1C"/>
    <w:rsid w:val="00472BAD"/>
    <w:rsid w:val="00484009"/>
    <w:rsid w:val="00490E72"/>
    <w:rsid w:val="00491157"/>
    <w:rsid w:val="004921C8"/>
    <w:rsid w:val="00495B0B"/>
    <w:rsid w:val="004A1B8B"/>
    <w:rsid w:val="004C3E47"/>
    <w:rsid w:val="004D1851"/>
    <w:rsid w:val="004D599D"/>
    <w:rsid w:val="004E1245"/>
    <w:rsid w:val="004E2EA5"/>
    <w:rsid w:val="004E3AEB"/>
    <w:rsid w:val="004F645F"/>
    <w:rsid w:val="0050223C"/>
    <w:rsid w:val="005122FA"/>
    <w:rsid w:val="005243FF"/>
    <w:rsid w:val="00564FBC"/>
    <w:rsid w:val="005800BC"/>
    <w:rsid w:val="00582442"/>
    <w:rsid w:val="005A2AA3"/>
    <w:rsid w:val="005B471E"/>
    <w:rsid w:val="005C11D3"/>
    <w:rsid w:val="005F3269"/>
    <w:rsid w:val="00606F98"/>
    <w:rsid w:val="0061233D"/>
    <w:rsid w:val="00623AE3"/>
    <w:rsid w:val="0064737F"/>
    <w:rsid w:val="006535F1"/>
    <w:rsid w:val="0065557D"/>
    <w:rsid w:val="00660D50"/>
    <w:rsid w:val="00661C03"/>
    <w:rsid w:val="00662984"/>
    <w:rsid w:val="006716BB"/>
    <w:rsid w:val="006B1859"/>
    <w:rsid w:val="006B6680"/>
    <w:rsid w:val="006B6DCC"/>
    <w:rsid w:val="00702DEF"/>
    <w:rsid w:val="00706861"/>
    <w:rsid w:val="0075051B"/>
    <w:rsid w:val="00793188"/>
    <w:rsid w:val="00794D34"/>
    <w:rsid w:val="007B3D6C"/>
    <w:rsid w:val="00813E5E"/>
    <w:rsid w:val="0083581B"/>
    <w:rsid w:val="00863874"/>
    <w:rsid w:val="00864AFF"/>
    <w:rsid w:val="00865925"/>
    <w:rsid w:val="008908F2"/>
    <w:rsid w:val="00896FAB"/>
    <w:rsid w:val="008B4A6A"/>
    <w:rsid w:val="008C7E27"/>
    <w:rsid w:val="008F7448"/>
    <w:rsid w:val="008F7692"/>
    <w:rsid w:val="0090147A"/>
    <w:rsid w:val="0090341F"/>
    <w:rsid w:val="00915F63"/>
    <w:rsid w:val="009173EF"/>
    <w:rsid w:val="00932906"/>
    <w:rsid w:val="0094017D"/>
    <w:rsid w:val="00961B0B"/>
    <w:rsid w:val="009B38C3"/>
    <w:rsid w:val="009E17BD"/>
    <w:rsid w:val="009E485A"/>
    <w:rsid w:val="00A04CEC"/>
    <w:rsid w:val="00A27F92"/>
    <w:rsid w:val="00A32257"/>
    <w:rsid w:val="00A36D20"/>
    <w:rsid w:val="00A44716"/>
    <w:rsid w:val="00A514A4"/>
    <w:rsid w:val="00A54171"/>
    <w:rsid w:val="00A55622"/>
    <w:rsid w:val="00A83502"/>
    <w:rsid w:val="00AD15B3"/>
    <w:rsid w:val="00AD3606"/>
    <w:rsid w:val="00AD4A3D"/>
    <w:rsid w:val="00AF6E49"/>
    <w:rsid w:val="00B04A67"/>
    <w:rsid w:val="00B0583C"/>
    <w:rsid w:val="00B40A81"/>
    <w:rsid w:val="00B44910"/>
    <w:rsid w:val="00B66772"/>
    <w:rsid w:val="00B72267"/>
    <w:rsid w:val="00B72B7F"/>
    <w:rsid w:val="00B76EB6"/>
    <w:rsid w:val="00B7737B"/>
    <w:rsid w:val="00B824C8"/>
    <w:rsid w:val="00B84B9D"/>
    <w:rsid w:val="00BB378E"/>
    <w:rsid w:val="00BC251A"/>
    <w:rsid w:val="00BD032B"/>
    <w:rsid w:val="00BE2640"/>
    <w:rsid w:val="00C01189"/>
    <w:rsid w:val="00C374DE"/>
    <w:rsid w:val="00C45268"/>
    <w:rsid w:val="00C47AD4"/>
    <w:rsid w:val="00C52D81"/>
    <w:rsid w:val="00C55198"/>
    <w:rsid w:val="00C617E2"/>
    <w:rsid w:val="00C74E7E"/>
    <w:rsid w:val="00CA6393"/>
    <w:rsid w:val="00CB18FF"/>
    <w:rsid w:val="00CD0C08"/>
    <w:rsid w:val="00CE03FB"/>
    <w:rsid w:val="00CE3360"/>
    <w:rsid w:val="00CE433C"/>
    <w:rsid w:val="00CF0161"/>
    <w:rsid w:val="00CF33F3"/>
    <w:rsid w:val="00D03A67"/>
    <w:rsid w:val="00D06183"/>
    <w:rsid w:val="00D07C2D"/>
    <w:rsid w:val="00D22C42"/>
    <w:rsid w:val="00D65041"/>
    <w:rsid w:val="00DB1936"/>
    <w:rsid w:val="00DB384B"/>
    <w:rsid w:val="00DF0189"/>
    <w:rsid w:val="00DF13B2"/>
    <w:rsid w:val="00DF1C02"/>
    <w:rsid w:val="00DF2340"/>
    <w:rsid w:val="00E06FD5"/>
    <w:rsid w:val="00E10E80"/>
    <w:rsid w:val="00E124F0"/>
    <w:rsid w:val="00E60F04"/>
    <w:rsid w:val="00E65B24"/>
    <w:rsid w:val="00E854E4"/>
    <w:rsid w:val="00E86DBF"/>
    <w:rsid w:val="00EB0D6F"/>
    <w:rsid w:val="00EB2232"/>
    <w:rsid w:val="00EB5A2F"/>
    <w:rsid w:val="00EC5337"/>
    <w:rsid w:val="00EE49E8"/>
    <w:rsid w:val="00F0243A"/>
    <w:rsid w:val="00F16BAB"/>
    <w:rsid w:val="00F2150A"/>
    <w:rsid w:val="00F231D8"/>
    <w:rsid w:val="00F4239E"/>
    <w:rsid w:val="00F44C00"/>
    <w:rsid w:val="00F46C5F"/>
    <w:rsid w:val="00F632C0"/>
    <w:rsid w:val="00F834CB"/>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C617E2"/>
    <w:rPr>
      <w:color w:val="605E5C"/>
      <w:shd w:val="clear" w:color="auto" w:fill="E1DFDD"/>
    </w:rPr>
  </w:style>
  <w:style w:type="character" w:customStyle="1" w:styleId="ui-provider">
    <w:name w:val="ui-provider"/>
    <w:basedOn w:val="DefaultParagraphFont"/>
    <w:rsid w:val="00606F98"/>
  </w:style>
  <w:style w:type="paragraph" w:customStyle="1" w:styleId="paragraph">
    <w:name w:val="paragraph"/>
    <w:basedOn w:val="Normal"/>
    <w:rsid w:val="00606F9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styleId="CommentReference">
    <w:name w:val="annotation reference"/>
    <w:basedOn w:val="DefaultParagraphFont"/>
    <w:semiHidden/>
    <w:unhideWhenUsed/>
    <w:rsid w:val="004367F0"/>
    <w:rPr>
      <w:sz w:val="16"/>
      <w:szCs w:val="16"/>
    </w:rPr>
  </w:style>
  <w:style w:type="paragraph" w:styleId="CommentText">
    <w:name w:val="annotation text"/>
    <w:basedOn w:val="Normal"/>
    <w:link w:val="CommentTextChar"/>
    <w:unhideWhenUsed/>
    <w:rsid w:val="004367F0"/>
    <w:rPr>
      <w:rFonts w:eastAsia="Times New Roman"/>
      <w:sz w:val="20"/>
    </w:rPr>
  </w:style>
  <w:style w:type="character" w:customStyle="1" w:styleId="CommentTextChar">
    <w:name w:val="Comment Text Char"/>
    <w:basedOn w:val="DefaultParagraphFont"/>
    <w:link w:val="CommentText"/>
    <w:rsid w:val="004367F0"/>
    <w:rPr>
      <w:rFonts w:ascii="Calibri" w:eastAsia="Times New Roman" w:hAnsi="Calibri"/>
      <w:lang w:val="en-GB" w:eastAsia="en-US"/>
    </w:rPr>
  </w:style>
  <w:style w:type="character" w:customStyle="1" w:styleId="FootnoteTextChar">
    <w:name w:val="Footnote Text Char"/>
    <w:basedOn w:val="DefaultParagraphFont"/>
    <w:link w:val="FootnoteText"/>
    <w:rsid w:val="008F7692"/>
    <w:rPr>
      <w:rFonts w:ascii="Calibri" w:hAnsi="Calibri"/>
      <w:sz w:val="24"/>
      <w:lang w:val="en-GB" w:eastAsia="en-US"/>
    </w:rPr>
  </w:style>
  <w:style w:type="character" w:styleId="Strong">
    <w:name w:val="Strong"/>
    <w:basedOn w:val="DefaultParagraphFont"/>
    <w:uiPriority w:val="22"/>
    <w:qFormat/>
    <w:rsid w:val="005A2AA3"/>
    <w:rPr>
      <w:b/>
      <w:bCs/>
    </w:rPr>
  </w:style>
  <w:style w:type="paragraph" w:styleId="CommentSubject">
    <w:name w:val="annotation subject"/>
    <w:basedOn w:val="CommentText"/>
    <w:next w:val="CommentText"/>
    <w:link w:val="CommentSubjectChar"/>
    <w:semiHidden/>
    <w:unhideWhenUsed/>
    <w:rsid w:val="00EB5A2F"/>
    <w:rPr>
      <w:rFonts w:eastAsia="SimSun"/>
      <w:b/>
      <w:bCs/>
    </w:rPr>
  </w:style>
  <w:style w:type="character" w:customStyle="1" w:styleId="CommentSubjectChar">
    <w:name w:val="Comment Subject Char"/>
    <w:basedOn w:val="CommentTextChar"/>
    <w:link w:val="CommentSubject"/>
    <w:semiHidden/>
    <w:rsid w:val="00EB5A2F"/>
    <w:rPr>
      <w:rFonts w:ascii="Calibri" w:eastAsia="Times New Roman" w:hAnsi="Calibri"/>
      <w:b/>
      <w:bCs/>
      <w:lang w:val="en-GB" w:eastAsia="en-US"/>
    </w:rPr>
  </w:style>
  <w:style w:type="paragraph" w:styleId="Revision">
    <w:name w:val="Revision"/>
    <w:hidden/>
    <w:uiPriority w:val="99"/>
    <w:semiHidden/>
    <w:rsid w:val="00EB5A2F"/>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081/en" TargetMode="External"/><Relationship Id="rId18" Type="http://schemas.openxmlformats.org/officeDocument/2006/relationships/hyperlink" Target="https://www.itu.int/md/S23-CL-230711-TD-0010/en" TargetMode="External"/><Relationship Id="rId26" Type="http://schemas.openxmlformats.org/officeDocument/2006/relationships/hyperlink" Target="https://www.itu.int/md/S23-CL-C-0079/en" TargetMode="External"/><Relationship Id="rId39" Type="http://schemas.openxmlformats.org/officeDocument/2006/relationships/hyperlink" Target="https://www.itu.int/md/S23-CL-C-0003/en" TargetMode="External"/><Relationship Id="rId21" Type="http://schemas.openxmlformats.org/officeDocument/2006/relationships/hyperlink" Target="https://www.itu.int/md/S23-CL-C-0076/en" TargetMode="External"/><Relationship Id="rId34" Type="http://schemas.openxmlformats.org/officeDocument/2006/relationships/hyperlink" Target="https://www.itu.int/md/S23-CL-230711-TD-0010/en"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3-CL-C-0096/en" TargetMode="External"/><Relationship Id="rId20" Type="http://schemas.openxmlformats.org/officeDocument/2006/relationships/hyperlink" Target="https://www.itu.int/md/S23-CL-C-0006/en" TargetMode="External"/><Relationship Id="rId29" Type="http://schemas.openxmlformats.org/officeDocument/2006/relationships/hyperlink" Target="https://www.itu.int/md/S23-CL-C-0081/e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61/en" TargetMode="External"/><Relationship Id="rId24" Type="http://schemas.openxmlformats.org/officeDocument/2006/relationships/hyperlink" Target="https://www.itu.int/md/S23-CL-C-0027/en" TargetMode="External"/><Relationship Id="rId32" Type="http://schemas.openxmlformats.org/officeDocument/2006/relationships/hyperlink" Target="https://www.itu.int/md/S23-CL-C-0096/en" TargetMode="External"/><Relationship Id="rId37" Type="http://schemas.openxmlformats.org/officeDocument/2006/relationships/hyperlink" Target="https://www.itu.int/md/S23-CL-C-0076/e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3-CL-C-0085/en" TargetMode="External"/><Relationship Id="rId23" Type="http://schemas.openxmlformats.org/officeDocument/2006/relationships/hyperlink" Target="https://www.itu.int/md/S23-CL-C-0003/en" TargetMode="External"/><Relationship Id="rId28" Type="http://schemas.openxmlformats.org/officeDocument/2006/relationships/hyperlink" Target="https://www.itu.int/md/S23-CL-C-0071/en" TargetMode="External"/><Relationship Id="rId36" Type="http://schemas.openxmlformats.org/officeDocument/2006/relationships/hyperlink" Target="https://www.itu.int/md/S23-CL-C-0006/en" TargetMode="External"/><Relationship Id="rId10" Type="http://schemas.openxmlformats.org/officeDocument/2006/relationships/hyperlink" Target="https://www.itu.int/md/S23-CL-C-0079/en" TargetMode="External"/><Relationship Id="rId19" Type="http://schemas.openxmlformats.org/officeDocument/2006/relationships/hyperlink" Target="https://www.itu.int/md/S23-CL-INF-0018/en" TargetMode="External"/><Relationship Id="rId31" Type="http://schemas.openxmlformats.org/officeDocument/2006/relationships/hyperlink" Target="https://www.itu.int/md/S23-CL-C-0085/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3-CL-C-0072/en" TargetMode="External"/><Relationship Id="rId14" Type="http://schemas.openxmlformats.org/officeDocument/2006/relationships/hyperlink" Target="https://www.itu.int/md/S23-CL-C-0083/en" TargetMode="External"/><Relationship Id="rId22" Type="http://schemas.openxmlformats.org/officeDocument/2006/relationships/hyperlink" Target="https://www.itu.int/md/S23-CL-C-0091/en" TargetMode="External"/><Relationship Id="rId27" Type="http://schemas.openxmlformats.org/officeDocument/2006/relationships/hyperlink" Target="https://www.itu.int/md/S23-CL-C-0061/en" TargetMode="External"/><Relationship Id="rId30" Type="http://schemas.openxmlformats.org/officeDocument/2006/relationships/hyperlink" Target="https://www.itu.int/md/S23-CL-C-0083/en" TargetMode="External"/><Relationship Id="rId35" Type="http://schemas.openxmlformats.org/officeDocument/2006/relationships/hyperlink" Target="https://www.itu.int/md/S23-CL-INF-0018/en" TargetMode="External"/><Relationship Id="rId43" Type="http://schemas.openxmlformats.org/officeDocument/2006/relationships/fontTable" Target="fontTable.xml"/><Relationship Id="rId8" Type="http://schemas.openxmlformats.org/officeDocument/2006/relationships/hyperlink" Target="https://www.itu.int/md/S23-CL-C-0027/en" TargetMode="External"/><Relationship Id="rId3" Type="http://schemas.openxmlformats.org/officeDocument/2006/relationships/styles" Target="styles.xml"/><Relationship Id="rId12" Type="http://schemas.openxmlformats.org/officeDocument/2006/relationships/hyperlink" Target="https://www.itu.int/md/S23-CL-C-0071/en" TargetMode="External"/><Relationship Id="rId17" Type="http://schemas.openxmlformats.org/officeDocument/2006/relationships/hyperlink" Target="https://www.itu.int/md/S23-CL-230711-TD-0009/en" TargetMode="External"/><Relationship Id="rId25" Type="http://schemas.openxmlformats.org/officeDocument/2006/relationships/hyperlink" Target="https://www.itu.int/md/S23-CL-C-0072/en" TargetMode="External"/><Relationship Id="rId33" Type="http://schemas.openxmlformats.org/officeDocument/2006/relationships/hyperlink" Target="https://www.itu.int/md/S23-CL-230711-TD-0009/en" TargetMode="External"/><Relationship Id="rId38" Type="http://schemas.openxmlformats.org/officeDocument/2006/relationships/hyperlink" Target="https://www.itu.int/md/S23-CL-C-009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1424</Words>
  <Characters>9907</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Summary record of the sixth plenary meeting</vt:lpstr>
    </vt:vector>
  </TitlesOfParts>
  <Manager>General Secretariat - Pool</Manager>
  <Company>International Telecommunication Union (ITU)</Company>
  <LinksUpToDate>false</LinksUpToDate>
  <CharactersWithSpaces>11309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dc:title>
  <dc:subject>Council 2023</dc:subject>
  <dc:creator>Brouard, Ricarda</dc:creator>
  <cp:keywords>C2023, C23, Council-23</cp:keywords>
  <dc:description/>
  <cp:lastModifiedBy>Xue, Kun</cp:lastModifiedBy>
  <cp:revision>4</cp:revision>
  <cp:lastPrinted>2000-07-18T13:30:00Z</cp:lastPrinted>
  <dcterms:created xsi:type="dcterms:W3CDTF">2023-08-28T14:46:00Z</dcterms:created>
  <dcterms:modified xsi:type="dcterms:W3CDTF">2023-09-01T14:18:00Z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