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D165A4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1ADC0B3F" w:rsidR="00AD3606" w:rsidRPr="00E85629" w:rsidRDefault="00AD3606" w:rsidP="00472BAD">
            <w:pPr>
              <w:tabs>
                <w:tab w:val="left" w:pos="851"/>
              </w:tabs>
              <w:spacing w:before="0" w:line="240" w:lineRule="atLeast"/>
              <w:jc w:val="right"/>
              <w:rPr>
                <w:b/>
              </w:rPr>
            </w:pPr>
            <w:proofErr w:type="spellStart"/>
            <w:r>
              <w:rPr>
                <w:b/>
              </w:rPr>
              <w:t>Document</w:t>
            </w:r>
            <w:r w:rsidR="00B7160C">
              <w:rPr>
                <w:b/>
              </w:rPr>
              <w:t>o</w:t>
            </w:r>
            <w:proofErr w:type="spellEnd"/>
            <w:r>
              <w:rPr>
                <w:b/>
              </w:rPr>
              <w:t xml:space="preserve"> C23/</w:t>
            </w:r>
            <w:r w:rsidR="00C74E7E">
              <w:rPr>
                <w:b/>
              </w:rPr>
              <w:t>1</w:t>
            </w:r>
            <w:r w:rsidR="005A2AA3">
              <w:rPr>
                <w:b/>
              </w:rPr>
              <w:t>10</w:t>
            </w:r>
            <w:r>
              <w:rPr>
                <w:b/>
              </w:rPr>
              <w:t>-</w:t>
            </w:r>
            <w:r w:rsidR="00B7160C">
              <w:rPr>
                <w:b/>
              </w:rPr>
              <w:t>S</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0DBBB114" w:rsidR="00AD3606" w:rsidRPr="00E85629" w:rsidRDefault="002D513F" w:rsidP="00AD3606">
            <w:pPr>
              <w:tabs>
                <w:tab w:val="left" w:pos="851"/>
              </w:tabs>
              <w:spacing w:before="0"/>
              <w:jc w:val="right"/>
              <w:rPr>
                <w:b/>
              </w:rPr>
            </w:pPr>
            <w:r w:rsidRPr="002D513F">
              <w:rPr>
                <w:b/>
              </w:rPr>
              <w:t xml:space="preserve">1 de </w:t>
            </w:r>
            <w:proofErr w:type="spellStart"/>
            <w:r w:rsidRPr="002D513F">
              <w:rPr>
                <w:b/>
              </w:rPr>
              <w:t>septiembre</w:t>
            </w:r>
            <w:proofErr w:type="spellEnd"/>
            <w:r w:rsidRPr="002D513F">
              <w:rPr>
                <w:b/>
              </w:rPr>
              <w:t xml:space="preserve"> </w:t>
            </w:r>
            <w:r w:rsidR="00B7160C">
              <w:rPr>
                <w:b/>
              </w:rPr>
              <w:t>de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B9DFCD4" w:rsidR="00AD3606" w:rsidRPr="00E85629" w:rsidRDefault="00AD3606" w:rsidP="00AD3606">
            <w:pPr>
              <w:tabs>
                <w:tab w:val="left" w:pos="851"/>
              </w:tabs>
              <w:spacing w:before="0" w:line="240" w:lineRule="atLeast"/>
              <w:jc w:val="right"/>
              <w:rPr>
                <w:b/>
              </w:rPr>
            </w:pPr>
            <w:r>
              <w:rPr>
                <w:b/>
              </w:rPr>
              <w:t xml:space="preserve">Original: </w:t>
            </w:r>
            <w:proofErr w:type="spellStart"/>
            <w:r w:rsidR="00B7160C">
              <w:rPr>
                <w:b/>
              </w:rPr>
              <w:t>inglés</w:t>
            </w:r>
            <w:proofErr w:type="spellEnd"/>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B7160C" w14:paraId="5BEAAFE0" w14:textId="77777777" w:rsidTr="00AD3606">
        <w:trPr>
          <w:cantSplit/>
        </w:trPr>
        <w:tc>
          <w:tcPr>
            <w:tcW w:w="9214" w:type="dxa"/>
            <w:gridSpan w:val="2"/>
            <w:tcMar>
              <w:left w:w="0" w:type="dxa"/>
            </w:tcMar>
          </w:tcPr>
          <w:p w14:paraId="78E218A2" w14:textId="4B18B802" w:rsidR="00915F63" w:rsidRPr="00CF4C78" w:rsidRDefault="00B7160C" w:rsidP="00915F63">
            <w:pPr>
              <w:pStyle w:val="Title1"/>
              <w:framePr w:hSpace="0" w:wrap="auto" w:vAnchor="margin" w:hAnchor="text" w:yAlign="inline"/>
              <w:spacing w:before="120"/>
              <w:jc w:val="center"/>
              <w:rPr>
                <w:lang w:val="es-ES"/>
              </w:rPr>
            </w:pPr>
            <w:bookmarkStart w:id="4" w:name="dsource" w:colFirst="0" w:colLast="0"/>
            <w:bookmarkEnd w:id="3"/>
            <w:r w:rsidRPr="00CF4C78">
              <w:rPr>
                <w:lang w:val="es-ES"/>
              </w:rPr>
              <w:t>RESUMEN DE LOS DEBATES</w:t>
            </w:r>
          </w:p>
          <w:p w14:paraId="14D7FFA8" w14:textId="57D9860E" w:rsidR="00915F63" w:rsidRPr="00CF4C78" w:rsidRDefault="00B7160C" w:rsidP="00915F63">
            <w:pPr>
              <w:pStyle w:val="Title1"/>
              <w:framePr w:hSpace="0" w:wrap="auto" w:vAnchor="margin" w:hAnchor="text" w:yAlign="inline"/>
              <w:spacing w:before="120"/>
              <w:jc w:val="center"/>
              <w:rPr>
                <w:lang w:val="es-ES"/>
              </w:rPr>
            </w:pPr>
            <w:r w:rsidRPr="00CF4C78">
              <w:rPr>
                <w:lang w:val="es-ES"/>
              </w:rPr>
              <w:t>DE LA</w:t>
            </w:r>
          </w:p>
          <w:p w14:paraId="598EF21A" w14:textId="31B91C93" w:rsidR="00915F63" w:rsidRPr="00B7160C" w:rsidRDefault="00B7160C" w:rsidP="00915F63">
            <w:pPr>
              <w:pStyle w:val="Source"/>
              <w:framePr w:hSpace="0" w:wrap="auto" w:vAnchor="margin" w:hAnchor="text" w:yAlign="inline"/>
              <w:spacing w:before="120"/>
              <w:jc w:val="center"/>
              <w:rPr>
                <w:lang w:val="es-ES"/>
              </w:rPr>
            </w:pPr>
            <w:r w:rsidRPr="00B7160C">
              <w:rPr>
                <w:b w:val="0"/>
                <w:lang w:val="es-ES"/>
              </w:rPr>
              <w:t>QUINTA SESIÓN PLENARIA</w:t>
            </w:r>
          </w:p>
        </w:tc>
      </w:tr>
      <w:tr w:rsidR="00AD3606" w:rsidRPr="00D759DE" w14:paraId="62B9C291" w14:textId="77777777" w:rsidTr="00AD3606">
        <w:trPr>
          <w:cantSplit/>
        </w:trPr>
        <w:tc>
          <w:tcPr>
            <w:tcW w:w="9214" w:type="dxa"/>
            <w:gridSpan w:val="2"/>
            <w:tcMar>
              <w:left w:w="0" w:type="dxa"/>
            </w:tcMar>
          </w:tcPr>
          <w:p w14:paraId="55473F77" w14:textId="32EC021C" w:rsidR="00915F63" w:rsidRPr="00B7160C" w:rsidRDefault="002E028A" w:rsidP="00915F63">
            <w:pPr>
              <w:pStyle w:val="Subtitle"/>
              <w:framePr w:hSpace="0" w:wrap="auto" w:hAnchor="text" w:xAlign="left" w:yAlign="inline"/>
              <w:spacing w:after="240"/>
              <w:jc w:val="center"/>
              <w:rPr>
                <w:b/>
                <w:bCs/>
                <w:sz w:val="24"/>
                <w:szCs w:val="24"/>
                <w:lang w:val="es-ES"/>
              </w:rPr>
            </w:pPr>
            <w:bookmarkStart w:id="5" w:name="dtitle1" w:colFirst="0" w:colLast="0"/>
            <w:bookmarkEnd w:id="4"/>
            <w:r>
              <w:rPr>
                <w:sz w:val="24"/>
                <w:szCs w:val="24"/>
                <w:lang w:val="es-ES"/>
              </w:rPr>
              <w:t>J</w:t>
            </w:r>
            <w:r w:rsidR="00B7160C" w:rsidRPr="00B7160C">
              <w:rPr>
                <w:sz w:val="24"/>
                <w:szCs w:val="24"/>
                <w:lang w:val="es-ES"/>
              </w:rPr>
              <w:t>ueves 20 de julio de</w:t>
            </w:r>
            <w:r w:rsidR="005A2AA3" w:rsidRPr="00B7160C">
              <w:rPr>
                <w:sz w:val="24"/>
                <w:szCs w:val="24"/>
                <w:lang w:val="es-ES"/>
              </w:rPr>
              <w:t xml:space="preserve"> 2023, </w:t>
            </w:r>
            <w:r w:rsidR="00B7160C" w:rsidRPr="00B7160C">
              <w:rPr>
                <w:sz w:val="24"/>
                <w:szCs w:val="24"/>
                <w:lang w:val="es-ES"/>
              </w:rPr>
              <w:t>de las</w:t>
            </w:r>
            <w:r w:rsidR="005A2AA3" w:rsidRPr="00B7160C">
              <w:rPr>
                <w:sz w:val="24"/>
                <w:szCs w:val="24"/>
                <w:lang w:val="es-ES"/>
              </w:rPr>
              <w:t xml:space="preserve"> 14</w:t>
            </w:r>
            <w:r w:rsidR="00B7160C">
              <w:rPr>
                <w:sz w:val="24"/>
                <w:szCs w:val="24"/>
                <w:lang w:val="es-ES"/>
              </w:rPr>
              <w:t>.</w:t>
            </w:r>
            <w:r w:rsidR="005A2AA3" w:rsidRPr="00B7160C">
              <w:rPr>
                <w:sz w:val="24"/>
                <w:szCs w:val="24"/>
                <w:lang w:val="es-ES"/>
              </w:rPr>
              <w:t xml:space="preserve">35 </w:t>
            </w:r>
            <w:r w:rsidR="00B7160C">
              <w:rPr>
                <w:sz w:val="24"/>
                <w:szCs w:val="24"/>
                <w:lang w:val="es-ES"/>
              </w:rPr>
              <w:t>a las</w:t>
            </w:r>
            <w:r w:rsidR="005A2AA3" w:rsidRPr="00B7160C">
              <w:rPr>
                <w:sz w:val="24"/>
                <w:szCs w:val="24"/>
                <w:lang w:val="es-ES"/>
              </w:rPr>
              <w:t xml:space="preserve"> 1</w:t>
            </w:r>
            <w:r w:rsidR="002D513F">
              <w:rPr>
                <w:sz w:val="24"/>
                <w:szCs w:val="24"/>
                <w:lang w:val="es-ES"/>
              </w:rPr>
              <w:t>6</w:t>
            </w:r>
            <w:r w:rsidR="00B7160C">
              <w:rPr>
                <w:sz w:val="24"/>
                <w:szCs w:val="24"/>
                <w:lang w:val="es-ES"/>
              </w:rPr>
              <w:t>.</w:t>
            </w:r>
            <w:r w:rsidR="002D513F">
              <w:rPr>
                <w:sz w:val="24"/>
                <w:szCs w:val="24"/>
                <w:lang w:val="es-ES"/>
              </w:rPr>
              <w:t>00</w:t>
            </w:r>
            <w:r w:rsidR="005A2AA3" w:rsidRPr="00B7160C">
              <w:rPr>
                <w:sz w:val="24"/>
                <w:szCs w:val="24"/>
                <w:lang w:val="es-ES"/>
              </w:rPr>
              <w:t xml:space="preserve"> ho</w:t>
            </w:r>
            <w:r w:rsidR="00B7160C">
              <w:rPr>
                <w:sz w:val="24"/>
                <w:szCs w:val="24"/>
                <w:lang w:val="es-ES"/>
              </w:rPr>
              <w:t>ras</w:t>
            </w:r>
          </w:p>
          <w:p w14:paraId="556A1BCF" w14:textId="47290D50" w:rsidR="00AD3606" w:rsidRPr="00B7160C" w:rsidRDefault="00B7160C" w:rsidP="00915F63">
            <w:pPr>
              <w:pStyle w:val="Subtitle"/>
              <w:framePr w:hSpace="0" w:wrap="auto" w:hAnchor="text" w:xAlign="left" w:yAlign="inline"/>
              <w:spacing w:after="240"/>
              <w:jc w:val="center"/>
              <w:rPr>
                <w:lang w:val="es-ES"/>
              </w:rPr>
            </w:pPr>
            <w:r w:rsidRPr="00B7160C">
              <w:rPr>
                <w:b/>
                <w:bCs/>
                <w:sz w:val="24"/>
                <w:szCs w:val="24"/>
                <w:lang w:val="es-ES"/>
              </w:rPr>
              <w:t>Presidente</w:t>
            </w:r>
            <w:r w:rsidR="00915F63" w:rsidRPr="00B7160C">
              <w:rPr>
                <w:b/>
                <w:bCs/>
                <w:sz w:val="24"/>
                <w:szCs w:val="24"/>
                <w:lang w:val="es-ES"/>
              </w:rPr>
              <w:t>:</w:t>
            </w:r>
            <w:r w:rsidR="002E028A">
              <w:rPr>
                <w:b/>
                <w:bCs/>
                <w:sz w:val="24"/>
                <w:szCs w:val="24"/>
                <w:lang w:val="es-ES"/>
              </w:rPr>
              <w:t xml:space="preserve"> </w:t>
            </w:r>
            <w:r w:rsidRPr="00B7160C">
              <w:rPr>
                <w:sz w:val="24"/>
                <w:szCs w:val="24"/>
                <w:lang w:val="es-ES"/>
              </w:rPr>
              <w:t>S</w:t>
            </w:r>
            <w:r w:rsidR="00915F63" w:rsidRPr="00B7160C">
              <w:rPr>
                <w:sz w:val="24"/>
                <w:szCs w:val="24"/>
                <w:lang w:val="es-ES"/>
              </w:rPr>
              <w:t>r</w:t>
            </w:r>
            <w:r w:rsidRPr="00B7160C">
              <w:rPr>
                <w:sz w:val="24"/>
                <w:szCs w:val="24"/>
                <w:lang w:val="es-ES"/>
              </w:rPr>
              <w:t>.</w:t>
            </w:r>
            <w:r w:rsidR="00915F63" w:rsidRPr="00B7160C">
              <w:rPr>
                <w:sz w:val="24"/>
                <w:szCs w:val="24"/>
                <w:lang w:val="es-ES"/>
              </w:rPr>
              <w:t xml:space="preserve"> C. MART</w:t>
            </w:r>
            <w:r>
              <w:rPr>
                <w:sz w:val="24"/>
                <w:szCs w:val="24"/>
                <w:lang w:val="es-ES"/>
              </w:rPr>
              <w:t>Í</w:t>
            </w:r>
            <w:r w:rsidR="00915F63" w:rsidRPr="00B7160C">
              <w:rPr>
                <w:sz w:val="24"/>
                <w:szCs w:val="24"/>
                <w:lang w:val="es-ES"/>
              </w:rPr>
              <w:t>NEZ (Paraguay)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tbl>
            <w:tblPr>
              <w:tblW w:w="9476" w:type="dxa"/>
              <w:tblLayout w:type="fixed"/>
              <w:tblLook w:val="0000" w:firstRow="0" w:lastRow="0" w:firstColumn="0" w:lastColumn="0" w:noHBand="0" w:noVBand="0"/>
            </w:tblPr>
            <w:tblGrid>
              <w:gridCol w:w="484"/>
              <w:gridCol w:w="6320"/>
              <w:gridCol w:w="2672"/>
            </w:tblGrid>
            <w:tr w:rsidR="00915F63" w:rsidRPr="00DF2340" w14:paraId="2D0B4307" w14:textId="77777777" w:rsidTr="004367F0">
              <w:tc>
                <w:tcPr>
                  <w:tcW w:w="255" w:type="pct"/>
                </w:tcPr>
                <w:p w14:paraId="4F797EE7" w14:textId="77777777" w:rsidR="00DF2340" w:rsidRPr="00B7160C" w:rsidRDefault="00DF2340" w:rsidP="00915F63">
                  <w:pPr>
                    <w:framePr w:hSpace="180" w:wrap="around" w:vAnchor="page" w:hAnchor="page" w:x="1821" w:y="2317"/>
                    <w:spacing w:before="480"/>
                    <w:rPr>
                      <w:b/>
                      <w:bCs/>
                      <w:sz w:val="22"/>
                      <w:szCs w:val="22"/>
                      <w:lang w:val="es-ES"/>
                    </w:rPr>
                  </w:pPr>
                  <w:bookmarkStart w:id="6" w:name="_Hlk141438382"/>
                  <w:r w:rsidRPr="00B7160C">
                    <w:rPr>
                      <w:b/>
                      <w:bCs/>
                      <w:sz w:val="22"/>
                      <w:szCs w:val="22"/>
                      <w:lang w:val="es-ES"/>
                    </w:rPr>
                    <w:br w:type="page"/>
                  </w:r>
                  <w:r w:rsidRPr="00B7160C">
                    <w:rPr>
                      <w:b/>
                      <w:bCs/>
                      <w:sz w:val="22"/>
                      <w:szCs w:val="22"/>
                      <w:lang w:val="es-ES"/>
                    </w:rPr>
                    <w:br w:type="page"/>
                  </w:r>
                </w:p>
              </w:tc>
              <w:tc>
                <w:tcPr>
                  <w:tcW w:w="3335" w:type="pct"/>
                </w:tcPr>
                <w:p w14:paraId="03063FEF" w14:textId="419315E2" w:rsidR="00DF2340" w:rsidRPr="00DF2340" w:rsidRDefault="00B7160C" w:rsidP="00143BBD">
                  <w:pPr>
                    <w:framePr w:hSpace="180" w:wrap="around" w:vAnchor="page" w:hAnchor="page" w:x="1821" w:y="2317"/>
                    <w:spacing w:before="480" w:after="120"/>
                    <w:rPr>
                      <w:b/>
                      <w:bCs/>
                      <w:sz w:val="22"/>
                      <w:szCs w:val="22"/>
                      <w:lang w:val="en-CA"/>
                    </w:rPr>
                  </w:pPr>
                  <w:r>
                    <w:rPr>
                      <w:b/>
                      <w:bCs/>
                      <w:sz w:val="22"/>
                      <w:szCs w:val="22"/>
                      <w:lang w:val="en-CA"/>
                    </w:rPr>
                    <w:t>Asuntos tratados</w:t>
                  </w:r>
                </w:p>
              </w:tc>
              <w:tc>
                <w:tcPr>
                  <w:tcW w:w="1410" w:type="pct"/>
                </w:tcPr>
                <w:p w14:paraId="21CF6966" w14:textId="3151B9D2" w:rsidR="00DF2340" w:rsidRPr="00DF2340" w:rsidRDefault="00DF2340" w:rsidP="00143BBD">
                  <w:pPr>
                    <w:framePr w:hSpace="180" w:wrap="around" w:vAnchor="page" w:hAnchor="page" w:x="1821" w:y="2317"/>
                    <w:spacing w:before="480"/>
                    <w:jc w:val="center"/>
                    <w:rPr>
                      <w:b/>
                      <w:bCs/>
                      <w:sz w:val="22"/>
                      <w:szCs w:val="22"/>
                      <w:lang w:val="en-CA"/>
                    </w:rPr>
                  </w:pPr>
                  <w:r w:rsidRPr="00DF2340">
                    <w:rPr>
                      <w:b/>
                      <w:bCs/>
                      <w:sz w:val="22"/>
                      <w:szCs w:val="22"/>
                      <w:lang w:val="en-CA"/>
                    </w:rPr>
                    <w:t>Document</w:t>
                  </w:r>
                  <w:r w:rsidR="00B7160C">
                    <w:rPr>
                      <w:b/>
                      <w:bCs/>
                      <w:sz w:val="22"/>
                      <w:szCs w:val="22"/>
                      <w:lang w:val="en-CA"/>
                    </w:rPr>
                    <w:t>o</w:t>
                  </w:r>
                  <w:r w:rsidRPr="00DF2340">
                    <w:rPr>
                      <w:b/>
                      <w:bCs/>
                      <w:sz w:val="22"/>
                      <w:szCs w:val="22"/>
                      <w:lang w:val="en-CA"/>
                    </w:rPr>
                    <w:t>s</w:t>
                  </w:r>
                </w:p>
              </w:tc>
            </w:tr>
            <w:tr w:rsidR="005A2AA3" w:rsidRPr="00DF2340" w14:paraId="1D44A2EC" w14:textId="77777777" w:rsidTr="004367F0">
              <w:trPr>
                <w:trHeight w:val="20"/>
              </w:trPr>
              <w:tc>
                <w:tcPr>
                  <w:tcW w:w="255" w:type="pct"/>
                </w:tcPr>
                <w:p w14:paraId="24172D46" w14:textId="77777777" w:rsidR="005A2AA3" w:rsidRPr="00DF2340" w:rsidRDefault="005A2AA3" w:rsidP="005A2AA3">
                  <w:pPr>
                    <w:framePr w:hSpace="180" w:wrap="around" w:vAnchor="page" w:hAnchor="page" w:x="1821" w:y="2317"/>
                    <w:spacing w:before="80" w:after="80"/>
                    <w:rPr>
                      <w:sz w:val="22"/>
                      <w:szCs w:val="22"/>
                      <w:lang w:val="en-CA"/>
                    </w:rPr>
                  </w:pPr>
                  <w:r w:rsidRPr="00DF2340">
                    <w:rPr>
                      <w:sz w:val="22"/>
                      <w:szCs w:val="22"/>
                      <w:lang w:val="en-CA"/>
                    </w:rPr>
                    <w:t>1</w:t>
                  </w:r>
                </w:p>
              </w:tc>
              <w:tc>
                <w:tcPr>
                  <w:tcW w:w="3335" w:type="pct"/>
                </w:tcPr>
                <w:p w14:paraId="2830A615" w14:textId="1597E9EF" w:rsidR="005A2AA3" w:rsidRPr="00B7160C" w:rsidRDefault="005A2AA3" w:rsidP="005A2AA3">
                  <w:pPr>
                    <w:framePr w:hSpace="180" w:wrap="around" w:vAnchor="page" w:hAnchor="page" w:x="1821" w:y="2317"/>
                    <w:spacing w:before="80" w:after="80"/>
                    <w:rPr>
                      <w:rFonts w:asciiTheme="minorHAnsi" w:hAnsiTheme="minorHAnsi" w:cstheme="minorHAnsi"/>
                      <w:sz w:val="22"/>
                      <w:szCs w:val="22"/>
                      <w:lang w:val="es-ES"/>
                    </w:rPr>
                  </w:pPr>
                  <w:r w:rsidRPr="00B7160C">
                    <w:rPr>
                      <w:sz w:val="22"/>
                      <w:szCs w:val="22"/>
                      <w:lang w:val="es-ES"/>
                    </w:rPr>
                    <w:t>An</w:t>
                  </w:r>
                  <w:r w:rsidR="00B7160C" w:rsidRPr="00B7160C">
                    <w:rPr>
                      <w:sz w:val="22"/>
                      <w:szCs w:val="22"/>
                      <w:lang w:val="es-ES"/>
                    </w:rPr>
                    <w:t>uncio del</w:t>
                  </w:r>
                  <w:r w:rsidRPr="00B7160C">
                    <w:rPr>
                      <w:sz w:val="22"/>
                      <w:szCs w:val="22"/>
                      <w:lang w:val="es-ES"/>
                    </w:rPr>
                    <w:t xml:space="preserve"> Director </w:t>
                  </w:r>
                  <w:r w:rsidR="00B7160C" w:rsidRPr="00B7160C">
                    <w:rPr>
                      <w:sz w:val="22"/>
                      <w:szCs w:val="22"/>
                      <w:lang w:val="es-ES"/>
                    </w:rPr>
                    <w:t>de la</w:t>
                  </w:r>
                  <w:r w:rsidRPr="00B7160C">
                    <w:rPr>
                      <w:sz w:val="22"/>
                      <w:szCs w:val="22"/>
                      <w:lang w:val="es-ES"/>
                    </w:rPr>
                    <w:t xml:space="preserve"> BR</w:t>
                  </w:r>
                </w:p>
              </w:tc>
              <w:tc>
                <w:tcPr>
                  <w:tcW w:w="1410" w:type="pct"/>
                </w:tcPr>
                <w:p w14:paraId="6D602A53" w14:textId="3E56E36D" w:rsidR="005A2AA3" w:rsidRPr="005A2AA3" w:rsidRDefault="005A2AA3" w:rsidP="005A2AA3">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lang w:val="en-CA"/>
                    </w:rPr>
                  </w:pPr>
                  <w:r w:rsidRPr="005A2AA3">
                    <w:rPr>
                      <w:sz w:val="22"/>
                      <w:szCs w:val="22"/>
                    </w:rPr>
                    <w:t>-</w:t>
                  </w:r>
                </w:p>
              </w:tc>
            </w:tr>
            <w:tr w:rsidR="005A2AA3" w:rsidRPr="00DF2340" w14:paraId="57EB8A2E" w14:textId="77777777" w:rsidTr="00F45D96">
              <w:trPr>
                <w:trHeight w:val="20"/>
              </w:trPr>
              <w:tc>
                <w:tcPr>
                  <w:tcW w:w="255" w:type="pct"/>
                </w:tcPr>
                <w:p w14:paraId="6D2AF972" w14:textId="77777777" w:rsidR="005A2AA3" w:rsidRPr="00DF2340" w:rsidRDefault="005A2AA3" w:rsidP="005A2AA3">
                  <w:pPr>
                    <w:framePr w:hSpace="180" w:wrap="around" w:vAnchor="page" w:hAnchor="page" w:x="1821" w:y="2317"/>
                    <w:spacing w:before="80" w:after="80"/>
                    <w:rPr>
                      <w:sz w:val="22"/>
                      <w:szCs w:val="22"/>
                      <w:lang w:val="en-CA"/>
                    </w:rPr>
                  </w:pPr>
                  <w:r w:rsidRPr="00DF2340">
                    <w:rPr>
                      <w:sz w:val="22"/>
                      <w:szCs w:val="22"/>
                      <w:lang w:val="en-CA"/>
                    </w:rPr>
                    <w:t>2</w:t>
                  </w:r>
                </w:p>
              </w:tc>
              <w:tc>
                <w:tcPr>
                  <w:tcW w:w="3335" w:type="pct"/>
                </w:tcPr>
                <w:p w14:paraId="24B06FB8" w14:textId="5F4CB7C6" w:rsidR="005A2AA3" w:rsidRPr="00B7160C" w:rsidRDefault="00B7160C" w:rsidP="005A2AA3">
                  <w:pPr>
                    <w:framePr w:hSpace="180" w:wrap="around" w:vAnchor="page" w:hAnchor="page" w:x="1821" w:y="2317"/>
                    <w:spacing w:before="80" w:after="80"/>
                    <w:rPr>
                      <w:rFonts w:asciiTheme="minorHAnsi" w:hAnsiTheme="minorHAnsi" w:cstheme="minorHAnsi"/>
                      <w:sz w:val="22"/>
                      <w:szCs w:val="22"/>
                      <w:lang w:val="es-ES"/>
                    </w:rPr>
                  </w:pPr>
                  <w:r w:rsidRPr="00B7160C">
                    <w:rPr>
                      <w:sz w:val="22"/>
                      <w:szCs w:val="22"/>
                      <w:lang w:val="es-ES"/>
                    </w:rPr>
                    <w:t>Función de</w:t>
                  </w:r>
                  <w:r>
                    <w:rPr>
                      <w:sz w:val="22"/>
                      <w:szCs w:val="22"/>
                      <w:lang w:val="es-ES"/>
                    </w:rPr>
                    <w:t xml:space="preserve"> </w:t>
                  </w:r>
                  <w:r w:rsidRPr="00B7160C">
                    <w:rPr>
                      <w:sz w:val="22"/>
                      <w:szCs w:val="22"/>
                      <w:lang w:val="es-ES"/>
                    </w:rPr>
                    <w:t>la</w:t>
                  </w:r>
                  <w:r>
                    <w:rPr>
                      <w:sz w:val="22"/>
                      <w:szCs w:val="22"/>
                      <w:lang w:val="es-ES"/>
                    </w:rPr>
                    <w:t xml:space="preserve"> </w:t>
                  </w:r>
                  <w:r w:rsidRPr="00B7160C">
                    <w:rPr>
                      <w:sz w:val="22"/>
                      <w:szCs w:val="22"/>
                      <w:lang w:val="es-ES"/>
                    </w:rPr>
                    <w:t xml:space="preserve">UIT en la aplicación de la Agenda </w:t>
                  </w:r>
                  <w:r w:rsidR="00620666">
                    <w:rPr>
                      <w:sz w:val="22"/>
                      <w:szCs w:val="22"/>
                      <w:lang w:val="es-ES"/>
                    </w:rPr>
                    <w:t>"</w:t>
                  </w:r>
                  <w:r w:rsidRPr="00B7160C">
                    <w:rPr>
                      <w:sz w:val="22"/>
                      <w:szCs w:val="22"/>
                      <w:lang w:val="es-ES"/>
                    </w:rPr>
                    <w:t>Espacio2030</w:t>
                  </w:r>
                  <w:r w:rsidR="00620666">
                    <w:rPr>
                      <w:sz w:val="22"/>
                      <w:szCs w:val="22"/>
                      <w:lang w:val="es-ES"/>
                    </w:rPr>
                    <w:t>"</w:t>
                  </w:r>
                  <w:r w:rsidRPr="00B7160C">
                    <w:rPr>
                      <w:sz w:val="22"/>
                      <w:szCs w:val="22"/>
                      <w:lang w:val="es-ES"/>
                    </w:rPr>
                    <w:t>: el espacio como motor del desarrollo sostenible, así como de sus procesos de</w:t>
                  </w:r>
                  <w:r>
                    <w:rPr>
                      <w:sz w:val="22"/>
                      <w:szCs w:val="22"/>
                      <w:lang w:val="es-ES"/>
                    </w:rPr>
                    <w:t xml:space="preserve"> seguimiento y examen</w:t>
                  </w:r>
                </w:p>
              </w:tc>
              <w:tc>
                <w:tcPr>
                  <w:tcW w:w="1410" w:type="pct"/>
                </w:tcPr>
                <w:p w14:paraId="1FBAAF80" w14:textId="3D08594D" w:rsidR="005A2AA3" w:rsidRPr="005A2AA3" w:rsidRDefault="00D759DE" w:rsidP="005A2AA3">
                  <w:pPr>
                    <w:framePr w:hSpace="180" w:wrap="around" w:vAnchor="page" w:hAnchor="page" w:x="1821" w:y="2317"/>
                    <w:tabs>
                      <w:tab w:val="clear" w:pos="567"/>
                      <w:tab w:val="clear" w:pos="1134"/>
                      <w:tab w:val="clear" w:pos="1701"/>
                      <w:tab w:val="clear" w:pos="2268"/>
                    </w:tabs>
                    <w:spacing w:before="80" w:after="80"/>
                    <w:ind w:right="177"/>
                    <w:jc w:val="center"/>
                    <w:rPr>
                      <w:rFonts w:asciiTheme="minorHAnsi" w:hAnsiTheme="minorHAnsi" w:cstheme="minorHAnsi"/>
                      <w:sz w:val="22"/>
                      <w:szCs w:val="22"/>
                      <w:lang w:val="en-CA"/>
                    </w:rPr>
                  </w:pPr>
                  <w:hyperlink r:id="rId8" w:history="1">
                    <w:r w:rsidR="005A2AA3" w:rsidRPr="005A2AA3">
                      <w:rPr>
                        <w:rStyle w:val="Hyperlink"/>
                        <w:rFonts w:cs="Calibri"/>
                        <w:bCs/>
                        <w:sz w:val="22"/>
                        <w:szCs w:val="22"/>
                        <w:lang w:val="en-US"/>
                      </w:rPr>
                      <w:t>C23/58</w:t>
                    </w:r>
                  </w:hyperlink>
                </w:p>
              </w:tc>
            </w:tr>
            <w:tr w:rsidR="005A2AA3" w:rsidRPr="00DF2340" w14:paraId="03AD913B" w14:textId="77777777" w:rsidTr="00C1083D">
              <w:trPr>
                <w:trHeight w:val="20"/>
              </w:trPr>
              <w:tc>
                <w:tcPr>
                  <w:tcW w:w="255" w:type="pct"/>
                </w:tcPr>
                <w:p w14:paraId="0220E7E6" w14:textId="77777777" w:rsidR="005A2AA3" w:rsidRPr="00DF2340" w:rsidRDefault="005A2AA3" w:rsidP="005A2AA3">
                  <w:pPr>
                    <w:framePr w:hSpace="180" w:wrap="around" w:vAnchor="page" w:hAnchor="page" w:x="1821" w:y="2317"/>
                    <w:spacing w:before="80" w:after="80"/>
                    <w:rPr>
                      <w:sz w:val="22"/>
                      <w:szCs w:val="22"/>
                      <w:lang w:val="en-CA"/>
                    </w:rPr>
                  </w:pPr>
                  <w:r w:rsidRPr="00DF2340">
                    <w:rPr>
                      <w:sz w:val="22"/>
                      <w:szCs w:val="22"/>
                      <w:lang w:val="en-CA"/>
                    </w:rPr>
                    <w:t>3</w:t>
                  </w:r>
                </w:p>
              </w:tc>
              <w:tc>
                <w:tcPr>
                  <w:tcW w:w="3335" w:type="pct"/>
                </w:tcPr>
                <w:p w14:paraId="436D0638" w14:textId="611B31C8" w:rsidR="005A2AA3" w:rsidRPr="00CF4C78" w:rsidRDefault="00B7160C" w:rsidP="005A2AA3">
                  <w:pPr>
                    <w:framePr w:hSpace="180" w:wrap="around" w:vAnchor="page" w:hAnchor="page" w:x="1821" w:y="2317"/>
                    <w:spacing w:before="80" w:after="80"/>
                    <w:rPr>
                      <w:rFonts w:asciiTheme="minorHAnsi" w:hAnsiTheme="minorHAnsi" w:cstheme="minorHAnsi"/>
                      <w:sz w:val="22"/>
                      <w:szCs w:val="22"/>
                      <w:lang w:val="es-ES"/>
                    </w:rPr>
                  </w:pPr>
                  <w:r w:rsidRPr="00CF4C78">
                    <w:rPr>
                      <w:sz w:val="22"/>
                      <w:szCs w:val="22"/>
                      <w:lang w:val="es-ES"/>
                    </w:rPr>
                    <w:t>Actividades de formación de la UIT</w:t>
                  </w:r>
                </w:p>
              </w:tc>
              <w:tc>
                <w:tcPr>
                  <w:tcW w:w="1410" w:type="pct"/>
                  <w:vAlign w:val="center"/>
                </w:tcPr>
                <w:p w14:paraId="48947DDE" w14:textId="0E55F13B" w:rsidR="005A2AA3" w:rsidRPr="005A2AA3" w:rsidRDefault="00D759DE" w:rsidP="005A2AA3">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 w:val="22"/>
                      <w:szCs w:val="22"/>
                      <w:lang w:val="en-CA"/>
                    </w:rPr>
                  </w:pPr>
                  <w:hyperlink r:id="rId9" w:history="1">
                    <w:r w:rsidR="005A2AA3" w:rsidRPr="005A2AA3">
                      <w:rPr>
                        <w:rStyle w:val="Hyperlink"/>
                        <w:rFonts w:cs="Calibri"/>
                        <w:bCs/>
                        <w:sz w:val="22"/>
                        <w:szCs w:val="22"/>
                        <w:lang w:val="en-US"/>
                      </w:rPr>
                      <w:t>C23/5</w:t>
                    </w:r>
                  </w:hyperlink>
                </w:p>
              </w:tc>
            </w:tr>
            <w:tr w:rsidR="005A2AA3" w:rsidRPr="00DF2340" w14:paraId="365094B8" w14:textId="77777777" w:rsidTr="004367F0">
              <w:trPr>
                <w:trHeight w:val="20"/>
              </w:trPr>
              <w:tc>
                <w:tcPr>
                  <w:tcW w:w="255" w:type="pct"/>
                </w:tcPr>
                <w:p w14:paraId="34A94745" w14:textId="77777777" w:rsidR="005A2AA3" w:rsidRPr="00DF2340" w:rsidRDefault="005A2AA3" w:rsidP="005A2AA3">
                  <w:pPr>
                    <w:framePr w:hSpace="180" w:wrap="around" w:vAnchor="page" w:hAnchor="page" w:x="1821" w:y="2317"/>
                    <w:spacing w:before="80" w:after="80"/>
                    <w:rPr>
                      <w:sz w:val="22"/>
                      <w:szCs w:val="22"/>
                      <w:lang w:val="en-CA"/>
                    </w:rPr>
                  </w:pPr>
                  <w:r w:rsidRPr="00DF2340">
                    <w:rPr>
                      <w:sz w:val="22"/>
                      <w:szCs w:val="22"/>
                      <w:lang w:val="en-CA"/>
                    </w:rPr>
                    <w:t>4</w:t>
                  </w:r>
                </w:p>
              </w:tc>
              <w:tc>
                <w:tcPr>
                  <w:tcW w:w="3335" w:type="pct"/>
                </w:tcPr>
                <w:p w14:paraId="5D1FFCCE" w14:textId="3F3C7E4C" w:rsidR="005A2AA3" w:rsidRPr="00CF4C78" w:rsidRDefault="005A2AA3" w:rsidP="005A2AA3">
                  <w:pPr>
                    <w:framePr w:hSpace="180" w:wrap="around" w:vAnchor="page" w:hAnchor="page" w:x="1821" w:y="2317"/>
                    <w:spacing w:before="80" w:after="80"/>
                    <w:rPr>
                      <w:rFonts w:asciiTheme="minorHAnsi" w:hAnsiTheme="minorHAnsi" w:cstheme="minorHAnsi"/>
                      <w:sz w:val="22"/>
                      <w:szCs w:val="22"/>
                      <w:lang w:val="es-ES"/>
                    </w:rPr>
                  </w:pPr>
                  <w:r w:rsidRPr="00CF4C78">
                    <w:rPr>
                      <w:sz w:val="22"/>
                      <w:szCs w:val="22"/>
                      <w:lang w:val="es-ES"/>
                    </w:rPr>
                    <w:t>Ta</w:t>
                  </w:r>
                  <w:r w:rsidR="00B7160C" w:rsidRPr="00CF4C78">
                    <w:rPr>
                      <w:sz w:val="22"/>
                      <w:szCs w:val="22"/>
                      <w:lang w:val="es-ES"/>
                    </w:rPr>
                    <w:t>reas y funciones del Vicesecretario General</w:t>
                  </w:r>
                </w:p>
              </w:tc>
              <w:tc>
                <w:tcPr>
                  <w:tcW w:w="1410" w:type="pct"/>
                </w:tcPr>
                <w:p w14:paraId="2F324367" w14:textId="25EF0DF3" w:rsidR="005A2AA3" w:rsidRPr="005A2AA3" w:rsidRDefault="00D759DE" w:rsidP="005A2AA3">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 w:val="22"/>
                      <w:szCs w:val="22"/>
                      <w:lang w:val="en-CA"/>
                    </w:rPr>
                  </w:pPr>
                  <w:hyperlink r:id="rId10" w:history="1">
                    <w:r w:rsidR="005A2AA3" w:rsidRPr="005A2AA3">
                      <w:rPr>
                        <w:rStyle w:val="Hyperlink"/>
                        <w:rFonts w:cs="Calibri"/>
                        <w:bCs/>
                        <w:sz w:val="22"/>
                        <w:szCs w:val="22"/>
                        <w:lang w:val="en-US"/>
                      </w:rPr>
                      <w:t>C23/29</w:t>
                    </w:r>
                  </w:hyperlink>
                </w:p>
              </w:tc>
            </w:tr>
            <w:tr w:rsidR="005A2AA3" w:rsidRPr="00DF2340" w14:paraId="7CF5A773" w14:textId="77777777" w:rsidTr="004367F0">
              <w:trPr>
                <w:trHeight w:val="20"/>
              </w:trPr>
              <w:tc>
                <w:tcPr>
                  <w:tcW w:w="255" w:type="pct"/>
                </w:tcPr>
                <w:p w14:paraId="0B2DB636" w14:textId="7725E9C0" w:rsidR="005A2AA3" w:rsidRPr="00DF2340" w:rsidRDefault="005A2AA3" w:rsidP="005A2AA3">
                  <w:pPr>
                    <w:framePr w:hSpace="180" w:wrap="around" w:vAnchor="page" w:hAnchor="page" w:x="1821" w:y="2317"/>
                    <w:spacing w:before="80" w:after="80"/>
                    <w:rPr>
                      <w:sz w:val="22"/>
                      <w:szCs w:val="22"/>
                      <w:lang w:val="en-CA"/>
                    </w:rPr>
                  </w:pPr>
                  <w:r>
                    <w:rPr>
                      <w:sz w:val="22"/>
                      <w:szCs w:val="22"/>
                      <w:lang w:val="en-CA"/>
                    </w:rPr>
                    <w:t>5</w:t>
                  </w:r>
                </w:p>
              </w:tc>
              <w:tc>
                <w:tcPr>
                  <w:tcW w:w="3335" w:type="pct"/>
                </w:tcPr>
                <w:p w14:paraId="73B3F11C" w14:textId="37F3AB33" w:rsidR="005A2AA3" w:rsidRPr="00CF4C78" w:rsidRDefault="00B7160C" w:rsidP="005A2AA3">
                  <w:pPr>
                    <w:framePr w:hSpace="180" w:wrap="around" w:vAnchor="page" w:hAnchor="page" w:x="1821" w:y="2317"/>
                    <w:spacing w:before="80" w:after="80"/>
                    <w:rPr>
                      <w:rFonts w:asciiTheme="minorHAnsi" w:hAnsiTheme="minorHAnsi" w:cstheme="minorHAnsi"/>
                      <w:sz w:val="22"/>
                      <w:szCs w:val="22"/>
                      <w:lang w:val="es-ES"/>
                    </w:rPr>
                  </w:pPr>
                  <w:r w:rsidRPr="00CF4C78">
                    <w:rPr>
                      <w:sz w:val="22"/>
                      <w:szCs w:val="22"/>
                      <w:lang w:val="es-ES"/>
                    </w:rPr>
                    <w:t>Estrategia de coordinación de los trabajos de los tres Sectores de la Unión</w:t>
                  </w:r>
                </w:p>
              </w:tc>
              <w:tc>
                <w:tcPr>
                  <w:tcW w:w="1410" w:type="pct"/>
                </w:tcPr>
                <w:p w14:paraId="5935B88C" w14:textId="7E3CE2F3" w:rsidR="005A2AA3" w:rsidRPr="005A2AA3" w:rsidRDefault="00D759DE" w:rsidP="005A2AA3">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lang w:val="en-CA"/>
                    </w:rPr>
                  </w:pPr>
                  <w:hyperlink r:id="rId11" w:history="1">
                    <w:r w:rsidR="005A2AA3" w:rsidRPr="005A2AA3">
                      <w:rPr>
                        <w:rStyle w:val="Hyperlink"/>
                        <w:rFonts w:asciiTheme="minorHAnsi" w:hAnsiTheme="minorHAnsi" w:cstheme="minorHAnsi"/>
                        <w:bCs/>
                        <w:sz w:val="22"/>
                        <w:szCs w:val="22"/>
                        <w:lang w:val="en-US"/>
                      </w:rPr>
                      <w:t>C23/27</w:t>
                    </w:r>
                  </w:hyperlink>
                  <w:r w:rsidR="005A2AA3" w:rsidRPr="005A2AA3">
                    <w:rPr>
                      <w:rStyle w:val="Hyperlink"/>
                      <w:rFonts w:asciiTheme="minorHAnsi" w:hAnsiTheme="minorHAnsi" w:cstheme="minorHAnsi"/>
                      <w:bCs/>
                      <w:color w:val="auto"/>
                      <w:sz w:val="22"/>
                      <w:szCs w:val="22"/>
                      <w:u w:val="none"/>
                      <w:lang w:val="en-US"/>
                    </w:rPr>
                    <w:t xml:space="preserve">, </w:t>
                  </w:r>
                  <w:r w:rsidR="005A2AA3" w:rsidRPr="005A2AA3">
                    <w:rPr>
                      <w:rStyle w:val="Hyperlink"/>
                      <w:rFonts w:asciiTheme="minorHAnsi" w:hAnsiTheme="minorHAnsi" w:cstheme="minorHAnsi"/>
                      <w:bCs/>
                      <w:sz w:val="22"/>
                      <w:szCs w:val="22"/>
                      <w:lang w:val="en-US"/>
                    </w:rPr>
                    <w:br/>
                  </w:r>
                  <w:hyperlink r:id="rId12" w:history="1">
                    <w:r w:rsidR="005A2AA3" w:rsidRPr="005A2AA3">
                      <w:rPr>
                        <w:rStyle w:val="Hyperlink"/>
                        <w:bCs/>
                        <w:sz w:val="22"/>
                        <w:szCs w:val="22"/>
                      </w:rPr>
                      <w:t>C23/72(Rev.1)+Corr.1</w:t>
                    </w:r>
                  </w:hyperlink>
                  <w:r w:rsidR="005A2AA3" w:rsidRPr="005A2AA3">
                    <w:rPr>
                      <w:rStyle w:val="Hyperlink"/>
                      <w:bCs/>
                      <w:color w:val="auto"/>
                      <w:sz w:val="22"/>
                      <w:szCs w:val="22"/>
                      <w:u w:val="none"/>
                    </w:rPr>
                    <w:t xml:space="preserve">, </w:t>
                  </w:r>
                  <w:r w:rsidR="005A2AA3" w:rsidRPr="005A2AA3">
                    <w:rPr>
                      <w:rStyle w:val="Hyperlink"/>
                      <w:bCs/>
                      <w:sz w:val="22"/>
                      <w:szCs w:val="22"/>
                    </w:rPr>
                    <w:br/>
                  </w:r>
                  <w:hyperlink r:id="rId13" w:history="1">
                    <w:r w:rsidR="005A2AA3" w:rsidRPr="005A2AA3">
                      <w:rPr>
                        <w:rStyle w:val="Hyperlink"/>
                        <w:bCs/>
                        <w:sz w:val="22"/>
                        <w:szCs w:val="22"/>
                      </w:rPr>
                      <w:t>C23/79</w:t>
                    </w:r>
                  </w:hyperlink>
                </w:p>
              </w:tc>
            </w:tr>
            <w:bookmarkEnd w:id="6"/>
          </w:tbl>
          <w:p w14:paraId="65250B1E" w14:textId="77777777" w:rsidR="00AD3606" w:rsidRDefault="00AD3606" w:rsidP="00F16BAB">
            <w:pPr>
              <w:spacing w:after="160"/>
            </w:pPr>
          </w:p>
        </w:tc>
      </w:tr>
      <w:bookmarkEnd w:id="5"/>
    </w:tbl>
    <w:p w14:paraId="7FE52F59" w14:textId="77777777" w:rsidR="0090147A" w:rsidRPr="00D759DE"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D759DE">
        <w:rPr>
          <w:lang w:val="en-US"/>
        </w:rPr>
        <w:br w:type="page"/>
      </w:r>
    </w:p>
    <w:p w14:paraId="6B60B222" w14:textId="389E278D" w:rsidR="005A2AA3" w:rsidRPr="00B7160C"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b/>
          <w:bCs/>
          <w:szCs w:val="24"/>
          <w:lang w:val="es-ES"/>
        </w:rPr>
      </w:pPr>
      <w:r w:rsidRPr="00B7160C">
        <w:rPr>
          <w:rFonts w:asciiTheme="minorHAnsi" w:hAnsiTheme="minorHAnsi" w:cstheme="minorHAnsi"/>
          <w:b/>
          <w:bCs/>
          <w:szCs w:val="24"/>
          <w:lang w:val="es-ES"/>
        </w:rPr>
        <w:lastRenderedPageBreak/>
        <w:t>1</w:t>
      </w:r>
      <w:r w:rsidRPr="00B7160C">
        <w:rPr>
          <w:rFonts w:asciiTheme="minorHAnsi" w:hAnsiTheme="minorHAnsi" w:cstheme="minorHAnsi"/>
          <w:b/>
          <w:bCs/>
          <w:szCs w:val="24"/>
          <w:lang w:val="es-ES"/>
        </w:rPr>
        <w:tab/>
        <w:t>An</w:t>
      </w:r>
      <w:r w:rsidR="00B7160C" w:rsidRPr="00B7160C">
        <w:rPr>
          <w:rFonts w:asciiTheme="minorHAnsi" w:hAnsiTheme="minorHAnsi" w:cstheme="minorHAnsi"/>
          <w:b/>
          <w:bCs/>
          <w:szCs w:val="24"/>
          <w:lang w:val="es-ES"/>
        </w:rPr>
        <w:t>uncio del Director de la</w:t>
      </w:r>
      <w:r w:rsidRPr="00B7160C">
        <w:rPr>
          <w:rFonts w:asciiTheme="minorHAnsi" w:hAnsiTheme="minorHAnsi" w:cstheme="minorHAnsi"/>
          <w:b/>
          <w:bCs/>
          <w:szCs w:val="24"/>
          <w:lang w:val="es-ES"/>
        </w:rPr>
        <w:t xml:space="preserve"> BR</w:t>
      </w:r>
    </w:p>
    <w:p w14:paraId="779EA5EE" w14:textId="2A1CEB59" w:rsidR="005A2AA3" w:rsidRPr="00B7160C"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B7160C">
        <w:rPr>
          <w:rFonts w:asciiTheme="minorHAnsi" w:hAnsiTheme="minorHAnsi" w:cstheme="minorHAnsi"/>
          <w:szCs w:val="24"/>
          <w:lang w:val="es-ES"/>
        </w:rPr>
        <w:t>1.1</w:t>
      </w:r>
      <w:r w:rsidRPr="00B7160C">
        <w:rPr>
          <w:rFonts w:asciiTheme="minorHAnsi" w:hAnsiTheme="minorHAnsi" w:cstheme="minorHAnsi"/>
          <w:szCs w:val="24"/>
          <w:lang w:val="es-ES"/>
        </w:rPr>
        <w:tab/>
      </w:r>
      <w:r w:rsidR="00B7160C" w:rsidRPr="00B7160C">
        <w:rPr>
          <w:rFonts w:asciiTheme="minorHAnsi" w:hAnsiTheme="minorHAnsi" w:cstheme="minorHAnsi"/>
          <w:szCs w:val="24"/>
          <w:lang w:val="es-ES"/>
        </w:rPr>
        <w:t xml:space="preserve">El </w:t>
      </w:r>
      <w:r w:rsidRPr="00B7160C">
        <w:rPr>
          <w:rFonts w:asciiTheme="minorHAnsi" w:hAnsiTheme="minorHAnsi" w:cstheme="minorHAnsi"/>
          <w:szCs w:val="24"/>
          <w:lang w:val="es-ES"/>
        </w:rPr>
        <w:t xml:space="preserve">Director </w:t>
      </w:r>
      <w:r w:rsidR="00B7160C" w:rsidRPr="00B7160C">
        <w:rPr>
          <w:rFonts w:asciiTheme="minorHAnsi" w:hAnsiTheme="minorHAnsi" w:cstheme="minorHAnsi"/>
          <w:szCs w:val="24"/>
          <w:lang w:val="es-ES"/>
        </w:rPr>
        <w:t>de la</w:t>
      </w:r>
      <w:r w:rsidRPr="00B7160C">
        <w:rPr>
          <w:rFonts w:asciiTheme="minorHAnsi" w:hAnsiTheme="minorHAnsi" w:cstheme="minorHAnsi"/>
          <w:szCs w:val="24"/>
          <w:lang w:val="es-ES"/>
        </w:rPr>
        <w:t xml:space="preserve"> BR </w:t>
      </w:r>
      <w:r w:rsidR="00B7160C" w:rsidRPr="00B7160C">
        <w:rPr>
          <w:rFonts w:asciiTheme="minorHAnsi" w:hAnsiTheme="minorHAnsi" w:cstheme="minorHAnsi"/>
          <w:szCs w:val="24"/>
          <w:lang w:val="es-ES"/>
        </w:rPr>
        <w:t>se complace en anunciar que la UIT ha recibido el prestigioso premio</w:t>
      </w:r>
      <w:r w:rsidRPr="00B7160C">
        <w:rPr>
          <w:rFonts w:asciiTheme="minorHAnsi" w:hAnsiTheme="minorHAnsi" w:cstheme="minorHAnsi"/>
          <w:szCs w:val="24"/>
          <w:lang w:val="es-ES"/>
        </w:rPr>
        <w:t xml:space="preserve"> Emmy Technology and Engineering</w:t>
      </w:r>
      <w:r w:rsidR="00B7160C">
        <w:rPr>
          <w:rFonts w:asciiTheme="minorHAnsi" w:hAnsiTheme="minorHAnsi" w:cstheme="minorHAnsi"/>
          <w:szCs w:val="24"/>
          <w:lang w:val="es-ES"/>
        </w:rPr>
        <w:t>, concedido por la Academia Nacional de Artes y Ciencias de la Televisión (</w:t>
      </w:r>
      <w:r w:rsidRPr="00B7160C">
        <w:rPr>
          <w:rFonts w:asciiTheme="minorHAnsi" w:hAnsiTheme="minorHAnsi" w:cstheme="minorHAnsi"/>
          <w:i/>
          <w:iCs/>
          <w:szCs w:val="24"/>
          <w:lang w:val="es-ES"/>
        </w:rPr>
        <w:t>National Academy of Television Arts and Sciences</w:t>
      </w:r>
      <w:r w:rsidR="00B7160C">
        <w:rPr>
          <w:rFonts w:asciiTheme="minorHAnsi" w:hAnsiTheme="minorHAnsi" w:cstheme="minorHAnsi"/>
          <w:szCs w:val="24"/>
          <w:lang w:val="es-ES"/>
        </w:rPr>
        <w:t>)</w:t>
      </w:r>
      <w:r w:rsidRPr="00B7160C">
        <w:rPr>
          <w:rFonts w:asciiTheme="minorHAnsi" w:hAnsiTheme="minorHAnsi" w:cstheme="minorHAnsi"/>
          <w:szCs w:val="24"/>
          <w:lang w:val="es-ES"/>
        </w:rPr>
        <w:t xml:space="preserve">. </w:t>
      </w:r>
      <w:r w:rsidR="00B7160C" w:rsidRPr="00B7160C">
        <w:rPr>
          <w:rFonts w:asciiTheme="minorHAnsi" w:hAnsiTheme="minorHAnsi" w:cstheme="minorHAnsi"/>
          <w:szCs w:val="24"/>
          <w:lang w:val="es-ES"/>
        </w:rPr>
        <w:t>El premio reconoce los trabajos de la Comisión de Estudio 6 del UIT-R y la Recomendación UIT</w:t>
      </w:r>
      <w:r w:rsidRPr="00B7160C">
        <w:rPr>
          <w:rFonts w:asciiTheme="minorHAnsi" w:hAnsiTheme="minorHAnsi" w:cstheme="minorHAnsi"/>
          <w:szCs w:val="24"/>
          <w:lang w:val="es-ES"/>
        </w:rPr>
        <w:t>-R BT</w:t>
      </w:r>
      <w:r w:rsidR="00B7160C">
        <w:rPr>
          <w:rFonts w:asciiTheme="minorHAnsi" w:hAnsiTheme="minorHAnsi" w:cstheme="minorHAnsi"/>
          <w:szCs w:val="24"/>
          <w:lang w:val="es-ES"/>
        </w:rPr>
        <w:t>.</w:t>
      </w:r>
      <w:r w:rsidRPr="00B7160C">
        <w:rPr>
          <w:rFonts w:asciiTheme="minorHAnsi" w:hAnsiTheme="minorHAnsi" w:cstheme="minorHAnsi"/>
          <w:szCs w:val="24"/>
          <w:lang w:val="es-ES"/>
        </w:rPr>
        <w:t xml:space="preserve">2100, </w:t>
      </w:r>
      <w:r w:rsidR="00B7160C">
        <w:rPr>
          <w:rFonts w:asciiTheme="minorHAnsi" w:hAnsiTheme="minorHAnsi" w:cstheme="minorHAnsi"/>
          <w:szCs w:val="24"/>
          <w:lang w:val="es-ES"/>
        </w:rPr>
        <w:t>Valores de los parámetros de imagen de los sistemas de televisión de elevada gama dinámica para la producción y el intercambio internacional de programas</w:t>
      </w:r>
      <w:r w:rsidRPr="00B7160C">
        <w:rPr>
          <w:rFonts w:asciiTheme="minorHAnsi" w:hAnsiTheme="minorHAnsi" w:cstheme="minorHAnsi"/>
          <w:szCs w:val="24"/>
          <w:lang w:val="es-ES"/>
        </w:rPr>
        <w:t>.</w:t>
      </w:r>
    </w:p>
    <w:p w14:paraId="1C509047" w14:textId="1A10A049" w:rsidR="005A2AA3" w:rsidRPr="00B7160C"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B7160C">
        <w:rPr>
          <w:rFonts w:asciiTheme="minorHAnsi" w:hAnsiTheme="minorHAnsi" w:cstheme="minorHAnsi"/>
          <w:szCs w:val="24"/>
          <w:lang w:val="es-ES"/>
        </w:rPr>
        <w:t>1.2</w:t>
      </w:r>
      <w:r w:rsidRPr="00B7160C">
        <w:rPr>
          <w:rFonts w:asciiTheme="minorHAnsi" w:hAnsiTheme="minorHAnsi" w:cstheme="minorHAnsi"/>
          <w:szCs w:val="24"/>
          <w:lang w:val="es-ES"/>
        </w:rPr>
        <w:tab/>
      </w:r>
      <w:r w:rsidR="00B7160C" w:rsidRPr="00B7160C">
        <w:rPr>
          <w:rFonts w:asciiTheme="minorHAnsi" w:hAnsiTheme="minorHAnsi" w:cstheme="minorHAnsi"/>
          <w:szCs w:val="24"/>
          <w:lang w:val="es-ES"/>
        </w:rPr>
        <w:t>Esta Recomendación atañe a toda la industria televisi</w:t>
      </w:r>
      <w:r w:rsidR="00B7160C">
        <w:rPr>
          <w:rFonts w:asciiTheme="minorHAnsi" w:hAnsiTheme="minorHAnsi" w:cstheme="minorHAnsi"/>
          <w:szCs w:val="24"/>
          <w:lang w:val="es-ES"/>
        </w:rPr>
        <w:t>v</w:t>
      </w:r>
      <w:r w:rsidR="00B7160C" w:rsidRPr="00B7160C">
        <w:rPr>
          <w:rFonts w:asciiTheme="minorHAnsi" w:hAnsiTheme="minorHAnsi" w:cstheme="minorHAnsi"/>
          <w:szCs w:val="24"/>
          <w:lang w:val="es-ES"/>
        </w:rPr>
        <w:t>a y se utiliza en virt</w:t>
      </w:r>
      <w:r w:rsidR="00B7160C">
        <w:rPr>
          <w:rFonts w:asciiTheme="minorHAnsi" w:hAnsiTheme="minorHAnsi" w:cstheme="minorHAnsi"/>
          <w:szCs w:val="24"/>
          <w:lang w:val="es-ES"/>
        </w:rPr>
        <w:t>u</w:t>
      </w:r>
      <w:r w:rsidR="00B7160C" w:rsidRPr="00B7160C">
        <w:rPr>
          <w:rFonts w:asciiTheme="minorHAnsi" w:hAnsiTheme="minorHAnsi" w:cstheme="minorHAnsi"/>
          <w:szCs w:val="24"/>
          <w:lang w:val="es-ES"/>
        </w:rPr>
        <w:t xml:space="preserve">almente todos los </w:t>
      </w:r>
      <w:r w:rsidR="00B7160C">
        <w:rPr>
          <w:rFonts w:asciiTheme="minorHAnsi" w:hAnsiTheme="minorHAnsi" w:cstheme="minorHAnsi"/>
          <w:szCs w:val="24"/>
          <w:lang w:val="es-ES"/>
        </w:rPr>
        <w:t>g</w:t>
      </w:r>
      <w:r w:rsidR="00B7160C" w:rsidRPr="00B7160C">
        <w:rPr>
          <w:rFonts w:asciiTheme="minorHAnsi" w:hAnsiTheme="minorHAnsi" w:cstheme="minorHAnsi"/>
          <w:szCs w:val="24"/>
          <w:lang w:val="es-ES"/>
        </w:rPr>
        <w:t>randes acontecimientos televisados, galvan</w:t>
      </w:r>
      <w:r w:rsidR="00B7160C">
        <w:rPr>
          <w:rFonts w:asciiTheme="minorHAnsi" w:hAnsiTheme="minorHAnsi" w:cstheme="minorHAnsi"/>
          <w:szCs w:val="24"/>
          <w:lang w:val="es-ES"/>
        </w:rPr>
        <w:t xml:space="preserve">izando así el desarrollo de productos de visualización profesionales y de consumo. </w:t>
      </w:r>
      <w:r w:rsidR="00B7160C" w:rsidRPr="00B7160C">
        <w:rPr>
          <w:rFonts w:asciiTheme="minorHAnsi" w:hAnsiTheme="minorHAnsi" w:cstheme="minorHAnsi"/>
          <w:szCs w:val="24"/>
          <w:lang w:val="es-ES"/>
        </w:rPr>
        <w:t>Esta es la tercera vez que el UIT-R recibe tal honor; los dos anteriores premios se recibieron en</w:t>
      </w:r>
      <w:r w:rsidRPr="00B7160C">
        <w:rPr>
          <w:rFonts w:asciiTheme="minorHAnsi" w:hAnsiTheme="minorHAnsi" w:cstheme="minorHAnsi"/>
          <w:szCs w:val="24"/>
          <w:lang w:val="es-ES"/>
        </w:rPr>
        <w:t xml:space="preserve"> 1983 </w:t>
      </w:r>
      <w:r w:rsidR="00B7160C" w:rsidRPr="00B7160C">
        <w:rPr>
          <w:rFonts w:asciiTheme="minorHAnsi" w:hAnsiTheme="minorHAnsi" w:cstheme="minorHAnsi"/>
          <w:szCs w:val="24"/>
          <w:lang w:val="es-ES"/>
        </w:rPr>
        <w:t>y</w:t>
      </w:r>
      <w:r w:rsidRPr="00B7160C">
        <w:rPr>
          <w:rFonts w:asciiTheme="minorHAnsi" w:hAnsiTheme="minorHAnsi" w:cstheme="minorHAnsi"/>
          <w:szCs w:val="24"/>
          <w:lang w:val="es-ES"/>
        </w:rPr>
        <w:t xml:space="preserve"> 2011. </w:t>
      </w:r>
      <w:r w:rsidR="00B7160C" w:rsidRPr="00B7160C">
        <w:rPr>
          <w:rFonts w:asciiTheme="minorHAnsi" w:hAnsiTheme="minorHAnsi" w:cstheme="minorHAnsi"/>
          <w:szCs w:val="24"/>
          <w:lang w:val="es-ES"/>
        </w:rPr>
        <w:t>Las importantísimas normas internacionales definidas por el UIT-R sirven para fomentar la adopción</w:t>
      </w:r>
      <w:r w:rsidR="00B7160C">
        <w:rPr>
          <w:rFonts w:asciiTheme="minorHAnsi" w:hAnsiTheme="minorHAnsi" w:cstheme="minorHAnsi"/>
          <w:szCs w:val="24"/>
          <w:lang w:val="es-ES"/>
        </w:rPr>
        <w:t xml:space="preserve"> y el disfrute generalizados de los servicios de radiodifusión</w:t>
      </w:r>
      <w:r w:rsidRPr="00B7160C">
        <w:rPr>
          <w:rFonts w:asciiTheme="minorHAnsi" w:hAnsiTheme="minorHAnsi" w:cstheme="minorHAnsi"/>
          <w:szCs w:val="24"/>
          <w:lang w:val="es-ES"/>
        </w:rPr>
        <w:t>.</w:t>
      </w:r>
    </w:p>
    <w:p w14:paraId="101547D8" w14:textId="0588EE37" w:rsidR="005A2AA3" w:rsidRPr="00760A22" w:rsidRDefault="005A2AA3" w:rsidP="005A2AA3">
      <w:pPr>
        <w:tabs>
          <w:tab w:val="clear" w:pos="567"/>
          <w:tab w:val="clear" w:pos="1134"/>
          <w:tab w:val="clear" w:pos="1701"/>
          <w:tab w:val="clear" w:pos="2268"/>
          <w:tab w:val="clear" w:pos="2835"/>
        </w:tabs>
        <w:spacing w:before="240" w:after="120"/>
        <w:ind w:left="567" w:hanging="567"/>
        <w:jc w:val="both"/>
        <w:rPr>
          <w:rFonts w:asciiTheme="minorHAnsi" w:hAnsiTheme="minorHAnsi" w:cstheme="minorHAnsi"/>
          <w:b/>
          <w:bCs/>
          <w:szCs w:val="24"/>
          <w:lang w:val="es-ES"/>
        </w:rPr>
      </w:pPr>
      <w:r w:rsidRPr="00760A22">
        <w:rPr>
          <w:rFonts w:asciiTheme="minorHAnsi" w:hAnsiTheme="minorHAnsi" w:cstheme="minorHAnsi"/>
          <w:b/>
          <w:bCs/>
          <w:szCs w:val="24"/>
          <w:lang w:val="es-ES"/>
        </w:rPr>
        <w:t>2</w:t>
      </w:r>
      <w:r w:rsidRPr="00760A22">
        <w:rPr>
          <w:rFonts w:asciiTheme="minorHAnsi" w:hAnsiTheme="minorHAnsi" w:cstheme="minorHAnsi"/>
          <w:b/>
          <w:bCs/>
          <w:szCs w:val="24"/>
          <w:lang w:val="es-ES"/>
        </w:rPr>
        <w:tab/>
      </w:r>
      <w:proofErr w:type="gramStart"/>
      <w:r w:rsidR="00760A22" w:rsidRPr="00760A22">
        <w:rPr>
          <w:rFonts w:asciiTheme="minorHAnsi" w:hAnsiTheme="minorHAnsi" w:cstheme="minorHAnsi"/>
          <w:b/>
          <w:bCs/>
          <w:szCs w:val="24"/>
          <w:lang w:val="es-ES"/>
        </w:rPr>
        <w:t>Función</w:t>
      </w:r>
      <w:proofErr w:type="gramEnd"/>
      <w:r w:rsidR="00760A22" w:rsidRPr="00760A22">
        <w:rPr>
          <w:rFonts w:asciiTheme="minorHAnsi" w:hAnsiTheme="minorHAnsi" w:cstheme="minorHAnsi"/>
          <w:b/>
          <w:bCs/>
          <w:szCs w:val="24"/>
          <w:lang w:val="es-ES"/>
        </w:rPr>
        <w:t xml:space="preserve"> de la UIT en la aplicación de la Agenda </w:t>
      </w:r>
      <w:r w:rsidR="008D5489">
        <w:rPr>
          <w:rFonts w:asciiTheme="minorHAnsi" w:hAnsiTheme="minorHAnsi" w:cstheme="minorHAnsi"/>
          <w:b/>
          <w:bCs/>
          <w:szCs w:val="24"/>
          <w:lang w:val="es-ES"/>
        </w:rPr>
        <w:t>"</w:t>
      </w:r>
      <w:r w:rsidR="00760A22" w:rsidRPr="00760A22">
        <w:rPr>
          <w:rFonts w:asciiTheme="minorHAnsi" w:hAnsiTheme="minorHAnsi" w:cstheme="minorHAnsi"/>
          <w:b/>
          <w:bCs/>
          <w:szCs w:val="24"/>
          <w:lang w:val="es-ES"/>
        </w:rPr>
        <w:t>Espacio2030</w:t>
      </w:r>
      <w:r w:rsidR="008D5489">
        <w:rPr>
          <w:rFonts w:asciiTheme="minorHAnsi" w:hAnsiTheme="minorHAnsi" w:cstheme="minorHAnsi"/>
          <w:b/>
          <w:bCs/>
          <w:szCs w:val="24"/>
          <w:lang w:val="es-ES"/>
        </w:rPr>
        <w:t>"</w:t>
      </w:r>
      <w:r w:rsidR="00760A22" w:rsidRPr="00760A22">
        <w:rPr>
          <w:rFonts w:asciiTheme="minorHAnsi" w:hAnsiTheme="minorHAnsi" w:cstheme="minorHAnsi"/>
          <w:b/>
          <w:bCs/>
          <w:szCs w:val="24"/>
          <w:lang w:val="es-ES"/>
        </w:rPr>
        <w:t>: el espacio como</w:t>
      </w:r>
      <w:r w:rsidR="00760A22">
        <w:rPr>
          <w:rFonts w:asciiTheme="minorHAnsi" w:hAnsiTheme="minorHAnsi" w:cstheme="minorHAnsi"/>
          <w:b/>
          <w:bCs/>
          <w:szCs w:val="24"/>
          <w:lang w:val="es-ES"/>
        </w:rPr>
        <w:t xml:space="preserve"> motor del desarrollo sostenible, así como de sus procesos de seguimiento y examen</w:t>
      </w:r>
      <w:r w:rsidRPr="00760A22">
        <w:rPr>
          <w:rFonts w:asciiTheme="minorHAnsi" w:hAnsiTheme="minorHAnsi" w:cstheme="minorHAnsi"/>
          <w:b/>
          <w:bCs/>
          <w:szCs w:val="24"/>
          <w:lang w:val="es-ES"/>
        </w:rPr>
        <w:t xml:space="preserve"> (Document</w:t>
      </w:r>
      <w:r w:rsidR="00760A22">
        <w:rPr>
          <w:rFonts w:asciiTheme="minorHAnsi" w:hAnsiTheme="minorHAnsi" w:cstheme="minorHAnsi"/>
          <w:b/>
          <w:bCs/>
          <w:szCs w:val="24"/>
          <w:lang w:val="es-ES"/>
        </w:rPr>
        <w:t>o</w:t>
      </w:r>
      <w:r w:rsidRPr="00760A22">
        <w:rPr>
          <w:rFonts w:asciiTheme="minorHAnsi" w:hAnsiTheme="minorHAnsi" w:cstheme="minorHAnsi"/>
          <w:b/>
          <w:bCs/>
          <w:szCs w:val="24"/>
          <w:lang w:val="es-ES"/>
        </w:rPr>
        <w:t> </w:t>
      </w:r>
      <w:hyperlink r:id="rId14" w:history="1">
        <w:r w:rsidRPr="00760A22">
          <w:rPr>
            <w:rStyle w:val="Hyperlink"/>
            <w:rFonts w:asciiTheme="minorHAnsi" w:hAnsiTheme="minorHAnsi" w:cstheme="minorHAnsi"/>
            <w:b/>
            <w:bCs/>
            <w:szCs w:val="24"/>
            <w:lang w:val="es-ES"/>
          </w:rPr>
          <w:t>C23/58</w:t>
        </w:r>
      </w:hyperlink>
      <w:r w:rsidRPr="00760A22">
        <w:rPr>
          <w:rFonts w:asciiTheme="minorHAnsi" w:hAnsiTheme="minorHAnsi" w:cstheme="minorHAnsi"/>
          <w:b/>
          <w:bCs/>
          <w:szCs w:val="24"/>
          <w:lang w:val="es-ES"/>
        </w:rPr>
        <w:t>)</w:t>
      </w:r>
    </w:p>
    <w:p w14:paraId="1B71E0FE" w14:textId="1F5020F8" w:rsidR="005A2AA3" w:rsidRPr="00760A22"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b/>
          <w:bCs/>
          <w:szCs w:val="24"/>
          <w:lang w:val="es-ES"/>
        </w:rPr>
      </w:pPr>
      <w:r w:rsidRPr="00760A22">
        <w:rPr>
          <w:rFonts w:asciiTheme="minorHAnsi" w:eastAsiaTheme="majorEastAsia" w:hAnsiTheme="minorHAnsi" w:cstheme="minorHAnsi"/>
          <w:szCs w:val="24"/>
          <w:lang w:val="es-ES"/>
        </w:rPr>
        <w:t xml:space="preserve">2.1 </w:t>
      </w:r>
      <w:r w:rsidRPr="00760A22">
        <w:rPr>
          <w:rFonts w:asciiTheme="minorHAnsi" w:eastAsiaTheme="majorEastAsia" w:hAnsiTheme="minorHAnsi" w:cstheme="minorHAnsi"/>
          <w:szCs w:val="24"/>
          <w:lang w:val="es-ES"/>
        </w:rPr>
        <w:tab/>
      </w:r>
      <w:r w:rsidR="00760A22" w:rsidRPr="00760A22">
        <w:rPr>
          <w:rFonts w:asciiTheme="minorHAnsi" w:eastAsiaTheme="majorEastAsia" w:hAnsiTheme="minorHAnsi" w:cstheme="minorHAnsi"/>
          <w:szCs w:val="24"/>
          <w:lang w:val="es-ES"/>
        </w:rPr>
        <w:t>Un representante de la BR presenta el Documento</w:t>
      </w:r>
      <w:r w:rsidRPr="00760A22">
        <w:rPr>
          <w:rFonts w:asciiTheme="minorHAnsi" w:eastAsiaTheme="majorEastAsia" w:hAnsiTheme="minorHAnsi" w:cstheme="minorHAnsi"/>
          <w:szCs w:val="24"/>
          <w:lang w:val="es-ES"/>
        </w:rPr>
        <w:t xml:space="preserve"> C23/58, </w:t>
      </w:r>
      <w:r w:rsidR="00760A22" w:rsidRPr="00760A22">
        <w:rPr>
          <w:rFonts w:asciiTheme="minorHAnsi" w:eastAsiaTheme="majorEastAsia" w:hAnsiTheme="minorHAnsi" w:cstheme="minorHAnsi"/>
          <w:szCs w:val="24"/>
          <w:lang w:val="es-ES"/>
        </w:rPr>
        <w:t>que trata de la función de la UIT en la</w:t>
      </w:r>
      <w:r w:rsidR="00760A22">
        <w:rPr>
          <w:rFonts w:asciiTheme="minorHAnsi" w:eastAsiaTheme="majorEastAsia" w:hAnsiTheme="minorHAnsi" w:cstheme="minorHAnsi"/>
          <w:szCs w:val="24"/>
          <w:lang w:val="es-ES"/>
        </w:rPr>
        <w:t xml:space="preserve"> aplicación de la Agenda </w:t>
      </w:r>
      <w:r w:rsidR="002162E0">
        <w:rPr>
          <w:rFonts w:asciiTheme="minorHAnsi" w:eastAsiaTheme="majorEastAsia" w:hAnsiTheme="minorHAnsi" w:cstheme="minorHAnsi"/>
          <w:szCs w:val="24"/>
          <w:lang w:val="es-ES"/>
        </w:rPr>
        <w:t>"</w:t>
      </w:r>
      <w:r w:rsidR="00760A22">
        <w:rPr>
          <w:rFonts w:asciiTheme="minorHAnsi" w:eastAsiaTheme="majorEastAsia" w:hAnsiTheme="minorHAnsi" w:cstheme="minorHAnsi"/>
          <w:szCs w:val="24"/>
          <w:lang w:val="es-ES"/>
        </w:rPr>
        <w:t>Espacio</w:t>
      </w:r>
      <w:r w:rsidRPr="00760A22">
        <w:rPr>
          <w:rFonts w:asciiTheme="minorHAnsi" w:eastAsiaTheme="majorEastAsia" w:hAnsiTheme="minorHAnsi" w:cstheme="minorHAnsi"/>
          <w:szCs w:val="24"/>
          <w:lang w:val="es-ES"/>
        </w:rPr>
        <w:t>2030</w:t>
      </w:r>
      <w:r w:rsidR="002162E0">
        <w:rPr>
          <w:rFonts w:asciiTheme="minorHAnsi" w:eastAsiaTheme="majorEastAsia" w:hAnsiTheme="minorHAnsi" w:cstheme="minorHAnsi"/>
          <w:szCs w:val="24"/>
          <w:lang w:val="es-ES"/>
        </w:rPr>
        <w:t>"</w:t>
      </w:r>
      <w:r w:rsidRPr="00760A22">
        <w:rPr>
          <w:rFonts w:asciiTheme="minorHAnsi" w:eastAsiaTheme="majorEastAsia" w:hAnsiTheme="minorHAnsi" w:cstheme="minorHAnsi"/>
          <w:szCs w:val="24"/>
          <w:lang w:val="es-ES"/>
        </w:rPr>
        <w:t xml:space="preserve"> </w:t>
      </w:r>
      <w:r w:rsidR="00760A22">
        <w:rPr>
          <w:rFonts w:asciiTheme="minorHAnsi" w:eastAsiaTheme="majorEastAsia" w:hAnsiTheme="minorHAnsi" w:cstheme="minorHAnsi"/>
          <w:szCs w:val="24"/>
          <w:lang w:val="es-ES"/>
        </w:rPr>
        <w:t>e incluye en anexo los tres Informes solicitados por la Resolución</w:t>
      </w:r>
      <w:r w:rsidRPr="00760A22">
        <w:rPr>
          <w:rFonts w:asciiTheme="minorHAnsi" w:eastAsiaTheme="majorEastAsia" w:hAnsiTheme="minorHAnsi" w:cstheme="minorHAnsi"/>
          <w:szCs w:val="24"/>
          <w:lang w:val="es-ES"/>
        </w:rPr>
        <w:t xml:space="preserve"> 218 (Bucarest, 2022) </w:t>
      </w:r>
      <w:r w:rsidR="00760A22">
        <w:rPr>
          <w:rFonts w:asciiTheme="minorHAnsi" w:eastAsiaTheme="majorEastAsia" w:hAnsiTheme="minorHAnsi" w:cstheme="minorHAnsi"/>
          <w:szCs w:val="24"/>
          <w:lang w:val="es-ES"/>
        </w:rPr>
        <w:t>de la Conferencia de Plenipotenciarios</w:t>
      </w:r>
      <w:r w:rsidRPr="00760A22">
        <w:rPr>
          <w:rFonts w:asciiTheme="minorHAnsi" w:eastAsiaTheme="majorEastAsia" w:hAnsiTheme="minorHAnsi" w:cstheme="minorHAnsi"/>
          <w:szCs w:val="24"/>
          <w:lang w:val="es-ES"/>
        </w:rPr>
        <w:t>.</w:t>
      </w:r>
      <w:r w:rsidRPr="00760A22">
        <w:rPr>
          <w:rFonts w:asciiTheme="minorHAnsi" w:eastAsiaTheme="majorEastAsia" w:hAnsiTheme="minorHAnsi" w:cstheme="minorHAnsi"/>
          <w:b/>
          <w:bCs/>
          <w:szCs w:val="24"/>
          <w:lang w:val="es-ES"/>
        </w:rPr>
        <w:t xml:space="preserve"> </w:t>
      </w:r>
    </w:p>
    <w:p w14:paraId="7AD13A99" w14:textId="4335D155" w:rsidR="005A2AA3" w:rsidRPr="000C6F60"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es-ES"/>
        </w:rPr>
      </w:pPr>
      <w:r w:rsidRPr="00760A22">
        <w:rPr>
          <w:rFonts w:asciiTheme="minorHAnsi" w:eastAsiaTheme="majorEastAsia" w:hAnsiTheme="minorHAnsi" w:cstheme="minorHAnsi"/>
          <w:szCs w:val="24"/>
          <w:lang w:val="es-ES"/>
        </w:rPr>
        <w:t>2.2</w:t>
      </w:r>
      <w:r w:rsidRPr="00760A22">
        <w:rPr>
          <w:rFonts w:asciiTheme="minorHAnsi" w:eastAsiaTheme="majorEastAsia" w:hAnsiTheme="minorHAnsi" w:cstheme="minorHAnsi"/>
          <w:szCs w:val="24"/>
          <w:lang w:val="es-ES"/>
        </w:rPr>
        <w:tab/>
      </w:r>
      <w:r w:rsidR="00760A22" w:rsidRPr="00760A22">
        <w:rPr>
          <w:rFonts w:asciiTheme="minorHAnsi" w:eastAsiaTheme="majorEastAsia" w:hAnsiTheme="minorHAnsi" w:cstheme="minorHAnsi"/>
          <w:szCs w:val="24"/>
          <w:lang w:val="es-ES"/>
        </w:rPr>
        <w:t xml:space="preserve">En el Anexo 1 se da cuenta de la situación de los Planes regidos por </w:t>
      </w:r>
      <w:r w:rsidR="00760A22">
        <w:rPr>
          <w:rFonts w:asciiTheme="minorHAnsi" w:eastAsiaTheme="majorEastAsia" w:hAnsiTheme="minorHAnsi" w:cstheme="minorHAnsi"/>
          <w:szCs w:val="24"/>
          <w:lang w:val="es-ES"/>
        </w:rPr>
        <w:t>los Apéndices</w:t>
      </w:r>
      <w:r w:rsidRPr="00760A22">
        <w:rPr>
          <w:rFonts w:asciiTheme="minorHAnsi" w:eastAsiaTheme="majorEastAsia" w:hAnsiTheme="minorHAnsi" w:cstheme="minorHAnsi"/>
          <w:szCs w:val="24"/>
          <w:lang w:val="es-ES"/>
        </w:rPr>
        <w:t xml:space="preserve"> 30, 30A </w:t>
      </w:r>
      <w:r w:rsidR="00760A22">
        <w:rPr>
          <w:rFonts w:asciiTheme="minorHAnsi" w:eastAsiaTheme="majorEastAsia" w:hAnsiTheme="minorHAnsi" w:cstheme="minorHAnsi"/>
          <w:szCs w:val="24"/>
          <w:lang w:val="es-ES"/>
        </w:rPr>
        <w:t>y</w:t>
      </w:r>
      <w:r w:rsidRPr="00760A22">
        <w:rPr>
          <w:rFonts w:asciiTheme="minorHAnsi" w:eastAsiaTheme="majorEastAsia" w:hAnsiTheme="minorHAnsi" w:cstheme="minorHAnsi"/>
          <w:szCs w:val="24"/>
          <w:lang w:val="es-ES"/>
        </w:rPr>
        <w:t xml:space="preserve"> 30B </w:t>
      </w:r>
      <w:r w:rsidR="00760A22">
        <w:rPr>
          <w:rFonts w:asciiTheme="minorHAnsi" w:eastAsiaTheme="majorEastAsia" w:hAnsiTheme="minorHAnsi" w:cstheme="minorHAnsi"/>
          <w:szCs w:val="24"/>
          <w:lang w:val="es-ES"/>
        </w:rPr>
        <w:t xml:space="preserve">del Reglamento de Radiocomunicaciones. Cabe señalar que algunas administraciones carecen de adjudicación nacional en el Plan del servicio fijo por satélite (SFS) del Apéndice 30B al haberse adherido a la Unión tras la adopción del Plan en </w:t>
      </w:r>
      <w:r w:rsidRPr="00760A22">
        <w:rPr>
          <w:rFonts w:asciiTheme="minorHAnsi" w:hAnsiTheme="minorHAnsi" w:cstheme="minorHAnsi"/>
          <w:szCs w:val="24"/>
          <w:lang w:val="es-ES"/>
        </w:rPr>
        <w:t>1988</w:t>
      </w:r>
      <w:r w:rsidR="00760A22" w:rsidRPr="00760A22">
        <w:rPr>
          <w:rFonts w:asciiTheme="minorHAnsi" w:hAnsiTheme="minorHAnsi" w:cstheme="minorHAnsi"/>
          <w:szCs w:val="24"/>
          <w:lang w:val="es-ES"/>
        </w:rPr>
        <w:t>.</w:t>
      </w:r>
      <w:r w:rsidR="00760A22">
        <w:rPr>
          <w:rFonts w:asciiTheme="minorHAnsi" w:hAnsiTheme="minorHAnsi" w:cstheme="minorHAnsi"/>
          <w:szCs w:val="24"/>
          <w:lang w:val="es-ES"/>
        </w:rPr>
        <w:t xml:space="preserve"> </w:t>
      </w:r>
      <w:r w:rsidR="00760A22" w:rsidRPr="00760A22">
        <w:rPr>
          <w:rFonts w:asciiTheme="minorHAnsi" w:hAnsiTheme="minorHAnsi" w:cstheme="minorHAnsi"/>
          <w:szCs w:val="24"/>
          <w:lang w:val="es-ES"/>
        </w:rPr>
        <w:t xml:space="preserve">El UIT-R está tomando medidas para poner fin a esa </w:t>
      </w:r>
      <w:r w:rsidR="00760A22">
        <w:rPr>
          <w:rFonts w:asciiTheme="minorHAnsi" w:hAnsiTheme="minorHAnsi" w:cstheme="minorHAnsi"/>
          <w:szCs w:val="24"/>
          <w:lang w:val="es-ES"/>
        </w:rPr>
        <w:t xml:space="preserve">situación. </w:t>
      </w:r>
      <w:r w:rsidR="00760A22" w:rsidRPr="00760A22">
        <w:rPr>
          <w:rFonts w:asciiTheme="minorHAnsi" w:hAnsiTheme="minorHAnsi" w:cstheme="minorHAnsi"/>
          <w:szCs w:val="24"/>
          <w:lang w:val="es-ES"/>
        </w:rPr>
        <w:t>En el Anexo 2 se describe cómo cada una de</w:t>
      </w:r>
      <w:r w:rsidR="00760A22">
        <w:rPr>
          <w:rFonts w:asciiTheme="minorHAnsi" w:hAnsiTheme="minorHAnsi" w:cstheme="minorHAnsi"/>
          <w:szCs w:val="24"/>
          <w:lang w:val="es-ES"/>
        </w:rPr>
        <w:t xml:space="preserve"> las cinco prioridades temáticas del Plan Estratégico de la Unión contribuye a la aplicación de la Agenda </w:t>
      </w:r>
      <w:r w:rsidR="002162E0">
        <w:rPr>
          <w:rFonts w:asciiTheme="minorHAnsi" w:hAnsiTheme="minorHAnsi" w:cstheme="minorHAnsi"/>
          <w:szCs w:val="24"/>
          <w:lang w:val="es-ES"/>
        </w:rPr>
        <w:t>"</w:t>
      </w:r>
      <w:r w:rsidR="00760A22">
        <w:rPr>
          <w:rFonts w:asciiTheme="minorHAnsi" w:hAnsiTheme="minorHAnsi" w:cstheme="minorHAnsi"/>
          <w:szCs w:val="24"/>
          <w:lang w:val="es-ES"/>
        </w:rPr>
        <w:t>Espacio</w:t>
      </w:r>
      <w:r w:rsidRPr="00760A22">
        <w:rPr>
          <w:rFonts w:asciiTheme="minorHAnsi" w:hAnsiTheme="minorHAnsi" w:cstheme="minorHAnsi"/>
          <w:szCs w:val="24"/>
          <w:lang w:val="es-ES"/>
        </w:rPr>
        <w:t>2030</w:t>
      </w:r>
      <w:r w:rsidR="002162E0">
        <w:rPr>
          <w:rFonts w:asciiTheme="minorHAnsi" w:hAnsiTheme="minorHAnsi" w:cstheme="minorHAnsi"/>
          <w:szCs w:val="24"/>
          <w:lang w:val="es-ES"/>
        </w:rPr>
        <w:t>"</w:t>
      </w:r>
      <w:r w:rsidRPr="00760A22">
        <w:rPr>
          <w:rFonts w:asciiTheme="minorHAnsi" w:hAnsiTheme="minorHAnsi" w:cstheme="minorHAnsi"/>
          <w:szCs w:val="24"/>
          <w:lang w:val="es-ES"/>
        </w:rPr>
        <w:t xml:space="preserve"> </w:t>
      </w:r>
      <w:r w:rsidR="00760A22" w:rsidRPr="00760A22">
        <w:rPr>
          <w:rFonts w:asciiTheme="minorHAnsi" w:hAnsiTheme="minorHAnsi" w:cstheme="minorHAnsi"/>
          <w:szCs w:val="24"/>
          <w:lang w:val="es-ES"/>
        </w:rPr>
        <w:t>y</w:t>
      </w:r>
      <w:r w:rsidR="00760A22">
        <w:rPr>
          <w:rFonts w:asciiTheme="minorHAnsi" w:hAnsiTheme="minorHAnsi" w:cstheme="minorHAnsi"/>
          <w:szCs w:val="24"/>
          <w:lang w:val="es-ES"/>
        </w:rPr>
        <w:t xml:space="preserve"> sus cuatro objetivos generales, que se estructuran en torno a cuatro pilares, a saber, economía espacial, sociedad espacial, accesibilidad espacial y diplomacia espacial. </w:t>
      </w:r>
      <w:r w:rsidR="00760A22" w:rsidRPr="000C6F60">
        <w:rPr>
          <w:rFonts w:asciiTheme="minorHAnsi" w:hAnsiTheme="minorHAnsi" w:cstheme="minorHAnsi"/>
          <w:szCs w:val="24"/>
          <w:lang w:val="es-ES"/>
        </w:rPr>
        <w:t>En el Anexo 3</w:t>
      </w:r>
      <w:r w:rsidR="000C6F60" w:rsidRPr="000C6F60">
        <w:rPr>
          <w:rFonts w:asciiTheme="minorHAnsi" w:hAnsiTheme="minorHAnsi" w:cstheme="minorHAnsi"/>
          <w:szCs w:val="24"/>
          <w:lang w:val="es-ES"/>
        </w:rPr>
        <w:t xml:space="preserve"> se presenta información sobre la 41ª sesión de las Reuniones interinstitucionales de </w:t>
      </w:r>
      <w:r w:rsidR="000C6F60">
        <w:rPr>
          <w:rFonts w:asciiTheme="minorHAnsi" w:hAnsiTheme="minorHAnsi" w:cstheme="minorHAnsi"/>
          <w:szCs w:val="24"/>
          <w:lang w:val="es-ES"/>
        </w:rPr>
        <w:t>las Naciones Unidas sobre actividades relativas al espacio ultraterrestre (ONU-Espacio</w:t>
      </w:r>
      <w:r w:rsidRPr="000C6F60">
        <w:rPr>
          <w:rFonts w:asciiTheme="minorHAnsi" w:hAnsiTheme="minorHAnsi" w:cstheme="minorHAnsi"/>
          <w:szCs w:val="24"/>
          <w:lang w:val="es-ES"/>
        </w:rPr>
        <w:t xml:space="preserve">). </w:t>
      </w:r>
    </w:p>
    <w:p w14:paraId="47C206FA" w14:textId="1EFC617E" w:rsidR="005A2AA3" w:rsidRPr="000C6F60"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es-ES"/>
        </w:rPr>
      </w:pPr>
      <w:r w:rsidRPr="000C6F60">
        <w:rPr>
          <w:rFonts w:asciiTheme="minorHAnsi" w:hAnsiTheme="minorHAnsi" w:cstheme="minorHAnsi"/>
          <w:szCs w:val="24"/>
          <w:lang w:val="es-ES"/>
        </w:rPr>
        <w:t>2.3</w:t>
      </w:r>
      <w:r w:rsidRPr="000C6F60">
        <w:rPr>
          <w:rFonts w:asciiTheme="minorHAnsi" w:hAnsiTheme="minorHAnsi" w:cstheme="minorHAnsi"/>
          <w:szCs w:val="24"/>
          <w:lang w:val="es-ES"/>
        </w:rPr>
        <w:tab/>
      </w:r>
      <w:r w:rsidR="000C6F60" w:rsidRPr="000C6F60">
        <w:rPr>
          <w:rFonts w:asciiTheme="minorHAnsi" w:hAnsiTheme="minorHAnsi" w:cstheme="minorHAnsi"/>
          <w:szCs w:val="24"/>
          <w:lang w:val="es-ES"/>
        </w:rPr>
        <w:t>Los consejeros subrayan la importancia de la Agenda Espacio2030 y sus cuatro objetivos generales en</w:t>
      </w:r>
      <w:r w:rsidR="000C6F60">
        <w:rPr>
          <w:rFonts w:asciiTheme="minorHAnsi" w:hAnsiTheme="minorHAnsi" w:cstheme="minorHAnsi"/>
          <w:szCs w:val="24"/>
          <w:lang w:val="es-ES"/>
        </w:rPr>
        <w:t xml:space="preserve"> un mundo donde el espacio es una prioridad y una importante herramienta para el desarrollo socioeconómico. </w:t>
      </w:r>
      <w:r w:rsidR="000C6F60" w:rsidRPr="000C6F60">
        <w:rPr>
          <w:rFonts w:asciiTheme="minorHAnsi" w:hAnsiTheme="minorHAnsi" w:cstheme="minorHAnsi"/>
          <w:szCs w:val="24"/>
          <w:lang w:val="es-ES"/>
        </w:rPr>
        <w:t>Los informes pres</w:t>
      </w:r>
      <w:r w:rsidR="000C6F60">
        <w:rPr>
          <w:rFonts w:asciiTheme="minorHAnsi" w:hAnsiTheme="minorHAnsi" w:cstheme="minorHAnsi"/>
          <w:szCs w:val="24"/>
          <w:lang w:val="es-ES"/>
        </w:rPr>
        <w:t>e</w:t>
      </w:r>
      <w:r w:rsidR="000C6F60" w:rsidRPr="000C6F60">
        <w:rPr>
          <w:rFonts w:asciiTheme="minorHAnsi" w:hAnsiTheme="minorHAnsi" w:cstheme="minorHAnsi"/>
          <w:szCs w:val="24"/>
          <w:lang w:val="es-ES"/>
        </w:rPr>
        <w:t xml:space="preserve">ntados resultan útiles, pues ofrecen información actualizada, y la UIT debe seguir desempeñando un papel </w:t>
      </w:r>
      <w:r w:rsidR="000C6F60">
        <w:rPr>
          <w:rFonts w:asciiTheme="minorHAnsi" w:hAnsiTheme="minorHAnsi" w:cstheme="minorHAnsi"/>
          <w:szCs w:val="24"/>
          <w:lang w:val="es-ES"/>
        </w:rPr>
        <w:t xml:space="preserve">esencial. </w:t>
      </w:r>
      <w:r w:rsidR="000C6F60" w:rsidRPr="000C6F60">
        <w:rPr>
          <w:rFonts w:asciiTheme="minorHAnsi" w:hAnsiTheme="minorHAnsi" w:cstheme="minorHAnsi"/>
          <w:szCs w:val="24"/>
          <w:lang w:val="es-ES"/>
        </w:rPr>
        <w:t>Un consejero dice que las actividades de la BR en el espacio son uno de los trab</w:t>
      </w:r>
      <w:r w:rsidR="000C6F60">
        <w:rPr>
          <w:rFonts w:asciiTheme="minorHAnsi" w:hAnsiTheme="minorHAnsi" w:cstheme="minorHAnsi"/>
          <w:szCs w:val="24"/>
          <w:lang w:val="es-ES"/>
        </w:rPr>
        <w:t xml:space="preserve">ajos más destacables de las organizaciones del sistema de Naciones Unidas. </w:t>
      </w:r>
      <w:r w:rsidR="000C6F60" w:rsidRPr="000C6F60">
        <w:rPr>
          <w:rFonts w:asciiTheme="minorHAnsi" w:hAnsiTheme="minorHAnsi" w:cstheme="minorHAnsi"/>
          <w:szCs w:val="24"/>
          <w:lang w:val="es-ES"/>
        </w:rPr>
        <w:t xml:space="preserve">A fin de economizar y explotar el espacio, la UIT y la BR deben emprender actividades innovadoras para reforzar y </w:t>
      </w:r>
      <w:r w:rsidR="000C6F60">
        <w:rPr>
          <w:rFonts w:asciiTheme="minorHAnsi" w:hAnsiTheme="minorHAnsi" w:cstheme="minorHAnsi"/>
          <w:szCs w:val="24"/>
          <w:lang w:val="es-ES"/>
        </w:rPr>
        <w:t>fomentar la conectividad y la inclusión digital y garantizar el acceso equitativo de todos los Estados Miembros a los recursos espaciales</w:t>
      </w:r>
      <w:r w:rsidRPr="000C6F60">
        <w:rPr>
          <w:rFonts w:asciiTheme="minorHAnsi" w:hAnsiTheme="minorHAnsi" w:cstheme="minorHAnsi"/>
          <w:szCs w:val="24"/>
          <w:lang w:val="es-ES"/>
        </w:rPr>
        <w:t xml:space="preserve">. </w:t>
      </w:r>
    </w:p>
    <w:p w14:paraId="79928759" w14:textId="16DC129B" w:rsidR="005A2AA3" w:rsidRPr="000C6F60"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0C6F60">
        <w:rPr>
          <w:rFonts w:asciiTheme="minorHAnsi" w:hAnsiTheme="minorHAnsi" w:cstheme="minorHAnsi"/>
          <w:szCs w:val="24"/>
          <w:lang w:val="es-ES"/>
        </w:rPr>
        <w:t>2.4</w:t>
      </w:r>
      <w:r w:rsidRPr="000C6F60">
        <w:rPr>
          <w:rFonts w:asciiTheme="minorHAnsi" w:hAnsiTheme="minorHAnsi" w:cstheme="minorHAnsi"/>
          <w:szCs w:val="24"/>
          <w:lang w:val="es-ES"/>
        </w:rPr>
        <w:tab/>
      </w:r>
      <w:r w:rsidR="000C6F60" w:rsidRPr="000C6F60">
        <w:rPr>
          <w:rFonts w:asciiTheme="minorHAnsi" w:hAnsiTheme="minorHAnsi" w:cstheme="minorHAnsi"/>
          <w:szCs w:val="24"/>
          <w:lang w:val="es-ES"/>
        </w:rPr>
        <w:t>Otra consejera dice que, si bien los trabajos destinados a paliar la deterioración de las situaciones de referencia de los Apéndices</w:t>
      </w:r>
      <w:r w:rsidRPr="000C6F60">
        <w:rPr>
          <w:rFonts w:asciiTheme="minorHAnsi" w:hAnsiTheme="minorHAnsi" w:cstheme="minorHAnsi"/>
          <w:szCs w:val="24"/>
          <w:lang w:val="es-ES"/>
        </w:rPr>
        <w:t xml:space="preserve"> 30, 30A </w:t>
      </w:r>
      <w:r w:rsidR="000C6F60" w:rsidRPr="000C6F60">
        <w:rPr>
          <w:rFonts w:asciiTheme="minorHAnsi" w:hAnsiTheme="minorHAnsi" w:cstheme="minorHAnsi"/>
          <w:szCs w:val="24"/>
          <w:lang w:val="es-ES"/>
        </w:rPr>
        <w:t>y</w:t>
      </w:r>
      <w:r w:rsidRPr="000C6F60">
        <w:rPr>
          <w:rFonts w:asciiTheme="minorHAnsi" w:hAnsiTheme="minorHAnsi" w:cstheme="minorHAnsi"/>
          <w:szCs w:val="24"/>
          <w:lang w:val="es-ES"/>
        </w:rPr>
        <w:t xml:space="preserve"> 30B </w:t>
      </w:r>
      <w:r w:rsidR="000C6F60">
        <w:rPr>
          <w:rFonts w:asciiTheme="minorHAnsi" w:hAnsiTheme="minorHAnsi" w:cstheme="minorHAnsi"/>
          <w:szCs w:val="24"/>
          <w:lang w:val="es-ES"/>
        </w:rPr>
        <w:t>del Reglamento de Radiocomunicaciones son de agradecer, también es necesario garantizar que la UIT, y en particular la</w:t>
      </w:r>
      <w:r w:rsidRPr="000C6F60">
        <w:rPr>
          <w:rFonts w:asciiTheme="minorHAnsi" w:hAnsiTheme="minorHAnsi" w:cstheme="minorHAnsi"/>
          <w:szCs w:val="24"/>
          <w:lang w:val="es-ES"/>
        </w:rPr>
        <w:t xml:space="preserve"> BR, </w:t>
      </w:r>
      <w:r w:rsidR="000C6F60">
        <w:rPr>
          <w:rFonts w:asciiTheme="minorHAnsi" w:hAnsiTheme="minorHAnsi" w:cstheme="minorHAnsi"/>
          <w:szCs w:val="24"/>
          <w:lang w:val="es-ES"/>
        </w:rPr>
        <w:t>siguen trabajando por la plena aplicación de la Resolución</w:t>
      </w:r>
      <w:r w:rsidRPr="000C6F60">
        <w:rPr>
          <w:rFonts w:asciiTheme="minorHAnsi" w:hAnsiTheme="minorHAnsi" w:cstheme="minorHAnsi"/>
          <w:szCs w:val="24"/>
          <w:lang w:val="es-ES"/>
        </w:rPr>
        <w:t xml:space="preserve"> 559 (</w:t>
      </w:r>
      <w:r w:rsidR="000C6F60">
        <w:rPr>
          <w:rFonts w:asciiTheme="minorHAnsi" w:hAnsiTheme="minorHAnsi" w:cstheme="minorHAnsi"/>
          <w:szCs w:val="24"/>
          <w:lang w:val="es-ES"/>
        </w:rPr>
        <w:t>CMR</w:t>
      </w:r>
      <w:r w:rsidRPr="000C6F60">
        <w:rPr>
          <w:rFonts w:asciiTheme="minorHAnsi" w:hAnsiTheme="minorHAnsi" w:cstheme="minorHAnsi"/>
          <w:szCs w:val="24"/>
          <w:lang w:val="es-ES"/>
        </w:rPr>
        <w:t xml:space="preserve">-19). </w:t>
      </w:r>
      <w:r w:rsidR="000C6F60" w:rsidRPr="000C6F60">
        <w:rPr>
          <w:rFonts w:asciiTheme="minorHAnsi" w:hAnsiTheme="minorHAnsi" w:cstheme="minorHAnsi"/>
          <w:szCs w:val="24"/>
          <w:lang w:val="es-ES"/>
        </w:rPr>
        <w:t xml:space="preserve">Habida cuenta de la importante degradación de las situaciones de referencia de los paíes en </w:t>
      </w:r>
      <w:r w:rsidR="000C6F60" w:rsidRPr="000C6F60">
        <w:rPr>
          <w:rFonts w:asciiTheme="minorHAnsi" w:hAnsiTheme="minorHAnsi" w:cstheme="minorHAnsi"/>
          <w:szCs w:val="24"/>
          <w:lang w:val="es-ES"/>
        </w:rPr>
        <w:lastRenderedPageBreak/>
        <w:t>desarrollo por la aplicación del acuerdo implícito, se pregun</w:t>
      </w:r>
      <w:r w:rsidR="000C6F60">
        <w:rPr>
          <w:rFonts w:asciiTheme="minorHAnsi" w:hAnsiTheme="minorHAnsi" w:cstheme="minorHAnsi"/>
          <w:szCs w:val="24"/>
          <w:lang w:val="es-ES"/>
        </w:rPr>
        <w:t>t</w:t>
      </w:r>
      <w:r w:rsidR="000C6F60" w:rsidRPr="000C6F60">
        <w:rPr>
          <w:rFonts w:asciiTheme="minorHAnsi" w:hAnsiTheme="minorHAnsi" w:cstheme="minorHAnsi"/>
          <w:szCs w:val="24"/>
          <w:lang w:val="es-ES"/>
        </w:rPr>
        <w:t>a si no sería necesario revisar el concepto de acue</w:t>
      </w:r>
      <w:r w:rsidR="000C6F60">
        <w:rPr>
          <w:rFonts w:asciiTheme="minorHAnsi" w:hAnsiTheme="minorHAnsi" w:cstheme="minorHAnsi"/>
          <w:szCs w:val="24"/>
          <w:lang w:val="es-ES"/>
        </w:rPr>
        <w:t xml:space="preserve">rdo implícito en pro de los países en desarrollo, que no disponen de los recursos necesarios para proteger sus adjudicaciones nacionales. </w:t>
      </w:r>
      <w:r w:rsidR="000C6F60" w:rsidRPr="000C6F60">
        <w:rPr>
          <w:rFonts w:asciiTheme="minorHAnsi" w:hAnsiTheme="minorHAnsi" w:cstheme="minorHAnsi"/>
          <w:szCs w:val="24"/>
          <w:lang w:val="es-ES"/>
        </w:rPr>
        <w:t>En adelante debe considerarse la necesidad de ampliar las bandas planificadas a otras bandas del SFS, de seguir garantizando el acceso equitativo de todos los Estados Miembros a los recursos satelitales/orbitales y de ayudar a los países en</w:t>
      </w:r>
      <w:r w:rsidR="000C6F60">
        <w:rPr>
          <w:rFonts w:asciiTheme="minorHAnsi" w:hAnsiTheme="minorHAnsi" w:cstheme="minorHAnsi"/>
          <w:szCs w:val="24"/>
          <w:lang w:val="es-ES"/>
        </w:rPr>
        <w:t xml:space="preserve"> desarrollo a aprovechar el espacio en beneficio de su desarrollo socioeconómico</w:t>
      </w:r>
      <w:r w:rsidRPr="000C6F60">
        <w:rPr>
          <w:rFonts w:asciiTheme="minorHAnsi" w:hAnsiTheme="minorHAnsi" w:cstheme="minorHAnsi"/>
          <w:szCs w:val="24"/>
          <w:lang w:val="es-ES"/>
        </w:rPr>
        <w:t xml:space="preserve">. </w:t>
      </w:r>
    </w:p>
    <w:p w14:paraId="055F5C12" w14:textId="30DBCA78" w:rsidR="005A2AA3" w:rsidRPr="001F2873"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0C6F60">
        <w:rPr>
          <w:rFonts w:asciiTheme="minorHAnsi" w:hAnsiTheme="minorHAnsi" w:cstheme="minorHAnsi"/>
          <w:szCs w:val="24"/>
          <w:lang w:val="es-ES"/>
        </w:rPr>
        <w:t>2.5</w:t>
      </w:r>
      <w:r w:rsidRPr="000C6F60">
        <w:rPr>
          <w:rFonts w:asciiTheme="minorHAnsi" w:hAnsiTheme="minorHAnsi" w:cstheme="minorHAnsi"/>
          <w:szCs w:val="24"/>
          <w:lang w:val="es-ES"/>
        </w:rPr>
        <w:tab/>
      </w:r>
      <w:r w:rsidR="000C6F60" w:rsidRPr="000C6F60">
        <w:rPr>
          <w:rFonts w:asciiTheme="minorHAnsi" w:hAnsiTheme="minorHAnsi" w:cstheme="minorHAnsi"/>
          <w:szCs w:val="24"/>
          <w:lang w:val="es-ES"/>
        </w:rPr>
        <w:t>Otro consejero alaba el trabajo realizado por la BR en aplicación de la Resolución</w:t>
      </w:r>
      <w:r w:rsidRPr="000C6F60">
        <w:rPr>
          <w:rFonts w:asciiTheme="minorHAnsi" w:hAnsiTheme="minorHAnsi" w:cstheme="minorHAnsi"/>
          <w:szCs w:val="24"/>
          <w:lang w:val="es-ES"/>
        </w:rPr>
        <w:t xml:space="preserve"> 559 (</w:t>
      </w:r>
      <w:r w:rsidR="000C6F60" w:rsidRPr="000C6F60">
        <w:rPr>
          <w:rFonts w:asciiTheme="minorHAnsi" w:hAnsiTheme="minorHAnsi" w:cstheme="minorHAnsi"/>
          <w:szCs w:val="24"/>
          <w:lang w:val="es-ES"/>
        </w:rPr>
        <w:t>CMR</w:t>
      </w:r>
      <w:r w:rsidRPr="000C6F60">
        <w:rPr>
          <w:rFonts w:asciiTheme="minorHAnsi" w:hAnsiTheme="minorHAnsi" w:cstheme="minorHAnsi"/>
          <w:szCs w:val="24"/>
          <w:lang w:val="es-ES"/>
        </w:rPr>
        <w:t xml:space="preserve">-19), </w:t>
      </w:r>
      <w:r w:rsidR="000C6F60" w:rsidRPr="000C6F60">
        <w:rPr>
          <w:rFonts w:asciiTheme="minorHAnsi" w:hAnsiTheme="minorHAnsi" w:cstheme="minorHAnsi"/>
          <w:szCs w:val="24"/>
          <w:lang w:val="es-ES"/>
        </w:rPr>
        <w:t xml:space="preserve">que fue </w:t>
      </w:r>
      <w:r w:rsidR="000C6F60">
        <w:rPr>
          <w:rFonts w:asciiTheme="minorHAnsi" w:hAnsiTheme="minorHAnsi" w:cstheme="minorHAnsi"/>
          <w:szCs w:val="24"/>
          <w:lang w:val="es-ES"/>
        </w:rPr>
        <w:t>uno de los grandes resultados de la CMR</w:t>
      </w:r>
      <w:r w:rsidRPr="000C6F60">
        <w:rPr>
          <w:rFonts w:asciiTheme="minorHAnsi" w:hAnsiTheme="minorHAnsi" w:cstheme="minorHAnsi"/>
          <w:szCs w:val="24"/>
          <w:lang w:val="es-ES"/>
        </w:rPr>
        <w:t xml:space="preserve">-19 </w:t>
      </w:r>
      <w:r w:rsidR="000C6F60">
        <w:rPr>
          <w:rFonts w:asciiTheme="minorHAnsi" w:hAnsiTheme="minorHAnsi" w:cstheme="minorHAnsi"/>
          <w:szCs w:val="24"/>
          <w:lang w:val="es-ES"/>
        </w:rPr>
        <w:t>en beneficio de 45</w:t>
      </w:r>
      <w:r w:rsidR="002162E0">
        <w:rPr>
          <w:rFonts w:asciiTheme="minorHAnsi" w:hAnsiTheme="minorHAnsi" w:cstheme="minorHAnsi"/>
          <w:szCs w:val="24"/>
          <w:lang w:val="es-ES"/>
        </w:rPr>
        <w:t> </w:t>
      </w:r>
      <w:r w:rsidR="000C6F60">
        <w:rPr>
          <w:rFonts w:asciiTheme="minorHAnsi" w:hAnsiTheme="minorHAnsi" w:cstheme="minorHAnsi"/>
          <w:szCs w:val="24"/>
          <w:lang w:val="es-ES"/>
        </w:rPr>
        <w:t xml:space="preserve">administraciones, y coincide en que es necesario examinar la cuestión de las bandas planificadas. </w:t>
      </w:r>
      <w:r w:rsidR="000C6F60" w:rsidRPr="001F2873">
        <w:rPr>
          <w:rFonts w:asciiTheme="minorHAnsi" w:hAnsiTheme="minorHAnsi" w:cstheme="minorHAnsi"/>
          <w:szCs w:val="24"/>
          <w:lang w:val="es-ES"/>
        </w:rPr>
        <w:t>Por otra parte, la BR debe considerar el asunto del acceso equitativo a órbitas no</w:t>
      </w:r>
      <w:r w:rsidR="002162E0">
        <w:rPr>
          <w:rFonts w:asciiTheme="minorHAnsi" w:hAnsiTheme="minorHAnsi" w:cstheme="minorHAnsi"/>
          <w:szCs w:val="24"/>
          <w:lang w:val="es-ES"/>
        </w:rPr>
        <w:t> </w:t>
      </w:r>
      <w:r w:rsidR="000C6F60" w:rsidRPr="001F2873">
        <w:rPr>
          <w:rFonts w:asciiTheme="minorHAnsi" w:hAnsiTheme="minorHAnsi" w:cstheme="minorHAnsi"/>
          <w:szCs w:val="24"/>
          <w:lang w:val="es-ES"/>
        </w:rPr>
        <w:t>OSG</w:t>
      </w:r>
      <w:r w:rsidR="001F2873" w:rsidRPr="001F2873">
        <w:rPr>
          <w:rFonts w:asciiTheme="minorHAnsi" w:hAnsiTheme="minorHAnsi" w:cstheme="minorHAnsi"/>
          <w:szCs w:val="24"/>
          <w:lang w:val="es-ES"/>
        </w:rPr>
        <w:t>, habida cu</w:t>
      </w:r>
      <w:r w:rsidR="001F2873">
        <w:rPr>
          <w:rFonts w:asciiTheme="minorHAnsi" w:hAnsiTheme="minorHAnsi" w:cstheme="minorHAnsi"/>
          <w:szCs w:val="24"/>
          <w:lang w:val="es-ES"/>
        </w:rPr>
        <w:t>enta de la rápida evolución tecnológica en este ámbito</w:t>
      </w:r>
      <w:r w:rsidRPr="001F2873">
        <w:rPr>
          <w:rFonts w:asciiTheme="minorHAnsi" w:hAnsiTheme="minorHAnsi" w:cstheme="minorHAnsi"/>
          <w:szCs w:val="24"/>
          <w:lang w:val="es-ES"/>
        </w:rPr>
        <w:t>.</w:t>
      </w:r>
    </w:p>
    <w:p w14:paraId="365BC008" w14:textId="7AF337CE" w:rsidR="005A2AA3" w:rsidRPr="001F287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es-ES"/>
        </w:rPr>
      </w:pPr>
      <w:r w:rsidRPr="001F2873">
        <w:rPr>
          <w:rFonts w:asciiTheme="minorHAnsi" w:hAnsiTheme="minorHAnsi" w:cstheme="minorHAnsi"/>
          <w:szCs w:val="24"/>
          <w:lang w:val="es-ES"/>
        </w:rPr>
        <w:t>2.6</w:t>
      </w:r>
      <w:r w:rsidRPr="001F2873">
        <w:rPr>
          <w:rFonts w:asciiTheme="minorHAnsi" w:hAnsiTheme="minorHAnsi" w:cstheme="minorHAnsi"/>
          <w:szCs w:val="24"/>
          <w:lang w:val="es-ES"/>
        </w:rPr>
        <w:tab/>
      </w:r>
      <w:r w:rsidR="001F2873" w:rsidRPr="001F2873">
        <w:rPr>
          <w:rFonts w:asciiTheme="minorHAnsi" w:hAnsiTheme="minorHAnsi" w:cstheme="minorHAnsi"/>
          <w:szCs w:val="24"/>
          <w:lang w:val="es-ES"/>
        </w:rPr>
        <w:t>El representante de la BR dice que el UIT-R está estudiando el tema del acuerdo implícito, que formará par</w:t>
      </w:r>
      <w:r w:rsidR="001F2873">
        <w:rPr>
          <w:rFonts w:asciiTheme="minorHAnsi" w:hAnsiTheme="minorHAnsi" w:cstheme="minorHAnsi"/>
          <w:szCs w:val="24"/>
          <w:lang w:val="es-ES"/>
        </w:rPr>
        <w:t>te del orden del día de la CMR</w:t>
      </w:r>
      <w:r w:rsidRPr="001F2873">
        <w:rPr>
          <w:rFonts w:asciiTheme="minorHAnsi" w:eastAsiaTheme="majorEastAsia" w:hAnsiTheme="minorHAnsi" w:cstheme="minorHAnsi"/>
          <w:szCs w:val="24"/>
          <w:lang w:val="es-ES"/>
        </w:rPr>
        <w:t xml:space="preserve">-23. </w:t>
      </w:r>
      <w:r w:rsidR="001F2873" w:rsidRPr="001F2873">
        <w:rPr>
          <w:rFonts w:asciiTheme="minorHAnsi" w:eastAsiaTheme="majorEastAsia" w:hAnsiTheme="minorHAnsi" w:cstheme="minorHAnsi"/>
          <w:szCs w:val="24"/>
          <w:lang w:val="es-ES"/>
        </w:rPr>
        <w:t xml:space="preserve">A lo largo del próximo ciclo de estudios la Comisión de Estudio 4 del UIT-R estudiará la ampliación de los </w:t>
      </w:r>
      <w:r w:rsidR="001F2873">
        <w:rPr>
          <w:rFonts w:asciiTheme="minorHAnsi" w:eastAsiaTheme="majorEastAsia" w:hAnsiTheme="minorHAnsi" w:cstheme="minorHAnsi"/>
          <w:szCs w:val="24"/>
          <w:lang w:val="es-ES"/>
        </w:rPr>
        <w:t>Planes a otras frecuencias u órbitas, aunque podrá ser necesario adoptar enfoques diferentes para las órbitas no OSG</w:t>
      </w:r>
      <w:r w:rsidRPr="001F2873">
        <w:rPr>
          <w:rFonts w:asciiTheme="minorHAnsi" w:eastAsiaTheme="majorEastAsia" w:hAnsiTheme="minorHAnsi" w:cstheme="minorHAnsi"/>
          <w:szCs w:val="24"/>
          <w:lang w:val="es-ES"/>
        </w:rPr>
        <w:t>.</w:t>
      </w:r>
    </w:p>
    <w:p w14:paraId="30F22042" w14:textId="56E0F60A" w:rsidR="005A2AA3" w:rsidRPr="001F2873" w:rsidRDefault="005A2AA3" w:rsidP="005A2AA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s-ES"/>
        </w:rPr>
      </w:pPr>
      <w:r w:rsidRPr="001F2873">
        <w:rPr>
          <w:rFonts w:asciiTheme="minorHAnsi" w:hAnsiTheme="minorHAnsi" w:cstheme="minorHAnsi"/>
          <w:szCs w:val="24"/>
          <w:lang w:val="es-ES"/>
        </w:rPr>
        <w:t>2.7</w:t>
      </w:r>
      <w:r w:rsidRPr="001F2873">
        <w:rPr>
          <w:rFonts w:asciiTheme="minorHAnsi" w:hAnsiTheme="minorHAnsi" w:cstheme="minorHAnsi"/>
          <w:szCs w:val="24"/>
          <w:lang w:val="es-ES"/>
        </w:rPr>
        <w:tab/>
      </w:r>
      <w:r w:rsidR="001F2873" w:rsidRPr="001F2873">
        <w:rPr>
          <w:rFonts w:asciiTheme="minorHAnsi" w:hAnsiTheme="minorHAnsi" w:cstheme="minorHAnsi"/>
          <w:szCs w:val="24"/>
          <w:lang w:val="es-ES"/>
        </w:rPr>
        <w:t xml:space="preserve">El Consejo </w:t>
      </w:r>
      <w:r w:rsidR="001F2873" w:rsidRPr="001F2873">
        <w:rPr>
          <w:rFonts w:asciiTheme="minorHAnsi" w:hAnsiTheme="minorHAnsi" w:cstheme="minorHAnsi"/>
          <w:b/>
          <w:bCs/>
          <w:szCs w:val="24"/>
          <w:lang w:val="es-ES"/>
        </w:rPr>
        <w:t xml:space="preserve">toma nota </w:t>
      </w:r>
      <w:r w:rsidR="001F2873" w:rsidRPr="001F2873">
        <w:rPr>
          <w:rFonts w:asciiTheme="minorHAnsi" w:hAnsiTheme="minorHAnsi" w:cstheme="minorHAnsi"/>
          <w:szCs w:val="24"/>
          <w:lang w:val="es-ES"/>
        </w:rPr>
        <w:t>de los Informes pres</w:t>
      </w:r>
      <w:r w:rsidR="001F2873">
        <w:rPr>
          <w:rFonts w:asciiTheme="minorHAnsi" w:hAnsiTheme="minorHAnsi" w:cstheme="minorHAnsi"/>
          <w:szCs w:val="24"/>
          <w:lang w:val="es-ES"/>
        </w:rPr>
        <w:t>entados en el Documento</w:t>
      </w:r>
      <w:r w:rsidRPr="001F2873">
        <w:rPr>
          <w:rFonts w:asciiTheme="minorHAnsi" w:hAnsiTheme="minorHAnsi" w:cstheme="minorHAnsi"/>
          <w:szCs w:val="24"/>
          <w:lang w:val="es-ES"/>
        </w:rPr>
        <w:t xml:space="preserve"> C23/58.</w:t>
      </w:r>
    </w:p>
    <w:p w14:paraId="5E835746" w14:textId="4DFAEB11" w:rsidR="005A2AA3" w:rsidRPr="001F2873" w:rsidRDefault="005A2AA3" w:rsidP="005A2AA3">
      <w:pPr>
        <w:tabs>
          <w:tab w:val="clear" w:pos="567"/>
          <w:tab w:val="clear" w:pos="1134"/>
          <w:tab w:val="clear" w:pos="1701"/>
          <w:tab w:val="clear" w:pos="2268"/>
          <w:tab w:val="clear" w:pos="2835"/>
        </w:tabs>
        <w:spacing w:before="240" w:after="120"/>
        <w:jc w:val="both"/>
        <w:rPr>
          <w:rFonts w:asciiTheme="minorHAnsi" w:hAnsiTheme="minorHAnsi" w:cstheme="minorHAnsi"/>
          <w:b/>
          <w:bCs/>
          <w:szCs w:val="24"/>
          <w:lang w:val="es-ES"/>
        </w:rPr>
      </w:pPr>
      <w:bookmarkStart w:id="7" w:name="_Hlk140854653"/>
      <w:r w:rsidRPr="001F2873">
        <w:rPr>
          <w:rFonts w:asciiTheme="minorHAnsi" w:hAnsiTheme="minorHAnsi" w:cstheme="minorHAnsi"/>
          <w:b/>
          <w:bCs/>
          <w:szCs w:val="24"/>
          <w:lang w:val="es-ES"/>
        </w:rPr>
        <w:t>3</w:t>
      </w:r>
      <w:r w:rsidRPr="001F2873">
        <w:rPr>
          <w:rFonts w:asciiTheme="minorHAnsi" w:hAnsiTheme="minorHAnsi" w:cstheme="minorHAnsi"/>
          <w:b/>
          <w:bCs/>
          <w:szCs w:val="24"/>
          <w:lang w:val="es-ES"/>
        </w:rPr>
        <w:tab/>
      </w:r>
      <w:proofErr w:type="gramStart"/>
      <w:r w:rsidR="001F2873" w:rsidRPr="001F2873">
        <w:rPr>
          <w:rFonts w:asciiTheme="minorHAnsi" w:hAnsiTheme="minorHAnsi" w:cstheme="minorHAnsi"/>
          <w:b/>
          <w:bCs/>
          <w:szCs w:val="24"/>
          <w:lang w:val="es-ES"/>
        </w:rPr>
        <w:t>Actividades</w:t>
      </w:r>
      <w:proofErr w:type="gramEnd"/>
      <w:r w:rsidR="001F2873" w:rsidRPr="001F2873">
        <w:rPr>
          <w:rFonts w:asciiTheme="minorHAnsi" w:hAnsiTheme="minorHAnsi" w:cstheme="minorHAnsi"/>
          <w:b/>
          <w:bCs/>
          <w:szCs w:val="24"/>
          <w:lang w:val="es-ES"/>
        </w:rPr>
        <w:t xml:space="preserve"> de formación de la UIT (Documento</w:t>
      </w:r>
      <w:r w:rsidRPr="001F2873">
        <w:rPr>
          <w:rFonts w:asciiTheme="minorHAnsi" w:hAnsiTheme="minorHAnsi" w:cstheme="minorHAnsi"/>
          <w:b/>
          <w:bCs/>
          <w:szCs w:val="24"/>
          <w:lang w:val="es-ES"/>
        </w:rPr>
        <w:t xml:space="preserve"> </w:t>
      </w:r>
      <w:hyperlink r:id="rId15" w:history="1">
        <w:r w:rsidRPr="001F2873">
          <w:rPr>
            <w:rStyle w:val="Hyperlink"/>
            <w:rFonts w:asciiTheme="minorHAnsi" w:hAnsiTheme="minorHAnsi" w:cstheme="minorHAnsi"/>
            <w:b/>
            <w:bCs/>
            <w:szCs w:val="24"/>
            <w:lang w:val="es-ES"/>
          </w:rPr>
          <w:t>C23/5</w:t>
        </w:r>
      </w:hyperlink>
      <w:r w:rsidRPr="001F2873">
        <w:rPr>
          <w:rFonts w:asciiTheme="minorHAnsi" w:hAnsiTheme="minorHAnsi" w:cstheme="minorHAnsi"/>
          <w:b/>
          <w:bCs/>
          <w:szCs w:val="24"/>
          <w:lang w:val="es-ES"/>
        </w:rPr>
        <w:t>)</w:t>
      </w:r>
    </w:p>
    <w:bookmarkEnd w:id="7"/>
    <w:p w14:paraId="6FB8030D" w14:textId="509CF210" w:rsidR="005A2AA3" w:rsidRPr="00494DA4"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494DA4">
        <w:rPr>
          <w:rFonts w:asciiTheme="minorHAnsi" w:hAnsiTheme="minorHAnsi" w:cstheme="minorHAnsi"/>
          <w:szCs w:val="24"/>
          <w:lang w:val="es-ES"/>
        </w:rPr>
        <w:t>3.1</w:t>
      </w:r>
      <w:r w:rsidRPr="00494DA4">
        <w:rPr>
          <w:rFonts w:asciiTheme="minorHAnsi" w:hAnsiTheme="minorHAnsi" w:cstheme="minorHAnsi"/>
          <w:szCs w:val="24"/>
          <w:lang w:val="es-ES"/>
        </w:rPr>
        <w:tab/>
      </w:r>
      <w:r w:rsidR="00494DA4" w:rsidRPr="00494DA4">
        <w:rPr>
          <w:rFonts w:asciiTheme="minorHAnsi" w:hAnsiTheme="minorHAnsi" w:cstheme="minorHAnsi"/>
          <w:szCs w:val="24"/>
          <w:lang w:val="es-ES"/>
        </w:rPr>
        <w:t>Una representante de la BDT presenta el Documento</w:t>
      </w:r>
      <w:r w:rsidRPr="00494DA4">
        <w:rPr>
          <w:rFonts w:asciiTheme="minorHAnsi" w:hAnsiTheme="minorHAnsi" w:cstheme="minorHAnsi"/>
          <w:szCs w:val="24"/>
          <w:lang w:val="es-ES"/>
        </w:rPr>
        <w:t xml:space="preserve"> C23/5, </w:t>
      </w:r>
      <w:r w:rsidR="00494DA4" w:rsidRPr="00494DA4">
        <w:rPr>
          <w:rFonts w:asciiTheme="minorHAnsi" w:hAnsiTheme="minorHAnsi" w:cstheme="minorHAnsi"/>
          <w:szCs w:val="24"/>
          <w:lang w:val="es-ES"/>
        </w:rPr>
        <w:t>en el que se presentan los avances realizados en las actividades de formación y capacitaci</w:t>
      </w:r>
      <w:r w:rsidR="00494DA4">
        <w:rPr>
          <w:rFonts w:asciiTheme="minorHAnsi" w:hAnsiTheme="minorHAnsi" w:cstheme="minorHAnsi"/>
          <w:szCs w:val="24"/>
          <w:lang w:val="es-ES"/>
        </w:rPr>
        <w:t xml:space="preserve">ón de la UIT con respecto a las propuestas presentadas por la Secretaría de la UIT a la reunión de 2022 del Consejo. </w:t>
      </w:r>
      <w:r w:rsidR="00494DA4" w:rsidRPr="00494DA4">
        <w:rPr>
          <w:rFonts w:asciiTheme="minorHAnsi" w:hAnsiTheme="minorHAnsi" w:cstheme="minorHAnsi"/>
          <w:szCs w:val="24"/>
          <w:lang w:val="es-ES"/>
        </w:rPr>
        <w:t xml:space="preserve">En dicha reunión el Consejo aprobó las propuestas e invitó a sus sucesivas reuniones a examinar periódicamente la realización de las </w:t>
      </w:r>
      <w:r w:rsidR="00494DA4">
        <w:rPr>
          <w:rFonts w:asciiTheme="minorHAnsi" w:hAnsiTheme="minorHAnsi" w:cstheme="minorHAnsi"/>
          <w:szCs w:val="24"/>
          <w:lang w:val="es-ES"/>
        </w:rPr>
        <w:t>actividades de formación de la UIT</w:t>
      </w:r>
      <w:r w:rsidRPr="00494DA4">
        <w:rPr>
          <w:rFonts w:asciiTheme="minorHAnsi" w:hAnsiTheme="minorHAnsi" w:cstheme="minorHAnsi"/>
          <w:szCs w:val="24"/>
          <w:lang w:val="es-ES"/>
        </w:rPr>
        <w:t>.</w:t>
      </w:r>
    </w:p>
    <w:p w14:paraId="0159F5C6" w14:textId="79513A39"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3.2</w:t>
      </w:r>
      <w:r w:rsidRPr="005A2AA3">
        <w:rPr>
          <w:rFonts w:asciiTheme="minorHAnsi" w:eastAsiaTheme="majorEastAsia" w:hAnsiTheme="minorHAnsi" w:cstheme="minorHAnsi"/>
          <w:szCs w:val="24"/>
          <w:lang w:val="de-CH"/>
        </w:rPr>
        <w:tab/>
      </w:r>
      <w:r w:rsidR="00494DA4">
        <w:rPr>
          <w:rFonts w:asciiTheme="minorHAnsi" w:eastAsiaTheme="majorEastAsia" w:hAnsiTheme="minorHAnsi" w:cstheme="minorHAnsi"/>
          <w:szCs w:val="24"/>
          <w:lang w:val="de-CH"/>
        </w:rPr>
        <w:t>Los consejeros comentaron que las actividades de formación de la UIT forman parte integrante de los servicios prestados a los Estados Miembros y resaltaron la importancia de la Academia de la UIT para los países en desarrollo, sobre todo. Los centros de formación</w:t>
      </w:r>
      <w:r w:rsidR="003978FB">
        <w:rPr>
          <w:rFonts w:asciiTheme="minorHAnsi" w:eastAsiaTheme="majorEastAsia" w:hAnsiTheme="minorHAnsi" w:cstheme="minorHAnsi"/>
          <w:szCs w:val="24"/>
          <w:lang w:val="de-CH"/>
        </w:rPr>
        <w:t xml:space="preserve"> </w:t>
      </w:r>
      <w:r w:rsidR="00494DA4">
        <w:rPr>
          <w:rFonts w:asciiTheme="minorHAnsi" w:eastAsiaTheme="majorEastAsia" w:hAnsiTheme="minorHAnsi" w:cstheme="minorHAnsi"/>
          <w:szCs w:val="24"/>
          <w:lang w:val="de-CH"/>
        </w:rPr>
        <w:t>de la Academia de la UIT (CFA) se asegurarán de que las labores de capacitación de la UIT están adaptadas al futuro y los Estados Miembros confían en que la UIT y los CFA colaboren y se asocien con otras organizaciones a fin de ofrecer formaciones de gran calidad a los profesionales de las TIC y los funcionarios, en particular de los países en desarrollo. El carácter virtual de la Academia de la UIT se reveló particularmente útil durante los confinamientos debidos a la</w:t>
      </w:r>
      <w:r w:rsidRPr="005A2AA3">
        <w:rPr>
          <w:rFonts w:asciiTheme="minorHAnsi" w:eastAsiaTheme="majorEastAsia" w:hAnsiTheme="minorHAnsi" w:cstheme="minorHAnsi"/>
          <w:szCs w:val="24"/>
          <w:lang w:val="de-CH"/>
        </w:rPr>
        <w:t xml:space="preserve"> COVID-19</w:t>
      </w:r>
      <w:r w:rsidR="00494DA4">
        <w:rPr>
          <w:rFonts w:asciiTheme="minorHAnsi" w:eastAsiaTheme="majorEastAsia" w:hAnsiTheme="minorHAnsi" w:cstheme="minorHAnsi"/>
          <w:szCs w:val="24"/>
          <w:lang w:val="de-CH"/>
        </w:rPr>
        <w:t>. Idealmente la Academia debería ofrecer los programas sin depender de otras partes menos experimentadas que la UIT. Dos consejeros consideran que la Unión debería centralizar la capacitación digital de todo el sistema de las Naciones Unidas</w:t>
      </w:r>
      <w:r w:rsidRPr="005A2AA3">
        <w:rPr>
          <w:rFonts w:asciiTheme="minorHAnsi" w:eastAsiaTheme="majorEastAsia" w:hAnsiTheme="minorHAnsi" w:cstheme="minorHAnsi"/>
          <w:szCs w:val="24"/>
          <w:lang w:val="de-CH"/>
        </w:rPr>
        <w:t>.</w:t>
      </w:r>
    </w:p>
    <w:p w14:paraId="73365DB5" w14:textId="02FA210C"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3.3</w:t>
      </w:r>
      <w:r w:rsidRPr="005A2AA3">
        <w:rPr>
          <w:rFonts w:asciiTheme="minorHAnsi" w:eastAsiaTheme="majorEastAsia" w:hAnsiTheme="minorHAnsi" w:cstheme="minorHAnsi"/>
          <w:szCs w:val="24"/>
          <w:lang w:val="de-CH"/>
        </w:rPr>
        <w:tab/>
      </w:r>
      <w:r w:rsidR="00494DA4">
        <w:rPr>
          <w:rFonts w:asciiTheme="minorHAnsi" w:eastAsiaTheme="majorEastAsia" w:hAnsiTheme="minorHAnsi" w:cstheme="minorHAnsi"/>
          <w:szCs w:val="24"/>
          <w:lang w:val="de-CH"/>
        </w:rPr>
        <w:t>Dos consejeros resaltan que debería hacerse una intensa promoción de la Academia de la UIT en las regiones y países a fin de que los ministerios y otros posibles socios conozcan su existencia y se incrementen así las adhesiones a los programas por miembros de la comunidad y el sector. Un consejero observa que los países deberían poder acceder a las formaciones impartidas al personal de la UIT a través de</w:t>
      </w:r>
      <w:r w:rsidRPr="005A2AA3">
        <w:rPr>
          <w:rFonts w:asciiTheme="minorHAnsi" w:eastAsiaTheme="majorEastAsia" w:hAnsiTheme="minorHAnsi" w:cstheme="minorHAnsi"/>
          <w:szCs w:val="24"/>
          <w:lang w:val="de-CH"/>
        </w:rPr>
        <w:t xml:space="preserve"> LearningLabs, e</w:t>
      </w:r>
      <w:r w:rsidR="00494DA4">
        <w:rPr>
          <w:rFonts w:asciiTheme="minorHAnsi" w:eastAsiaTheme="majorEastAsia" w:hAnsiTheme="minorHAnsi" w:cstheme="minorHAnsi"/>
          <w:szCs w:val="24"/>
          <w:lang w:val="de-CH"/>
        </w:rPr>
        <w:t>n particular las relativas a temas novedosos de gran importancia como</w:t>
      </w:r>
      <w:r w:rsidRPr="005A2AA3">
        <w:rPr>
          <w:rFonts w:asciiTheme="minorHAnsi" w:eastAsiaTheme="majorEastAsia" w:hAnsiTheme="minorHAnsi" w:cstheme="minorHAnsi"/>
          <w:szCs w:val="24"/>
          <w:lang w:val="de-CH"/>
        </w:rPr>
        <w:t xml:space="preserve"> ChatGPT.</w:t>
      </w:r>
    </w:p>
    <w:p w14:paraId="07B5CC1D" w14:textId="7F2DA7B4"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3.4</w:t>
      </w:r>
      <w:r w:rsidRPr="005A2AA3">
        <w:rPr>
          <w:rFonts w:asciiTheme="minorHAnsi" w:eastAsiaTheme="majorEastAsia" w:hAnsiTheme="minorHAnsi" w:cstheme="minorHAnsi"/>
          <w:szCs w:val="24"/>
          <w:lang w:val="de-CH"/>
        </w:rPr>
        <w:tab/>
      </w:r>
      <w:r w:rsidR="00C92473">
        <w:rPr>
          <w:rFonts w:asciiTheme="minorHAnsi" w:eastAsiaTheme="majorEastAsia" w:hAnsiTheme="minorHAnsi" w:cstheme="minorHAnsi"/>
          <w:szCs w:val="24"/>
          <w:lang w:val="de-CH"/>
        </w:rPr>
        <w:t>Una consejera dice que la formación adicional para mujeres en puestos de liderazgo, como la iniciativa de empoderamiento de las mujeres del Gobierno de Australia en</w:t>
      </w:r>
      <w:r w:rsidRPr="005A2AA3">
        <w:rPr>
          <w:rFonts w:asciiTheme="minorHAnsi" w:eastAsiaTheme="majorEastAsia" w:hAnsiTheme="minorHAnsi" w:cstheme="minorHAnsi"/>
          <w:szCs w:val="24"/>
          <w:lang w:val="de-CH"/>
        </w:rPr>
        <w:t xml:space="preserve"> 2022</w:t>
      </w:r>
      <w:r w:rsidR="00C92473">
        <w:rPr>
          <w:rFonts w:asciiTheme="minorHAnsi" w:eastAsiaTheme="majorEastAsia" w:hAnsiTheme="minorHAnsi" w:cstheme="minorHAnsi"/>
          <w:szCs w:val="24"/>
          <w:lang w:val="de-CH"/>
        </w:rPr>
        <w:t xml:space="preserve">, contribuirá a aumentar su influencia en la toma de decisiones. Otro consejero dice que </w:t>
      </w:r>
      <w:r w:rsidR="00C92473">
        <w:rPr>
          <w:rFonts w:asciiTheme="minorHAnsi" w:eastAsiaTheme="majorEastAsia" w:hAnsiTheme="minorHAnsi" w:cstheme="minorHAnsi"/>
          <w:szCs w:val="24"/>
          <w:lang w:val="de-CH"/>
        </w:rPr>
        <w:lastRenderedPageBreak/>
        <w:t>resultaría útil disponer de estadísticas desglosadas sobre la composición de los cursos de formación, haciendo mención especial de los participantes de comunidades remotas y rurales y del equilibrio de género. Otra consejera dice que es necesario examinar los motivos por los que un importante porcentaje de participantes no completaron los cursos de certificación de la Academia de la UIT en 2022 y tomar las medidas pertinentes para que los participantes puedan aprovechar los cursos al máximo</w:t>
      </w:r>
      <w:r w:rsidRPr="005A2AA3">
        <w:rPr>
          <w:rFonts w:asciiTheme="minorHAnsi" w:eastAsiaTheme="majorEastAsia" w:hAnsiTheme="minorHAnsi" w:cstheme="minorHAnsi"/>
          <w:szCs w:val="24"/>
          <w:lang w:val="de-CH"/>
        </w:rPr>
        <w:t>.</w:t>
      </w:r>
    </w:p>
    <w:p w14:paraId="64642E01" w14:textId="1A3B8B2F"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3.5</w:t>
      </w:r>
      <w:r w:rsidRPr="005A2AA3">
        <w:rPr>
          <w:rFonts w:asciiTheme="minorHAnsi" w:eastAsiaTheme="majorEastAsia" w:hAnsiTheme="minorHAnsi" w:cstheme="minorHAnsi"/>
          <w:szCs w:val="24"/>
          <w:lang w:val="de-CH"/>
        </w:rPr>
        <w:tab/>
      </w:r>
      <w:r w:rsidR="00C92473">
        <w:rPr>
          <w:rFonts w:asciiTheme="minorHAnsi" w:eastAsiaTheme="majorEastAsia" w:hAnsiTheme="minorHAnsi" w:cstheme="minorHAnsi"/>
          <w:szCs w:val="24"/>
          <w:lang w:val="de-CH"/>
        </w:rPr>
        <w:t xml:space="preserve">El consejero de Arabia Saudita dice que su país desearía cooperar estrechamente con la UIT para ofrecer programas gratuitos a los Estados Miembros. La consejera de China dice que su país desearía dedicar su contribución voluntaria a apoyar los trabajos pertinentes. El consejero de Canadá, reconociendo que muchos países de la Región de las Américas se han beneficiado de la formación impartida por la Academia de la UIT, ofrece proseguir la cooperación y la colaboración en su región y en el marco de la </w:t>
      </w:r>
      <w:r w:rsidRPr="005A2AA3">
        <w:rPr>
          <w:rFonts w:asciiTheme="minorHAnsi" w:eastAsiaTheme="majorEastAsia" w:hAnsiTheme="minorHAnsi" w:cstheme="minorHAnsi"/>
          <w:szCs w:val="24"/>
          <w:lang w:val="de-CH"/>
        </w:rPr>
        <w:t>CITEL.</w:t>
      </w:r>
    </w:p>
    <w:p w14:paraId="7245C26A" w14:textId="1E76DBDA"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3.6</w:t>
      </w:r>
      <w:r w:rsidRPr="005A2AA3">
        <w:rPr>
          <w:rFonts w:asciiTheme="minorHAnsi" w:eastAsiaTheme="majorEastAsia" w:hAnsiTheme="minorHAnsi" w:cstheme="minorHAnsi"/>
          <w:szCs w:val="24"/>
          <w:lang w:val="de-CH"/>
        </w:rPr>
        <w:tab/>
      </w:r>
      <w:r w:rsidR="00C92473">
        <w:rPr>
          <w:rFonts w:asciiTheme="minorHAnsi" w:eastAsiaTheme="majorEastAsia" w:hAnsiTheme="minorHAnsi" w:cstheme="minorHAnsi"/>
          <w:szCs w:val="24"/>
          <w:lang w:val="de-CH"/>
        </w:rPr>
        <w:t>En respues</w:t>
      </w:r>
      <w:r w:rsidR="006A592B">
        <w:rPr>
          <w:rFonts w:asciiTheme="minorHAnsi" w:eastAsiaTheme="majorEastAsia" w:hAnsiTheme="minorHAnsi" w:cstheme="minorHAnsi"/>
          <w:szCs w:val="24"/>
          <w:lang w:val="de-CH"/>
        </w:rPr>
        <w:t>t</w:t>
      </w:r>
      <w:r w:rsidR="00C92473">
        <w:rPr>
          <w:rFonts w:asciiTheme="minorHAnsi" w:eastAsiaTheme="majorEastAsia" w:hAnsiTheme="minorHAnsi" w:cstheme="minorHAnsi"/>
          <w:szCs w:val="24"/>
          <w:lang w:val="de-CH"/>
        </w:rPr>
        <w:t xml:space="preserve">a a los asuntos planteados, la representante de la BDT dice haber tomado buena nota de las sugerencias formuladas. La Unión ha colaborado con varios Estados Miembros, ejemplo de lo cual es el éxito de la formación en línea con Arabia Saudita a través de la plataforma de la Academia de la UIT. La Secretaría está trabajando activamente en la promoción y espera que los Miembros a su vez den a conocer los cursos de formación de la Academia de la UIT en sus respectivas administraciones y regiones. Ya se dispone de estadísticas desglosadas, pero no todas ellas figuran en el Informe. Efectivamente, la formación para mujeres en puestos de liderazgo fue un éxito y se </w:t>
      </w:r>
      <w:r w:rsidR="00CE4505">
        <w:rPr>
          <w:rFonts w:asciiTheme="minorHAnsi" w:eastAsiaTheme="majorEastAsia" w:hAnsiTheme="minorHAnsi" w:cstheme="minorHAnsi"/>
          <w:szCs w:val="24"/>
          <w:lang w:val="de-CH"/>
        </w:rPr>
        <w:t>estudiará la manera de volver a realizarla, así como de ampliar el acceso de los Miembros a</w:t>
      </w:r>
      <w:r w:rsidRPr="005A2AA3">
        <w:rPr>
          <w:rFonts w:asciiTheme="minorHAnsi" w:eastAsiaTheme="majorEastAsia" w:hAnsiTheme="minorHAnsi" w:cstheme="minorHAnsi"/>
          <w:szCs w:val="24"/>
          <w:lang w:val="de-CH"/>
        </w:rPr>
        <w:t xml:space="preserve"> LearningLabs. </w:t>
      </w:r>
    </w:p>
    <w:p w14:paraId="7940457B" w14:textId="53E115A6"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5A2AA3">
        <w:rPr>
          <w:rFonts w:asciiTheme="minorHAnsi" w:eastAsiaTheme="majorEastAsia" w:hAnsiTheme="minorHAnsi" w:cstheme="minorHAnsi"/>
          <w:szCs w:val="24"/>
          <w:lang w:val="de-CH"/>
        </w:rPr>
        <w:t>3.7</w:t>
      </w:r>
      <w:r w:rsidRPr="005A2AA3">
        <w:rPr>
          <w:rFonts w:asciiTheme="minorHAnsi" w:eastAsiaTheme="majorEastAsia" w:hAnsiTheme="minorHAnsi" w:cstheme="minorHAnsi"/>
          <w:szCs w:val="24"/>
          <w:lang w:val="de-CH"/>
        </w:rPr>
        <w:tab/>
      </w:r>
      <w:r w:rsidR="00CE4505">
        <w:rPr>
          <w:rFonts w:asciiTheme="minorHAnsi" w:eastAsiaTheme="majorEastAsia" w:hAnsiTheme="minorHAnsi" w:cstheme="minorHAnsi"/>
          <w:szCs w:val="24"/>
          <w:lang w:val="de-CH"/>
        </w:rPr>
        <w:t>El Director de la BDT dice que la UIT procura intensificar sus actividades de capacitación y da las gracias a las numerosas administraciones que apoyan sus esfuerzos por cerrar la brecha de competencias. La Secretaría ha tenido en cuenta las observaciones realizadas acerca de la utilización de la Academia de la UIT como instrumento de la Unión y se está ofreciendo contenido pertinente a través de la plataforma de la Academia de</w:t>
      </w:r>
      <w:r w:rsidR="00770D5A">
        <w:rPr>
          <w:rFonts w:asciiTheme="minorHAnsi" w:eastAsiaTheme="majorEastAsia" w:hAnsiTheme="minorHAnsi" w:cstheme="minorHAnsi"/>
          <w:szCs w:val="24"/>
          <w:lang w:val="de-CH"/>
        </w:rPr>
        <w:t xml:space="preserve"> </w:t>
      </w:r>
      <w:r w:rsidR="00CE4505">
        <w:rPr>
          <w:rFonts w:asciiTheme="minorHAnsi" w:eastAsiaTheme="majorEastAsia" w:hAnsiTheme="minorHAnsi" w:cstheme="minorHAnsi"/>
          <w:szCs w:val="24"/>
          <w:lang w:val="de-CH"/>
        </w:rPr>
        <w:t>la UIT en colaboración con la BR y la TSB, sien</w:t>
      </w:r>
      <w:r w:rsidR="000A233A">
        <w:rPr>
          <w:rFonts w:asciiTheme="minorHAnsi" w:eastAsiaTheme="majorEastAsia" w:hAnsiTheme="minorHAnsi" w:cstheme="minorHAnsi"/>
          <w:szCs w:val="24"/>
          <w:lang w:val="de-CH"/>
        </w:rPr>
        <w:t>d</w:t>
      </w:r>
      <w:r w:rsidR="00CE4505">
        <w:rPr>
          <w:rFonts w:asciiTheme="minorHAnsi" w:eastAsiaTheme="majorEastAsia" w:hAnsiTheme="minorHAnsi" w:cstheme="minorHAnsi"/>
          <w:szCs w:val="24"/>
          <w:lang w:val="de-CH"/>
        </w:rPr>
        <w:t>o un ejemplo notable de ello los cursos sobre gestión del espectro acreditados hasta el nivel Máster. Se proseguirán los esfuerzos por ga</w:t>
      </w:r>
      <w:r w:rsidR="000A233A">
        <w:rPr>
          <w:rFonts w:asciiTheme="minorHAnsi" w:eastAsiaTheme="majorEastAsia" w:hAnsiTheme="minorHAnsi" w:cstheme="minorHAnsi"/>
          <w:szCs w:val="24"/>
          <w:lang w:val="de-CH"/>
        </w:rPr>
        <w:t>r</w:t>
      </w:r>
      <w:r w:rsidR="00CE4505">
        <w:rPr>
          <w:rFonts w:asciiTheme="minorHAnsi" w:eastAsiaTheme="majorEastAsia" w:hAnsiTheme="minorHAnsi" w:cstheme="minorHAnsi"/>
          <w:szCs w:val="24"/>
          <w:lang w:val="de-CH"/>
        </w:rPr>
        <w:t>antizar la facilitación de cursos de formación de la UIT a todos los países, ya sea en zonas rurales o urbanas</w:t>
      </w:r>
      <w:r w:rsidRPr="00CE4505">
        <w:rPr>
          <w:rFonts w:asciiTheme="minorHAnsi" w:hAnsiTheme="minorHAnsi" w:cstheme="minorHAnsi"/>
          <w:szCs w:val="24"/>
          <w:lang w:val="es-ES"/>
        </w:rPr>
        <w:t>.</w:t>
      </w:r>
    </w:p>
    <w:p w14:paraId="31B66BF5" w14:textId="6645ACC4" w:rsidR="005A2AA3" w:rsidRPr="00CE4505"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CE4505">
        <w:rPr>
          <w:rFonts w:asciiTheme="minorHAnsi" w:hAnsiTheme="minorHAnsi" w:cstheme="minorHAnsi"/>
          <w:szCs w:val="24"/>
          <w:lang w:val="es-ES"/>
        </w:rPr>
        <w:t>3.8</w:t>
      </w:r>
      <w:r w:rsidRPr="00CE4505">
        <w:rPr>
          <w:rFonts w:asciiTheme="minorHAnsi" w:hAnsiTheme="minorHAnsi" w:cstheme="minorHAnsi"/>
          <w:szCs w:val="24"/>
          <w:lang w:val="es-ES"/>
        </w:rPr>
        <w:tab/>
      </w:r>
      <w:r w:rsidR="00CE4505" w:rsidRPr="00CE4505">
        <w:rPr>
          <w:rFonts w:asciiTheme="minorHAnsi" w:hAnsiTheme="minorHAnsi" w:cstheme="minorHAnsi"/>
          <w:szCs w:val="24"/>
          <w:lang w:val="es-ES"/>
        </w:rPr>
        <w:t xml:space="preserve">El Consejo </w:t>
      </w:r>
      <w:r w:rsidR="00CE4505" w:rsidRPr="00CE4505">
        <w:rPr>
          <w:rFonts w:asciiTheme="minorHAnsi" w:hAnsiTheme="minorHAnsi" w:cstheme="minorHAnsi"/>
          <w:b/>
          <w:bCs/>
          <w:szCs w:val="24"/>
          <w:lang w:val="es-ES"/>
        </w:rPr>
        <w:t xml:space="preserve">toma nota </w:t>
      </w:r>
      <w:r w:rsidR="00CE4505" w:rsidRPr="00CE4505">
        <w:rPr>
          <w:rFonts w:asciiTheme="minorHAnsi" w:hAnsiTheme="minorHAnsi" w:cstheme="minorHAnsi"/>
          <w:szCs w:val="24"/>
          <w:lang w:val="es-ES"/>
        </w:rPr>
        <w:t xml:space="preserve">del Informe presentado en el </w:t>
      </w:r>
      <w:r w:rsidR="00CE4505">
        <w:rPr>
          <w:rFonts w:asciiTheme="minorHAnsi" w:hAnsiTheme="minorHAnsi" w:cstheme="minorHAnsi"/>
          <w:szCs w:val="24"/>
          <w:lang w:val="es-ES"/>
        </w:rPr>
        <w:t>Documento</w:t>
      </w:r>
      <w:r w:rsidRPr="00CE4505">
        <w:rPr>
          <w:rFonts w:asciiTheme="minorHAnsi" w:hAnsiTheme="minorHAnsi" w:cstheme="minorHAnsi"/>
          <w:szCs w:val="24"/>
          <w:lang w:val="es-ES"/>
        </w:rPr>
        <w:t xml:space="preserve"> C23/5.</w:t>
      </w:r>
    </w:p>
    <w:p w14:paraId="5EBF660F" w14:textId="057E27E0" w:rsidR="005A2AA3" w:rsidRPr="00CE4505" w:rsidRDefault="005A2AA3" w:rsidP="005A2AA3">
      <w:pPr>
        <w:tabs>
          <w:tab w:val="clear" w:pos="567"/>
          <w:tab w:val="clear" w:pos="1134"/>
          <w:tab w:val="clear" w:pos="1701"/>
          <w:tab w:val="clear" w:pos="2268"/>
          <w:tab w:val="clear" w:pos="2835"/>
        </w:tabs>
        <w:spacing w:before="240" w:after="120"/>
        <w:jc w:val="both"/>
        <w:rPr>
          <w:rFonts w:asciiTheme="minorHAnsi" w:hAnsiTheme="minorHAnsi" w:cstheme="minorHAnsi"/>
          <w:b/>
          <w:bCs/>
          <w:szCs w:val="24"/>
          <w:lang w:val="es-ES"/>
        </w:rPr>
      </w:pPr>
      <w:bookmarkStart w:id="8" w:name="_Hlk140854683"/>
      <w:r w:rsidRPr="00CE4505">
        <w:rPr>
          <w:rFonts w:asciiTheme="minorHAnsi" w:hAnsiTheme="minorHAnsi" w:cstheme="minorHAnsi"/>
          <w:b/>
          <w:bCs/>
          <w:szCs w:val="24"/>
          <w:lang w:val="es-ES"/>
        </w:rPr>
        <w:t>4</w:t>
      </w:r>
      <w:r w:rsidRPr="00CE4505">
        <w:rPr>
          <w:rFonts w:asciiTheme="minorHAnsi" w:hAnsiTheme="minorHAnsi" w:cstheme="minorHAnsi"/>
          <w:b/>
          <w:bCs/>
          <w:szCs w:val="24"/>
          <w:lang w:val="es-ES"/>
        </w:rPr>
        <w:tab/>
      </w:r>
      <w:proofErr w:type="gramStart"/>
      <w:r w:rsidRPr="00CE4505">
        <w:rPr>
          <w:rFonts w:asciiTheme="minorHAnsi" w:hAnsiTheme="minorHAnsi" w:cstheme="minorHAnsi"/>
          <w:b/>
          <w:bCs/>
          <w:szCs w:val="24"/>
          <w:lang w:val="es-ES"/>
        </w:rPr>
        <w:t>Ta</w:t>
      </w:r>
      <w:r w:rsidR="00CE4505" w:rsidRPr="00CE4505">
        <w:rPr>
          <w:rFonts w:asciiTheme="minorHAnsi" w:hAnsiTheme="minorHAnsi" w:cstheme="minorHAnsi"/>
          <w:b/>
          <w:bCs/>
          <w:szCs w:val="24"/>
          <w:lang w:val="es-ES"/>
        </w:rPr>
        <w:t>reas</w:t>
      </w:r>
      <w:proofErr w:type="gramEnd"/>
      <w:r w:rsidR="00CE4505" w:rsidRPr="00CE4505">
        <w:rPr>
          <w:rFonts w:asciiTheme="minorHAnsi" w:hAnsiTheme="minorHAnsi" w:cstheme="minorHAnsi"/>
          <w:b/>
          <w:bCs/>
          <w:szCs w:val="24"/>
          <w:lang w:val="es-ES"/>
        </w:rPr>
        <w:t xml:space="preserve"> y funciones del Vicesecretario General</w:t>
      </w:r>
      <w:r w:rsidRPr="00CE4505">
        <w:rPr>
          <w:rFonts w:asciiTheme="minorHAnsi" w:hAnsiTheme="minorHAnsi" w:cstheme="minorHAnsi"/>
          <w:b/>
          <w:bCs/>
          <w:szCs w:val="24"/>
          <w:lang w:val="es-ES"/>
        </w:rPr>
        <w:t xml:space="preserve"> (</w:t>
      </w:r>
      <w:bookmarkStart w:id="9" w:name="_Hlk140766665"/>
      <w:r w:rsidRPr="00CE4505">
        <w:rPr>
          <w:rFonts w:asciiTheme="minorHAnsi" w:hAnsiTheme="minorHAnsi" w:cstheme="minorHAnsi"/>
          <w:b/>
          <w:bCs/>
          <w:szCs w:val="24"/>
          <w:lang w:val="es-ES"/>
        </w:rPr>
        <w:t>Document</w:t>
      </w:r>
      <w:r w:rsidR="00CE4505" w:rsidRPr="00CE4505">
        <w:rPr>
          <w:rFonts w:asciiTheme="minorHAnsi" w:hAnsiTheme="minorHAnsi" w:cstheme="minorHAnsi"/>
          <w:b/>
          <w:bCs/>
          <w:szCs w:val="24"/>
          <w:lang w:val="es-ES"/>
        </w:rPr>
        <w:t>o</w:t>
      </w:r>
      <w:r w:rsidRPr="00CE4505">
        <w:rPr>
          <w:rFonts w:asciiTheme="minorHAnsi" w:hAnsiTheme="minorHAnsi" w:cstheme="minorHAnsi"/>
          <w:b/>
          <w:bCs/>
          <w:szCs w:val="24"/>
          <w:lang w:val="es-ES"/>
        </w:rPr>
        <w:t xml:space="preserve"> </w:t>
      </w:r>
      <w:bookmarkEnd w:id="9"/>
      <w:r w:rsidR="000A3885">
        <w:rPr>
          <w:rFonts w:asciiTheme="minorHAnsi" w:hAnsiTheme="minorHAnsi" w:cstheme="minorHAnsi"/>
          <w:b/>
          <w:bCs/>
          <w:szCs w:val="24"/>
          <w:lang w:val="en-US"/>
        </w:rPr>
        <w:fldChar w:fldCharType="begin"/>
      </w:r>
      <w:r w:rsidR="000A3885" w:rsidRPr="00CE4505">
        <w:rPr>
          <w:rFonts w:asciiTheme="minorHAnsi" w:hAnsiTheme="minorHAnsi" w:cstheme="minorHAnsi"/>
          <w:b/>
          <w:bCs/>
          <w:szCs w:val="24"/>
          <w:lang w:val="es-ES"/>
        </w:rPr>
        <w:instrText>HYPERLINK "https://www.itu.int/md/S23-CL-C-0029/en"</w:instrText>
      </w:r>
      <w:r w:rsidR="000A3885">
        <w:rPr>
          <w:rFonts w:asciiTheme="minorHAnsi" w:hAnsiTheme="minorHAnsi" w:cstheme="minorHAnsi"/>
          <w:b/>
          <w:bCs/>
          <w:szCs w:val="24"/>
          <w:lang w:val="en-US"/>
        </w:rPr>
      </w:r>
      <w:r w:rsidR="000A3885">
        <w:rPr>
          <w:rFonts w:asciiTheme="minorHAnsi" w:hAnsiTheme="minorHAnsi" w:cstheme="minorHAnsi"/>
          <w:b/>
          <w:bCs/>
          <w:szCs w:val="24"/>
          <w:lang w:val="en-US"/>
        </w:rPr>
        <w:fldChar w:fldCharType="separate"/>
      </w:r>
      <w:r w:rsidRPr="00CE4505">
        <w:rPr>
          <w:rStyle w:val="Hyperlink"/>
          <w:rFonts w:asciiTheme="minorHAnsi" w:hAnsiTheme="minorHAnsi" w:cstheme="minorHAnsi"/>
          <w:b/>
          <w:bCs/>
          <w:szCs w:val="24"/>
          <w:lang w:val="es-ES"/>
        </w:rPr>
        <w:t>C23/29</w:t>
      </w:r>
      <w:r w:rsidR="000A3885">
        <w:rPr>
          <w:rFonts w:asciiTheme="minorHAnsi" w:hAnsiTheme="minorHAnsi" w:cstheme="minorHAnsi"/>
          <w:b/>
          <w:bCs/>
          <w:szCs w:val="24"/>
          <w:lang w:val="en-US"/>
        </w:rPr>
        <w:fldChar w:fldCharType="end"/>
      </w:r>
      <w:r w:rsidRPr="00CE4505">
        <w:rPr>
          <w:rFonts w:asciiTheme="minorHAnsi" w:hAnsiTheme="minorHAnsi" w:cstheme="minorHAnsi"/>
          <w:b/>
          <w:bCs/>
          <w:szCs w:val="24"/>
          <w:lang w:val="es-ES"/>
        </w:rPr>
        <w:t>)</w:t>
      </w:r>
    </w:p>
    <w:bookmarkEnd w:id="8"/>
    <w:p w14:paraId="6FBB26FC" w14:textId="48EB4947" w:rsidR="005A2AA3" w:rsidRPr="00CE4505"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CE4505">
        <w:rPr>
          <w:rFonts w:asciiTheme="minorHAnsi" w:hAnsiTheme="minorHAnsi" w:cstheme="minorHAnsi"/>
          <w:szCs w:val="24"/>
          <w:lang w:val="es-ES"/>
        </w:rPr>
        <w:t>4.1</w:t>
      </w:r>
      <w:r w:rsidRPr="00CE4505">
        <w:rPr>
          <w:rFonts w:asciiTheme="minorHAnsi" w:hAnsiTheme="minorHAnsi" w:cstheme="minorHAnsi"/>
          <w:szCs w:val="24"/>
          <w:lang w:val="es-ES"/>
        </w:rPr>
        <w:tab/>
      </w:r>
      <w:r w:rsidR="00CE4505" w:rsidRPr="00CE4505">
        <w:rPr>
          <w:rFonts w:asciiTheme="minorHAnsi" w:hAnsiTheme="minorHAnsi" w:cstheme="minorHAnsi"/>
          <w:szCs w:val="24"/>
          <w:lang w:val="es-ES"/>
        </w:rPr>
        <w:t xml:space="preserve">El Jefe del Departamento de Desarrollo de Recursos Humanos </w:t>
      </w:r>
      <w:r w:rsidR="00CE4505">
        <w:rPr>
          <w:rFonts w:asciiTheme="minorHAnsi" w:hAnsiTheme="minorHAnsi" w:cstheme="minorHAnsi"/>
          <w:szCs w:val="24"/>
          <w:lang w:val="es-ES"/>
        </w:rPr>
        <w:t>presenta el Documento</w:t>
      </w:r>
      <w:r w:rsidRPr="00CE4505">
        <w:rPr>
          <w:rFonts w:asciiTheme="minorHAnsi" w:hAnsiTheme="minorHAnsi" w:cstheme="minorHAnsi"/>
          <w:szCs w:val="24"/>
          <w:lang w:val="es-ES"/>
        </w:rPr>
        <w:t xml:space="preserve"> C23/29. </w:t>
      </w:r>
      <w:r w:rsidR="00CE4505" w:rsidRPr="00CE4505">
        <w:rPr>
          <w:rFonts w:asciiTheme="minorHAnsi" w:hAnsiTheme="minorHAnsi" w:cstheme="minorHAnsi"/>
          <w:szCs w:val="24"/>
          <w:lang w:val="es-ES"/>
        </w:rPr>
        <w:t>El documento contiene un Informe elaborado de conformidad con la Resolución</w:t>
      </w:r>
      <w:r w:rsidRPr="00CE4505">
        <w:rPr>
          <w:rFonts w:asciiTheme="minorHAnsi" w:hAnsiTheme="minorHAnsi" w:cstheme="minorHAnsi"/>
          <w:szCs w:val="24"/>
          <w:lang w:val="es-ES"/>
        </w:rPr>
        <w:t xml:space="preserve"> 148 (Rev. Bucarest, 2022) </w:t>
      </w:r>
      <w:r w:rsidR="00CE4505" w:rsidRPr="00CE4505">
        <w:rPr>
          <w:rFonts w:asciiTheme="minorHAnsi" w:hAnsiTheme="minorHAnsi" w:cstheme="minorHAnsi"/>
          <w:szCs w:val="24"/>
          <w:lang w:val="es-ES"/>
        </w:rPr>
        <w:t>de la Conferencia de Plenipotenciarios, en la que se encarga a la Secretaría General la preparación de directrices específicas sobre las tareas delegadas en el Vicesecretario General, de conformidad con el Artículo 11 de la Constitución y el Artículo 5 del Convenio, y su presentación a la consideración de</w:t>
      </w:r>
      <w:r w:rsidR="00CE4505">
        <w:rPr>
          <w:rFonts w:asciiTheme="minorHAnsi" w:hAnsiTheme="minorHAnsi" w:cstheme="minorHAnsi"/>
          <w:szCs w:val="24"/>
          <w:lang w:val="es-ES"/>
        </w:rPr>
        <w:t xml:space="preserve"> la siguiente reunión ordinaria del Consejo, si hubiese lugar, así como la publicación de directrices claras y específicas sobre las tareas delegadas en el Vicesecretario General y su comunicación a los Miembros de la Unión y el personal de la UIT</w:t>
      </w:r>
      <w:r w:rsidRPr="00CE4505">
        <w:rPr>
          <w:rFonts w:asciiTheme="minorHAnsi" w:hAnsiTheme="minorHAnsi" w:cstheme="minorHAnsi"/>
          <w:szCs w:val="24"/>
          <w:lang w:val="es-ES"/>
        </w:rPr>
        <w:t>.</w:t>
      </w:r>
    </w:p>
    <w:p w14:paraId="79D39412" w14:textId="33550F48" w:rsidR="005A2AA3" w:rsidRPr="00CE4505"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CE4505">
        <w:rPr>
          <w:rFonts w:asciiTheme="minorHAnsi" w:hAnsiTheme="minorHAnsi" w:cstheme="minorHAnsi"/>
          <w:szCs w:val="24"/>
          <w:lang w:val="es-ES"/>
        </w:rPr>
        <w:t>4.2</w:t>
      </w:r>
      <w:r w:rsidRPr="00CE4505">
        <w:rPr>
          <w:rFonts w:asciiTheme="minorHAnsi" w:hAnsiTheme="minorHAnsi" w:cstheme="minorHAnsi"/>
          <w:szCs w:val="24"/>
          <w:lang w:val="es-ES"/>
        </w:rPr>
        <w:tab/>
      </w:r>
      <w:r w:rsidR="00CE4505" w:rsidRPr="00CE4505">
        <w:rPr>
          <w:rFonts w:asciiTheme="minorHAnsi" w:hAnsiTheme="minorHAnsi" w:cstheme="minorHAnsi"/>
          <w:szCs w:val="24"/>
          <w:lang w:val="es-ES"/>
        </w:rPr>
        <w:t>Varios consejeros expresan su apoyo al documento, del que el Consej</w:t>
      </w:r>
      <w:r w:rsidR="00CE4505">
        <w:rPr>
          <w:rFonts w:asciiTheme="minorHAnsi" w:hAnsiTheme="minorHAnsi" w:cstheme="minorHAnsi"/>
          <w:szCs w:val="24"/>
          <w:lang w:val="es-ES"/>
        </w:rPr>
        <w:t>o debe tomar nota</w:t>
      </w:r>
      <w:r w:rsidRPr="00CE4505">
        <w:rPr>
          <w:rFonts w:asciiTheme="minorHAnsi" w:hAnsiTheme="minorHAnsi" w:cstheme="minorHAnsi"/>
          <w:szCs w:val="24"/>
          <w:lang w:val="es-ES"/>
        </w:rPr>
        <w:t>.</w:t>
      </w:r>
    </w:p>
    <w:p w14:paraId="44E46090" w14:textId="0756D74D" w:rsidR="005A2AA3" w:rsidRPr="001356C9"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1356C9">
        <w:rPr>
          <w:rFonts w:asciiTheme="minorHAnsi" w:hAnsiTheme="minorHAnsi" w:cstheme="minorHAnsi"/>
          <w:szCs w:val="24"/>
          <w:lang w:val="es-ES"/>
        </w:rPr>
        <w:lastRenderedPageBreak/>
        <w:t>4.3</w:t>
      </w:r>
      <w:r w:rsidRPr="001356C9">
        <w:rPr>
          <w:rFonts w:asciiTheme="minorHAnsi" w:hAnsiTheme="minorHAnsi" w:cstheme="minorHAnsi"/>
          <w:szCs w:val="24"/>
          <w:lang w:val="es-ES"/>
        </w:rPr>
        <w:tab/>
      </w:r>
      <w:r w:rsidR="001356C9" w:rsidRPr="001356C9">
        <w:rPr>
          <w:rFonts w:asciiTheme="minorHAnsi" w:hAnsiTheme="minorHAnsi" w:cstheme="minorHAnsi"/>
          <w:szCs w:val="24"/>
          <w:lang w:val="es-ES"/>
        </w:rPr>
        <w:t>Dos consejer</w:t>
      </w:r>
      <w:r w:rsidR="001356C9">
        <w:rPr>
          <w:rFonts w:asciiTheme="minorHAnsi" w:hAnsiTheme="minorHAnsi" w:cstheme="minorHAnsi"/>
          <w:szCs w:val="24"/>
          <w:lang w:val="es-ES"/>
        </w:rPr>
        <w:t>a</w:t>
      </w:r>
      <w:r w:rsidR="001356C9" w:rsidRPr="001356C9">
        <w:rPr>
          <w:rFonts w:asciiTheme="minorHAnsi" w:hAnsiTheme="minorHAnsi" w:cstheme="minorHAnsi"/>
          <w:szCs w:val="24"/>
          <w:lang w:val="es-ES"/>
        </w:rPr>
        <w:t>s dicen que, dado que las estrategias y mecanismos de coordinación intersectorial a que se hace referencia en el</w:t>
      </w:r>
      <w:r w:rsidRPr="001356C9">
        <w:rPr>
          <w:rFonts w:asciiTheme="minorHAnsi" w:hAnsiTheme="minorHAnsi" w:cstheme="minorHAnsi"/>
          <w:szCs w:val="24"/>
          <w:lang w:val="es-ES"/>
        </w:rPr>
        <w:t xml:space="preserve"> § 1(c) </w:t>
      </w:r>
      <w:r w:rsidR="001356C9" w:rsidRPr="001356C9">
        <w:rPr>
          <w:rFonts w:asciiTheme="minorHAnsi" w:hAnsiTheme="minorHAnsi" w:cstheme="minorHAnsi"/>
          <w:szCs w:val="24"/>
          <w:lang w:val="es-ES"/>
        </w:rPr>
        <w:t>d</w:t>
      </w:r>
      <w:r w:rsidR="001356C9">
        <w:rPr>
          <w:rFonts w:asciiTheme="minorHAnsi" w:hAnsiTheme="minorHAnsi" w:cstheme="minorHAnsi"/>
          <w:szCs w:val="24"/>
          <w:lang w:val="es-ES"/>
        </w:rPr>
        <w:t>el documento se examinarán en el marco del Documento</w:t>
      </w:r>
      <w:r w:rsidRPr="001356C9">
        <w:rPr>
          <w:rFonts w:asciiTheme="minorHAnsi" w:hAnsiTheme="minorHAnsi" w:cstheme="minorHAnsi"/>
          <w:szCs w:val="24"/>
          <w:lang w:val="es-ES"/>
        </w:rPr>
        <w:t xml:space="preserve"> C23/27, </w:t>
      </w:r>
      <w:r w:rsidR="001356C9">
        <w:rPr>
          <w:rFonts w:asciiTheme="minorHAnsi" w:hAnsiTheme="minorHAnsi" w:cstheme="minorHAnsi"/>
          <w:szCs w:val="24"/>
          <w:lang w:val="es-ES"/>
        </w:rPr>
        <w:t xml:space="preserve">convendría estudiar ambos documentos al mismo tiempo a fin de entender mejor las funciones concretas del Vicesecretario General en su aplicación. </w:t>
      </w:r>
      <w:r w:rsidR="001356C9" w:rsidRPr="001356C9">
        <w:rPr>
          <w:rFonts w:asciiTheme="minorHAnsi" w:hAnsiTheme="minorHAnsi" w:cstheme="minorHAnsi"/>
          <w:szCs w:val="24"/>
          <w:lang w:val="es-ES"/>
        </w:rPr>
        <w:t>Un</w:t>
      </w:r>
      <w:r w:rsidR="001356C9">
        <w:rPr>
          <w:rFonts w:asciiTheme="minorHAnsi" w:hAnsiTheme="minorHAnsi" w:cstheme="minorHAnsi"/>
          <w:szCs w:val="24"/>
          <w:lang w:val="es-ES"/>
        </w:rPr>
        <w:t>a</w:t>
      </w:r>
      <w:r w:rsidR="001356C9" w:rsidRPr="001356C9">
        <w:rPr>
          <w:rFonts w:asciiTheme="minorHAnsi" w:hAnsiTheme="minorHAnsi" w:cstheme="minorHAnsi"/>
          <w:szCs w:val="24"/>
          <w:lang w:val="es-ES"/>
        </w:rPr>
        <w:t xml:space="preserve"> consejer</w:t>
      </w:r>
      <w:r w:rsidR="001356C9">
        <w:rPr>
          <w:rFonts w:asciiTheme="minorHAnsi" w:hAnsiTheme="minorHAnsi" w:cstheme="minorHAnsi"/>
          <w:szCs w:val="24"/>
          <w:lang w:val="es-ES"/>
        </w:rPr>
        <w:t>a</w:t>
      </w:r>
      <w:r w:rsidR="001356C9" w:rsidRPr="001356C9">
        <w:rPr>
          <w:rFonts w:asciiTheme="minorHAnsi" w:hAnsiTheme="minorHAnsi" w:cstheme="minorHAnsi"/>
          <w:szCs w:val="24"/>
          <w:lang w:val="es-ES"/>
        </w:rPr>
        <w:t xml:space="preserve"> señala que el párrafo en cuestión difiere notablemente de su versión anterior</w:t>
      </w:r>
      <w:r w:rsidRPr="001356C9">
        <w:rPr>
          <w:rFonts w:asciiTheme="minorHAnsi" w:hAnsiTheme="minorHAnsi" w:cstheme="minorHAnsi"/>
          <w:szCs w:val="24"/>
          <w:lang w:val="es-ES"/>
        </w:rPr>
        <w:t>.</w:t>
      </w:r>
    </w:p>
    <w:p w14:paraId="08594F0E" w14:textId="18A90334" w:rsidR="005A2AA3" w:rsidRPr="001356C9"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1356C9">
        <w:rPr>
          <w:rFonts w:asciiTheme="minorHAnsi" w:hAnsiTheme="minorHAnsi" w:cstheme="minorHAnsi"/>
          <w:szCs w:val="24"/>
          <w:lang w:val="es-ES"/>
        </w:rPr>
        <w:t>4.4</w:t>
      </w:r>
      <w:r w:rsidRPr="001356C9">
        <w:rPr>
          <w:rFonts w:asciiTheme="minorHAnsi" w:hAnsiTheme="minorHAnsi" w:cstheme="minorHAnsi"/>
          <w:szCs w:val="24"/>
          <w:lang w:val="es-ES"/>
        </w:rPr>
        <w:tab/>
      </w:r>
      <w:r w:rsidR="001356C9" w:rsidRPr="001356C9">
        <w:rPr>
          <w:rFonts w:asciiTheme="minorHAnsi" w:hAnsiTheme="minorHAnsi" w:cstheme="minorHAnsi"/>
          <w:szCs w:val="24"/>
          <w:lang w:val="es-ES"/>
        </w:rPr>
        <w:t>Un consejero pregunta si se han delegado en el Vicesecretario General tareas adicionales o si</w:t>
      </w:r>
      <w:r w:rsidR="001356C9">
        <w:rPr>
          <w:rFonts w:asciiTheme="minorHAnsi" w:hAnsiTheme="minorHAnsi" w:cstheme="minorHAnsi"/>
          <w:szCs w:val="24"/>
          <w:lang w:val="es-ES"/>
        </w:rPr>
        <w:t xml:space="preserve"> se han eliminado algunas</w:t>
      </w:r>
      <w:r w:rsidRPr="001356C9">
        <w:rPr>
          <w:rFonts w:asciiTheme="minorHAnsi" w:hAnsiTheme="minorHAnsi" w:cstheme="minorHAnsi"/>
          <w:szCs w:val="24"/>
          <w:lang w:val="es-ES"/>
        </w:rPr>
        <w:t>.</w:t>
      </w:r>
    </w:p>
    <w:p w14:paraId="653A7E49" w14:textId="0D750511" w:rsidR="005A2AA3" w:rsidRPr="001356C9"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1356C9">
        <w:rPr>
          <w:rFonts w:asciiTheme="minorHAnsi" w:hAnsiTheme="minorHAnsi" w:cstheme="minorHAnsi"/>
          <w:szCs w:val="24"/>
          <w:lang w:val="es-ES"/>
        </w:rPr>
        <w:t>4.5</w:t>
      </w:r>
      <w:r w:rsidRPr="001356C9">
        <w:rPr>
          <w:rFonts w:asciiTheme="minorHAnsi" w:hAnsiTheme="minorHAnsi" w:cstheme="minorHAnsi"/>
          <w:szCs w:val="24"/>
          <w:lang w:val="es-ES"/>
        </w:rPr>
        <w:tab/>
      </w:r>
      <w:r w:rsidR="001356C9" w:rsidRPr="001356C9">
        <w:rPr>
          <w:rFonts w:asciiTheme="minorHAnsi" w:hAnsiTheme="minorHAnsi" w:cstheme="minorHAnsi"/>
          <w:szCs w:val="24"/>
          <w:lang w:val="es-ES"/>
        </w:rPr>
        <w:t xml:space="preserve">En respuesta a las preguntas de los consejeros sobre las modificaciones realizadas, la Secretaria General señala a su atención la adición en el </w:t>
      </w:r>
      <w:r w:rsidRPr="001356C9">
        <w:rPr>
          <w:rFonts w:asciiTheme="minorHAnsi" w:hAnsiTheme="minorHAnsi" w:cstheme="minorHAnsi"/>
          <w:szCs w:val="24"/>
          <w:lang w:val="es-ES"/>
        </w:rPr>
        <w:t xml:space="preserve">§ 1(b), </w:t>
      </w:r>
      <w:r w:rsidR="001356C9">
        <w:rPr>
          <w:rFonts w:asciiTheme="minorHAnsi" w:hAnsiTheme="minorHAnsi" w:cstheme="minorHAnsi"/>
          <w:szCs w:val="24"/>
          <w:lang w:val="es-ES"/>
        </w:rPr>
        <w:t xml:space="preserve">que refleja el espíritu del nuevo equipo de gestión, en particular de la compartición de recursos y el fortalecimiento mutuo de las distintas tareas que se ejecutan. </w:t>
      </w:r>
      <w:r w:rsidR="001356C9" w:rsidRPr="00CF4C78">
        <w:rPr>
          <w:rFonts w:asciiTheme="minorHAnsi" w:hAnsiTheme="minorHAnsi" w:cstheme="minorHAnsi"/>
          <w:szCs w:val="24"/>
          <w:lang w:val="es-ES"/>
        </w:rPr>
        <w:t>Con respecto al</w:t>
      </w:r>
      <w:r w:rsidRPr="00CF4C78">
        <w:rPr>
          <w:rFonts w:asciiTheme="minorHAnsi" w:hAnsiTheme="minorHAnsi" w:cstheme="minorHAnsi"/>
          <w:szCs w:val="24"/>
          <w:lang w:val="es-ES"/>
        </w:rPr>
        <w:t xml:space="preserve"> § 1(c), s</w:t>
      </w:r>
      <w:r w:rsidR="001356C9" w:rsidRPr="00CF4C78">
        <w:rPr>
          <w:rFonts w:asciiTheme="minorHAnsi" w:hAnsiTheme="minorHAnsi" w:cstheme="minorHAnsi"/>
          <w:szCs w:val="24"/>
          <w:lang w:val="es-ES"/>
        </w:rPr>
        <w:t xml:space="preserve">eñala que la coordinación intersectorial siempre fue responsabilidad del Vicesecretario General. De hecho, los anteriores Vicesecretarios Generales informaban periódicamente al Consejo sobre los asuntos de coordinación intersectorial. </w:t>
      </w:r>
      <w:r w:rsidR="001356C9" w:rsidRPr="001356C9">
        <w:rPr>
          <w:rFonts w:asciiTheme="minorHAnsi" w:hAnsiTheme="minorHAnsi" w:cstheme="minorHAnsi"/>
          <w:szCs w:val="24"/>
          <w:lang w:val="es-ES"/>
        </w:rPr>
        <w:t xml:space="preserve">La referencia al concepto de </w:t>
      </w:r>
      <w:r w:rsidR="00FB3D8E">
        <w:rPr>
          <w:rFonts w:asciiTheme="minorHAnsi" w:hAnsiTheme="minorHAnsi" w:cstheme="minorHAnsi"/>
          <w:szCs w:val="24"/>
          <w:lang w:val="es-ES"/>
        </w:rPr>
        <w:t>"</w:t>
      </w:r>
      <w:r w:rsidR="001356C9" w:rsidRPr="001356C9">
        <w:rPr>
          <w:rFonts w:asciiTheme="minorHAnsi" w:hAnsiTheme="minorHAnsi" w:cstheme="minorHAnsi"/>
          <w:szCs w:val="24"/>
          <w:lang w:val="es-ES"/>
        </w:rPr>
        <w:t>Una UIT</w:t>
      </w:r>
      <w:r w:rsidR="00FB3D8E">
        <w:rPr>
          <w:rFonts w:asciiTheme="minorHAnsi" w:hAnsiTheme="minorHAnsi" w:cstheme="minorHAnsi"/>
          <w:szCs w:val="24"/>
          <w:lang w:val="es-ES"/>
        </w:rPr>
        <w:t>"</w:t>
      </w:r>
      <w:r w:rsidR="001356C9" w:rsidRPr="001356C9">
        <w:rPr>
          <w:rFonts w:asciiTheme="minorHAnsi" w:hAnsiTheme="minorHAnsi" w:cstheme="minorHAnsi"/>
          <w:szCs w:val="24"/>
          <w:lang w:val="es-ES"/>
        </w:rPr>
        <w:t xml:space="preserve"> procede de la Resolución</w:t>
      </w:r>
      <w:r w:rsidRPr="001356C9">
        <w:rPr>
          <w:rFonts w:asciiTheme="minorHAnsi" w:hAnsiTheme="minorHAnsi" w:cstheme="minorHAnsi"/>
          <w:szCs w:val="24"/>
          <w:lang w:val="es-ES"/>
        </w:rPr>
        <w:t xml:space="preserve"> 191 (Rev. Bucarest, 2022) </w:t>
      </w:r>
      <w:r w:rsidR="001356C9">
        <w:rPr>
          <w:rFonts w:asciiTheme="minorHAnsi" w:hAnsiTheme="minorHAnsi" w:cstheme="minorHAnsi"/>
          <w:szCs w:val="24"/>
          <w:lang w:val="es-ES"/>
        </w:rPr>
        <w:t>de la Conferencia de Plenipotenciarios</w:t>
      </w:r>
      <w:r w:rsidRPr="001356C9">
        <w:rPr>
          <w:rFonts w:asciiTheme="minorHAnsi" w:hAnsiTheme="minorHAnsi" w:cstheme="minorHAnsi"/>
          <w:szCs w:val="24"/>
          <w:lang w:val="es-ES"/>
        </w:rPr>
        <w:t>.</w:t>
      </w:r>
    </w:p>
    <w:p w14:paraId="100BAB30" w14:textId="238A55C8" w:rsidR="005A2AA3" w:rsidRPr="005A2AA3" w:rsidRDefault="005A2AA3" w:rsidP="005A2AA3">
      <w:pPr>
        <w:tabs>
          <w:tab w:val="clear" w:pos="567"/>
          <w:tab w:val="clear" w:pos="1134"/>
          <w:tab w:val="clear" w:pos="1701"/>
          <w:tab w:val="clear" w:pos="2268"/>
          <w:tab w:val="clear" w:pos="2835"/>
        </w:tabs>
        <w:spacing w:after="120"/>
        <w:jc w:val="both"/>
        <w:rPr>
          <w:rFonts w:asciiTheme="minorHAnsi" w:eastAsiaTheme="majorEastAsia" w:hAnsiTheme="minorHAnsi" w:cstheme="minorHAnsi"/>
          <w:szCs w:val="24"/>
          <w:lang w:val="de-CH"/>
        </w:rPr>
      </w:pPr>
      <w:r w:rsidRPr="001356C9">
        <w:rPr>
          <w:rFonts w:asciiTheme="minorHAnsi" w:hAnsiTheme="minorHAnsi" w:cstheme="minorHAnsi"/>
          <w:szCs w:val="24"/>
          <w:lang w:val="es-ES"/>
        </w:rPr>
        <w:t>4.6</w:t>
      </w:r>
      <w:r w:rsidRPr="001356C9">
        <w:rPr>
          <w:rFonts w:asciiTheme="minorHAnsi" w:hAnsiTheme="minorHAnsi" w:cstheme="minorHAnsi"/>
          <w:szCs w:val="24"/>
          <w:lang w:val="es-ES"/>
        </w:rPr>
        <w:tab/>
      </w:r>
      <w:r w:rsidR="001356C9" w:rsidRPr="001356C9">
        <w:rPr>
          <w:rFonts w:asciiTheme="minorHAnsi" w:hAnsiTheme="minorHAnsi" w:cstheme="minorHAnsi"/>
          <w:szCs w:val="24"/>
          <w:lang w:val="es-ES"/>
        </w:rPr>
        <w:t xml:space="preserve">El Consejo </w:t>
      </w:r>
      <w:r w:rsidR="001356C9" w:rsidRPr="001356C9">
        <w:rPr>
          <w:rFonts w:asciiTheme="minorHAnsi" w:hAnsiTheme="minorHAnsi" w:cstheme="minorHAnsi"/>
          <w:b/>
          <w:bCs/>
          <w:szCs w:val="24"/>
          <w:lang w:val="es-ES"/>
        </w:rPr>
        <w:t xml:space="preserve">toma nota </w:t>
      </w:r>
      <w:r w:rsidR="001356C9" w:rsidRPr="001356C9">
        <w:rPr>
          <w:rFonts w:asciiTheme="minorHAnsi" w:hAnsiTheme="minorHAnsi" w:cstheme="minorHAnsi"/>
          <w:szCs w:val="24"/>
          <w:lang w:val="es-ES"/>
        </w:rPr>
        <w:t xml:space="preserve">del Informe presentado en el </w:t>
      </w:r>
      <w:r w:rsidR="001356C9">
        <w:rPr>
          <w:rFonts w:asciiTheme="minorHAnsi" w:hAnsiTheme="minorHAnsi" w:cstheme="minorHAnsi"/>
          <w:szCs w:val="24"/>
          <w:lang w:val="es-ES"/>
        </w:rPr>
        <w:t>Documento</w:t>
      </w:r>
      <w:r w:rsidRPr="001356C9">
        <w:rPr>
          <w:rFonts w:asciiTheme="minorHAnsi" w:hAnsiTheme="minorHAnsi" w:cstheme="minorHAnsi"/>
          <w:szCs w:val="24"/>
          <w:lang w:val="es-ES"/>
        </w:rPr>
        <w:t xml:space="preserve"> C23/29.</w:t>
      </w:r>
    </w:p>
    <w:p w14:paraId="2AB2FCCC" w14:textId="7B1D493B" w:rsidR="005A2AA3" w:rsidRPr="00CF4C78"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1356C9">
        <w:rPr>
          <w:rFonts w:asciiTheme="minorHAnsi" w:hAnsiTheme="minorHAnsi" w:cstheme="minorHAnsi"/>
          <w:szCs w:val="24"/>
          <w:lang w:val="de-CH"/>
        </w:rPr>
        <w:t>4.7</w:t>
      </w:r>
      <w:r w:rsidRPr="001356C9">
        <w:rPr>
          <w:rFonts w:asciiTheme="minorHAnsi" w:hAnsiTheme="minorHAnsi" w:cstheme="minorHAnsi"/>
          <w:szCs w:val="24"/>
          <w:lang w:val="de-CH"/>
        </w:rPr>
        <w:tab/>
      </w:r>
      <w:r w:rsidR="001356C9" w:rsidRPr="001356C9">
        <w:rPr>
          <w:rFonts w:asciiTheme="minorHAnsi" w:hAnsiTheme="minorHAnsi" w:cstheme="minorHAnsi"/>
          <w:szCs w:val="24"/>
          <w:lang w:val="de-CH"/>
        </w:rPr>
        <w:t>El Vicesecretario General da las gracias a los consejeros por tomar nota del documento, a la Secretaria General por su confianza y a su</w:t>
      </w:r>
      <w:r w:rsidR="001356C9">
        <w:rPr>
          <w:rFonts w:asciiTheme="minorHAnsi" w:hAnsiTheme="minorHAnsi" w:cstheme="minorHAnsi"/>
          <w:szCs w:val="24"/>
          <w:lang w:val="de-CH"/>
        </w:rPr>
        <w:t xml:space="preserve">s colegas funcionarios electos por el enfoque común adoptado para aumentar la relevancia de la Unión. No escatimará esfuerzo alguno en </w:t>
      </w:r>
      <w:r w:rsidR="00FB3D8E">
        <w:rPr>
          <w:rFonts w:asciiTheme="minorHAnsi" w:hAnsiTheme="minorHAnsi" w:cstheme="minorHAnsi"/>
          <w:szCs w:val="24"/>
          <w:lang w:val="de-CH"/>
        </w:rPr>
        <w:t xml:space="preserve">el </w:t>
      </w:r>
      <w:r w:rsidR="001356C9">
        <w:rPr>
          <w:rFonts w:asciiTheme="minorHAnsi" w:hAnsiTheme="minorHAnsi" w:cstheme="minorHAnsi"/>
          <w:szCs w:val="24"/>
          <w:lang w:val="de-CH"/>
        </w:rPr>
        <w:t>servicio de la Unión</w:t>
      </w:r>
      <w:r w:rsidRPr="00CF4C78">
        <w:rPr>
          <w:rFonts w:asciiTheme="minorHAnsi" w:hAnsiTheme="minorHAnsi" w:cstheme="minorHAnsi"/>
          <w:szCs w:val="24"/>
          <w:lang w:val="es-ES"/>
        </w:rPr>
        <w:t>.</w:t>
      </w:r>
    </w:p>
    <w:p w14:paraId="17BB15FD" w14:textId="2C6FF1BF" w:rsidR="005A2AA3" w:rsidRPr="001356C9" w:rsidRDefault="005A2AA3" w:rsidP="005A2AA3">
      <w:pPr>
        <w:tabs>
          <w:tab w:val="clear" w:pos="567"/>
          <w:tab w:val="clear" w:pos="1134"/>
          <w:tab w:val="clear" w:pos="1701"/>
          <w:tab w:val="clear" w:pos="2268"/>
          <w:tab w:val="clear" w:pos="2835"/>
        </w:tabs>
        <w:spacing w:before="240" w:after="120"/>
        <w:ind w:left="567" w:hanging="567"/>
        <w:jc w:val="both"/>
        <w:rPr>
          <w:rFonts w:asciiTheme="minorHAnsi" w:hAnsiTheme="minorHAnsi" w:cstheme="minorHAnsi"/>
          <w:b/>
          <w:bCs/>
          <w:szCs w:val="24"/>
          <w:lang w:val="es-ES"/>
        </w:rPr>
      </w:pPr>
      <w:bookmarkStart w:id="10" w:name="_Hlk140854728"/>
      <w:r w:rsidRPr="001356C9">
        <w:rPr>
          <w:rFonts w:asciiTheme="minorHAnsi" w:hAnsiTheme="minorHAnsi" w:cstheme="minorHAnsi"/>
          <w:b/>
          <w:bCs/>
          <w:szCs w:val="24"/>
          <w:lang w:val="es-ES"/>
        </w:rPr>
        <w:t>5</w:t>
      </w:r>
      <w:r w:rsidRPr="001356C9">
        <w:rPr>
          <w:rFonts w:asciiTheme="minorHAnsi" w:hAnsiTheme="minorHAnsi" w:cstheme="minorHAnsi"/>
          <w:b/>
          <w:bCs/>
          <w:szCs w:val="24"/>
          <w:lang w:val="es-ES"/>
        </w:rPr>
        <w:tab/>
      </w:r>
      <w:r w:rsidR="001356C9" w:rsidRPr="001356C9">
        <w:rPr>
          <w:rFonts w:asciiTheme="minorHAnsi" w:hAnsiTheme="minorHAnsi" w:cstheme="minorHAnsi"/>
          <w:b/>
          <w:bCs/>
          <w:szCs w:val="24"/>
          <w:lang w:val="es-ES"/>
        </w:rPr>
        <w:t>Estrategia de coordinación de los trabajos de los tres Sectores de la Unión</w:t>
      </w:r>
      <w:r w:rsidRPr="001356C9">
        <w:rPr>
          <w:rFonts w:asciiTheme="minorHAnsi" w:hAnsiTheme="minorHAnsi" w:cstheme="minorHAnsi"/>
          <w:b/>
          <w:bCs/>
          <w:szCs w:val="24"/>
          <w:lang w:val="es-ES"/>
        </w:rPr>
        <w:t xml:space="preserve"> (</w:t>
      </w:r>
      <w:bookmarkStart w:id="11" w:name="_Hlk140769041"/>
      <w:r w:rsidRPr="001356C9">
        <w:rPr>
          <w:rFonts w:asciiTheme="minorHAnsi" w:hAnsiTheme="minorHAnsi" w:cstheme="minorHAnsi"/>
          <w:b/>
          <w:bCs/>
          <w:szCs w:val="24"/>
          <w:lang w:val="es-ES"/>
        </w:rPr>
        <w:t>Document</w:t>
      </w:r>
      <w:r w:rsidR="001356C9" w:rsidRPr="001356C9">
        <w:rPr>
          <w:rFonts w:asciiTheme="minorHAnsi" w:hAnsiTheme="minorHAnsi" w:cstheme="minorHAnsi"/>
          <w:b/>
          <w:bCs/>
          <w:szCs w:val="24"/>
          <w:lang w:val="es-ES"/>
        </w:rPr>
        <w:t>o</w:t>
      </w:r>
      <w:r w:rsidRPr="001356C9">
        <w:rPr>
          <w:rFonts w:asciiTheme="minorHAnsi" w:hAnsiTheme="minorHAnsi" w:cstheme="minorHAnsi"/>
          <w:b/>
          <w:bCs/>
          <w:szCs w:val="24"/>
          <w:lang w:val="es-ES"/>
        </w:rPr>
        <w:t xml:space="preserve">s </w:t>
      </w:r>
      <w:hyperlink r:id="rId16" w:history="1">
        <w:r w:rsidRPr="001356C9">
          <w:rPr>
            <w:rStyle w:val="Hyperlink"/>
            <w:rFonts w:asciiTheme="minorHAnsi" w:hAnsiTheme="minorHAnsi" w:cstheme="minorHAnsi"/>
            <w:b/>
            <w:bCs/>
            <w:szCs w:val="24"/>
            <w:lang w:val="es-ES"/>
          </w:rPr>
          <w:t>C23/27</w:t>
        </w:r>
      </w:hyperlink>
      <w:r w:rsidRPr="001356C9">
        <w:rPr>
          <w:rFonts w:asciiTheme="minorHAnsi" w:hAnsiTheme="minorHAnsi" w:cstheme="minorHAnsi"/>
          <w:b/>
          <w:bCs/>
          <w:szCs w:val="24"/>
          <w:lang w:val="es-ES"/>
        </w:rPr>
        <w:t xml:space="preserve">, </w:t>
      </w:r>
      <w:hyperlink r:id="rId17" w:history="1">
        <w:r w:rsidRPr="001356C9">
          <w:rPr>
            <w:rStyle w:val="Hyperlink"/>
            <w:rFonts w:asciiTheme="minorHAnsi" w:hAnsiTheme="minorHAnsi" w:cstheme="minorHAnsi"/>
            <w:b/>
            <w:bCs/>
            <w:szCs w:val="24"/>
            <w:lang w:val="es-ES"/>
          </w:rPr>
          <w:t>C23/72(Rev.1)+Corr.1</w:t>
        </w:r>
      </w:hyperlink>
      <w:r w:rsidRPr="001356C9">
        <w:rPr>
          <w:rFonts w:asciiTheme="minorHAnsi" w:hAnsiTheme="minorHAnsi" w:cstheme="minorHAnsi"/>
          <w:b/>
          <w:bCs/>
          <w:szCs w:val="24"/>
          <w:lang w:val="es-ES"/>
        </w:rPr>
        <w:t xml:space="preserve"> </w:t>
      </w:r>
      <w:r w:rsidR="001356C9">
        <w:rPr>
          <w:rFonts w:asciiTheme="minorHAnsi" w:hAnsiTheme="minorHAnsi" w:cstheme="minorHAnsi"/>
          <w:b/>
          <w:bCs/>
          <w:szCs w:val="24"/>
          <w:lang w:val="es-ES"/>
        </w:rPr>
        <w:t>y</w:t>
      </w:r>
      <w:r w:rsidRPr="001356C9">
        <w:rPr>
          <w:rFonts w:asciiTheme="minorHAnsi" w:hAnsiTheme="minorHAnsi" w:cstheme="minorHAnsi"/>
          <w:b/>
          <w:bCs/>
          <w:szCs w:val="24"/>
          <w:lang w:val="es-ES"/>
        </w:rPr>
        <w:t xml:space="preserve"> </w:t>
      </w:r>
      <w:hyperlink r:id="rId18" w:history="1">
        <w:r w:rsidRPr="001356C9">
          <w:rPr>
            <w:rStyle w:val="Hyperlink"/>
            <w:rFonts w:asciiTheme="minorHAnsi" w:hAnsiTheme="minorHAnsi" w:cstheme="minorHAnsi"/>
            <w:b/>
            <w:bCs/>
            <w:szCs w:val="24"/>
            <w:lang w:val="es-ES"/>
          </w:rPr>
          <w:t>C23/79</w:t>
        </w:r>
      </w:hyperlink>
      <w:r w:rsidRPr="001356C9">
        <w:rPr>
          <w:rFonts w:asciiTheme="minorHAnsi" w:hAnsiTheme="minorHAnsi" w:cstheme="minorHAnsi"/>
          <w:b/>
          <w:bCs/>
          <w:szCs w:val="24"/>
          <w:lang w:val="es-ES"/>
        </w:rPr>
        <w:t>)</w:t>
      </w:r>
    </w:p>
    <w:bookmarkEnd w:id="10"/>
    <w:bookmarkEnd w:id="11"/>
    <w:p w14:paraId="7F475BE7" w14:textId="27ACB0D4" w:rsidR="005A2AA3" w:rsidRPr="00A14A88"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AE387A">
        <w:rPr>
          <w:rFonts w:asciiTheme="minorHAnsi" w:hAnsiTheme="minorHAnsi" w:cstheme="minorHAnsi"/>
          <w:szCs w:val="24"/>
          <w:lang w:val="es-ES"/>
        </w:rPr>
        <w:t>5.1</w:t>
      </w:r>
      <w:r w:rsidRPr="00AE387A">
        <w:rPr>
          <w:rFonts w:asciiTheme="minorHAnsi" w:hAnsiTheme="minorHAnsi" w:cstheme="minorHAnsi"/>
          <w:szCs w:val="24"/>
          <w:lang w:val="es-ES"/>
        </w:rPr>
        <w:tab/>
      </w:r>
      <w:r w:rsidR="00AE387A" w:rsidRPr="00AE387A">
        <w:rPr>
          <w:rFonts w:asciiTheme="minorHAnsi" w:hAnsiTheme="minorHAnsi" w:cstheme="minorHAnsi"/>
          <w:szCs w:val="24"/>
          <w:lang w:val="es-ES"/>
        </w:rPr>
        <w:t>Un representante de la Secretaría General presenta el Documento</w:t>
      </w:r>
      <w:r w:rsidRPr="00AE387A">
        <w:rPr>
          <w:rFonts w:asciiTheme="minorHAnsi" w:hAnsiTheme="minorHAnsi" w:cstheme="minorHAnsi"/>
          <w:szCs w:val="24"/>
          <w:lang w:val="es-ES"/>
        </w:rPr>
        <w:t xml:space="preserve"> C23/27, </w:t>
      </w:r>
      <w:r w:rsidR="00AE387A" w:rsidRPr="00AE387A">
        <w:rPr>
          <w:rFonts w:asciiTheme="minorHAnsi" w:hAnsiTheme="minorHAnsi" w:cstheme="minorHAnsi"/>
          <w:szCs w:val="24"/>
          <w:lang w:val="es-ES"/>
        </w:rPr>
        <w:t>en el que se presenta la nueva estrategia de coordinación de los trabajos de los tres Sector</w:t>
      </w:r>
      <w:r w:rsidR="00AE387A">
        <w:rPr>
          <w:rFonts w:asciiTheme="minorHAnsi" w:hAnsiTheme="minorHAnsi" w:cstheme="minorHAnsi"/>
          <w:szCs w:val="24"/>
          <w:lang w:val="es-ES"/>
        </w:rPr>
        <w:t>es de la Unión y la Secretaría General tras las decisiones adoptadas por los Estados Miembros en la Conferencia de Plenipotenciarios</w:t>
      </w:r>
      <w:r w:rsidRPr="00AE387A">
        <w:rPr>
          <w:rFonts w:asciiTheme="minorHAnsi" w:hAnsiTheme="minorHAnsi" w:cstheme="minorHAnsi"/>
          <w:szCs w:val="24"/>
          <w:lang w:val="es-ES"/>
        </w:rPr>
        <w:t xml:space="preserve"> (Bucarest, 2022) (PP-22). </w:t>
      </w:r>
      <w:r w:rsidR="00AE387A" w:rsidRPr="00AE387A">
        <w:rPr>
          <w:rFonts w:asciiTheme="minorHAnsi" w:hAnsiTheme="minorHAnsi" w:cstheme="minorHAnsi"/>
          <w:szCs w:val="24"/>
          <w:lang w:val="es-ES"/>
        </w:rPr>
        <w:t>En virtud de la Orden de Servicio</w:t>
      </w:r>
      <w:r w:rsidRPr="00AE387A">
        <w:rPr>
          <w:rFonts w:asciiTheme="minorHAnsi" w:hAnsiTheme="minorHAnsi" w:cstheme="minorHAnsi"/>
          <w:szCs w:val="24"/>
          <w:lang w:val="es-ES"/>
        </w:rPr>
        <w:t xml:space="preserve"> 23/06, </w:t>
      </w:r>
      <w:r w:rsidR="00AE387A" w:rsidRPr="00AE387A">
        <w:rPr>
          <w:rFonts w:asciiTheme="minorHAnsi" w:hAnsiTheme="minorHAnsi" w:cstheme="minorHAnsi"/>
          <w:szCs w:val="24"/>
          <w:lang w:val="es-ES"/>
        </w:rPr>
        <w:t>la Secretaria General ha delegado en el Vicesecretario General la aplicación de las estrategias</w:t>
      </w:r>
      <w:r w:rsidR="00AE387A">
        <w:rPr>
          <w:rFonts w:asciiTheme="minorHAnsi" w:hAnsiTheme="minorHAnsi" w:cstheme="minorHAnsi"/>
          <w:szCs w:val="24"/>
          <w:lang w:val="es-ES"/>
        </w:rPr>
        <w:t xml:space="preserve"> y mecanismos de coordinación intersectorial a fin de facilitar la colaboración y la coordinación de las actividades dentro de la Unión y </w:t>
      </w:r>
      <w:r w:rsidR="00A14A88">
        <w:rPr>
          <w:rFonts w:asciiTheme="minorHAnsi" w:hAnsiTheme="minorHAnsi" w:cstheme="minorHAnsi"/>
          <w:szCs w:val="24"/>
          <w:lang w:val="es-ES"/>
        </w:rPr>
        <w:t xml:space="preserve">materializar el concepto de </w:t>
      </w:r>
      <w:r w:rsidR="00FB3D8E">
        <w:rPr>
          <w:rFonts w:asciiTheme="minorHAnsi" w:hAnsiTheme="minorHAnsi" w:cstheme="minorHAnsi"/>
          <w:szCs w:val="24"/>
          <w:lang w:val="es-ES"/>
        </w:rPr>
        <w:t>"</w:t>
      </w:r>
      <w:r w:rsidR="00A14A88">
        <w:rPr>
          <w:rFonts w:asciiTheme="minorHAnsi" w:hAnsiTheme="minorHAnsi" w:cstheme="minorHAnsi"/>
          <w:szCs w:val="24"/>
          <w:lang w:val="es-ES"/>
        </w:rPr>
        <w:t>Una UIT</w:t>
      </w:r>
      <w:r w:rsidR="00FB3D8E">
        <w:rPr>
          <w:rFonts w:asciiTheme="minorHAnsi" w:hAnsiTheme="minorHAnsi" w:cstheme="minorHAnsi"/>
          <w:szCs w:val="24"/>
          <w:lang w:val="es-ES"/>
        </w:rPr>
        <w:t>"</w:t>
      </w:r>
      <w:r w:rsidR="00A14A88">
        <w:rPr>
          <w:rFonts w:asciiTheme="minorHAnsi" w:hAnsiTheme="minorHAnsi" w:cstheme="minorHAnsi"/>
          <w:szCs w:val="24"/>
          <w:lang w:val="es-ES"/>
        </w:rPr>
        <w:t xml:space="preserve">. </w:t>
      </w:r>
      <w:r w:rsidR="00A14A88" w:rsidRPr="00A14A88">
        <w:rPr>
          <w:rFonts w:asciiTheme="minorHAnsi" w:hAnsiTheme="minorHAnsi" w:cstheme="minorHAnsi"/>
          <w:szCs w:val="24"/>
          <w:lang w:val="es-ES"/>
        </w:rPr>
        <w:t xml:space="preserve">La Secretaría ha establecido la correspondencia entre todas las Resoluciones de las grandes Conferencias y Asambleas de la UIT, incluidas las que </w:t>
      </w:r>
      <w:r w:rsidR="00A14A88">
        <w:rPr>
          <w:rFonts w:asciiTheme="minorHAnsi" w:hAnsiTheme="minorHAnsi" w:cstheme="minorHAnsi"/>
          <w:szCs w:val="24"/>
          <w:lang w:val="es-ES"/>
        </w:rPr>
        <w:t>piden una coordinación intersectorial, a fin de evitar duplicaciones y optimizar la utilización de los recursos</w:t>
      </w:r>
      <w:r w:rsidRPr="00A14A88">
        <w:rPr>
          <w:rFonts w:asciiTheme="minorHAnsi" w:hAnsiTheme="minorHAnsi" w:cstheme="minorHAnsi"/>
          <w:szCs w:val="24"/>
          <w:lang w:val="es-ES"/>
        </w:rPr>
        <w:t xml:space="preserve">. </w:t>
      </w:r>
      <w:r w:rsidR="00A14A88" w:rsidRPr="00A14A88">
        <w:rPr>
          <w:rFonts w:asciiTheme="minorHAnsi" w:hAnsiTheme="minorHAnsi" w:cstheme="minorHAnsi"/>
          <w:szCs w:val="24"/>
          <w:lang w:val="es-ES"/>
        </w:rPr>
        <w:t xml:space="preserve">A fin de abarcar el número creciente de esferas de interés mutuo con un objetivo y líneas de información claros, así como mecanismos de supervisión y evaluación, la nueva estrategia propone que el nuevo mecanismo de coordinación intersectorial se articule en torno a tres </w:t>
      </w:r>
      <w:r w:rsidR="00A14A88">
        <w:rPr>
          <w:rFonts w:asciiTheme="minorHAnsi" w:hAnsiTheme="minorHAnsi" w:cstheme="minorHAnsi"/>
          <w:szCs w:val="24"/>
          <w:lang w:val="es-ES"/>
        </w:rPr>
        <w:t>vías</w:t>
      </w:r>
      <w:r w:rsidR="00A14A88" w:rsidRPr="00A14A88">
        <w:rPr>
          <w:rFonts w:asciiTheme="minorHAnsi" w:hAnsiTheme="minorHAnsi" w:cstheme="minorHAnsi"/>
          <w:szCs w:val="24"/>
          <w:lang w:val="es-ES"/>
        </w:rPr>
        <w:t xml:space="preserve">: </w:t>
      </w:r>
      <w:r w:rsidR="00A14A88">
        <w:rPr>
          <w:rFonts w:asciiTheme="minorHAnsi" w:hAnsiTheme="minorHAnsi" w:cstheme="minorHAnsi"/>
          <w:szCs w:val="24"/>
          <w:lang w:val="es-ES"/>
        </w:rPr>
        <w:t>dirección</w:t>
      </w:r>
      <w:r w:rsidR="00A14A88" w:rsidRPr="00A14A88">
        <w:rPr>
          <w:rFonts w:asciiTheme="minorHAnsi" w:hAnsiTheme="minorHAnsi" w:cstheme="minorHAnsi"/>
          <w:szCs w:val="24"/>
          <w:lang w:val="es-ES"/>
        </w:rPr>
        <w:t xml:space="preserve"> estratégic</w:t>
      </w:r>
      <w:r w:rsidR="00A14A88">
        <w:rPr>
          <w:rFonts w:asciiTheme="minorHAnsi" w:hAnsiTheme="minorHAnsi" w:cstheme="minorHAnsi"/>
          <w:szCs w:val="24"/>
          <w:lang w:val="es-ES"/>
        </w:rPr>
        <w:t>a</w:t>
      </w:r>
      <w:r w:rsidR="00A14A88" w:rsidRPr="00A14A88">
        <w:rPr>
          <w:rFonts w:asciiTheme="minorHAnsi" w:hAnsiTheme="minorHAnsi" w:cstheme="minorHAnsi"/>
          <w:szCs w:val="24"/>
          <w:lang w:val="es-ES"/>
        </w:rPr>
        <w:t>, coordinad</w:t>
      </w:r>
      <w:r w:rsidR="00A14A88">
        <w:rPr>
          <w:rFonts w:asciiTheme="minorHAnsi" w:hAnsiTheme="minorHAnsi" w:cstheme="minorHAnsi"/>
          <w:szCs w:val="24"/>
          <w:lang w:val="es-ES"/>
        </w:rPr>
        <w:t>a</w:t>
      </w:r>
      <w:r w:rsidR="00A14A88" w:rsidRPr="00A14A88">
        <w:rPr>
          <w:rFonts w:asciiTheme="minorHAnsi" w:hAnsiTheme="minorHAnsi" w:cstheme="minorHAnsi"/>
          <w:szCs w:val="24"/>
          <w:lang w:val="es-ES"/>
        </w:rPr>
        <w:t xml:space="preserve"> y revisad</w:t>
      </w:r>
      <w:r w:rsidR="00A14A88">
        <w:rPr>
          <w:rFonts w:asciiTheme="minorHAnsi" w:hAnsiTheme="minorHAnsi" w:cstheme="minorHAnsi"/>
          <w:szCs w:val="24"/>
          <w:lang w:val="es-ES"/>
        </w:rPr>
        <w:t>a</w:t>
      </w:r>
      <w:r w:rsidR="00A14A88" w:rsidRPr="00A14A88">
        <w:rPr>
          <w:rFonts w:asciiTheme="minorHAnsi" w:hAnsiTheme="minorHAnsi" w:cstheme="minorHAnsi"/>
          <w:szCs w:val="24"/>
          <w:lang w:val="es-ES"/>
        </w:rPr>
        <w:t xml:space="preserve"> </w:t>
      </w:r>
      <w:r w:rsidR="00A14A88">
        <w:rPr>
          <w:rFonts w:asciiTheme="minorHAnsi" w:hAnsiTheme="minorHAnsi" w:cstheme="minorHAnsi"/>
          <w:szCs w:val="24"/>
          <w:lang w:val="es-ES"/>
        </w:rPr>
        <w:t>en e</w:t>
      </w:r>
      <w:r w:rsidR="00A14A88" w:rsidRPr="00A14A88">
        <w:rPr>
          <w:rFonts w:asciiTheme="minorHAnsi" w:hAnsiTheme="minorHAnsi" w:cstheme="minorHAnsi"/>
          <w:szCs w:val="24"/>
          <w:lang w:val="es-ES"/>
        </w:rPr>
        <w:t>l Comité de Coordinación</w:t>
      </w:r>
      <w:r w:rsidRPr="00A14A88">
        <w:rPr>
          <w:rFonts w:asciiTheme="minorHAnsi" w:hAnsiTheme="minorHAnsi" w:cstheme="minorHAnsi"/>
          <w:szCs w:val="24"/>
          <w:lang w:val="es-ES"/>
        </w:rPr>
        <w:t xml:space="preserve"> (CoCo); </w:t>
      </w:r>
      <w:r w:rsidR="00A14A88">
        <w:rPr>
          <w:rFonts w:asciiTheme="minorHAnsi" w:hAnsiTheme="minorHAnsi" w:cstheme="minorHAnsi"/>
          <w:szCs w:val="24"/>
          <w:lang w:val="es-ES"/>
        </w:rPr>
        <w:t xml:space="preserve">coordinación programática, en sustitución del Grupo Especial de Coordinación Intersectorial (GE-CIS), dirigida por el Grupo de Coordinación de la Gestión (GCG), y </w:t>
      </w:r>
      <w:r w:rsidR="00B63EBE">
        <w:rPr>
          <w:rFonts w:asciiTheme="minorHAnsi" w:hAnsiTheme="minorHAnsi" w:cstheme="minorHAnsi"/>
          <w:szCs w:val="24"/>
          <w:lang w:val="es-ES"/>
        </w:rPr>
        <w:t>decisiones relativas al rendimiento y la transformación, bajo la dirección del Vicesecretario General y el grupo D.2, para que los trabajo</w:t>
      </w:r>
      <w:r w:rsidR="00FB3D8E">
        <w:rPr>
          <w:rFonts w:asciiTheme="minorHAnsi" w:hAnsiTheme="minorHAnsi" w:cstheme="minorHAnsi"/>
          <w:szCs w:val="24"/>
          <w:lang w:val="es-ES"/>
        </w:rPr>
        <w:t>s</w:t>
      </w:r>
      <w:r w:rsidR="00B63EBE">
        <w:rPr>
          <w:rFonts w:asciiTheme="minorHAnsi" w:hAnsiTheme="minorHAnsi" w:cstheme="minorHAnsi"/>
          <w:szCs w:val="24"/>
          <w:lang w:val="es-ES"/>
        </w:rPr>
        <w:t xml:space="preserve"> se ajusten al concepto de </w:t>
      </w:r>
      <w:r w:rsidR="00FB3D8E">
        <w:rPr>
          <w:rFonts w:asciiTheme="minorHAnsi" w:hAnsiTheme="minorHAnsi" w:cstheme="minorHAnsi"/>
          <w:szCs w:val="24"/>
          <w:lang w:val="es-ES"/>
        </w:rPr>
        <w:t>"</w:t>
      </w:r>
      <w:r w:rsidR="00B63EBE">
        <w:rPr>
          <w:rFonts w:asciiTheme="minorHAnsi" w:hAnsiTheme="minorHAnsi" w:cstheme="minorHAnsi"/>
          <w:szCs w:val="24"/>
          <w:lang w:val="es-ES"/>
        </w:rPr>
        <w:t>Una UIT</w:t>
      </w:r>
      <w:r w:rsidR="00FB3D8E">
        <w:rPr>
          <w:rFonts w:asciiTheme="minorHAnsi" w:hAnsiTheme="minorHAnsi" w:cstheme="minorHAnsi"/>
          <w:szCs w:val="24"/>
          <w:lang w:val="es-ES"/>
        </w:rPr>
        <w:t>"</w:t>
      </w:r>
      <w:r w:rsidRPr="00A14A88">
        <w:rPr>
          <w:rFonts w:asciiTheme="minorHAnsi" w:hAnsiTheme="minorHAnsi" w:cstheme="minorHAnsi"/>
          <w:szCs w:val="24"/>
          <w:lang w:val="es-ES"/>
        </w:rPr>
        <w:t>.</w:t>
      </w:r>
    </w:p>
    <w:p w14:paraId="6F9DBAAE" w14:textId="0A271428" w:rsidR="005A2AA3" w:rsidRPr="00CF4C78"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BA491B">
        <w:rPr>
          <w:rFonts w:asciiTheme="minorHAnsi" w:hAnsiTheme="minorHAnsi" w:cstheme="minorHAnsi"/>
          <w:szCs w:val="24"/>
          <w:lang w:val="es-ES"/>
        </w:rPr>
        <w:t>5.2</w:t>
      </w:r>
      <w:r w:rsidRPr="00BA491B">
        <w:rPr>
          <w:rFonts w:asciiTheme="minorHAnsi" w:hAnsiTheme="minorHAnsi" w:cstheme="minorHAnsi"/>
          <w:szCs w:val="24"/>
          <w:lang w:val="es-ES"/>
        </w:rPr>
        <w:tab/>
      </w:r>
      <w:r w:rsidR="00BA491B" w:rsidRPr="00BA491B">
        <w:rPr>
          <w:rFonts w:asciiTheme="minorHAnsi" w:hAnsiTheme="minorHAnsi" w:cstheme="minorHAnsi"/>
          <w:szCs w:val="24"/>
          <w:lang w:val="es-ES"/>
        </w:rPr>
        <w:t>El Presidente del Grupo de Coordinación Intersectorial (GCIS) informa de que su Grupo celebró una reunión presencial en mayo de</w:t>
      </w:r>
      <w:r w:rsidRPr="00BA491B">
        <w:rPr>
          <w:rFonts w:asciiTheme="minorHAnsi" w:hAnsiTheme="minorHAnsi" w:cstheme="minorHAnsi"/>
          <w:szCs w:val="24"/>
          <w:lang w:val="es-ES"/>
        </w:rPr>
        <w:t xml:space="preserve"> 2023, </w:t>
      </w:r>
      <w:r w:rsidR="00BA491B" w:rsidRPr="00BA491B">
        <w:rPr>
          <w:rFonts w:asciiTheme="minorHAnsi" w:hAnsiTheme="minorHAnsi" w:cstheme="minorHAnsi"/>
          <w:szCs w:val="24"/>
          <w:lang w:val="es-ES"/>
        </w:rPr>
        <w:t>c</w:t>
      </w:r>
      <w:r w:rsidR="00BA491B">
        <w:rPr>
          <w:rFonts w:asciiTheme="minorHAnsi" w:hAnsiTheme="minorHAnsi" w:cstheme="minorHAnsi"/>
          <w:szCs w:val="24"/>
          <w:lang w:val="es-ES"/>
        </w:rPr>
        <w:t xml:space="preserve">on posibilidad de participación a distancia, en la que se consideraron las prioridades temáticas accesibilidad, cambio climático, </w:t>
      </w:r>
      <w:r w:rsidR="00BA491B">
        <w:rPr>
          <w:rFonts w:asciiTheme="minorHAnsi" w:hAnsiTheme="minorHAnsi" w:cstheme="minorHAnsi"/>
          <w:szCs w:val="24"/>
          <w:lang w:val="es-ES"/>
        </w:rPr>
        <w:lastRenderedPageBreak/>
        <w:t xml:space="preserve">participación a distancia/reuniones-e y mejora y armonización de las páginas web de los Sectores. </w:t>
      </w:r>
      <w:r w:rsidR="00BA491B" w:rsidRPr="00CF4C78">
        <w:rPr>
          <w:rFonts w:asciiTheme="minorHAnsi" w:hAnsiTheme="minorHAnsi" w:cstheme="minorHAnsi"/>
          <w:szCs w:val="24"/>
          <w:lang w:val="es-ES"/>
        </w:rPr>
        <w:t>La próxima reunión está prevista para otoño de 2023</w:t>
      </w:r>
      <w:r w:rsidRPr="00CF4C78">
        <w:rPr>
          <w:rFonts w:asciiTheme="minorHAnsi" w:hAnsiTheme="minorHAnsi" w:cstheme="minorHAnsi"/>
          <w:szCs w:val="24"/>
          <w:lang w:val="es-ES"/>
        </w:rPr>
        <w:t>.</w:t>
      </w:r>
    </w:p>
    <w:p w14:paraId="110F9887" w14:textId="101C3107" w:rsidR="005A2AA3" w:rsidRPr="00BA491B"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u w:val="single"/>
          <w:lang w:val="es-ES"/>
        </w:rPr>
      </w:pPr>
      <w:r w:rsidRPr="00BA491B">
        <w:rPr>
          <w:rFonts w:asciiTheme="minorHAnsi" w:hAnsiTheme="minorHAnsi" w:cstheme="minorHAnsi"/>
          <w:szCs w:val="24"/>
          <w:lang w:val="es-ES"/>
        </w:rPr>
        <w:t>5.3</w:t>
      </w:r>
      <w:r w:rsidRPr="00BA491B">
        <w:rPr>
          <w:rFonts w:asciiTheme="minorHAnsi" w:hAnsiTheme="minorHAnsi" w:cstheme="minorHAnsi"/>
          <w:szCs w:val="24"/>
          <w:lang w:val="es-ES"/>
        </w:rPr>
        <w:tab/>
      </w:r>
      <w:r w:rsidR="00BA491B" w:rsidRPr="00BA491B">
        <w:rPr>
          <w:rFonts w:asciiTheme="minorHAnsi" w:hAnsiTheme="minorHAnsi" w:cstheme="minorHAnsi"/>
          <w:szCs w:val="24"/>
          <w:lang w:val="es-ES"/>
        </w:rPr>
        <w:t xml:space="preserve">El Presidente recuerda que ya se presentó y debatió en la Comisión Permanente el Documento C23/72(Rev.1)+Corr.1, que contiene una contribución presentada por 13 </w:t>
      </w:r>
      <w:r w:rsidR="00CE717C">
        <w:rPr>
          <w:rFonts w:asciiTheme="minorHAnsi" w:hAnsiTheme="minorHAnsi" w:cstheme="minorHAnsi"/>
          <w:szCs w:val="24"/>
          <w:lang w:val="es-ES"/>
        </w:rPr>
        <w:t>E</w:t>
      </w:r>
      <w:r w:rsidR="00BA491B" w:rsidRPr="00BA491B">
        <w:rPr>
          <w:rFonts w:asciiTheme="minorHAnsi" w:hAnsiTheme="minorHAnsi" w:cstheme="minorHAnsi"/>
          <w:szCs w:val="24"/>
          <w:lang w:val="es-ES"/>
        </w:rPr>
        <w:t xml:space="preserve">stados Miembros sobre </w:t>
      </w:r>
      <w:r w:rsidR="00BA491B" w:rsidRPr="00BA491B">
        <w:rPr>
          <w:rFonts w:asciiTheme="minorHAnsi" w:hAnsiTheme="minorHAnsi" w:cstheme="minorHAnsi"/>
          <w:b/>
          <w:bCs/>
          <w:szCs w:val="24"/>
          <w:lang w:val="es-ES"/>
        </w:rPr>
        <w:t>garantizar un enfoque Una UIT en pro de una planificación financiera sólida, responsabilidad y agilidad en beneficio de todos los países y el futuro de la Unión</w:t>
      </w:r>
      <w:r w:rsidRPr="00BA491B">
        <w:rPr>
          <w:rFonts w:asciiTheme="minorHAnsi" w:hAnsiTheme="minorHAnsi" w:cstheme="minorHAnsi"/>
          <w:szCs w:val="24"/>
          <w:lang w:val="es-ES"/>
        </w:rPr>
        <w:t>.</w:t>
      </w:r>
    </w:p>
    <w:p w14:paraId="1E5B3B80" w14:textId="139A4211" w:rsidR="005A2AA3" w:rsidRPr="00BA491B" w:rsidRDefault="005A2AA3" w:rsidP="005A2AA3">
      <w:pPr>
        <w:tabs>
          <w:tab w:val="clear" w:pos="567"/>
          <w:tab w:val="clear" w:pos="1134"/>
          <w:tab w:val="clear" w:pos="1701"/>
          <w:tab w:val="clear" w:pos="2268"/>
          <w:tab w:val="clear" w:pos="2835"/>
        </w:tabs>
        <w:spacing w:after="120"/>
        <w:jc w:val="both"/>
        <w:rPr>
          <w:rFonts w:asciiTheme="minorHAnsi" w:hAnsiTheme="minorHAnsi" w:cstheme="minorHAnsi"/>
          <w:szCs w:val="24"/>
          <w:lang w:val="es-ES"/>
        </w:rPr>
      </w:pPr>
      <w:r w:rsidRPr="00BA491B">
        <w:rPr>
          <w:rFonts w:asciiTheme="minorHAnsi" w:hAnsiTheme="minorHAnsi" w:cstheme="minorHAnsi"/>
          <w:szCs w:val="24"/>
          <w:lang w:val="es-ES"/>
        </w:rPr>
        <w:t>5.4</w:t>
      </w:r>
      <w:r w:rsidRPr="00BA491B">
        <w:rPr>
          <w:rFonts w:asciiTheme="minorHAnsi" w:hAnsiTheme="minorHAnsi" w:cstheme="minorHAnsi"/>
          <w:szCs w:val="24"/>
          <w:lang w:val="es-ES"/>
        </w:rPr>
        <w:tab/>
      </w:r>
      <w:r w:rsidR="00BA491B" w:rsidRPr="00BA491B">
        <w:rPr>
          <w:rFonts w:asciiTheme="minorHAnsi" w:hAnsiTheme="minorHAnsi" w:cstheme="minorHAnsi"/>
          <w:szCs w:val="24"/>
          <w:lang w:val="es-ES"/>
        </w:rPr>
        <w:t>La consejera de China presenta el Documento</w:t>
      </w:r>
      <w:r w:rsidRPr="00BA491B">
        <w:rPr>
          <w:rFonts w:asciiTheme="minorHAnsi" w:hAnsiTheme="minorHAnsi" w:cstheme="minorHAnsi"/>
          <w:szCs w:val="24"/>
          <w:lang w:val="es-ES"/>
        </w:rPr>
        <w:t xml:space="preserve"> C23/79, </w:t>
      </w:r>
      <w:r w:rsidR="00BA491B" w:rsidRPr="00BA491B">
        <w:rPr>
          <w:rFonts w:asciiTheme="minorHAnsi" w:hAnsiTheme="minorHAnsi" w:cstheme="minorHAnsi"/>
          <w:szCs w:val="24"/>
          <w:lang w:val="es-ES"/>
        </w:rPr>
        <w:t xml:space="preserve">donde su Administración formula propuestas para la implementación global del concepto de </w:t>
      </w:r>
      <w:r w:rsidR="00105F0B">
        <w:rPr>
          <w:rFonts w:asciiTheme="minorHAnsi" w:hAnsiTheme="minorHAnsi" w:cstheme="minorHAnsi"/>
          <w:szCs w:val="24"/>
          <w:lang w:val="es-ES"/>
        </w:rPr>
        <w:t>"</w:t>
      </w:r>
      <w:r w:rsidR="00BA491B" w:rsidRPr="00BA491B">
        <w:rPr>
          <w:rFonts w:asciiTheme="minorHAnsi" w:hAnsiTheme="minorHAnsi" w:cstheme="minorHAnsi"/>
          <w:szCs w:val="24"/>
          <w:lang w:val="es-ES"/>
        </w:rPr>
        <w:t>Una UIT</w:t>
      </w:r>
      <w:r w:rsidR="00105F0B">
        <w:rPr>
          <w:rFonts w:asciiTheme="minorHAnsi" w:hAnsiTheme="minorHAnsi" w:cstheme="minorHAnsi"/>
          <w:szCs w:val="24"/>
          <w:lang w:val="es-ES"/>
        </w:rPr>
        <w:t>"</w:t>
      </w:r>
      <w:r w:rsidR="00BA491B" w:rsidRPr="00BA491B">
        <w:rPr>
          <w:rFonts w:asciiTheme="minorHAnsi" w:hAnsiTheme="minorHAnsi" w:cstheme="minorHAnsi"/>
          <w:szCs w:val="24"/>
          <w:lang w:val="es-ES"/>
        </w:rPr>
        <w:t>, que debería basarse en una serie de principios esenciales, a saber, promo</w:t>
      </w:r>
      <w:r w:rsidR="00BA491B">
        <w:rPr>
          <w:rFonts w:asciiTheme="minorHAnsi" w:hAnsiTheme="minorHAnsi" w:cstheme="minorHAnsi"/>
          <w:szCs w:val="24"/>
          <w:lang w:val="es-ES"/>
        </w:rPr>
        <w:t>ver</w:t>
      </w:r>
      <w:r w:rsidR="00BA491B" w:rsidRPr="00BA491B">
        <w:rPr>
          <w:rFonts w:asciiTheme="minorHAnsi" w:hAnsiTheme="minorHAnsi" w:cstheme="minorHAnsi"/>
          <w:szCs w:val="24"/>
          <w:lang w:val="es-ES"/>
        </w:rPr>
        <w:t xml:space="preserve"> la unidad y la colaboración entre Esta</w:t>
      </w:r>
      <w:r w:rsidR="00BA491B">
        <w:rPr>
          <w:rFonts w:asciiTheme="minorHAnsi" w:hAnsiTheme="minorHAnsi" w:cstheme="minorHAnsi"/>
          <w:szCs w:val="24"/>
          <w:lang w:val="es-ES"/>
        </w:rPr>
        <w:t>dos Miembros; servir los objetivos de la Unión consagrados en la Constitución de la UIT, y mantener la estabilidad de la estructura orgánica actual</w:t>
      </w:r>
      <w:r w:rsidRPr="00BA491B">
        <w:rPr>
          <w:rFonts w:asciiTheme="minorHAnsi" w:hAnsiTheme="minorHAnsi" w:cstheme="minorHAnsi"/>
          <w:szCs w:val="24"/>
          <w:lang w:val="es-ES"/>
        </w:rPr>
        <w:t>.</w:t>
      </w:r>
      <w:bookmarkStart w:id="12" w:name="_Hlk140829139"/>
    </w:p>
    <w:p w14:paraId="2D0669C7" w14:textId="04CE5691" w:rsidR="005A2AA3" w:rsidRPr="00BA491B"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BA491B">
        <w:rPr>
          <w:rFonts w:asciiTheme="minorHAnsi" w:eastAsia="SimHei" w:hAnsiTheme="minorHAnsi" w:cstheme="minorHAnsi"/>
          <w:szCs w:val="24"/>
          <w:lang w:val="es-ES"/>
        </w:rPr>
        <w:t>5.5</w:t>
      </w:r>
      <w:r w:rsidRPr="00BA491B">
        <w:rPr>
          <w:rFonts w:asciiTheme="minorHAnsi" w:eastAsia="SimHei" w:hAnsiTheme="minorHAnsi" w:cstheme="minorHAnsi"/>
          <w:szCs w:val="24"/>
          <w:lang w:val="es-ES"/>
        </w:rPr>
        <w:tab/>
      </w:r>
      <w:r w:rsidR="00BA491B" w:rsidRPr="00BA491B">
        <w:rPr>
          <w:rFonts w:asciiTheme="minorHAnsi" w:eastAsia="SimHei" w:hAnsiTheme="minorHAnsi" w:cstheme="minorHAnsi"/>
          <w:szCs w:val="24"/>
          <w:lang w:val="es-ES"/>
        </w:rPr>
        <w:t>Dos consejeros preguntan porque se ha sustituido el Grupo Especial de Coordinación Intersectorial (GE-CIS) por el GCG cuando en la Resolución</w:t>
      </w:r>
      <w:r w:rsidRPr="00BA491B">
        <w:rPr>
          <w:rFonts w:asciiTheme="minorHAnsi" w:hAnsiTheme="minorHAnsi" w:cstheme="minorHAnsi"/>
          <w:szCs w:val="24"/>
          <w:lang w:val="es-ES"/>
        </w:rPr>
        <w:t xml:space="preserve"> 191 (Rev. Bucarest, 2022) s</w:t>
      </w:r>
      <w:r w:rsidR="00BA491B">
        <w:rPr>
          <w:rFonts w:asciiTheme="minorHAnsi" w:hAnsiTheme="minorHAnsi" w:cstheme="minorHAnsi"/>
          <w:szCs w:val="24"/>
          <w:lang w:val="es-ES"/>
        </w:rPr>
        <w:t>e encarga específicamente al Secretario General que siga garantizando la estrecha interacción y el intercambio periódico de información entre el GCIS y el GE-CIS</w:t>
      </w:r>
      <w:r w:rsidRPr="00BA491B">
        <w:rPr>
          <w:rFonts w:asciiTheme="minorHAnsi" w:eastAsia="SimHei" w:hAnsiTheme="minorHAnsi" w:cstheme="minorHAnsi"/>
          <w:szCs w:val="24"/>
          <w:lang w:val="es-ES"/>
        </w:rPr>
        <w:t>.</w:t>
      </w:r>
    </w:p>
    <w:p w14:paraId="6A14CDAF" w14:textId="602ED585" w:rsidR="005A2AA3" w:rsidRPr="00DE5ED8"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DE5ED8">
        <w:rPr>
          <w:rFonts w:asciiTheme="minorHAnsi" w:eastAsia="SimHei" w:hAnsiTheme="minorHAnsi" w:cstheme="minorHAnsi"/>
          <w:szCs w:val="24"/>
          <w:lang w:val="es-ES"/>
        </w:rPr>
        <w:t>5.6</w:t>
      </w:r>
      <w:r w:rsidRPr="00DE5ED8">
        <w:rPr>
          <w:rFonts w:asciiTheme="minorHAnsi" w:eastAsia="SimHei" w:hAnsiTheme="minorHAnsi" w:cstheme="minorHAnsi"/>
          <w:szCs w:val="24"/>
          <w:lang w:val="es-ES"/>
        </w:rPr>
        <w:tab/>
      </w:r>
      <w:r w:rsidR="00DE5ED8" w:rsidRPr="00DE5ED8">
        <w:rPr>
          <w:rFonts w:asciiTheme="minorHAnsi" w:eastAsia="SimHei" w:hAnsiTheme="minorHAnsi" w:cstheme="minorHAnsi"/>
          <w:szCs w:val="24"/>
          <w:lang w:val="es-ES"/>
        </w:rPr>
        <w:t xml:space="preserve">Varios consejeros insisten en que no se dispone de una </w:t>
      </w:r>
      <w:r w:rsidR="00DE5ED8">
        <w:rPr>
          <w:rFonts w:asciiTheme="minorHAnsi" w:eastAsia="SimHei" w:hAnsiTheme="minorHAnsi" w:cstheme="minorHAnsi"/>
          <w:szCs w:val="24"/>
          <w:lang w:val="es-ES"/>
        </w:rPr>
        <w:t xml:space="preserve">definición o descripción clara del concepto de </w:t>
      </w:r>
      <w:r w:rsidR="00105F0B">
        <w:rPr>
          <w:rFonts w:asciiTheme="minorHAnsi" w:eastAsia="SimHei" w:hAnsiTheme="minorHAnsi" w:cstheme="minorHAnsi"/>
          <w:szCs w:val="24"/>
          <w:lang w:val="es-ES"/>
        </w:rPr>
        <w:t>"</w:t>
      </w:r>
      <w:r w:rsidR="00DE5ED8">
        <w:rPr>
          <w:rFonts w:asciiTheme="minorHAnsi" w:eastAsia="SimHei" w:hAnsiTheme="minorHAnsi" w:cstheme="minorHAnsi"/>
          <w:szCs w:val="24"/>
          <w:lang w:val="es-ES"/>
        </w:rPr>
        <w:t>Una UIT</w:t>
      </w:r>
      <w:r w:rsidR="00105F0B">
        <w:rPr>
          <w:rFonts w:asciiTheme="minorHAnsi" w:eastAsia="SimHei" w:hAnsiTheme="minorHAnsi" w:cstheme="minorHAnsi"/>
          <w:szCs w:val="24"/>
          <w:lang w:val="es-ES"/>
        </w:rPr>
        <w:t>"</w:t>
      </w:r>
      <w:r w:rsidR="00DE5ED8">
        <w:rPr>
          <w:rFonts w:asciiTheme="minorHAnsi" w:eastAsia="SimHei" w:hAnsiTheme="minorHAnsi" w:cstheme="minorHAnsi"/>
          <w:szCs w:val="24"/>
          <w:lang w:val="es-ES"/>
        </w:rPr>
        <w:t xml:space="preserve">. </w:t>
      </w:r>
      <w:r w:rsidR="00DE5ED8" w:rsidRPr="00DE5ED8">
        <w:rPr>
          <w:rFonts w:asciiTheme="minorHAnsi" w:eastAsia="SimHei" w:hAnsiTheme="minorHAnsi" w:cstheme="minorHAnsi"/>
          <w:szCs w:val="24"/>
          <w:lang w:val="es-ES"/>
        </w:rPr>
        <w:t xml:space="preserve">Sin embargo, tal definición acordada es indispensable en aras </w:t>
      </w:r>
      <w:r w:rsidR="00DE5ED8">
        <w:rPr>
          <w:rFonts w:asciiTheme="minorHAnsi" w:eastAsia="SimHei" w:hAnsiTheme="minorHAnsi" w:cstheme="minorHAnsi"/>
          <w:szCs w:val="24"/>
          <w:lang w:val="es-ES"/>
        </w:rPr>
        <w:t xml:space="preserve">de una comprensión común. </w:t>
      </w:r>
      <w:r w:rsidR="00DE5ED8" w:rsidRPr="00DE5ED8">
        <w:rPr>
          <w:rFonts w:asciiTheme="minorHAnsi" w:eastAsia="SimHei" w:hAnsiTheme="minorHAnsi" w:cstheme="minorHAnsi"/>
          <w:szCs w:val="24"/>
          <w:lang w:val="es-ES"/>
        </w:rPr>
        <w:t xml:space="preserve">Las vías presentadas en el documento se basan en el </w:t>
      </w:r>
      <w:r w:rsidR="00DE5ED8">
        <w:rPr>
          <w:rFonts w:asciiTheme="minorHAnsi" w:eastAsia="SimHei" w:hAnsiTheme="minorHAnsi" w:cstheme="minorHAnsi"/>
          <w:szCs w:val="24"/>
          <w:lang w:val="es-ES"/>
        </w:rPr>
        <w:t xml:space="preserve">concepto de Una UIT, por lo que éste debe estar claramente definido a fin de orientar mejor el trabajo de todos los Estados Miembros y de la Secretaría a fin de disponer de un marco inequívoco que defina sus perspectivas de evolución de la Unión. </w:t>
      </w:r>
      <w:r w:rsidR="00DE5ED8" w:rsidRPr="00DE5ED8">
        <w:rPr>
          <w:rFonts w:asciiTheme="minorHAnsi" w:eastAsia="SimHei" w:hAnsiTheme="minorHAnsi" w:cstheme="minorHAnsi"/>
          <w:szCs w:val="24"/>
          <w:lang w:val="es-ES"/>
        </w:rPr>
        <w:t>Las medidas que se coordinarán por las tres</w:t>
      </w:r>
      <w:r w:rsidR="005870C9">
        <w:rPr>
          <w:rFonts w:asciiTheme="minorHAnsi" w:eastAsia="SimHei" w:hAnsiTheme="minorHAnsi" w:cstheme="minorHAnsi"/>
          <w:szCs w:val="24"/>
          <w:lang w:val="es-ES"/>
        </w:rPr>
        <w:t> </w:t>
      </w:r>
      <w:r w:rsidR="00DE5ED8" w:rsidRPr="00DE5ED8">
        <w:rPr>
          <w:rFonts w:asciiTheme="minorHAnsi" w:eastAsia="SimHei" w:hAnsiTheme="minorHAnsi" w:cstheme="minorHAnsi"/>
          <w:szCs w:val="24"/>
          <w:lang w:val="es-ES"/>
        </w:rPr>
        <w:t>vías só</w:t>
      </w:r>
      <w:r w:rsidR="00DE5ED8">
        <w:rPr>
          <w:rFonts w:asciiTheme="minorHAnsi" w:eastAsia="SimHei" w:hAnsiTheme="minorHAnsi" w:cstheme="minorHAnsi"/>
          <w:szCs w:val="24"/>
          <w:lang w:val="es-ES"/>
        </w:rPr>
        <w:t>lo son orientaciones generales; los detalles siguen si estar claros</w:t>
      </w:r>
      <w:r w:rsidRPr="00DE5ED8">
        <w:rPr>
          <w:rFonts w:asciiTheme="minorHAnsi" w:eastAsia="SimHei" w:hAnsiTheme="minorHAnsi" w:cstheme="minorHAnsi"/>
          <w:szCs w:val="24"/>
          <w:lang w:val="es-ES"/>
        </w:rPr>
        <w:t>.</w:t>
      </w:r>
    </w:p>
    <w:p w14:paraId="3B239CF9" w14:textId="489B6704" w:rsidR="005A2AA3" w:rsidRPr="00DE5ED8"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DE5ED8">
        <w:rPr>
          <w:rFonts w:asciiTheme="minorHAnsi" w:eastAsia="SimHei" w:hAnsiTheme="minorHAnsi" w:cstheme="minorHAnsi"/>
          <w:szCs w:val="24"/>
          <w:lang w:val="es-ES"/>
        </w:rPr>
        <w:t>5.7</w:t>
      </w:r>
      <w:r w:rsidRPr="00DE5ED8">
        <w:rPr>
          <w:rFonts w:asciiTheme="minorHAnsi" w:eastAsia="SimHei" w:hAnsiTheme="minorHAnsi" w:cstheme="minorHAnsi"/>
          <w:szCs w:val="24"/>
          <w:lang w:val="es-ES"/>
        </w:rPr>
        <w:tab/>
      </w:r>
      <w:r w:rsidR="00DE5ED8" w:rsidRPr="00DE5ED8">
        <w:rPr>
          <w:rFonts w:asciiTheme="minorHAnsi" w:eastAsia="SimHei" w:hAnsiTheme="minorHAnsi" w:cstheme="minorHAnsi"/>
          <w:szCs w:val="24"/>
          <w:lang w:val="es-ES"/>
        </w:rPr>
        <w:t xml:space="preserve">Dos consejeros indican que la implementación de Una UIT no debe repercutir en la estructura de la organización, formada por los tres Sectores y </w:t>
      </w:r>
      <w:r w:rsidR="00DE5ED8">
        <w:rPr>
          <w:rFonts w:asciiTheme="minorHAnsi" w:eastAsia="SimHei" w:hAnsiTheme="minorHAnsi" w:cstheme="minorHAnsi"/>
          <w:szCs w:val="24"/>
          <w:lang w:val="es-ES"/>
        </w:rPr>
        <w:t>la Secretaría General</w:t>
      </w:r>
      <w:r w:rsidRPr="00DE5ED8">
        <w:rPr>
          <w:rFonts w:asciiTheme="minorHAnsi" w:eastAsia="SimHei" w:hAnsiTheme="minorHAnsi" w:cstheme="minorHAnsi"/>
          <w:szCs w:val="24"/>
          <w:lang w:val="es-ES"/>
        </w:rPr>
        <w:t>.</w:t>
      </w:r>
    </w:p>
    <w:p w14:paraId="6049D399" w14:textId="5FFAE06B" w:rsidR="005A2AA3" w:rsidRPr="00DE5ED8"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DE5ED8">
        <w:rPr>
          <w:rFonts w:asciiTheme="minorHAnsi" w:eastAsia="SimHei" w:hAnsiTheme="minorHAnsi" w:cstheme="minorHAnsi"/>
          <w:szCs w:val="24"/>
          <w:lang w:val="es-ES"/>
        </w:rPr>
        <w:t>5.8</w:t>
      </w:r>
      <w:r w:rsidRPr="00DE5ED8">
        <w:rPr>
          <w:rFonts w:asciiTheme="minorHAnsi" w:eastAsia="SimHei" w:hAnsiTheme="minorHAnsi" w:cstheme="minorHAnsi"/>
          <w:szCs w:val="24"/>
          <w:lang w:val="es-ES"/>
        </w:rPr>
        <w:tab/>
      </w:r>
      <w:r w:rsidR="00DE5ED8" w:rsidRPr="00DE5ED8">
        <w:rPr>
          <w:rFonts w:asciiTheme="minorHAnsi" w:eastAsia="SimHei" w:hAnsiTheme="minorHAnsi" w:cstheme="minorHAnsi"/>
          <w:szCs w:val="24"/>
          <w:lang w:val="es-ES"/>
        </w:rPr>
        <w:t>Una consejera, señalando que el ejercicio de correspondencia ofrece una perspectiva de las actividades de los distintos sectores, las Co</w:t>
      </w:r>
      <w:r w:rsidR="00DE5ED8">
        <w:rPr>
          <w:rFonts w:asciiTheme="minorHAnsi" w:eastAsia="SimHei" w:hAnsiTheme="minorHAnsi" w:cstheme="minorHAnsi"/>
          <w:szCs w:val="24"/>
          <w:lang w:val="es-ES"/>
        </w:rPr>
        <w:t>n</w:t>
      </w:r>
      <w:r w:rsidR="00DE5ED8" w:rsidRPr="00DE5ED8">
        <w:rPr>
          <w:rFonts w:asciiTheme="minorHAnsi" w:eastAsia="SimHei" w:hAnsiTheme="minorHAnsi" w:cstheme="minorHAnsi"/>
          <w:szCs w:val="24"/>
          <w:lang w:val="es-ES"/>
        </w:rPr>
        <w:t>ferencias y las Asambleas útil para racionalizar las Resoluciones, pide que se le confirme que los temas asignados a la vía de la di</w:t>
      </w:r>
      <w:r w:rsidR="00DE5ED8">
        <w:rPr>
          <w:rFonts w:asciiTheme="minorHAnsi" w:eastAsia="SimHei" w:hAnsiTheme="minorHAnsi" w:cstheme="minorHAnsi"/>
          <w:szCs w:val="24"/>
          <w:lang w:val="es-ES"/>
        </w:rPr>
        <w:t>rección estratégica son los identificados por los Miembros en las diversas Resoluciones</w:t>
      </w:r>
      <w:r w:rsidRPr="00DE5ED8">
        <w:rPr>
          <w:rFonts w:asciiTheme="minorHAnsi" w:eastAsia="SimHei" w:hAnsiTheme="minorHAnsi" w:cstheme="minorHAnsi"/>
          <w:szCs w:val="24"/>
          <w:lang w:val="es-ES"/>
        </w:rPr>
        <w:t>.</w:t>
      </w:r>
    </w:p>
    <w:p w14:paraId="0B4777F1" w14:textId="3A944A52" w:rsidR="005A2AA3" w:rsidRPr="00DE5ED8"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DE5ED8">
        <w:rPr>
          <w:rFonts w:asciiTheme="minorHAnsi" w:eastAsia="SimHei" w:hAnsiTheme="minorHAnsi" w:cstheme="minorHAnsi"/>
          <w:szCs w:val="24"/>
          <w:lang w:val="es-ES"/>
        </w:rPr>
        <w:t>5.9</w:t>
      </w:r>
      <w:r w:rsidRPr="00DE5ED8">
        <w:rPr>
          <w:rFonts w:asciiTheme="minorHAnsi" w:eastAsia="SimHei" w:hAnsiTheme="minorHAnsi" w:cstheme="minorHAnsi"/>
          <w:szCs w:val="24"/>
          <w:lang w:val="es-ES"/>
        </w:rPr>
        <w:tab/>
      </w:r>
      <w:r w:rsidR="00DE5ED8" w:rsidRPr="00DE5ED8">
        <w:rPr>
          <w:rFonts w:asciiTheme="minorHAnsi" w:eastAsia="SimHei" w:hAnsiTheme="minorHAnsi" w:cstheme="minorHAnsi"/>
          <w:szCs w:val="24"/>
          <w:lang w:val="es-ES"/>
        </w:rPr>
        <w:t>Tres consejeros preguntan cuáles son los motivos para la colaboración propuesta entre el Vicesecretario General y los Directores Adjuntos del Grupo D.2 y cómo funcionaría el mecanismo en la práctica, en particular si los Directores Adjuntos rinden cuentas a los Directores de las Oficinas y cómo se garantiza la participación acti</w:t>
      </w:r>
      <w:r w:rsidR="00DE5ED8">
        <w:rPr>
          <w:rFonts w:asciiTheme="minorHAnsi" w:eastAsia="SimHei" w:hAnsiTheme="minorHAnsi" w:cstheme="minorHAnsi"/>
          <w:szCs w:val="24"/>
          <w:lang w:val="es-ES"/>
        </w:rPr>
        <w:t>va de los Directores en la importante vía de las decisiones sobre rendimiento y transformación</w:t>
      </w:r>
      <w:r w:rsidRPr="00DE5ED8">
        <w:rPr>
          <w:rFonts w:asciiTheme="minorHAnsi" w:eastAsia="SimHei" w:hAnsiTheme="minorHAnsi" w:cstheme="minorHAnsi"/>
          <w:szCs w:val="24"/>
          <w:lang w:val="es-ES"/>
        </w:rPr>
        <w:t>.</w:t>
      </w:r>
    </w:p>
    <w:p w14:paraId="4FD1067B" w14:textId="2D5771AC" w:rsidR="005A2AA3" w:rsidRPr="00DE5ED8"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DE5ED8">
        <w:rPr>
          <w:rFonts w:asciiTheme="minorHAnsi" w:eastAsia="SimHei" w:hAnsiTheme="minorHAnsi" w:cstheme="minorHAnsi"/>
          <w:szCs w:val="24"/>
          <w:lang w:val="es-ES"/>
        </w:rPr>
        <w:t>5.10</w:t>
      </w:r>
      <w:r w:rsidRPr="00DE5ED8">
        <w:rPr>
          <w:rFonts w:asciiTheme="minorHAnsi" w:eastAsia="SimHei" w:hAnsiTheme="minorHAnsi" w:cstheme="minorHAnsi"/>
          <w:szCs w:val="24"/>
          <w:lang w:val="es-ES"/>
        </w:rPr>
        <w:tab/>
      </w:r>
      <w:r w:rsidR="00DE5ED8" w:rsidRPr="00DE5ED8">
        <w:rPr>
          <w:rFonts w:asciiTheme="minorHAnsi" w:eastAsia="SimHei" w:hAnsiTheme="minorHAnsi" w:cstheme="minorHAnsi"/>
          <w:szCs w:val="24"/>
          <w:lang w:val="es-ES"/>
        </w:rPr>
        <w:t>Cuatro consejeros subrayan que es necesario garantizar que la presencia regional queda debidamente cubierta en todas las actividades de coordinación intersecto</w:t>
      </w:r>
      <w:r w:rsidR="00DE5ED8">
        <w:rPr>
          <w:rFonts w:asciiTheme="minorHAnsi" w:eastAsia="SimHei" w:hAnsiTheme="minorHAnsi" w:cstheme="minorHAnsi"/>
          <w:szCs w:val="24"/>
          <w:lang w:val="es-ES"/>
        </w:rPr>
        <w:t xml:space="preserve">rial. </w:t>
      </w:r>
      <w:r w:rsidR="00DE5ED8" w:rsidRPr="00DE5ED8">
        <w:rPr>
          <w:rFonts w:asciiTheme="minorHAnsi" w:eastAsia="SimHei" w:hAnsiTheme="minorHAnsi" w:cstheme="minorHAnsi"/>
          <w:szCs w:val="24"/>
          <w:lang w:val="es-ES"/>
        </w:rPr>
        <w:t>Los Directores Regionales deben estar plenamente implicados y ampliar el concepto a las regiones</w:t>
      </w:r>
      <w:r w:rsidRPr="00DE5ED8">
        <w:rPr>
          <w:rFonts w:asciiTheme="minorHAnsi" w:eastAsia="SimHei" w:hAnsiTheme="minorHAnsi" w:cstheme="minorHAnsi"/>
          <w:szCs w:val="24"/>
          <w:lang w:val="es-ES"/>
        </w:rPr>
        <w:t>.</w:t>
      </w:r>
    </w:p>
    <w:p w14:paraId="20F283CA" w14:textId="6843620E" w:rsidR="005A2AA3" w:rsidRPr="00DE5ED8"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DE5ED8">
        <w:rPr>
          <w:rFonts w:asciiTheme="minorHAnsi" w:eastAsia="SimHei" w:hAnsiTheme="minorHAnsi" w:cstheme="minorHAnsi"/>
          <w:szCs w:val="24"/>
          <w:lang w:val="es-ES"/>
        </w:rPr>
        <w:t>5.11</w:t>
      </w:r>
      <w:r w:rsidRPr="00DE5ED8">
        <w:rPr>
          <w:rFonts w:asciiTheme="minorHAnsi" w:eastAsia="SimHei" w:hAnsiTheme="minorHAnsi" w:cstheme="minorHAnsi"/>
          <w:szCs w:val="24"/>
          <w:lang w:val="es-ES"/>
        </w:rPr>
        <w:tab/>
      </w:r>
      <w:r w:rsidR="00DE5ED8" w:rsidRPr="00DE5ED8">
        <w:rPr>
          <w:rFonts w:asciiTheme="minorHAnsi" w:eastAsia="SimHei" w:hAnsiTheme="minorHAnsi" w:cstheme="minorHAnsi"/>
          <w:szCs w:val="24"/>
          <w:lang w:val="es-ES"/>
        </w:rPr>
        <w:t>Un consejero pide que se aclare</w:t>
      </w:r>
      <w:r w:rsidR="00DE5ED8">
        <w:rPr>
          <w:rFonts w:asciiTheme="minorHAnsi" w:eastAsia="SimHei" w:hAnsiTheme="minorHAnsi" w:cstheme="minorHAnsi"/>
          <w:szCs w:val="24"/>
          <w:lang w:val="es-ES"/>
        </w:rPr>
        <w:t>n</w:t>
      </w:r>
      <w:r w:rsidR="00DE5ED8" w:rsidRPr="00DE5ED8">
        <w:rPr>
          <w:rFonts w:asciiTheme="minorHAnsi" w:eastAsia="SimHei" w:hAnsiTheme="minorHAnsi" w:cstheme="minorHAnsi"/>
          <w:szCs w:val="24"/>
          <w:lang w:val="es-ES"/>
        </w:rPr>
        <w:t xml:space="preserve"> la composición del GCIS y </w:t>
      </w:r>
      <w:r w:rsidR="00DE5ED8">
        <w:rPr>
          <w:rFonts w:asciiTheme="minorHAnsi" w:eastAsia="SimHei" w:hAnsiTheme="minorHAnsi" w:cstheme="minorHAnsi"/>
          <w:szCs w:val="24"/>
          <w:lang w:val="es-ES"/>
        </w:rPr>
        <w:t>la función del coordinador</w:t>
      </w:r>
      <w:r w:rsidRPr="00DE5ED8">
        <w:rPr>
          <w:rFonts w:asciiTheme="minorHAnsi" w:eastAsia="SimHei" w:hAnsiTheme="minorHAnsi" w:cstheme="minorHAnsi"/>
          <w:szCs w:val="24"/>
          <w:lang w:val="es-ES"/>
        </w:rPr>
        <w:t>.</w:t>
      </w:r>
    </w:p>
    <w:p w14:paraId="12B68D77" w14:textId="7FC229FA" w:rsidR="005A2AA3" w:rsidRPr="00FE568E"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DE5ED8">
        <w:rPr>
          <w:rFonts w:asciiTheme="minorHAnsi" w:eastAsia="SimHei" w:hAnsiTheme="minorHAnsi" w:cstheme="minorHAnsi"/>
          <w:szCs w:val="24"/>
          <w:lang w:val="es-ES"/>
        </w:rPr>
        <w:t>5.12</w:t>
      </w:r>
      <w:r w:rsidRPr="00DE5ED8">
        <w:rPr>
          <w:rFonts w:asciiTheme="minorHAnsi" w:eastAsia="SimHei" w:hAnsiTheme="minorHAnsi" w:cstheme="minorHAnsi"/>
          <w:szCs w:val="24"/>
          <w:lang w:val="es-ES"/>
        </w:rPr>
        <w:tab/>
      </w:r>
      <w:r w:rsidR="00DE5ED8" w:rsidRPr="00DE5ED8">
        <w:rPr>
          <w:rFonts w:asciiTheme="minorHAnsi" w:eastAsia="SimHei" w:hAnsiTheme="minorHAnsi" w:cstheme="minorHAnsi"/>
          <w:szCs w:val="24"/>
          <w:lang w:val="es-ES"/>
        </w:rPr>
        <w:t>Un consejero dice que, dada la ausencia de objetivos intersectoriales en el Plan Estratégico para</w:t>
      </w:r>
      <w:r w:rsidRPr="00DE5ED8">
        <w:rPr>
          <w:rFonts w:asciiTheme="minorHAnsi" w:eastAsia="SimHei" w:hAnsiTheme="minorHAnsi" w:cstheme="minorHAnsi"/>
          <w:szCs w:val="24"/>
          <w:lang w:val="es-ES"/>
        </w:rPr>
        <w:t xml:space="preserve"> 2024-2027, </w:t>
      </w:r>
      <w:r w:rsidR="00DE5ED8" w:rsidRPr="00DE5ED8">
        <w:rPr>
          <w:rFonts w:asciiTheme="minorHAnsi" w:eastAsia="SimHei" w:hAnsiTheme="minorHAnsi" w:cstheme="minorHAnsi"/>
          <w:szCs w:val="24"/>
          <w:lang w:val="es-ES"/>
        </w:rPr>
        <w:t>l</w:t>
      </w:r>
      <w:r w:rsidR="00DE5ED8">
        <w:rPr>
          <w:rFonts w:asciiTheme="minorHAnsi" w:eastAsia="SimHei" w:hAnsiTheme="minorHAnsi" w:cstheme="minorHAnsi"/>
          <w:szCs w:val="24"/>
          <w:lang w:val="es-ES"/>
        </w:rPr>
        <w:t>a información en virtud de la Resolución</w:t>
      </w:r>
      <w:r w:rsidRPr="00DE5ED8">
        <w:rPr>
          <w:rFonts w:asciiTheme="minorHAnsi" w:eastAsia="SimHei" w:hAnsiTheme="minorHAnsi" w:cstheme="minorHAnsi"/>
          <w:szCs w:val="24"/>
          <w:lang w:val="es-ES"/>
        </w:rPr>
        <w:t xml:space="preserve"> 191 (Rev. Bucarest, 2022) </w:t>
      </w:r>
      <w:r w:rsidR="00DE5ED8">
        <w:rPr>
          <w:rFonts w:asciiTheme="minorHAnsi" w:eastAsia="SimHei" w:hAnsiTheme="minorHAnsi" w:cstheme="minorHAnsi"/>
          <w:szCs w:val="24"/>
          <w:lang w:val="es-ES"/>
        </w:rPr>
        <w:t>debe articula</w:t>
      </w:r>
      <w:r w:rsidR="00FE568E">
        <w:rPr>
          <w:rFonts w:asciiTheme="minorHAnsi" w:eastAsia="SimHei" w:hAnsiTheme="minorHAnsi" w:cstheme="minorHAnsi"/>
          <w:szCs w:val="24"/>
          <w:lang w:val="es-ES"/>
        </w:rPr>
        <w:t>r objetivos intersectoriales e identificar las esferas con marge</w:t>
      </w:r>
      <w:r w:rsidR="005870C9">
        <w:rPr>
          <w:rFonts w:asciiTheme="minorHAnsi" w:eastAsia="SimHei" w:hAnsiTheme="minorHAnsi" w:cstheme="minorHAnsi"/>
          <w:szCs w:val="24"/>
          <w:lang w:val="es-ES"/>
        </w:rPr>
        <w:t>n</w:t>
      </w:r>
      <w:r w:rsidR="00FE568E">
        <w:rPr>
          <w:rFonts w:asciiTheme="minorHAnsi" w:eastAsia="SimHei" w:hAnsiTheme="minorHAnsi" w:cstheme="minorHAnsi"/>
          <w:szCs w:val="24"/>
          <w:lang w:val="es-ES"/>
        </w:rPr>
        <w:t xml:space="preserve"> de mejora a nivel sectorial e intersectorial. </w:t>
      </w:r>
      <w:r w:rsidR="00FE568E" w:rsidRPr="00FE568E">
        <w:rPr>
          <w:rFonts w:asciiTheme="minorHAnsi" w:eastAsia="SimHei" w:hAnsiTheme="minorHAnsi" w:cstheme="minorHAnsi"/>
          <w:szCs w:val="24"/>
          <w:lang w:val="es-ES"/>
        </w:rPr>
        <w:t>Además, sería conveniente que el Consejo recibiese informes</w:t>
      </w:r>
      <w:r w:rsidR="00FE568E">
        <w:rPr>
          <w:rFonts w:asciiTheme="minorHAnsi" w:eastAsia="SimHei" w:hAnsiTheme="minorHAnsi" w:cstheme="minorHAnsi"/>
          <w:szCs w:val="24"/>
          <w:lang w:val="es-ES"/>
        </w:rPr>
        <w:t xml:space="preserve"> sobre los temas tratados en el</w:t>
      </w:r>
      <w:r w:rsidRPr="00FE568E">
        <w:rPr>
          <w:rFonts w:asciiTheme="minorHAnsi" w:eastAsia="SimHei" w:hAnsiTheme="minorHAnsi" w:cstheme="minorHAnsi"/>
          <w:szCs w:val="24"/>
          <w:lang w:val="es-ES"/>
        </w:rPr>
        <w:t xml:space="preserve"> CoCo.</w:t>
      </w:r>
    </w:p>
    <w:p w14:paraId="005DC0BD" w14:textId="1CEE2A50" w:rsidR="005A2AA3" w:rsidRPr="00FE568E" w:rsidDel="003F28AB"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FE568E">
        <w:rPr>
          <w:rFonts w:asciiTheme="minorHAnsi" w:eastAsia="SimHei" w:hAnsiTheme="minorHAnsi" w:cstheme="minorHAnsi"/>
          <w:szCs w:val="24"/>
          <w:lang w:val="es-ES"/>
        </w:rPr>
        <w:lastRenderedPageBreak/>
        <w:t>5.13</w:t>
      </w:r>
      <w:r w:rsidRPr="00FE568E">
        <w:rPr>
          <w:rFonts w:asciiTheme="minorHAnsi" w:eastAsia="SimHei" w:hAnsiTheme="minorHAnsi" w:cstheme="minorHAnsi"/>
          <w:szCs w:val="24"/>
          <w:lang w:val="es-ES"/>
        </w:rPr>
        <w:tab/>
      </w:r>
      <w:r w:rsidR="00FE568E" w:rsidRPr="00FE568E">
        <w:rPr>
          <w:rFonts w:asciiTheme="minorHAnsi" w:eastAsia="SimHei" w:hAnsiTheme="minorHAnsi" w:cstheme="minorHAnsi"/>
          <w:szCs w:val="24"/>
          <w:lang w:val="es-ES"/>
        </w:rPr>
        <w:t>Con respecto a las siguientes etapas del proceso, si bien en el Documento</w:t>
      </w:r>
      <w:r w:rsidRPr="00FE568E">
        <w:rPr>
          <w:rFonts w:asciiTheme="minorHAnsi" w:eastAsia="SimHei" w:hAnsiTheme="minorHAnsi" w:cstheme="minorHAnsi"/>
          <w:szCs w:val="24"/>
          <w:lang w:val="es-ES"/>
        </w:rPr>
        <w:t xml:space="preserve"> C23/79 </w:t>
      </w:r>
      <w:r w:rsidR="00FE568E" w:rsidRPr="00FE568E">
        <w:rPr>
          <w:rFonts w:asciiTheme="minorHAnsi" w:eastAsia="SimHei" w:hAnsiTheme="minorHAnsi" w:cstheme="minorHAnsi"/>
          <w:szCs w:val="24"/>
          <w:lang w:val="es-ES"/>
        </w:rPr>
        <w:t>se propone que el Grupo de Trabajo del Consejo sobre Recursos Humanos y Financieros (GTC</w:t>
      </w:r>
      <w:r w:rsidR="00603C96">
        <w:rPr>
          <w:rFonts w:asciiTheme="minorHAnsi" w:eastAsia="SimHei" w:hAnsiTheme="minorHAnsi" w:cstheme="minorHAnsi"/>
          <w:szCs w:val="24"/>
          <w:lang w:val="es-ES"/>
        </w:rPr>
        <w:noBreakHyphen/>
      </w:r>
      <w:r w:rsidR="00FE568E" w:rsidRPr="00FE568E">
        <w:rPr>
          <w:rFonts w:asciiTheme="minorHAnsi" w:eastAsia="SimHei" w:hAnsiTheme="minorHAnsi" w:cstheme="minorHAnsi"/>
          <w:szCs w:val="24"/>
          <w:lang w:val="es-ES"/>
        </w:rPr>
        <w:t xml:space="preserve">RHF) celebre un largo debate sobre el concepto de </w:t>
      </w:r>
      <w:r w:rsidR="00603C96">
        <w:rPr>
          <w:rFonts w:asciiTheme="minorHAnsi" w:eastAsia="SimHei" w:hAnsiTheme="minorHAnsi" w:cstheme="minorHAnsi"/>
          <w:szCs w:val="24"/>
          <w:lang w:val="es-ES"/>
        </w:rPr>
        <w:t>"</w:t>
      </w:r>
      <w:r w:rsidR="00FE568E" w:rsidRPr="00FE568E">
        <w:rPr>
          <w:rFonts w:asciiTheme="minorHAnsi" w:eastAsia="SimHei" w:hAnsiTheme="minorHAnsi" w:cstheme="minorHAnsi"/>
          <w:szCs w:val="24"/>
          <w:lang w:val="es-ES"/>
        </w:rPr>
        <w:t>Una UIT</w:t>
      </w:r>
      <w:r w:rsidR="00603C96">
        <w:rPr>
          <w:rFonts w:asciiTheme="minorHAnsi" w:eastAsia="SimHei" w:hAnsiTheme="minorHAnsi" w:cstheme="minorHAnsi"/>
          <w:szCs w:val="24"/>
          <w:lang w:val="es-ES"/>
        </w:rPr>
        <w:t>"</w:t>
      </w:r>
      <w:r w:rsidR="00FE568E" w:rsidRPr="00FE568E">
        <w:rPr>
          <w:rFonts w:asciiTheme="minorHAnsi" w:eastAsia="SimHei" w:hAnsiTheme="minorHAnsi" w:cstheme="minorHAnsi"/>
          <w:szCs w:val="24"/>
          <w:lang w:val="es-ES"/>
        </w:rPr>
        <w:t xml:space="preserve"> y presente un Informe a la consideración del Consejo en 2024, varios consejeros opinan que, dado que </w:t>
      </w:r>
      <w:r w:rsidR="00FE568E">
        <w:rPr>
          <w:rFonts w:asciiTheme="minorHAnsi" w:eastAsia="SimHei" w:hAnsiTheme="minorHAnsi" w:cstheme="minorHAnsi"/>
          <w:szCs w:val="24"/>
          <w:lang w:val="es-ES"/>
        </w:rPr>
        <w:t>la</w:t>
      </w:r>
      <w:r w:rsidRPr="00FE568E">
        <w:rPr>
          <w:rFonts w:asciiTheme="minorHAnsi" w:eastAsia="SimHei" w:hAnsiTheme="minorHAnsi" w:cstheme="minorHAnsi"/>
          <w:szCs w:val="24"/>
          <w:lang w:val="es-ES"/>
        </w:rPr>
        <w:t xml:space="preserve"> PP-22 </w:t>
      </w:r>
      <w:r w:rsidR="00FE568E">
        <w:rPr>
          <w:rFonts w:asciiTheme="minorHAnsi" w:eastAsia="SimHei" w:hAnsiTheme="minorHAnsi" w:cstheme="minorHAnsi"/>
          <w:szCs w:val="24"/>
          <w:lang w:val="es-ES"/>
        </w:rPr>
        <w:t xml:space="preserve">encargó al Secretario General que presente un Informe sobre la aplicación del concepto de Una UIT a la reunión de 2024 del Consejo, que los Estados Miembros tendrán ocasión de comentar, no se necesitan más informes al respecto. </w:t>
      </w:r>
      <w:r w:rsidR="00FE568E" w:rsidRPr="00FE568E">
        <w:rPr>
          <w:rFonts w:asciiTheme="minorHAnsi" w:eastAsia="SimHei" w:hAnsiTheme="minorHAnsi" w:cstheme="minorHAnsi"/>
          <w:szCs w:val="24"/>
          <w:lang w:val="es-ES"/>
        </w:rPr>
        <w:t>No es necesario que el GTC-RHF se implique en la definición del concepto</w:t>
      </w:r>
      <w:r w:rsidRPr="00FE568E">
        <w:rPr>
          <w:rFonts w:asciiTheme="minorHAnsi" w:eastAsia="SimHei" w:hAnsiTheme="minorHAnsi" w:cstheme="minorHAnsi"/>
          <w:szCs w:val="24"/>
          <w:lang w:val="es-ES"/>
        </w:rPr>
        <w:t>.</w:t>
      </w:r>
    </w:p>
    <w:p w14:paraId="27B7B01C" w14:textId="77DA0830" w:rsidR="005A2AA3" w:rsidRPr="00FE568E"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FE568E">
        <w:rPr>
          <w:rFonts w:asciiTheme="minorHAnsi" w:eastAsia="SimHei" w:hAnsiTheme="minorHAnsi" w:cstheme="minorHAnsi"/>
          <w:szCs w:val="24"/>
          <w:lang w:val="es-ES"/>
        </w:rPr>
        <w:t>5.14</w:t>
      </w:r>
      <w:r w:rsidRPr="00FE568E">
        <w:rPr>
          <w:rFonts w:asciiTheme="minorHAnsi" w:eastAsia="SimHei" w:hAnsiTheme="minorHAnsi" w:cstheme="minorHAnsi"/>
          <w:szCs w:val="24"/>
          <w:lang w:val="es-ES"/>
        </w:rPr>
        <w:tab/>
      </w:r>
      <w:r w:rsidR="00FE568E" w:rsidRPr="00FE568E">
        <w:rPr>
          <w:rFonts w:asciiTheme="minorHAnsi" w:eastAsia="SimHei" w:hAnsiTheme="minorHAnsi" w:cstheme="minorHAnsi"/>
          <w:szCs w:val="24"/>
          <w:lang w:val="es-ES"/>
        </w:rPr>
        <w:t>Varios consejeros dice</w:t>
      </w:r>
      <w:r w:rsidR="00603C96">
        <w:rPr>
          <w:rFonts w:asciiTheme="minorHAnsi" w:eastAsia="SimHei" w:hAnsiTheme="minorHAnsi" w:cstheme="minorHAnsi"/>
          <w:szCs w:val="24"/>
          <w:lang w:val="es-ES"/>
        </w:rPr>
        <w:t>n</w:t>
      </w:r>
      <w:r w:rsidR="00FE568E" w:rsidRPr="00FE568E">
        <w:rPr>
          <w:rFonts w:asciiTheme="minorHAnsi" w:eastAsia="SimHei" w:hAnsiTheme="minorHAnsi" w:cstheme="minorHAnsi"/>
          <w:szCs w:val="24"/>
          <w:lang w:val="es-ES"/>
        </w:rPr>
        <w:t xml:space="preserve"> que resultaría útil incluir una página con los acrónimos utilizados </w:t>
      </w:r>
      <w:r w:rsidR="00FE568E">
        <w:rPr>
          <w:rFonts w:asciiTheme="minorHAnsi" w:eastAsia="SimHei" w:hAnsiTheme="minorHAnsi" w:cstheme="minorHAnsi"/>
          <w:szCs w:val="24"/>
          <w:lang w:val="es-ES"/>
        </w:rPr>
        <w:t>en relación con la coordinación intersectorial</w:t>
      </w:r>
      <w:r w:rsidRPr="00FE568E">
        <w:rPr>
          <w:rFonts w:asciiTheme="minorHAnsi" w:eastAsia="SimHei" w:hAnsiTheme="minorHAnsi" w:cstheme="minorHAnsi"/>
          <w:szCs w:val="24"/>
          <w:lang w:val="es-ES"/>
        </w:rPr>
        <w:t>.</w:t>
      </w:r>
    </w:p>
    <w:p w14:paraId="4CEBE469" w14:textId="14A3020E" w:rsidR="005A2AA3" w:rsidRPr="00AA15D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FE568E">
        <w:rPr>
          <w:rFonts w:asciiTheme="minorHAnsi" w:eastAsia="SimHei" w:hAnsiTheme="minorHAnsi" w:cstheme="minorHAnsi"/>
          <w:szCs w:val="24"/>
          <w:lang w:val="es-ES"/>
        </w:rPr>
        <w:t>5.15</w:t>
      </w:r>
      <w:r w:rsidRPr="00FE568E">
        <w:rPr>
          <w:rFonts w:asciiTheme="minorHAnsi" w:eastAsia="SimHei" w:hAnsiTheme="minorHAnsi" w:cstheme="minorHAnsi"/>
          <w:szCs w:val="24"/>
          <w:lang w:val="es-ES"/>
        </w:rPr>
        <w:tab/>
      </w:r>
      <w:r w:rsidR="00FE568E" w:rsidRPr="00FE568E">
        <w:rPr>
          <w:rFonts w:asciiTheme="minorHAnsi" w:eastAsia="SimHei" w:hAnsiTheme="minorHAnsi" w:cstheme="minorHAnsi"/>
          <w:szCs w:val="24"/>
          <w:lang w:val="es-ES"/>
        </w:rPr>
        <w:t xml:space="preserve">En respuesta a las preguntas planteadas, el representante de la Secretaría General dice que la estrategia de coordinación se ha dividido en tres vías porque las esferas de interés común para la </w:t>
      </w:r>
      <w:r w:rsidR="00FE568E">
        <w:rPr>
          <w:rFonts w:asciiTheme="minorHAnsi" w:eastAsia="SimHei" w:hAnsiTheme="minorHAnsi" w:cstheme="minorHAnsi"/>
          <w:szCs w:val="24"/>
          <w:lang w:val="es-ES"/>
        </w:rPr>
        <w:t>coordinación intersectorial identificadas durante el ejercicio de correspondencia eran demasiado numerosas</w:t>
      </w:r>
      <w:r w:rsidRPr="00FE568E">
        <w:rPr>
          <w:rFonts w:asciiTheme="minorHAnsi" w:eastAsia="SimHei" w:hAnsiTheme="minorHAnsi" w:cstheme="minorHAnsi"/>
          <w:szCs w:val="24"/>
          <w:lang w:val="es-ES"/>
        </w:rPr>
        <w:t xml:space="preserve"> (42) </w:t>
      </w:r>
      <w:r w:rsidR="00FE568E">
        <w:rPr>
          <w:rFonts w:asciiTheme="minorHAnsi" w:eastAsia="SimHei" w:hAnsiTheme="minorHAnsi" w:cstheme="minorHAnsi"/>
          <w:szCs w:val="24"/>
          <w:lang w:val="es-ES"/>
        </w:rPr>
        <w:t xml:space="preserve">para que un único órgano pudiese tratarlas eficazmente. </w:t>
      </w:r>
      <w:r w:rsidR="00FE568E" w:rsidRPr="00FE568E">
        <w:rPr>
          <w:rFonts w:asciiTheme="minorHAnsi" w:eastAsia="SimHei" w:hAnsiTheme="minorHAnsi" w:cstheme="minorHAnsi"/>
          <w:szCs w:val="24"/>
          <w:lang w:val="es-ES"/>
        </w:rPr>
        <w:t>En las notas al Documento</w:t>
      </w:r>
      <w:r w:rsidRPr="00FE568E">
        <w:rPr>
          <w:rFonts w:asciiTheme="minorHAnsi" w:eastAsia="SimHei" w:hAnsiTheme="minorHAnsi" w:cstheme="minorHAnsi"/>
          <w:szCs w:val="24"/>
          <w:lang w:val="es-ES"/>
        </w:rPr>
        <w:t xml:space="preserve"> C23/27 </w:t>
      </w:r>
      <w:r w:rsidR="00FE568E" w:rsidRPr="00FE568E">
        <w:rPr>
          <w:rFonts w:asciiTheme="minorHAnsi" w:eastAsia="SimHei" w:hAnsiTheme="minorHAnsi" w:cstheme="minorHAnsi"/>
          <w:szCs w:val="24"/>
          <w:lang w:val="es-ES"/>
        </w:rPr>
        <w:t xml:space="preserve">se explica la composición de cada </w:t>
      </w:r>
      <w:r w:rsidR="00FE568E">
        <w:rPr>
          <w:rFonts w:asciiTheme="minorHAnsi" w:eastAsia="SimHei" w:hAnsiTheme="minorHAnsi" w:cstheme="minorHAnsi"/>
          <w:szCs w:val="24"/>
          <w:lang w:val="es-ES"/>
        </w:rPr>
        <w:t xml:space="preserve">uno de los grupos. </w:t>
      </w:r>
      <w:r w:rsidR="00FE568E" w:rsidRPr="00FE568E">
        <w:rPr>
          <w:rFonts w:asciiTheme="minorHAnsi" w:eastAsia="SimHei" w:hAnsiTheme="minorHAnsi" w:cstheme="minorHAnsi"/>
          <w:szCs w:val="24"/>
          <w:lang w:val="es-ES"/>
        </w:rPr>
        <w:t>Como puede verse el GCG</w:t>
      </w:r>
      <w:r w:rsidRPr="00FE568E">
        <w:rPr>
          <w:rFonts w:asciiTheme="minorHAnsi" w:eastAsia="SimHei" w:hAnsiTheme="minorHAnsi" w:cstheme="minorHAnsi"/>
          <w:szCs w:val="24"/>
          <w:lang w:val="es-ES"/>
        </w:rPr>
        <w:t xml:space="preserve">+ </w:t>
      </w:r>
      <w:r w:rsidR="00FE568E" w:rsidRPr="00FE568E">
        <w:rPr>
          <w:rFonts w:asciiTheme="minorHAnsi" w:eastAsia="SimHei" w:hAnsiTheme="minorHAnsi" w:cstheme="minorHAnsi"/>
          <w:szCs w:val="24"/>
          <w:lang w:val="es-ES"/>
        </w:rPr>
        <w:t>es efectivamente la continuación del actual GE-CIS, respons</w:t>
      </w:r>
      <w:r w:rsidR="00D219F2">
        <w:rPr>
          <w:rFonts w:asciiTheme="minorHAnsi" w:eastAsia="SimHei" w:hAnsiTheme="minorHAnsi" w:cstheme="minorHAnsi"/>
          <w:szCs w:val="24"/>
          <w:lang w:val="es-ES"/>
        </w:rPr>
        <w:t>a</w:t>
      </w:r>
      <w:r w:rsidR="00FE568E" w:rsidRPr="00FE568E">
        <w:rPr>
          <w:rFonts w:asciiTheme="minorHAnsi" w:eastAsia="SimHei" w:hAnsiTheme="minorHAnsi" w:cstheme="minorHAnsi"/>
          <w:szCs w:val="24"/>
          <w:lang w:val="es-ES"/>
        </w:rPr>
        <w:t>ble de la</w:t>
      </w:r>
      <w:r w:rsidR="00FE568E">
        <w:rPr>
          <w:rFonts w:asciiTheme="minorHAnsi" w:eastAsia="SimHei" w:hAnsiTheme="minorHAnsi" w:cstheme="minorHAnsi"/>
          <w:szCs w:val="24"/>
          <w:lang w:val="es-ES"/>
        </w:rPr>
        <w:t xml:space="preserve"> coordinación de temas programáticos, y en él participan los Directores Regionales. </w:t>
      </w:r>
      <w:r w:rsidR="00FE568E" w:rsidRPr="00FE568E">
        <w:rPr>
          <w:rFonts w:asciiTheme="minorHAnsi" w:eastAsia="SimHei" w:hAnsiTheme="minorHAnsi" w:cstheme="minorHAnsi"/>
          <w:szCs w:val="24"/>
          <w:lang w:val="es-ES"/>
        </w:rPr>
        <w:t>En cuanto al Grupo</w:t>
      </w:r>
      <w:r w:rsidRPr="00FE568E">
        <w:rPr>
          <w:rFonts w:asciiTheme="minorHAnsi" w:eastAsia="SimHei" w:hAnsiTheme="minorHAnsi" w:cstheme="minorHAnsi"/>
          <w:szCs w:val="24"/>
          <w:lang w:val="es-ES"/>
        </w:rPr>
        <w:t xml:space="preserve"> D.2</w:t>
      </w:r>
      <w:r w:rsidR="00FE568E" w:rsidRPr="00FE568E">
        <w:rPr>
          <w:rFonts w:asciiTheme="minorHAnsi" w:eastAsia="SimHei" w:hAnsiTheme="minorHAnsi" w:cstheme="minorHAnsi"/>
          <w:szCs w:val="24"/>
          <w:lang w:val="es-ES"/>
        </w:rPr>
        <w:t>, que se ocupa de temas de carácter más operativo en esferas que no implican necesariamente la oferta de productos o servicio</w:t>
      </w:r>
      <w:r w:rsidR="00FE568E">
        <w:rPr>
          <w:rFonts w:asciiTheme="minorHAnsi" w:eastAsia="SimHei" w:hAnsiTheme="minorHAnsi" w:cstheme="minorHAnsi"/>
          <w:szCs w:val="24"/>
          <w:lang w:val="es-ES"/>
        </w:rPr>
        <w:t xml:space="preserve">s a los Miembros, los Directores Adjuntos rendirán efectivamente informe a sus Directores. </w:t>
      </w:r>
      <w:r w:rsidR="00FE568E" w:rsidRPr="00FE568E">
        <w:rPr>
          <w:rFonts w:asciiTheme="minorHAnsi" w:eastAsia="SimHei" w:hAnsiTheme="minorHAnsi" w:cstheme="minorHAnsi"/>
          <w:szCs w:val="24"/>
          <w:lang w:val="es-ES"/>
        </w:rPr>
        <w:t xml:space="preserve">Los temas asignados a cada una de las vías se han definido de consuno con los Sectores. </w:t>
      </w:r>
      <w:r w:rsidR="00FE568E" w:rsidRPr="00AA15D3">
        <w:rPr>
          <w:rFonts w:asciiTheme="minorHAnsi" w:eastAsia="SimHei" w:hAnsiTheme="minorHAnsi" w:cstheme="minorHAnsi"/>
          <w:szCs w:val="24"/>
          <w:lang w:val="es-ES"/>
        </w:rPr>
        <w:t>El marco global que se presenta al Consejo es, efectivamente</w:t>
      </w:r>
      <w:r w:rsidR="00AA15D3" w:rsidRPr="00AA15D3">
        <w:rPr>
          <w:rFonts w:asciiTheme="minorHAnsi" w:eastAsia="SimHei" w:hAnsiTheme="minorHAnsi" w:cstheme="minorHAnsi"/>
          <w:szCs w:val="24"/>
          <w:lang w:val="es-ES"/>
        </w:rPr>
        <w:t>, el resultado de dilatadas consultas internas entre todos los Sectores y la Secretaría General, en el Grup</w:t>
      </w:r>
      <w:r w:rsidR="00AA15D3">
        <w:rPr>
          <w:rFonts w:asciiTheme="minorHAnsi" w:eastAsia="SimHei" w:hAnsiTheme="minorHAnsi" w:cstheme="minorHAnsi"/>
          <w:szCs w:val="24"/>
          <w:lang w:val="es-ES"/>
        </w:rPr>
        <w:t>o</w:t>
      </w:r>
      <w:r w:rsidRPr="00AA15D3">
        <w:rPr>
          <w:rFonts w:asciiTheme="minorHAnsi" w:eastAsia="SimHei" w:hAnsiTheme="minorHAnsi" w:cstheme="minorHAnsi"/>
          <w:szCs w:val="24"/>
          <w:lang w:val="es-ES"/>
        </w:rPr>
        <w:t xml:space="preserve"> D.2 </w:t>
      </w:r>
      <w:r w:rsidR="00AA15D3" w:rsidRPr="00AA15D3">
        <w:rPr>
          <w:rFonts w:asciiTheme="minorHAnsi" w:eastAsia="SimHei" w:hAnsiTheme="minorHAnsi" w:cstheme="minorHAnsi"/>
          <w:szCs w:val="24"/>
          <w:lang w:val="es-ES"/>
        </w:rPr>
        <w:t>y</w:t>
      </w:r>
      <w:r w:rsidR="00AA15D3">
        <w:rPr>
          <w:rFonts w:asciiTheme="minorHAnsi" w:eastAsia="SimHei" w:hAnsiTheme="minorHAnsi" w:cstheme="minorHAnsi"/>
          <w:szCs w:val="24"/>
          <w:lang w:val="es-ES"/>
        </w:rPr>
        <w:t xml:space="preserve"> en el</w:t>
      </w:r>
      <w:r w:rsidRPr="00AA15D3">
        <w:rPr>
          <w:rFonts w:asciiTheme="minorHAnsi" w:eastAsia="SimHei" w:hAnsiTheme="minorHAnsi" w:cstheme="minorHAnsi"/>
          <w:szCs w:val="24"/>
          <w:lang w:val="es-ES"/>
        </w:rPr>
        <w:t xml:space="preserve"> CoCo, </w:t>
      </w:r>
      <w:r w:rsidR="00AA15D3">
        <w:rPr>
          <w:rFonts w:asciiTheme="minorHAnsi" w:eastAsia="SimHei" w:hAnsiTheme="minorHAnsi" w:cstheme="minorHAnsi"/>
          <w:szCs w:val="24"/>
          <w:lang w:val="es-ES"/>
        </w:rPr>
        <w:t>aprobado por el GCG</w:t>
      </w:r>
      <w:r w:rsidRPr="00AA15D3">
        <w:rPr>
          <w:rFonts w:asciiTheme="minorHAnsi" w:eastAsia="SimHei" w:hAnsiTheme="minorHAnsi" w:cstheme="minorHAnsi"/>
          <w:szCs w:val="24"/>
          <w:lang w:val="es-ES"/>
        </w:rPr>
        <w:t xml:space="preserve"> MCG+. </w:t>
      </w:r>
      <w:r w:rsidR="00AA15D3" w:rsidRPr="00AA15D3">
        <w:rPr>
          <w:rFonts w:asciiTheme="minorHAnsi" w:eastAsia="SimHei" w:hAnsiTheme="minorHAnsi" w:cstheme="minorHAnsi"/>
          <w:szCs w:val="24"/>
          <w:lang w:val="es-ES"/>
        </w:rPr>
        <w:t>Cabe resaltar que los informes periódicos sobre las tres vías se someterán al</w:t>
      </w:r>
      <w:r w:rsidRPr="00AA15D3">
        <w:rPr>
          <w:rFonts w:asciiTheme="minorHAnsi" w:eastAsia="SimHei" w:hAnsiTheme="minorHAnsi" w:cstheme="minorHAnsi"/>
          <w:szCs w:val="24"/>
          <w:lang w:val="es-ES"/>
        </w:rPr>
        <w:t xml:space="preserve"> CoCo</w:t>
      </w:r>
      <w:r w:rsidR="00AA15D3" w:rsidRPr="00AA15D3">
        <w:rPr>
          <w:rFonts w:asciiTheme="minorHAnsi" w:eastAsia="SimHei" w:hAnsiTheme="minorHAnsi" w:cstheme="minorHAnsi"/>
          <w:szCs w:val="24"/>
          <w:lang w:val="es-ES"/>
        </w:rPr>
        <w:t xml:space="preserve"> y que ya se dispone de los mecanismos de verificación</w:t>
      </w:r>
      <w:r w:rsidR="00AA15D3">
        <w:rPr>
          <w:rFonts w:asciiTheme="minorHAnsi" w:eastAsia="SimHei" w:hAnsiTheme="minorHAnsi" w:cstheme="minorHAnsi"/>
          <w:szCs w:val="24"/>
          <w:lang w:val="es-ES"/>
        </w:rPr>
        <w:t xml:space="preserve"> y equilibrio internos para mejorar la coordinación y la comunicación entre los órganos de gobierno internos, ofreciendo al mismo tiempo a los equipos técnicos la flexibilidad necesaria para trabajar por el interés común según consideren conveniente. </w:t>
      </w:r>
      <w:r w:rsidR="00AA15D3" w:rsidRPr="00AA15D3">
        <w:rPr>
          <w:rFonts w:asciiTheme="minorHAnsi" w:eastAsia="SimHei" w:hAnsiTheme="minorHAnsi" w:cstheme="minorHAnsi"/>
          <w:szCs w:val="24"/>
          <w:lang w:val="es-ES"/>
        </w:rPr>
        <w:t xml:space="preserve">Se ha creado un rastreador que permitirá supervisar los planes de cada grupo y se prevé crear un tablón para dar al Consejo información sobre el trabajo </w:t>
      </w:r>
      <w:r w:rsidR="00AA15D3">
        <w:rPr>
          <w:rFonts w:asciiTheme="minorHAnsi" w:eastAsia="SimHei" w:hAnsiTheme="minorHAnsi" w:cstheme="minorHAnsi"/>
          <w:szCs w:val="24"/>
          <w:lang w:val="es-ES"/>
        </w:rPr>
        <w:t xml:space="preserve">realizado en el marco de las tres vías. </w:t>
      </w:r>
      <w:r w:rsidR="00AA15D3" w:rsidRPr="00AA15D3">
        <w:rPr>
          <w:rFonts w:asciiTheme="minorHAnsi" w:eastAsia="SimHei" w:hAnsiTheme="minorHAnsi" w:cstheme="minorHAnsi"/>
          <w:szCs w:val="24"/>
          <w:lang w:val="es-ES"/>
        </w:rPr>
        <w:t>En cuanto a los objetivos intersectoriales del actual Plan Estratégico, menciona el último factor habilitador del Plan Estratégico para</w:t>
      </w:r>
      <w:r w:rsidRPr="00AA15D3">
        <w:rPr>
          <w:rFonts w:asciiTheme="minorHAnsi" w:eastAsia="SimHei" w:hAnsiTheme="minorHAnsi" w:cstheme="minorHAnsi"/>
          <w:szCs w:val="24"/>
          <w:lang w:val="es-ES"/>
        </w:rPr>
        <w:t xml:space="preserve"> 2024-2027 (Excel</w:t>
      </w:r>
      <w:r w:rsidR="00AA15D3" w:rsidRPr="00AA15D3">
        <w:rPr>
          <w:rFonts w:asciiTheme="minorHAnsi" w:eastAsia="SimHei" w:hAnsiTheme="minorHAnsi" w:cstheme="minorHAnsi"/>
          <w:szCs w:val="24"/>
          <w:lang w:val="es-ES"/>
        </w:rPr>
        <w:t>e</w:t>
      </w:r>
      <w:r w:rsidR="00AA15D3">
        <w:rPr>
          <w:rFonts w:asciiTheme="minorHAnsi" w:eastAsia="SimHei" w:hAnsiTheme="minorHAnsi" w:cstheme="minorHAnsi"/>
          <w:szCs w:val="24"/>
          <w:lang w:val="es-ES"/>
        </w:rPr>
        <w:t xml:space="preserve">ncia de recursos humanos e innovación institucional), atañe directamente a la coordinación intersectorial. </w:t>
      </w:r>
      <w:r w:rsidR="00AA15D3" w:rsidRPr="00AA15D3">
        <w:rPr>
          <w:rFonts w:asciiTheme="minorHAnsi" w:eastAsia="SimHei" w:hAnsiTheme="minorHAnsi" w:cstheme="minorHAnsi"/>
          <w:szCs w:val="24"/>
          <w:lang w:val="es-ES"/>
        </w:rPr>
        <w:t xml:space="preserve">En la guía de introducción a los órganos de </w:t>
      </w:r>
      <w:r w:rsidR="00AA15D3">
        <w:rPr>
          <w:rFonts w:asciiTheme="minorHAnsi" w:eastAsia="SimHei" w:hAnsiTheme="minorHAnsi" w:cstheme="minorHAnsi"/>
          <w:szCs w:val="24"/>
          <w:lang w:val="es-ES"/>
        </w:rPr>
        <w:t>gobierno de la UIT para nuevos delegados se incluirá una sección con los acrónimos utilizados</w:t>
      </w:r>
      <w:r w:rsidRPr="00AA15D3">
        <w:rPr>
          <w:rFonts w:asciiTheme="minorHAnsi" w:eastAsia="SimHei" w:hAnsiTheme="minorHAnsi" w:cstheme="minorHAnsi"/>
          <w:szCs w:val="24"/>
          <w:lang w:val="es-ES"/>
        </w:rPr>
        <w:t>.</w:t>
      </w:r>
    </w:p>
    <w:p w14:paraId="10A667E4" w14:textId="608CCE1A" w:rsidR="005A2AA3" w:rsidRPr="00AA15D3"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AA15D3">
        <w:rPr>
          <w:rFonts w:asciiTheme="minorHAnsi" w:hAnsiTheme="minorHAnsi" w:cstheme="minorHAnsi"/>
          <w:szCs w:val="24"/>
          <w:lang w:val="es-ES"/>
        </w:rPr>
        <w:t>5.16</w:t>
      </w:r>
      <w:r w:rsidRPr="00AA15D3">
        <w:rPr>
          <w:rFonts w:asciiTheme="minorHAnsi" w:hAnsiTheme="minorHAnsi" w:cstheme="minorHAnsi"/>
          <w:szCs w:val="24"/>
          <w:lang w:val="es-ES"/>
        </w:rPr>
        <w:tab/>
      </w:r>
      <w:r w:rsidR="00AA15D3" w:rsidRPr="00AA15D3">
        <w:rPr>
          <w:rFonts w:asciiTheme="minorHAnsi" w:hAnsiTheme="minorHAnsi" w:cstheme="minorHAnsi"/>
          <w:szCs w:val="24"/>
          <w:lang w:val="es-ES"/>
        </w:rPr>
        <w:t>El Presidente del GCIS dice que ese Grupo está compuesto por representa</w:t>
      </w:r>
      <w:r w:rsidR="00AA15D3">
        <w:rPr>
          <w:rFonts w:asciiTheme="minorHAnsi" w:hAnsiTheme="minorHAnsi" w:cstheme="minorHAnsi"/>
          <w:szCs w:val="24"/>
          <w:lang w:val="es-ES"/>
        </w:rPr>
        <w:t>n</w:t>
      </w:r>
      <w:r w:rsidR="00AA15D3" w:rsidRPr="00AA15D3">
        <w:rPr>
          <w:rFonts w:asciiTheme="minorHAnsi" w:hAnsiTheme="minorHAnsi" w:cstheme="minorHAnsi"/>
          <w:szCs w:val="24"/>
          <w:lang w:val="es-ES"/>
        </w:rPr>
        <w:t xml:space="preserve">tes de cada uno de </w:t>
      </w:r>
      <w:r w:rsidR="00AA15D3">
        <w:rPr>
          <w:rFonts w:asciiTheme="minorHAnsi" w:hAnsiTheme="minorHAnsi" w:cstheme="minorHAnsi"/>
          <w:szCs w:val="24"/>
          <w:lang w:val="es-ES"/>
        </w:rPr>
        <w:t xml:space="preserve">los Grupos Asesores de los Sectores. </w:t>
      </w:r>
      <w:r w:rsidR="00AA15D3" w:rsidRPr="00AA15D3">
        <w:rPr>
          <w:rFonts w:asciiTheme="minorHAnsi" w:hAnsiTheme="minorHAnsi" w:cstheme="minorHAnsi"/>
          <w:szCs w:val="24"/>
          <w:lang w:val="es-ES"/>
        </w:rPr>
        <w:t>Los coordinadores del GCIS se seleccionan por su competencia y autoridad profesional a fin de armonizar mejo</w:t>
      </w:r>
      <w:r w:rsidR="00AA15D3">
        <w:rPr>
          <w:rFonts w:asciiTheme="minorHAnsi" w:hAnsiTheme="minorHAnsi" w:cstheme="minorHAnsi"/>
          <w:szCs w:val="24"/>
          <w:lang w:val="es-ES"/>
        </w:rPr>
        <w:t xml:space="preserve">r los esfuerzos y evitar las divergencias. </w:t>
      </w:r>
      <w:r w:rsidR="00AA15D3" w:rsidRPr="00AA15D3">
        <w:rPr>
          <w:rFonts w:asciiTheme="minorHAnsi" w:hAnsiTheme="minorHAnsi" w:cstheme="minorHAnsi"/>
          <w:szCs w:val="24"/>
          <w:lang w:val="es-ES"/>
        </w:rPr>
        <w:t>Se invitó a los Directores Regionales a participar en la última reunión, a la que asistieron a dist</w:t>
      </w:r>
      <w:r w:rsidR="00AA15D3">
        <w:rPr>
          <w:rFonts w:asciiTheme="minorHAnsi" w:hAnsiTheme="minorHAnsi" w:cstheme="minorHAnsi"/>
          <w:szCs w:val="24"/>
          <w:lang w:val="es-ES"/>
        </w:rPr>
        <w:t xml:space="preserve">ancia. </w:t>
      </w:r>
      <w:r w:rsidR="00AA15D3" w:rsidRPr="00AA15D3">
        <w:rPr>
          <w:rFonts w:asciiTheme="minorHAnsi" w:hAnsiTheme="minorHAnsi" w:cstheme="minorHAnsi"/>
          <w:szCs w:val="24"/>
          <w:lang w:val="es-ES"/>
        </w:rPr>
        <w:t xml:space="preserve">Prevé que el recién creado GCG rendirá periódicamente cuentas al GCIS, como hacía el GE-CIS en el </w:t>
      </w:r>
      <w:r w:rsidR="00AA15D3">
        <w:rPr>
          <w:rFonts w:asciiTheme="minorHAnsi" w:hAnsiTheme="minorHAnsi" w:cstheme="minorHAnsi"/>
          <w:szCs w:val="24"/>
          <w:lang w:val="es-ES"/>
        </w:rPr>
        <w:t>pasado</w:t>
      </w:r>
      <w:r w:rsidRPr="00AA15D3">
        <w:rPr>
          <w:rFonts w:asciiTheme="minorHAnsi" w:eastAsia="SimHei" w:hAnsiTheme="minorHAnsi" w:cstheme="minorHAnsi"/>
          <w:szCs w:val="24"/>
          <w:lang w:val="es-ES"/>
        </w:rPr>
        <w:t>.</w:t>
      </w:r>
    </w:p>
    <w:p w14:paraId="5AEC3DD7" w14:textId="44CDE118" w:rsidR="005A2AA3" w:rsidRPr="00F44BC1" w:rsidRDefault="005A2AA3" w:rsidP="005A2AA3">
      <w:pPr>
        <w:tabs>
          <w:tab w:val="clear" w:pos="567"/>
          <w:tab w:val="clear" w:pos="1134"/>
          <w:tab w:val="clear" w:pos="1701"/>
          <w:tab w:val="clear" w:pos="2268"/>
          <w:tab w:val="clear" w:pos="2835"/>
        </w:tabs>
        <w:spacing w:after="120"/>
        <w:jc w:val="both"/>
        <w:rPr>
          <w:rFonts w:asciiTheme="minorHAnsi" w:eastAsia="SimHei" w:hAnsiTheme="minorHAnsi" w:cstheme="minorHAnsi"/>
          <w:szCs w:val="24"/>
          <w:lang w:val="es-ES"/>
        </w:rPr>
      </w:pPr>
      <w:r w:rsidRPr="00AA15D3">
        <w:rPr>
          <w:rFonts w:asciiTheme="minorHAnsi" w:eastAsia="SimHei" w:hAnsiTheme="minorHAnsi" w:cstheme="minorHAnsi"/>
          <w:szCs w:val="24"/>
          <w:lang w:val="es-ES"/>
        </w:rPr>
        <w:t>5.17</w:t>
      </w:r>
      <w:r w:rsidRPr="00AA15D3">
        <w:rPr>
          <w:rFonts w:asciiTheme="minorHAnsi" w:eastAsia="SimHei" w:hAnsiTheme="minorHAnsi" w:cstheme="minorHAnsi"/>
          <w:szCs w:val="24"/>
          <w:lang w:val="es-ES"/>
        </w:rPr>
        <w:tab/>
      </w:r>
      <w:r w:rsidR="00AA15D3" w:rsidRPr="00AA15D3">
        <w:rPr>
          <w:rFonts w:asciiTheme="minorHAnsi" w:eastAsia="SimHei" w:hAnsiTheme="minorHAnsi" w:cstheme="minorHAnsi"/>
          <w:szCs w:val="24"/>
          <w:lang w:val="es-ES"/>
        </w:rPr>
        <w:t xml:space="preserve">En respuesta a otra pregunta sobre la definición del concepto de </w:t>
      </w:r>
      <w:r w:rsidR="00337C7B">
        <w:rPr>
          <w:rFonts w:asciiTheme="minorHAnsi" w:eastAsia="SimHei" w:hAnsiTheme="minorHAnsi" w:cstheme="minorHAnsi"/>
          <w:szCs w:val="24"/>
          <w:lang w:val="es-ES"/>
        </w:rPr>
        <w:t>"</w:t>
      </w:r>
      <w:r w:rsidR="00AA15D3" w:rsidRPr="00AA15D3">
        <w:rPr>
          <w:rFonts w:asciiTheme="minorHAnsi" w:eastAsia="SimHei" w:hAnsiTheme="minorHAnsi" w:cstheme="minorHAnsi"/>
          <w:szCs w:val="24"/>
          <w:lang w:val="es-ES"/>
        </w:rPr>
        <w:t>Una UIT</w:t>
      </w:r>
      <w:r w:rsidR="00337C7B">
        <w:rPr>
          <w:rFonts w:asciiTheme="minorHAnsi" w:eastAsia="SimHei" w:hAnsiTheme="minorHAnsi" w:cstheme="minorHAnsi"/>
          <w:szCs w:val="24"/>
          <w:lang w:val="es-ES"/>
        </w:rPr>
        <w:t>"</w:t>
      </w:r>
      <w:r w:rsidR="00AA15D3" w:rsidRPr="00AA15D3">
        <w:rPr>
          <w:rFonts w:asciiTheme="minorHAnsi" w:eastAsia="SimHei" w:hAnsiTheme="minorHAnsi" w:cstheme="minorHAnsi"/>
          <w:szCs w:val="24"/>
          <w:lang w:val="es-ES"/>
        </w:rPr>
        <w:t xml:space="preserve">, el representante de la Secretaría </w:t>
      </w:r>
      <w:r w:rsidR="00AA15D3">
        <w:rPr>
          <w:rFonts w:asciiTheme="minorHAnsi" w:eastAsia="SimHei" w:hAnsiTheme="minorHAnsi" w:cstheme="minorHAnsi"/>
          <w:szCs w:val="24"/>
          <w:lang w:val="es-ES"/>
        </w:rPr>
        <w:t xml:space="preserve">General cita una serie de </w:t>
      </w:r>
      <w:r w:rsidR="00F44BC1">
        <w:rPr>
          <w:rFonts w:asciiTheme="minorHAnsi" w:eastAsia="SimHei" w:hAnsiTheme="minorHAnsi" w:cstheme="minorHAnsi"/>
          <w:szCs w:val="24"/>
          <w:lang w:val="es-ES"/>
        </w:rPr>
        <w:t xml:space="preserve">fuentes de los instrumentos y textos de la UIT. </w:t>
      </w:r>
      <w:r w:rsidR="00F44BC1" w:rsidRPr="00F44BC1">
        <w:rPr>
          <w:rFonts w:asciiTheme="minorHAnsi" w:eastAsia="SimHei" w:hAnsiTheme="minorHAnsi" w:cstheme="minorHAnsi"/>
          <w:szCs w:val="24"/>
          <w:lang w:val="es-ES"/>
        </w:rPr>
        <w:t>En el Plan Estratégico para</w:t>
      </w:r>
      <w:r w:rsidRPr="00F44BC1">
        <w:rPr>
          <w:rFonts w:asciiTheme="minorHAnsi" w:eastAsia="SimHei" w:hAnsiTheme="minorHAnsi" w:cstheme="minorHAnsi"/>
          <w:szCs w:val="24"/>
          <w:lang w:val="es-ES"/>
        </w:rPr>
        <w:t xml:space="preserve"> 2020-2023</w:t>
      </w:r>
      <w:r w:rsidR="00F44BC1" w:rsidRPr="00F44BC1">
        <w:rPr>
          <w:rFonts w:asciiTheme="minorHAnsi" w:eastAsia="SimHei" w:hAnsiTheme="minorHAnsi" w:cstheme="minorHAnsi"/>
          <w:szCs w:val="24"/>
          <w:lang w:val="es-ES"/>
        </w:rPr>
        <w:t>, consignado en la Resolución</w:t>
      </w:r>
      <w:r w:rsidRPr="00F44BC1">
        <w:rPr>
          <w:rFonts w:asciiTheme="minorHAnsi" w:eastAsia="SimHei" w:hAnsiTheme="minorHAnsi" w:cstheme="minorHAnsi"/>
          <w:szCs w:val="24"/>
          <w:lang w:val="es-ES"/>
        </w:rPr>
        <w:t> 71 (Rev. Dub</w:t>
      </w:r>
      <w:r w:rsidR="00F44BC1" w:rsidRPr="00F44BC1">
        <w:rPr>
          <w:rFonts w:asciiTheme="minorHAnsi" w:eastAsia="SimHei" w:hAnsiTheme="minorHAnsi" w:cstheme="minorHAnsi"/>
          <w:szCs w:val="24"/>
          <w:lang w:val="es-ES"/>
        </w:rPr>
        <w:t>á</w:t>
      </w:r>
      <w:r w:rsidRPr="00F44BC1">
        <w:rPr>
          <w:rFonts w:asciiTheme="minorHAnsi" w:eastAsia="SimHei" w:hAnsiTheme="minorHAnsi" w:cstheme="minorHAnsi"/>
          <w:szCs w:val="24"/>
          <w:lang w:val="es-ES"/>
        </w:rPr>
        <w:t xml:space="preserve">i, 2018), </w:t>
      </w:r>
      <w:r w:rsidR="00F44BC1" w:rsidRPr="00F44BC1">
        <w:rPr>
          <w:rFonts w:asciiTheme="minorHAnsi" w:eastAsia="SimHei" w:hAnsiTheme="minorHAnsi" w:cstheme="minorHAnsi"/>
          <w:szCs w:val="24"/>
          <w:lang w:val="es-ES"/>
        </w:rPr>
        <w:t xml:space="preserve">se incluía </w:t>
      </w:r>
      <w:r w:rsidR="00337C7B">
        <w:rPr>
          <w:rFonts w:asciiTheme="minorHAnsi" w:eastAsia="SimHei" w:hAnsiTheme="minorHAnsi" w:cstheme="minorHAnsi"/>
          <w:szCs w:val="24"/>
          <w:lang w:val="es-ES"/>
        </w:rPr>
        <w:t>"</w:t>
      </w:r>
      <w:r w:rsidR="00F44BC1" w:rsidRPr="00F44BC1">
        <w:rPr>
          <w:rFonts w:asciiTheme="minorHAnsi" w:eastAsia="SimHei" w:hAnsiTheme="minorHAnsi" w:cstheme="minorHAnsi"/>
          <w:szCs w:val="24"/>
          <w:lang w:val="es-ES"/>
        </w:rPr>
        <w:t>Trabajar como Una UIT</w:t>
      </w:r>
      <w:r w:rsidR="00337C7B">
        <w:rPr>
          <w:rFonts w:asciiTheme="minorHAnsi" w:eastAsia="SimHei" w:hAnsiTheme="minorHAnsi" w:cstheme="minorHAnsi"/>
          <w:szCs w:val="24"/>
          <w:lang w:val="es-ES"/>
        </w:rPr>
        <w:t>"</w:t>
      </w:r>
      <w:r w:rsidR="00F44BC1" w:rsidRPr="00F44BC1">
        <w:rPr>
          <w:rFonts w:asciiTheme="minorHAnsi" w:eastAsia="SimHei" w:hAnsiTheme="minorHAnsi" w:cstheme="minorHAnsi"/>
          <w:szCs w:val="24"/>
          <w:lang w:val="es-ES"/>
        </w:rPr>
        <w:t xml:space="preserve"> en el análisis situacional y </w:t>
      </w:r>
      <w:r w:rsidR="00F44BC1">
        <w:rPr>
          <w:rFonts w:asciiTheme="minorHAnsi" w:eastAsia="SimHei" w:hAnsiTheme="minorHAnsi" w:cstheme="minorHAnsi"/>
          <w:szCs w:val="24"/>
          <w:lang w:val="es-ES"/>
        </w:rPr>
        <w:t xml:space="preserve">se identificaba también como criterio de aplicación del Plan Estratégico junto con su definición. </w:t>
      </w:r>
      <w:r w:rsidR="00F44BC1" w:rsidRPr="00F44BC1">
        <w:rPr>
          <w:rFonts w:asciiTheme="minorHAnsi" w:eastAsia="SimHei" w:hAnsiTheme="minorHAnsi" w:cstheme="minorHAnsi"/>
          <w:szCs w:val="24"/>
          <w:lang w:val="es-ES"/>
        </w:rPr>
        <w:t xml:space="preserve">Además, </w:t>
      </w:r>
      <w:r w:rsidR="00153D89">
        <w:rPr>
          <w:rFonts w:asciiTheme="minorHAnsi" w:eastAsia="SimHei" w:hAnsiTheme="minorHAnsi" w:cstheme="minorHAnsi"/>
          <w:szCs w:val="24"/>
          <w:lang w:val="es-ES"/>
        </w:rPr>
        <w:t>"</w:t>
      </w:r>
      <w:r w:rsidR="00F44BC1" w:rsidRPr="00F44BC1">
        <w:rPr>
          <w:rFonts w:asciiTheme="minorHAnsi" w:eastAsia="SimHei" w:hAnsiTheme="minorHAnsi" w:cstheme="minorHAnsi"/>
          <w:szCs w:val="24"/>
          <w:lang w:val="es-ES"/>
        </w:rPr>
        <w:t>Implementar el concepto de Una UIT</w:t>
      </w:r>
      <w:r w:rsidR="00153D89">
        <w:rPr>
          <w:rFonts w:asciiTheme="minorHAnsi" w:eastAsia="SimHei" w:hAnsiTheme="minorHAnsi" w:cstheme="minorHAnsi"/>
          <w:szCs w:val="24"/>
          <w:lang w:val="es-ES"/>
        </w:rPr>
        <w:t>"</w:t>
      </w:r>
      <w:r w:rsidR="00F44BC1" w:rsidRPr="00F44BC1">
        <w:rPr>
          <w:rFonts w:asciiTheme="minorHAnsi" w:eastAsia="SimHei" w:hAnsiTheme="minorHAnsi" w:cstheme="minorHAnsi"/>
          <w:szCs w:val="24"/>
          <w:lang w:val="es-ES"/>
        </w:rPr>
        <w:t xml:space="preserve"> era el producto intersectorial</w:t>
      </w:r>
      <w:r w:rsidRPr="00F44BC1">
        <w:rPr>
          <w:rFonts w:asciiTheme="minorHAnsi" w:hAnsiTheme="minorHAnsi" w:cstheme="minorHAnsi"/>
          <w:szCs w:val="24"/>
          <w:lang w:val="es-ES"/>
        </w:rPr>
        <w:t xml:space="preserve"> I.6-2. </w:t>
      </w:r>
      <w:r w:rsidR="00F44BC1" w:rsidRPr="00F44BC1">
        <w:rPr>
          <w:rFonts w:asciiTheme="minorHAnsi" w:hAnsiTheme="minorHAnsi" w:cstheme="minorHAnsi"/>
          <w:szCs w:val="24"/>
          <w:lang w:val="es-ES"/>
        </w:rPr>
        <w:t xml:space="preserve">Trabajar como </w:t>
      </w:r>
      <w:r w:rsidR="00F44BC1" w:rsidRPr="00F44BC1">
        <w:rPr>
          <w:rFonts w:asciiTheme="minorHAnsi" w:hAnsiTheme="minorHAnsi" w:cstheme="minorHAnsi"/>
          <w:szCs w:val="24"/>
          <w:lang w:val="es-ES"/>
        </w:rPr>
        <w:lastRenderedPageBreak/>
        <w:t>Una</w:t>
      </w:r>
      <w:r w:rsidR="00153D89">
        <w:rPr>
          <w:rFonts w:asciiTheme="minorHAnsi" w:hAnsiTheme="minorHAnsi" w:cstheme="minorHAnsi"/>
          <w:szCs w:val="24"/>
          <w:lang w:val="es-ES"/>
        </w:rPr>
        <w:t> </w:t>
      </w:r>
      <w:r w:rsidR="00F44BC1" w:rsidRPr="00F44BC1">
        <w:rPr>
          <w:rFonts w:asciiTheme="minorHAnsi" w:hAnsiTheme="minorHAnsi" w:cstheme="minorHAnsi"/>
          <w:szCs w:val="24"/>
          <w:lang w:val="es-ES"/>
        </w:rPr>
        <w:t>UIT ha sido uno de los principios definidos desde un primer momento por el Grupo de Trabajo de</w:t>
      </w:r>
      <w:r w:rsidR="00F44BC1">
        <w:rPr>
          <w:rFonts w:asciiTheme="minorHAnsi" w:hAnsiTheme="minorHAnsi" w:cstheme="minorHAnsi"/>
          <w:szCs w:val="24"/>
          <w:lang w:val="es-ES"/>
        </w:rPr>
        <w:t xml:space="preserve">l Consejo sobre los Planes Estratégico y Financiero (GTC-PEF). </w:t>
      </w:r>
      <w:r w:rsidR="00F44BC1" w:rsidRPr="00F44BC1">
        <w:rPr>
          <w:rFonts w:asciiTheme="minorHAnsi" w:hAnsiTheme="minorHAnsi" w:cstheme="minorHAnsi"/>
          <w:szCs w:val="24"/>
          <w:lang w:val="es-ES"/>
        </w:rPr>
        <w:t>En la</w:t>
      </w:r>
      <w:r w:rsidRPr="00F44BC1">
        <w:rPr>
          <w:rFonts w:asciiTheme="minorHAnsi" w:hAnsiTheme="minorHAnsi" w:cstheme="minorHAnsi"/>
          <w:szCs w:val="24"/>
          <w:lang w:val="es-ES"/>
        </w:rPr>
        <w:t xml:space="preserve"> PP-22, </w:t>
      </w:r>
      <w:r w:rsidR="00F44BC1" w:rsidRPr="00F44BC1">
        <w:rPr>
          <w:rFonts w:asciiTheme="minorHAnsi" w:hAnsiTheme="minorHAnsi" w:cstheme="minorHAnsi"/>
          <w:szCs w:val="24"/>
          <w:lang w:val="es-ES"/>
        </w:rPr>
        <w:t xml:space="preserve">la Plenaria aprobó la recomendación de la Comisión 6 de encargar al Secretario General que, en coordinación con los Directores de las Oficinas, presentase un informe sobre la implementación del concepto de </w:t>
      </w:r>
      <w:r w:rsidR="00B27697">
        <w:rPr>
          <w:rFonts w:asciiTheme="minorHAnsi" w:hAnsiTheme="minorHAnsi" w:cstheme="minorHAnsi"/>
          <w:szCs w:val="24"/>
          <w:lang w:val="es-ES"/>
        </w:rPr>
        <w:t>"</w:t>
      </w:r>
      <w:r w:rsidR="00F44BC1" w:rsidRPr="00F44BC1">
        <w:rPr>
          <w:rFonts w:asciiTheme="minorHAnsi" w:hAnsiTheme="minorHAnsi" w:cstheme="minorHAnsi"/>
          <w:szCs w:val="24"/>
          <w:lang w:val="es-ES"/>
        </w:rPr>
        <w:t>Una UIT</w:t>
      </w:r>
      <w:r w:rsidR="00B27697">
        <w:rPr>
          <w:rFonts w:asciiTheme="minorHAnsi" w:hAnsiTheme="minorHAnsi" w:cstheme="minorHAnsi"/>
          <w:szCs w:val="24"/>
          <w:lang w:val="es-ES"/>
        </w:rPr>
        <w:t>"</w:t>
      </w:r>
      <w:r w:rsidR="00F44BC1" w:rsidRPr="00F44BC1">
        <w:rPr>
          <w:rFonts w:asciiTheme="minorHAnsi" w:hAnsiTheme="minorHAnsi" w:cstheme="minorHAnsi"/>
          <w:szCs w:val="24"/>
          <w:lang w:val="es-ES"/>
        </w:rPr>
        <w:t xml:space="preserve"> a la reunión de 2024 del Consejo y de encargar al Consejo que evalúe el Informe de</w:t>
      </w:r>
      <w:r w:rsidR="00F44BC1">
        <w:rPr>
          <w:rFonts w:asciiTheme="minorHAnsi" w:hAnsiTheme="minorHAnsi" w:cstheme="minorHAnsi"/>
          <w:szCs w:val="24"/>
          <w:lang w:val="es-ES"/>
        </w:rPr>
        <w:t xml:space="preserve"> la Secretaria General y rinda cuentas a la próxima Conferencia de Plenipotenciarios de la implementación del concepto de </w:t>
      </w:r>
      <w:r w:rsidR="00B27697">
        <w:rPr>
          <w:rFonts w:asciiTheme="minorHAnsi" w:hAnsiTheme="minorHAnsi" w:cstheme="minorHAnsi"/>
          <w:szCs w:val="24"/>
          <w:lang w:val="es-ES"/>
        </w:rPr>
        <w:t>"</w:t>
      </w:r>
      <w:r w:rsidR="00F44BC1">
        <w:rPr>
          <w:rFonts w:asciiTheme="minorHAnsi" w:hAnsiTheme="minorHAnsi" w:cstheme="minorHAnsi"/>
          <w:szCs w:val="24"/>
          <w:lang w:val="es-ES"/>
        </w:rPr>
        <w:t>Una UIT</w:t>
      </w:r>
      <w:r w:rsidR="00B27697">
        <w:rPr>
          <w:rFonts w:asciiTheme="minorHAnsi" w:hAnsiTheme="minorHAnsi" w:cstheme="minorHAnsi"/>
          <w:szCs w:val="24"/>
          <w:lang w:val="es-ES"/>
        </w:rPr>
        <w:t>"</w:t>
      </w:r>
      <w:r w:rsidR="00F44BC1">
        <w:rPr>
          <w:rFonts w:asciiTheme="minorHAnsi" w:hAnsiTheme="minorHAnsi" w:cstheme="minorHAnsi"/>
          <w:szCs w:val="24"/>
          <w:lang w:val="es-ES"/>
        </w:rPr>
        <w:t xml:space="preserve">, incluso, entre otras cosas, sobre las actividades de las Oficinas Regionales y Zonales. </w:t>
      </w:r>
      <w:r w:rsidR="00F44BC1" w:rsidRPr="00F44BC1">
        <w:rPr>
          <w:rFonts w:asciiTheme="minorHAnsi" w:hAnsiTheme="minorHAnsi" w:cstheme="minorHAnsi"/>
          <w:szCs w:val="24"/>
          <w:lang w:val="es-ES"/>
        </w:rPr>
        <w:t>La Secretaría está trabajando como Una UIT y se esfuerza por ofrecer a los Miembros productos y servicios como una sola entidad</w:t>
      </w:r>
      <w:r w:rsidRPr="00F44BC1">
        <w:rPr>
          <w:rFonts w:asciiTheme="minorHAnsi" w:eastAsia="SimHei" w:hAnsiTheme="minorHAnsi" w:cstheme="minorHAnsi"/>
          <w:szCs w:val="24"/>
          <w:lang w:val="es-ES"/>
        </w:rPr>
        <w:t>.</w:t>
      </w:r>
    </w:p>
    <w:bookmarkEnd w:id="12"/>
    <w:p w14:paraId="340D3ACC" w14:textId="1A4F6B57" w:rsidR="005A2AA3" w:rsidRPr="00F44BC1" w:rsidRDefault="005A2AA3" w:rsidP="005A2AA3">
      <w:pPr>
        <w:tabs>
          <w:tab w:val="clear" w:pos="567"/>
          <w:tab w:val="clear" w:pos="1134"/>
          <w:tab w:val="clear" w:pos="1701"/>
          <w:tab w:val="clear" w:pos="2268"/>
          <w:tab w:val="clear" w:pos="2835"/>
        </w:tabs>
        <w:spacing w:after="120"/>
        <w:jc w:val="both"/>
        <w:rPr>
          <w:rFonts w:eastAsia="SimHei" w:cs="Simplified Arabic"/>
          <w:szCs w:val="24"/>
          <w:lang w:val="es-ES"/>
        </w:rPr>
      </w:pPr>
      <w:r w:rsidRPr="00F44BC1">
        <w:rPr>
          <w:rFonts w:asciiTheme="minorHAnsi" w:eastAsia="SimHei" w:hAnsiTheme="minorHAnsi" w:cstheme="minorHAnsi"/>
          <w:szCs w:val="24"/>
          <w:lang w:val="es-ES"/>
        </w:rPr>
        <w:t>5.18</w:t>
      </w:r>
      <w:r w:rsidRPr="00F44BC1">
        <w:rPr>
          <w:rFonts w:asciiTheme="minorHAnsi" w:eastAsia="SimHei" w:hAnsiTheme="minorHAnsi" w:cstheme="minorHAnsi"/>
          <w:szCs w:val="24"/>
          <w:lang w:val="es-ES"/>
        </w:rPr>
        <w:tab/>
      </w:r>
      <w:bookmarkStart w:id="13" w:name="_Hlk141628578"/>
      <w:r w:rsidR="00F44BC1" w:rsidRPr="00F44BC1">
        <w:rPr>
          <w:rFonts w:asciiTheme="minorHAnsi" w:eastAsia="SimHei" w:hAnsiTheme="minorHAnsi" w:cstheme="minorHAnsi"/>
          <w:szCs w:val="24"/>
          <w:lang w:val="es-ES"/>
        </w:rPr>
        <w:t xml:space="preserve">El Presidente dice que los debates sobre este punto se reanudarán en la </w:t>
      </w:r>
      <w:r w:rsidR="00F44BC1">
        <w:rPr>
          <w:rFonts w:asciiTheme="minorHAnsi" w:eastAsia="SimHei" w:hAnsiTheme="minorHAnsi" w:cstheme="minorHAnsi"/>
          <w:szCs w:val="24"/>
          <w:lang w:val="es-ES"/>
        </w:rPr>
        <w:t>sexta Sesión Plenaria</w:t>
      </w:r>
      <w:r w:rsidRPr="00F44BC1">
        <w:rPr>
          <w:rFonts w:asciiTheme="minorHAnsi" w:eastAsia="SimHei" w:hAnsiTheme="minorHAnsi" w:cstheme="minorHAnsi"/>
          <w:szCs w:val="24"/>
          <w:lang w:val="es-ES"/>
        </w:rPr>
        <w:t>.</w:t>
      </w:r>
      <w:bookmarkEnd w:id="13"/>
    </w:p>
    <w:p w14:paraId="16566EB5" w14:textId="475017FA" w:rsidR="00A514A4" w:rsidRPr="00F44BC1" w:rsidRDefault="00F44BC1" w:rsidP="00C617E2">
      <w:pPr>
        <w:tabs>
          <w:tab w:val="clear" w:pos="567"/>
          <w:tab w:val="clear" w:pos="1134"/>
          <w:tab w:val="clear" w:pos="1701"/>
          <w:tab w:val="clear" w:pos="2268"/>
          <w:tab w:val="clear" w:pos="2835"/>
          <w:tab w:val="left" w:pos="5812"/>
        </w:tabs>
        <w:overflowPunct/>
        <w:autoSpaceDE/>
        <w:autoSpaceDN/>
        <w:adjustRightInd/>
        <w:spacing w:before="600"/>
        <w:textAlignment w:val="auto"/>
        <w:rPr>
          <w:lang w:val="es-ES"/>
        </w:rPr>
      </w:pPr>
      <w:r w:rsidRPr="00F44BC1">
        <w:rPr>
          <w:lang w:val="es-ES"/>
        </w:rPr>
        <w:t>La Secretaria General</w:t>
      </w:r>
      <w:r w:rsidR="00915F63" w:rsidRPr="00F44BC1">
        <w:rPr>
          <w:lang w:val="es-ES"/>
        </w:rPr>
        <w:t>:</w:t>
      </w:r>
      <w:r w:rsidR="00915F63" w:rsidRPr="00F44BC1">
        <w:rPr>
          <w:lang w:val="es-ES"/>
        </w:rPr>
        <w:tab/>
      </w:r>
      <w:r w:rsidRPr="00F44BC1">
        <w:rPr>
          <w:lang w:val="es-ES"/>
        </w:rPr>
        <w:t>El Presidente</w:t>
      </w:r>
      <w:r w:rsidR="00915F63" w:rsidRPr="00F44BC1">
        <w:rPr>
          <w:lang w:val="es-ES"/>
        </w:rPr>
        <w:t>:</w:t>
      </w:r>
      <w:r w:rsidR="00915F63" w:rsidRPr="00F44BC1">
        <w:rPr>
          <w:lang w:val="es-ES"/>
        </w:rPr>
        <w:br/>
        <w:t>D. BOGDAN-MARTIN</w:t>
      </w:r>
      <w:r w:rsidR="00915F63" w:rsidRPr="00F44BC1">
        <w:rPr>
          <w:lang w:val="es-ES"/>
        </w:rPr>
        <w:tab/>
        <w:t>C. MART</w:t>
      </w:r>
      <w:r>
        <w:rPr>
          <w:lang w:val="es-ES"/>
        </w:rPr>
        <w:t>Í</w:t>
      </w:r>
      <w:r w:rsidR="00915F63" w:rsidRPr="00F44BC1">
        <w:rPr>
          <w:lang w:val="es-ES"/>
        </w:rPr>
        <w:t>NEZ</w:t>
      </w:r>
    </w:p>
    <w:p w14:paraId="1A16A7B8" w14:textId="53C2A3F6" w:rsidR="00C617E2" w:rsidRPr="00F44BC1" w:rsidRDefault="00C617E2" w:rsidP="00896FAB">
      <w:pPr>
        <w:tabs>
          <w:tab w:val="clear" w:pos="567"/>
          <w:tab w:val="clear" w:pos="1134"/>
          <w:tab w:val="clear" w:pos="1701"/>
          <w:tab w:val="clear" w:pos="2268"/>
          <w:tab w:val="clear" w:pos="2835"/>
          <w:tab w:val="left" w:pos="5812"/>
        </w:tabs>
        <w:overflowPunct/>
        <w:autoSpaceDE/>
        <w:autoSpaceDN/>
        <w:adjustRightInd/>
        <w:spacing w:before="840"/>
        <w:jc w:val="center"/>
        <w:textAlignment w:val="auto"/>
        <w:rPr>
          <w:lang w:val="es-ES"/>
        </w:rPr>
      </w:pPr>
      <w:r w:rsidRPr="00F44BC1">
        <w:rPr>
          <w:lang w:val="es-ES"/>
        </w:rPr>
        <w:t>________________</w:t>
      </w:r>
    </w:p>
    <w:sectPr w:rsidR="00C617E2" w:rsidRPr="00F44BC1" w:rsidSect="00AD3606">
      <w:headerReference w:type="even" r:id="rId19"/>
      <w:headerReference w:type="default" r:id="rId20"/>
      <w:footerReference w:type="even" r:id="rId21"/>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09B1" w14:textId="77777777" w:rsidR="0011585A" w:rsidRDefault="0011585A">
      <w:r>
        <w:separator/>
      </w:r>
    </w:p>
  </w:endnote>
  <w:endnote w:type="continuationSeparator" w:id="0">
    <w:p w14:paraId="15327170" w14:textId="77777777" w:rsidR="0011585A" w:rsidRDefault="0011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4B1F" w14:textId="77777777" w:rsidR="002E028A" w:rsidRDefault="002E0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3A04CE02" w:rsidR="00EE49E8" w:rsidRDefault="00C74E7E" w:rsidP="00EE49E8">
          <w:pPr>
            <w:pStyle w:val="Header"/>
            <w:jc w:val="left"/>
            <w:rPr>
              <w:noProof/>
            </w:rPr>
          </w:pPr>
          <w:r>
            <w:rPr>
              <w:noProof/>
            </w:rPr>
            <w:t xml:space="preserve">DPS </w:t>
          </w:r>
          <w:r w:rsidR="005A2AA3" w:rsidRPr="005A2AA3">
            <w:rPr>
              <w:noProof/>
            </w:rPr>
            <w:t>526817</w:t>
          </w:r>
        </w:p>
      </w:tc>
      <w:tc>
        <w:tcPr>
          <w:tcW w:w="8261" w:type="dxa"/>
        </w:tcPr>
        <w:p w14:paraId="35709C74" w14:textId="1DCB567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w:t>
          </w:r>
          <w:r w:rsidR="005A2AA3">
            <w:rPr>
              <w:bCs/>
            </w:rPr>
            <w:t>10</w:t>
          </w:r>
          <w:r w:rsidRPr="00623AE3">
            <w:rPr>
              <w:bCs/>
            </w:rPr>
            <w:t>-</w:t>
          </w:r>
          <w:r w:rsidR="00CF4C78">
            <w:rPr>
              <w:bCs/>
            </w:rPr>
            <w:t>S</w:t>
          </w:r>
          <w:r>
            <w:rPr>
              <w:bCs/>
            </w:rPr>
            <w:tab/>
          </w:r>
          <w:r>
            <w:fldChar w:fldCharType="begin"/>
          </w:r>
          <w:r>
            <w:instrText>PAGE</w:instrText>
          </w:r>
          <w:r>
            <w:fldChar w:fldCharType="separate"/>
          </w:r>
          <w:r>
            <w:t>1</w:t>
          </w:r>
          <w:r>
            <w:rPr>
              <w:noProof/>
            </w:rPr>
            <w:fldChar w:fldCharType="end"/>
          </w:r>
        </w:p>
      </w:tc>
    </w:tr>
  </w:tbl>
  <w:p w14:paraId="6C6FB1E8" w14:textId="2319B11C" w:rsidR="00EE49E8" w:rsidRPr="00CF4C78" w:rsidRDefault="00EE49E8" w:rsidP="00CF4C78">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D759D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6A20D7D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w:t>
          </w:r>
          <w:r w:rsidR="005A2AA3">
            <w:rPr>
              <w:bCs/>
            </w:rPr>
            <w:t>10</w:t>
          </w:r>
          <w:r w:rsidRPr="00623AE3">
            <w:rPr>
              <w:bCs/>
            </w:rPr>
            <w:t>-</w:t>
          </w:r>
          <w:r w:rsidR="00CF4C78">
            <w:rPr>
              <w:bCs/>
            </w:rPr>
            <w:t>S</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940E" w14:textId="77777777" w:rsidR="0011585A" w:rsidRDefault="0011585A">
      <w:r>
        <w:t>____________________</w:t>
      </w:r>
    </w:p>
  </w:footnote>
  <w:footnote w:type="continuationSeparator" w:id="0">
    <w:p w14:paraId="3B72675B" w14:textId="77777777" w:rsidR="0011585A" w:rsidRDefault="00115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2FDB" w14:textId="77777777" w:rsidR="002E028A" w:rsidRDefault="002E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F97C" w14:textId="77777777" w:rsidR="002E028A" w:rsidRDefault="002E0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65976C5C" w:rsidR="00AD3606" w:rsidRPr="009621F8" w:rsidRDefault="002E028A" w:rsidP="00AD3606">
          <w:pPr>
            <w:pStyle w:val="Header"/>
            <w:jc w:val="left"/>
            <w:rPr>
              <w:rFonts w:ascii="Arial" w:hAnsi="Arial" w:cs="Arial"/>
              <w:b/>
              <w:bCs/>
              <w:color w:val="009CD6"/>
              <w:sz w:val="36"/>
              <w:szCs w:val="36"/>
            </w:rPr>
          </w:pPr>
          <w:r>
            <w:rPr>
              <w:noProof/>
            </w:rPr>
            <w:drawing>
              <wp:inline distT="0" distB="0" distL="0" distR="0" wp14:anchorId="7D24F211" wp14:editId="0D675E8E">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85E78"/>
    <w:rsid w:val="00096987"/>
    <w:rsid w:val="000A233A"/>
    <w:rsid w:val="000A3885"/>
    <w:rsid w:val="000B1705"/>
    <w:rsid w:val="000C6F60"/>
    <w:rsid w:val="000D75B2"/>
    <w:rsid w:val="000E0C02"/>
    <w:rsid w:val="00105F0B"/>
    <w:rsid w:val="001121F5"/>
    <w:rsid w:val="0011585A"/>
    <w:rsid w:val="00117B15"/>
    <w:rsid w:val="001356C9"/>
    <w:rsid w:val="001400DC"/>
    <w:rsid w:val="00140CE1"/>
    <w:rsid w:val="00143BBD"/>
    <w:rsid w:val="00146BAF"/>
    <w:rsid w:val="00153D89"/>
    <w:rsid w:val="00162B10"/>
    <w:rsid w:val="0017539C"/>
    <w:rsid w:val="00175AC2"/>
    <w:rsid w:val="0017609F"/>
    <w:rsid w:val="001950EF"/>
    <w:rsid w:val="001A7D1D"/>
    <w:rsid w:val="001B51DD"/>
    <w:rsid w:val="001C628E"/>
    <w:rsid w:val="001E0F7B"/>
    <w:rsid w:val="001F2873"/>
    <w:rsid w:val="0020159F"/>
    <w:rsid w:val="002119FD"/>
    <w:rsid w:val="002130E0"/>
    <w:rsid w:val="002162E0"/>
    <w:rsid w:val="00223CE8"/>
    <w:rsid w:val="00226DDE"/>
    <w:rsid w:val="00264425"/>
    <w:rsid w:val="00265875"/>
    <w:rsid w:val="0027303B"/>
    <w:rsid w:val="002744C0"/>
    <w:rsid w:val="0028109B"/>
    <w:rsid w:val="002A2188"/>
    <w:rsid w:val="002B1F58"/>
    <w:rsid w:val="002C1C7A"/>
    <w:rsid w:val="002C54E2"/>
    <w:rsid w:val="002D513F"/>
    <w:rsid w:val="002E028A"/>
    <w:rsid w:val="002E2FB5"/>
    <w:rsid w:val="002F23D5"/>
    <w:rsid w:val="002F6124"/>
    <w:rsid w:val="0030160F"/>
    <w:rsid w:val="00320223"/>
    <w:rsid w:val="00322D0D"/>
    <w:rsid w:val="00337C7B"/>
    <w:rsid w:val="0034774E"/>
    <w:rsid w:val="00361465"/>
    <w:rsid w:val="003877F5"/>
    <w:rsid w:val="003942D4"/>
    <w:rsid w:val="003958A8"/>
    <w:rsid w:val="003978FB"/>
    <w:rsid w:val="003C2533"/>
    <w:rsid w:val="003D1AFC"/>
    <w:rsid w:val="003D5A7F"/>
    <w:rsid w:val="0040435A"/>
    <w:rsid w:val="00406FF5"/>
    <w:rsid w:val="00410155"/>
    <w:rsid w:val="00416A24"/>
    <w:rsid w:val="00431D9E"/>
    <w:rsid w:val="00433CE8"/>
    <w:rsid w:val="00434A5C"/>
    <w:rsid w:val="004367F0"/>
    <w:rsid w:val="00451ADD"/>
    <w:rsid w:val="004544D9"/>
    <w:rsid w:val="00472B1C"/>
    <w:rsid w:val="00472BAD"/>
    <w:rsid w:val="00484009"/>
    <w:rsid w:val="00490E72"/>
    <w:rsid w:val="00491157"/>
    <w:rsid w:val="004921C8"/>
    <w:rsid w:val="00494DA4"/>
    <w:rsid w:val="00495B0B"/>
    <w:rsid w:val="004A1B8B"/>
    <w:rsid w:val="004C3E47"/>
    <w:rsid w:val="004D1851"/>
    <w:rsid w:val="004D599D"/>
    <w:rsid w:val="004E2EA5"/>
    <w:rsid w:val="004E3AEB"/>
    <w:rsid w:val="0050223C"/>
    <w:rsid w:val="005122FA"/>
    <w:rsid w:val="005243FF"/>
    <w:rsid w:val="00564FBC"/>
    <w:rsid w:val="005800BC"/>
    <w:rsid w:val="00582442"/>
    <w:rsid w:val="005870C9"/>
    <w:rsid w:val="005A2AA3"/>
    <w:rsid w:val="005C11D3"/>
    <w:rsid w:val="005F3269"/>
    <w:rsid w:val="00603C96"/>
    <w:rsid w:val="00606F98"/>
    <w:rsid w:val="0061233D"/>
    <w:rsid w:val="00620666"/>
    <w:rsid w:val="00623AE3"/>
    <w:rsid w:val="0064737F"/>
    <w:rsid w:val="006535F1"/>
    <w:rsid w:val="0065557D"/>
    <w:rsid w:val="00660D50"/>
    <w:rsid w:val="00661C03"/>
    <w:rsid w:val="00662984"/>
    <w:rsid w:val="006716BB"/>
    <w:rsid w:val="006A592B"/>
    <w:rsid w:val="006B1859"/>
    <w:rsid w:val="006B6680"/>
    <w:rsid w:val="006B6DCC"/>
    <w:rsid w:val="00702DEF"/>
    <w:rsid w:val="00706861"/>
    <w:rsid w:val="0075051B"/>
    <w:rsid w:val="00760A22"/>
    <w:rsid w:val="00770D5A"/>
    <w:rsid w:val="007842B5"/>
    <w:rsid w:val="00793188"/>
    <w:rsid w:val="00794D34"/>
    <w:rsid w:val="007B2150"/>
    <w:rsid w:val="007B3D6C"/>
    <w:rsid w:val="00813E5E"/>
    <w:rsid w:val="0083581B"/>
    <w:rsid w:val="00863874"/>
    <w:rsid w:val="00864AFF"/>
    <w:rsid w:val="00865925"/>
    <w:rsid w:val="008908F2"/>
    <w:rsid w:val="00896FAB"/>
    <w:rsid w:val="008B4A6A"/>
    <w:rsid w:val="008C7E27"/>
    <w:rsid w:val="008D5489"/>
    <w:rsid w:val="008F7448"/>
    <w:rsid w:val="008F7692"/>
    <w:rsid w:val="0090147A"/>
    <w:rsid w:val="0090341F"/>
    <w:rsid w:val="00915F63"/>
    <w:rsid w:val="009173EF"/>
    <w:rsid w:val="00932906"/>
    <w:rsid w:val="00961B0B"/>
    <w:rsid w:val="009B38C3"/>
    <w:rsid w:val="009E17BD"/>
    <w:rsid w:val="009E485A"/>
    <w:rsid w:val="00A04CEC"/>
    <w:rsid w:val="00A14A88"/>
    <w:rsid w:val="00A27F92"/>
    <w:rsid w:val="00A32257"/>
    <w:rsid w:val="00A36D20"/>
    <w:rsid w:val="00A44716"/>
    <w:rsid w:val="00A514A4"/>
    <w:rsid w:val="00A54171"/>
    <w:rsid w:val="00A55622"/>
    <w:rsid w:val="00A83502"/>
    <w:rsid w:val="00AA15D3"/>
    <w:rsid w:val="00AD15B3"/>
    <w:rsid w:val="00AD3606"/>
    <w:rsid w:val="00AD4A3D"/>
    <w:rsid w:val="00AE387A"/>
    <w:rsid w:val="00AF6E49"/>
    <w:rsid w:val="00B04A67"/>
    <w:rsid w:val="00B0583C"/>
    <w:rsid w:val="00B27697"/>
    <w:rsid w:val="00B40A81"/>
    <w:rsid w:val="00B44910"/>
    <w:rsid w:val="00B63EBE"/>
    <w:rsid w:val="00B7160C"/>
    <w:rsid w:val="00B72267"/>
    <w:rsid w:val="00B76EB6"/>
    <w:rsid w:val="00B7737B"/>
    <w:rsid w:val="00B824C8"/>
    <w:rsid w:val="00B84B9D"/>
    <w:rsid w:val="00BA491B"/>
    <w:rsid w:val="00BB378E"/>
    <w:rsid w:val="00BC251A"/>
    <w:rsid w:val="00BD032B"/>
    <w:rsid w:val="00BE2640"/>
    <w:rsid w:val="00BF6150"/>
    <w:rsid w:val="00C01189"/>
    <w:rsid w:val="00C374DE"/>
    <w:rsid w:val="00C42C22"/>
    <w:rsid w:val="00C45268"/>
    <w:rsid w:val="00C47AD4"/>
    <w:rsid w:val="00C52D81"/>
    <w:rsid w:val="00C55198"/>
    <w:rsid w:val="00C617E2"/>
    <w:rsid w:val="00C74E7E"/>
    <w:rsid w:val="00C92473"/>
    <w:rsid w:val="00CA6393"/>
    <w:rsid w:val="00CB18FF"/>
    <w:rsid w:val="00CD0C08"/>
    <w:rsid w:val="00CE03FB"/>
    <w:rsid w:val="00CE3360"/>
    <w:rsid w:val="00CE433C"/>
    <w:rsid w:val="00CE4505"/>
    <w:rsid w:val="00CE717C"/>
    <w:rsid w:val="00CF0161"/>
    <w:rsid w:val="00CF33F3"/>
    <w:rsid w:val="00CF4C78"/>
    <w:rsid w:val="00CF7CCB"/>
    <w:rsid w:val="00D03A67"/>
    <w:rsid w:val="00D06183"/>
    <w:rsid w:val="00D07C2D"/>
    <w:rsid w:val="00D219F2"/>
    <w:rsid w:val="00D22C42"/>
    <w:rsid w:val="00D65041"/>
    <w:rsid w:val="00D759DE"/>
    <w:rsid w:val="00DB1936"/>
    <w:rsid w:val="00DB384B"/>
    <w:rsid w:val="00DC7A90"/>
    <w:rsid w:val="00DE5ED8"/>
    <w:rsid w:val="00DF0189"/>
    <w:rsid w:val="00DF13B2"/>
    <w:rsid w:val="00DF1C02"/>
    <w:rsid w:val="00DF2340"/>
    <w:rsid w:val="00E06FD5"/>
    <w:rsid w:val="00E10E80"/>
    <w:rsid w:val="00E124F0"/>
    <w:rsid w:val="00E514E8"/>
    <w:rsid w:val="00E60F04"/>
    <w:rsid w:val="00E65B24"/>
    <w:rsid w:val="00E854E4"/>
    <w:rsid w:val="00E86DBF"/>
    <w:rsid w:val="00E87A0A"/>
    <w:rsid w:val="00EB0D6F"/>
    <w:rsid w:val="00EB2232"/>
    <w:rsid w:val="00EC5337"/>
    <w:rsid w:val="00EC6D5A"/>
    <w:rsid w:val="00EE49E8"/>
    <w:rsid w:val="00F0243A"/>
    <w:rsid w:val="00F16BAB"/>
    <w:rsid w:val="00F2150A"/>
    <w:rsid w:val="00F231D8"/>
    <w:rsid w:val="00F44BC1"/>
    <w:rsid w:val="00F44C00"/>
    <w:rsid w:val="00F46C5F"/>
    <w:rsid w:val="00F632C0"/>
    <w:rsid w:val="00F94A63"/>
    <w:rsid w:val="00FA1C28"/>
    <w:rsid w:val="00FB1279"/>
    <w:rsid w:val="00FB3D8E"/>
    <w:rsid w:val="00FB6B76"/>
    <w:rsid w:val="00FB7596"/>
    <w:rsid w:val="00FE4077"/>
    <w:rsid w:val="00FE568E"/>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617E2"/>
    <w:rPr>
      <w:color w:val="605E5C"/>
      <w:shd w:val="clear" w:color="auto" w:fill="E1DFDD"/>
    </w:rPr>
  </w:style>
  <w:style w:type="character" w:customStyle="1" w:styleId="ui-provider">
    <w:name w:val="ui-provider"/>
    <w:basedOn w:val="DefaultParagraphFont"/>
    <w:rsid w:val="00606F98"/>
  </w:style>
  <w:style w:type="paragraph" w:customStyle="1" w:styleId="paragraph">
    <w:name w:val="paragraph"/>
    <w:basedOn w:val="Normal"/>
    <w:rsid w:val="00606F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4367F0"/>
    <w:rPr>
      <w:sz w:val="16"/>
      <w:szCs w:val="16"/>
    </w:rPr>
  </w:style>
  <w:style w:type="paragraph" w:styleId="CommentText">
    <w:name w:val="annotation text"/>
    <w:basedOn w:val="Normal"/>
    <w:link w:val="CommentTextChar"/>
    <w:uiPriority w:val="99"/>
    <w:unhideWhenUsed/>
    <w:rsid w:val="004367F0"/>
    <w:rPr>
      <w:rFonts w:eastAsia="Times New Roman"/>
      <w:sz w:val="20"/>
    </w:rPr>
  </w:style>
  <w:style w:type="character" w:customStyle="1" w:styleId="CommentTextChar">
    <w:name w:val="Comment Text Char"/>
    <w:basedOn w:val="DefaultParagraphFont"/>
    <w:link w:val="CommentText"/>
    <w:uiPriority w:val="99"/>
    <w:rsid w:val="004367F0"/>
    <w:rPr>
      <w:rFonts w:ascii="Calibri" w:eastAsia="Times New Roman" w:hAnsi="Calibri"/>
      <w:lang w:val="en-GB" w:eastAsia="en-US"/>
    </w:rPr>
  </w:style>
  <w:style w:type="character" w:customStyle="1" w:styleId="FootnoteTextChar">
    <w:name w:val="Footnote Text Char"/>
    <w:basedOn w:val="DefaultParagraphFont"/>
    <w:link w:val="FootnoteText"/>
    <w:rsid w:val="008F7692"/>
    <w:rPr>
      <w:rFonts w:ascii="Calibri" w:hAnsi="Calibri"/>
      <w:sz w:val="24"/>
      <w:lang w:val="en-GB" w:eastAsia="en-US"/>
    </w:rPr>
  </w:style>
  <w:style w:type="character" w:styleId="Strong">
    <w:name w:val="Strong"/>
    <w:basedOn w:val="DefaultParagraphFont"/>
    <w:uiPriority w:val="22"/>
    <w:qFormat/>
    <w:rsid w:val="005A2AA3"/>
    <w:rPr>
      <w:b/>
      <w:bCs/>
    </w:rPr>
  </w:style>
  <w:style w:type="paragraph" w:styleId="Revision">
    <w:name w:val="Revision"/>
    <w:hidden/>
    <w:uiPriority w:val="99"/>
    <w:semiHidden/>
    <w:rsid w:val="00EC6D5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8/en" TargetMode="External"/><Relationship Id="rId13" Type="http://schemas.openxmlformats.org/officeDocument/2006/relationships/hyperlink" Target="https://www.itu.int/md/S23-CL-C-0079/en" TargetMode="External"/><Relationship Id="rId18" Type="http://schemas.openxmlformats.org/officeDocument/2006/relationships/hyperlink" Target="https://www.itu.int/md/S23-CL-C-0079/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3-CL-C-0072/en" TargetMode="External"/><Relationship Id="rId17" Type="http://schemas.openxmlformats.org/officeDocument/2006/relationships/hyperlink" Target="https://www.itu.int/md/S23-CL-C-0072/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3-CL-C-0027/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27/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23-CL-C-0005/en" TargetMode="External"/><Relationship Id="rId23" Type="http://schemas.openxmlformats.org/officeDocument/2006/relationships/header" Target="header3.xml"/><Relationship Id="rId10" Type="http://schemas.openxmlformats.org/officeDocument/2006/relationships/hyperlink" Target="https://www.itu.int/md/S23-CL-C-0029/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3-CL-C-0005/en" TargetMode="External"/><Relationship Id="rId14" Type="http://schemas.openxmlformats.org/officeDocument/2006/relationships/hyperlink" Target="https://www.itu.int/md/S23-CL-C-0058/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3793</Words>
  <Characters>20604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Summary record of the fifth plenary meeting</vt:lpstr>
    </vt:vector>
  </TitlesOfParts>
  <Manager>General Secretariat - Pool</Manager>
  <Company>International Telecommunication Union (ITU)</Company>
  <LinksUpToDate>false</LinksUpToDate>
  <CharactersWithSpaces>24349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quinta Sesión Plenaria</dc:title>
  <dc:subject>Council 2023</dc:subject>
  <dc:creator>Brouard, Ricarda</dc:creator>
  <cp:keywords>C2023, C23, Council-23</cp:keywords>
  <dc:description/>
  <cp:lastModifiedBy>Xue, Kun</cp:lastModifiedBy>
  <cp:revision>5</cp:revision>
  <cp:lastPrinted>2000-07-18T13:30:00Z</cp:lastPrinted>
  <dcterms:created xsi:type="dcterms:W3CDTF">2023-09-01T16:23:00Z</dcterms:created>
  <dcterms:modified xsi:type="dcterms:W3CDTF">2023-09-04T09:03:00Z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d6745f8cc2931b0f70d312351aad2f6adaa09bd4d21b42c05c28b87b8643bf16</vt:lpwstr>
  </property>
</Properties>
</file>