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41F33E4" w14:textId="77777777" w:rsidTr="00F363FE">
        <w:tc>
          <w:tcPr>
            <w:tcW w:w="6512" w:type="dxa"/>
          </w:tcPr>
          <w:p w14:paraId="4060A424" w14:textId="0D1DAECE" w:rsidR="007B0AA0" w:rsidRPr="007B0AA0" w:rsidRDefault="007B0AA0" w:rsidP="00F363FE">
            <w:pPr>
              <w:spacing w:before="60" w:after="60" w:line="260" w:lineRule="exact"/>
              <w:rPr>
                <w:b/>
                <w:bCs/>
                <w:rtl/>
                <w:lang w:bidi="ar-EG"/>
              </w:rPr>
            </w:pPr>
          </w:p>
        </w:tc>
        <w:tc>
          <w:tcPr>
            <w:tcW w:w="3117" w:type="dxa"/>
          </w:tcPr>
          <w:p w14:paraId="5685BFE2" w14:textId="400B648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1F2FB0">
              <w:rPr>
                <w:b/>
                <w:bCs/>
                <w:lang w:bidi="ar-EG"/>
              </w:rPr>
              <w:t>110</w:t>
            </w:r>
            <w:r w:rsidRPr="007B0AA0">
              <w:rPr>
                <w:b/>
                <w:bCs/>
                <w:lang w:bidi="ar-EG"/>
              </w:rPr>
              <w:t>-A</w:t>
            </w:r>
          </w:p>
        </w:tc>
      </w:tr>
      <w:tr w:rsidR="007B0AA0" w14:paraId="62BC5DD4" w14:textId="77777777" w:rsidTr="00F363FE">
        <w:tc>
          <w:tcPr>
            <w:tcW w:w="6512" w:type="dxa"/>
          </w:tcPr>
          <w:p w14:paraId="1C169629" w14:textId="77777777" w:rsidR="007B0AA0" w:rsidRPr="007B0AA0" w:rsidRDefault="007B0AA0" w:rsidP="00F363FE">
            <w:pPr>
              <w:spacing w:before="60" w:after="60" w:line="260" w:lineRule="exact"/>
              <w:rPr>
                <w:b/>
                <w:bCs/>
                <w:rtl/>
                <w:lang w:bidi="ar-EG"/>
              </w:rPr>
            </w:pPr>
          </w:p>
        </w:tc>
        <w:tc>
          <w:tcPr>
            <w:tcW w:w="3117" w:type="dxa"/>
          </w:tcPr>
          <w:p w14:paraId="298B5EB0" w14:textId="0C41BD15" w:rsidR="007B0AA0" w:rsidRPr="007B0AA0" w:rsidRDefault="0001168E" w:rsidP="00F363FE">
            <w:pPr>
              <w:spacing w:before="60" w:after="60" w:line="260" w:lineRule="exact"/>
              <w:rPr>
                <w:b/>
                <w:bCs/>
                <w:rtl/>
                <w:lang w:bidi="ar-EG"/>
              </w:rPr>
            </w:pPr>
            <w:r>
              <w:rPr>
                <w:b/>
                <w:bCs/>
                <w:lang w:bidi="ar-SY"/>
              </w:rPr>
              <w:t>1</w:t>
            </w:r>
            <w:r>
              <w:rPr>
                <w:b/>
                <w:bCs/>
                <w:rtl/>
                <w:lang w:bidi="ar-EG"/>
              </w:rPr>
              <w:t xml:space="preserve"> سبتمبر </w:t>
            </w:r>
            <w:r>
              <w:rPr>
                <w:b/>
                <w:bCs/>
                <w:lang w:bidi="ar-EG"/>
              </w:rPr>
              <w:t>2023</w:t>
            </w:r>
          </w:p>
        </w:tc>
      </w:tr>
      <w:tr w:rsidR="007B0AA0" w14:paraId="5DF36D4A" w14:textId="77777777" w:rsidTr="00F363FE">
        <w:tc>
          <w:tcPr>
            <w:tcW w:w="6512" w:type="dxa"/>
          </w:tcPr>
          <w:p w14:paraId="6F686A53" w14:textId="77777777" w:rsidR="007B0AA0" w:rsidRPr="007B0AA0" w:rsidRDefault="007B0AA0" w:rsidP="00F363FE">
            <w:pPr>
              <w:spacing w:before="60" w:after="60" w:line="260" w:lineRule="exact"/>
              <w:rPr>
                <w:b/>
                <w:bCs/>
                <w:rtl/>
                <w:lang w:bidi="ar-EG"/>
              </w:rPr>
            </w:pPr>
          </w:p>
        </w:tc>
        <w:tc>
          <w:tcPr>
            <w:tcW w:w="3117" w:type="dxa"/>
          </w:tcPr>
          <w:p w14:paraId="13C3E9F7"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379DDEDE" w14:textId="77777777" w:rsidTr="00F363FE">
        <w:tc>
          <w:tcPr>
            <w:tcW w:w="6512" w:type="dxa"/>
          </w:tcPr>
          <w:p w14:paraId="5EB49170" w14:textId="77777777" w:rsidR="007B0AA0" w:rsidRDefault="007B0AA0" w:rsidP="00F363FE">
            <w:pPr>
              <w:spacing w:before="60" w:after="60" w:line="260" w:lineRule="exact"/>
              <w:rPr>
                <w:lang w:bidi="ar-EG"/>
              </w:rPr>
            </w:pPr>
          </w:p>
        </w:tc>
        <w:tc>
          <w:tcPr>
            <w:tcW w:w="3117" w:type="dxa"/>
          </w:tcPr>
          <w:p w14:paraId="503C628F" w14:textId="77777777" w:rsidR="007B0AA0" w:rsidRDefault="007B0AA0" w:rsidP="00F363FE">
            <w:pPr>
              <w:spacing w:before="60" w:after="60" w:line="260" w:lineRule="exact"/>
              <w:rPr>
                <w:rtl/>
                <w:lang w:bidi="ar-EG"/>
              </w:rPr>
            </w:pPr>
          </w:p>
        </w:tc>
      </w:tr>
      <w:tr w:rsidR="007B0AA0" w14:paraId="2B78D4BE" w14:textId="77777777" w:rsidTr="00EE7446">
        <w:tc>
          <w:tcPr>
            <w:tcW w:w="9629" w:type="dxa"/>
            <w:gridSpan w:val="2"/>
          </w:tcPr>
          <w:p w14:paraId="3E7BB919" w14:textId="63DFF2F4" w:rsidR="007B0AA0" w:rsidRDefault="007B0AA0" w:rsidP="00F53302">
            <w:pPr>
              <w:rPr>
                <w:rtl/>
                <w:lang w:bidi="ar-EG"/>
              </w:rPr>
            </w:pPr>
          </w:p>
        </w:tc>
      </w:tr>
      <w:tr w:rsidR="007B0AA0" w14:paraId="19D11B39" w14:textId="77777777" w:rsidTr="00415B36">
        <w:tc>
          <w:tcPr>
            <w:tcW w:w="9629" w:type="dxa"/>
            <w:gridSpan w:val="2"/>
          </w:tcPr>
          <w:p w14:paraId="55863CA3" w14:textId="346DD7DB" w:rsidR="007B0AA0" w:rsidRDefault="00415B36" w:rsidP="00415B36">
            <w:pPr>
              <w:pStyle w:val="Subtitle0"/>
              <w:jc w:val="center"/>
            </w:pPr>
            <w:r w:rsidRPr="00415B36">
              <w:rPr>
                <w:rtl/>
                <w:lang w:bidi="ar-SA"/>
              </w:rPr>
              <w:t xml:space="preserve">محضر موجز </w:t>
            </w:r>
            <w:r w:rsidRPr="00415B36">
              <w:rPr>
                <w:rtl/>
                <w:lang w:bidi="ar-SA"/>
              </w:rPr>
              <w:br/>
              <w:t xml:space="preserve">للجلسة العامة </w:t>
            </w:r>
            <w:r w:rsidR="001F2FB0">
              <w:rPr>
                <w:rFonts w:hint="cs"/>
                <w:rtl/>
                <w:lang w:bidi="ar-SA"/>
              </w:rPr>
              <w:t>الخامسة</w:t>
            </w:r>
          </w:p>
        </w:tc>
      </w:tr>
      <w:tr w:rsidR="00415B36" w14:paraId="406BE5E0" w14:textId="77777777" w:rsidTr="007B0AA0">
        <w:tc>
          <w:tcPr>
            <w:tcW w:w="9629" w:type="dxa"/>
            <w:gridSpan w:val="2"/>
            <w:tcBorders>
              <w:bottom w:val="single" w:sz="4" w:space="0" w:color="auto"/>
            </w:tcBorders>
          </w:tcPr>
          <w:p w14:paraId="258830C0" w14:textId="305705E8" w:rsidR="00415B36" w:rsidRDefault="001F2FB0" w:rsidP="00415B36">
            <w:pPr>
              <w:jc w:val="center"/>
              <w:rPr>
                <w:rtl/>
                <w:lang w:bidi="ar-EG"/>
              </w:rPr>
            </w:pPr>
            <w:r>
              <w:rPr>
                <w:rFonts w:hint="cs"/>
                <w:rtl/>
              </w:rPr>
              <w:t xml:space="preserve">الخميس، 20 يوليو </w:t>
            </w:r>
            <w:r w:rsidR="00415B36">
              <w:rPr>
                <w:rFonts w:hint="cs"/>
                <w:rtl/>
              </w:rPr>
              <w:t xml:space="preserve">2023، من الساعة </w:t>
            </w:r>
            <w:r w:rsidR="00415B36">
              <w:t>14:3</w:t>
            </w:r>
            <w:r>
              <w:t>5</w:t>
            </w:r>
            <w:r w:rsidR="00415B36">
              <w:rPr>
                <w:rFonts w:hint="cs"/>
                <w:rtl/>
                <w:lang w:bidi="ar-EG"/>
              </w:rPr>
              <w:t xml:space="preserve"> إلى </w:t>
            </w:r>
            <w:r w:rsidR="00415B36">
              <w:rPr>
                <w:lang w:bidi="ar-EG"/>
              </w:rPr>
              <w:t>17:35</w:t>
            </w:r>
          </w:p>
          <w:p w14:paraId="1AD6E069" w14:textId="10D68EC5" w:rsidR="00415B36" w:rsidRPr="00415B36" w:rsidRDefault="00415B36" w:rsidP="00415B36">
            <w:pPr>
              <w:spacing w:after="120"/>
              <w:jc w:val="center"/>
              <w:rPr>
                <w:rtl/>
                <w:lang w:bidi="ar-EG"/>
              </w:rPr>
            </w:pPr>
            <w:r w:rsidRPr="00415B36">
              <w:rPr>
                <w:b/>
                <w:bCs/>
                <w:rtl/>
              </w:rPr>
              <w:t>الرئيس:</w:t>
            </w:r>
            <w:r w:rsidRPr="00415B36">
              <w:rPr>
                <w:rtl/>
              </w:rPr>
              <w:t xml:space="preserve"> السيد س</w:t>
            </w:r>
            <w:r w:rsidR="0075158F">
              <w:rPr>
                <w:rFonts w:hint="cs"/>
                <w:rtl/>
                <w:lang w:bidi="ar-EG"/>
              </w:rPr>
              <w:t>يزار</w:t>
            </w:r>
            <w:r w:rsidRPr="00415B36">
              <w:rPr>
                <w:rtl/>
              </w:rPr>
              <w:t xml:space="preserve"> مارتينيز (باراغواي)</w:t>
            </w:r>
          </w:p>
        </w:tc>
      </w:tr>
    </w:tbl>
    <w:tbl>
      <w:tblPr>
        <w:bidiVisual/>
        <w:tblW w:w="5000" w:type="pct"/>
        <w:jc w:val="center"/>
        <w:tblLayout w:type="fixed"/>
        <w:tblLook w:val="0000" w:firstRow="0" w:lastRow="0" w:firstColumn="0" w:lastColumn="0" w:noHBand="0" w:noVBand="0"/>
      </w:tblPr>
      <w:tblGrid>
        <w:gridCol w:w="492"/>
        <w:gridCol w:w="6429"/>
        <w:gridCol w:w="2718"/>
      </w:tblGrid>
      <w:tr w:rsidR="00415B36" w:rsidRPr="001F2FB0" w14:paraId="0144FE02" w14:textId="77777777" w:rsidTr="00415B36">
        <w:trPr>
          <w:jc w:val="center"/>
        </w:trPr>
        <w:tc>
          <w:tcPr>
            <w:tcW w:w="255" w:type="pct"/>
          </w:tcPr>
          <w:p w14:paraId="70EBC6AB" w14:textId="77777777" w:rsidR="00415B36" w:rsidRPr="001F2FB0" w:rsidRDefault="00415B36" w:rsidP="001F2FB0">
            <w:pPr>
              <w:spacing w:before="60" w:after="60"/>
              <w:rPr>
                <w:b/>
                <w:bCs/>
                <w:lang w:val="en-CA"/>
              </w:rPr>
            </w:pPr>
            <w:bookmarkStart w:id="0" w:name="_Hlk141438382"/>
            <w:r w:rsidRPr="001F2FB0">
              <w:rPr>
                <w:b/>
                <w:bCs/>
                <w:lang w:val="en-CA"/>
              </w:rPr>
              <w:br w:type="page"/>
            </w:r>
            <w:r w:rsidRPr="001F2FB0">
              <w:rPr>
                <w:b/>
                <w:bCs/>
                <w:lang w:val="en-CA"/>
              </w:rPr>
              <w:br w:type="page"/>
            </w:r>
          </w:p>
        </w:tc>
        <w:tc>
          <w:tcPr>
            <w:tcW w:w="3335" w:type="pct"/>
          </w:tcPr>
          <w:p w14:paraId="25ACD4AA" w14:textId="6C9FECC3" w:rsidR="00415B36" w:rsidRPr="001F2FB0" w:rsidRDefault="00415B36" w:rsidP="001F2FB0">
            <w:pPr>
              <w:spacing w:before="60" w:after="60"/>
              <w:rPr>
                <w:b/>
                <w:bCs/>
                <w:color w:val="800000"/>
                <w:lang w:val="en-CA"/>
              </w:rPr>
            </w:pPr>
            <w:r w:rsidRPr="001F2FB0">
              <w:rPr>
                <w:rFonts w:hint="cs"/>
                <w:b/>
                <w:bCs/>
                <w:rtl/>
                <w:lang w:val="en-CA"/>
              </w:rPr>
              <w:t xml:space="preserve">مواضيع </w:t>
            </w:r>
            <w:r w:rsidR="0075158F">
              <w:rPr>
                <w:rFonts w:hint="cs"/>
                <w:b/>
                <w:bCs/>
                <w:rtl/>
                <w:lang w:val="en-CA"/>
              </w:rPr>
              <w:t>المناقشة</w:t>
            </w:r>
            <w:r w:rsidRPr="001F2FB0">
              <w:rPr>
                <w:rFonts w:hint="cs"/>
                <w:b/>
                <w:bCs/>
                <w:rtl/>
                <w:lang w:val="en-CA"/>
              </w:rPr>
              <w:t xml:space="preserve"> </w:t>
            </w:r>
          </w:p>
        </w:tc>
        <w:tc>
          <w:tcPr>
            <w:tcW w:w="1410" w:type="pct"/>
          </w:tcPr>
          <w:p w14:paraId="7267556C" w14:textId="67EA4788" w:rsidR="00415B36" w:rsidRPr="001F2FB0" w:rsidRDefault="00415B36" w:rsidP="001F2FB0">
            <w:pPr>
              <w:spacing w:before="60" w:after="60"/>
              <w:jc w:val="center"/>
              <w:rPr>
                <w:b/>
                <w:bCs/>
                <w:lang w:val="en-CA"/>
              </w:rPr>
            </w:pPr>
            <w:r w:rsidRPr="001F2FB0">
              <w:rPr>
                <w:rFonts w:hint="cs"/>
                <w:b/>
                <w:bCs/>
                <w:rtl/>
                <w:lang w:val="en-CA"/>
              </w:rPr>
              <w:t>الوثائق</w:t>
            </w:r>
          </w:p>
        </w:tc>
      </w:tr>
      <w:tr w:rsidR="001F2FB0" w:rsidRPr="001F2FB0" w14:paraId="5FC8F1C7" w14:textId="77777777" w:rsidTr="00415B36">
        <w:trPr>
          <w:trHeight w:val="20"/>
          <w:jc w:val="center"/>
        </w:trPr>
        <w:tc>
          <w:tcPr>
            <w:tcW w:w="255" w:type="pct"/>
          </w:tcPr>
          <w:p w14:paraId="4ED14A3F" w14:textId="77777777" w:rsidR="001F2FB0" w:rsidRPr="001F2FB0" w:rsidRDefault="001F2FB0" w:rsidP="001F2FB0">
            <w:pPr>
              <w:spacing w:before="60" w:after="60"/>
              <w:rPr>
                <w:lang w:val="en-CA"/>
              </w:rPr>
            </w:pPr>
            <w:r w:rsidRPr="001F2FB0">
              <w:rPr>
                <w:lang w:val="en-CA"/>
              </w:rPr>
              <w:t>1</w:t>
            </w:r>
          </w:p>
        </w:tc>
        <w:tc>
          <w:tcPr>
            <w:tcW w:w="3335" w:type="pct"/>
          </w:tcPr>
          <w:p w14:paraId="4E1A4394" w14:textId="6226AC95" w:rsidR="001F2FB0" w:rsidRPr="001F2FB0" w:rsidRDefault="0026289D" w:rsidP="001F2FB0">
            <w:pPr>
              <w:spacing w:before="60" w:after="60"/>
              <w:rPr>
                <w:rtl/>
                <w:lang w:val="en-CA" w:bidi="ar-EG"/>
              </w:rPr>
            </w:pPr>
            <w:bookmarkStart w:id="1" w:name="_Hlk143197757"/>
            <w:r>
              <w:rPr>
                <w:rFonts w:hint="cs"/>
                <w:rtl/>
              </w:rPr>
              <w:t>إعلان</w:t>
            </w:r>
            <w:r w:rsidR="00E07785">
              <w:rPr>
                <w:rFonts w:hint="cs"/>
                <w:rtl/>
              </w:rPr>
              <w:t xml:space="preserve"> من</w:t>
            </w:r>
            <w:r>
              <w:rPr>
                <w:rFonts w:hint="cs"/>
                <w:rtl/>
              </w:rPr>
              <w:t xml:space="preserve"> مدير مكتب الاتصالات الراديوية</w:t>
            </w:r>
            <w:bookmarkEnd w:id="1"/>
          </w:p>
        </w:tc>
        <w:tc>
          <w:tcPr>
            <w:tcW w:w="1410" w:type="pct"/>
          </w:tcPr>
          <w:p w14:paraId="609F7143" w14:textId="4458B177" w:rsidR="001F2FB0" w:rsidRPr="001F2FB0" w:rsidRDefault="001F2FB0" w:rsidP="001F2FB0">
            <w:pPr>
              <w:spacing w:before="60" w:after="60"/>
              <w:ind w:left="-109"/>
              <w:jc w:val="center"/>
              <w:rPr>
                <w:lang w:val="en-CA"/>
              </w:rPr>
            </w:pPr>
            <w:r w:rsidRPr="001F2FB0">
              <w:t>-</w:t>
            </w:r>
          </w:p>
        </w:tc>
      </w:tr>
      <w:tr w:rsidR="001F2FB0" w:rsidRPr="001F2FB0" w14:paraId="6E317234" w14:textId="77777777" w:rsidTr="00A92C69">
        <w:trPr>
          <w:trHeight w:val="20"/>
          <w:jc w:val="center"/>
        </w:trPr>
        <w:tc>
          <w:tcPr>
            <w:tcW w:w="255" w:type="pct"/>
          </w:tcPr>
          <w:p w14:paraId="3AF04259" w14:textId="77777777" w:rsidR="001F2FB0" w:rsidRPr="001F2FB0" w:rsidRDefault="001F2FB0" w:rsidP="001F2FB0">
            <w:pPr>
              <w:spacing w:before="60" w:after="60"/>
              <w:rPr>
                <w:lang w:val="en-CA"/>
              </w:rPr>
            </w:pPr>
            <w:r w:rsidRPr="001F2FB0">
              <w:rPr>
                <w:lang w:val="en-CA"/>
              </w:rPr>
              <w:t>2</w:t>
            </w:r>
          </w:p>
        </w:tc>
        <w:tc>
          <w:tcPr>
            <w:tcW w:w="3335" w:type="pct"/>
          </w:tcPr>
          <w:p w14:paraId="2E2E2F1E" w14:textId="2EDFE1BE" w:rsidR="001F2FB0" w:rsidRPr="006F3CDE" w:rsidRDefault="001F2FB0" w:rsidP="001F2FB0">
            <w:pPr>
              <w:spacing w:before="60" w:after="60"/>
              <w:rPr>
                <w:spacing w:val="-4"/>
                <w:lang w:val="en-CA"/>
              </w:rPr>
            </w:pPr>
            <w:r w:rsidRPr="006F3CDE">
              <w:rPr>
                <w:rFonts w:hint="cs"/>
                <w:rtl/>
              </w:rPr>
              <w:t xml:space="preserve">دور الاتحاد الدولي للاتصالات في تنفيذ خطة "الفضاء </w:t>
            </w:r>
            <w:r w:rsidRPr="006F3CDE">
              <w:t>2030</w:t>
            </w:r>
            <w:r w:rsidRPr="006F3CDE">
              <w:rPr>
                <w:rFonts w:hint="cs"/>
                <w:rtl/>
              </w:rPr>
              <w:t>": الفضاء باعتباره محركاً</w:t>
            </w:r>
            <w:r w:rsidRPr="006F3CDE">
              <w:t xml:space="preserve"> </w:t>
            </w:r>
            <w:r w:rsidRPr="006F3CDE">
              <w:rPr>
                <w:rFonts w:hint="cs"/>
                <w:rtl/>
              </w:rPr>
              <w:t>للتنمية المستدامة، وفي عملية متابعة تنفيذ الخطة واستعراضه</w:t>
            </w:r>
          </w:p>
        </w:tc>
        <w:tc>
          <w:tcPr>
            <w:tcW w:w="1410" w:type="pct"/>
          </w:tcPr>
          <w:p w14:paraId="3CD2631F" w14:textId="3479A77E" w:rsidR="001F2FB0" w:rsidRPr="001F2FB0" w:rsidRDefault="00A03482" w:rsidP="004D41A5">
            <w:pPr>
              <w:spacing w:before="60" w:after="60"/>
              <w:ind w:right="177"/>
              <w:jc w:val="center"/>
              <w:rPr>
                <w:lang w:val="en-CA"/>
              </w:rPr>
            </w:pPr>
            <w:hyperlink r:id="rId8" w:history="1">
              <w:bookmarkStart w:id="2" w:name="lt_pId020"/>
              <w:r w:rsidR="001F2FB0" w:rsidRPr="001F2FB0">
                <w:rPr>
                  <w:rStyle w:val="Hyperlink"/>
                  <w:bCs/>
                </w:rPr>
                <w:t>C23/58</w:t>
              </w:r>
              <w:bookmarkEnd w:id="2"/>
            </w:hyperlink>
          </w:p>
        </w:tc>
      </w:tr>
      <w:tr w:rsidR="001F2FB0" w:rsidRPr="001F2FB0" w14:paraId="415E2464" w14:textId="77777777" w:rsidTr="00A92C69">
        <w:trPr>
          <w:trHeight w:val="20"/>
          <w:jc w:val="center"/>
        </w:trPr>
        <w:tc>
          <w:tcPr>
            <w:tcW w:w="255" w:type="pct"/>
          </w:tcPr>
          <w:p w14:paraId="79F71BD7" w14:textId="77777777" w:rsidR="001F2FB0" w:rsidRPr="001F2FB0" w:rsidRDefault="001F2FB0" w:rsidP="001F2FB0">
            <w:pPr>
              <w:spacing w:before="60" w:after="60"/>
              <w:rPr>
                <w:lang w:val="en-CA"/>
              </w:rPr>
            </w:pPr>
            <w:r w:rsidRPr="001F2FB0">
              <w:rPr>
                <w:lang w:val="en-CA"/>
              </w:rPr>
              <w:t>3</w:t>
            </w:r>
          </w:p>
        </w:tc>
        <w:tc>
          <w:tcPr>
            <w:tcW w:w="3335" w:type="pct"/>
          </w:tcPr>
          <w:p w14:paraId="17F3F720" w14:textId="31035E86" w:rsidR="001F2FB0" w:rsidRPr="006F3CDE" w:rsidRDefault="006F3CDE" w:rsidP="006F3CDE">
            <w:pPr>
              <w:spacing w:before="60" w:after="60"/>
              <w:rPr>
                <w:lang w:val="en-CA"/>
              </w:rPr>
            </w:pPr>
            <w:r w:rsidRPr="006F3CDE">
              <w:rPr>
                <w:rFonts w:hint="cs"/>
                <w:rtl/>
              </w:rPr>
              <w:t>أنشطة التدريب التي يضطلع بها الاتحاد</w:t>
            </w:r>
          </w:p>
        </w:tc>
        <w:tc>
          <w:tcPr>
            <w:tcW w:w="1410" w:type="pct"/>
            <w:vAlign w:val="center"/>
          </w:tcPr>
          <w:p w14:paraId="055C4F62" w14:textId="4459D374" w:rsidR="001F2FB0" w:rsidRPr="001F2FB0" w:rsidRDefault="00A03482" w:rsidP="001F2FB0">
            <w:pPr>
              <w:spacing w:before="60" w:after="60"/>
              <w:jc w:val="center"/>
              <w:rPr>
                <w:lang w:val="en-CA"/>
              </w:rPr>
            </w:pPr>
            <w:hyperlink r:id="rId9" w:history="1">
              <w:bookmarkStart w:id="3" w:name="lt_pId023"/>
              <w:r w:rsidR="001F2FB0" w:rsidRPr="001F2FB0">
                <w:rPr>
                  <w:rStyle w:val="Hyperlink"/>
                  <w:bCs/>
                </w:rPr>
                <w:t>C23/5</w:t>
              </w:r>
              <w:bookmarkEnd w:id="3"/>
            </w:hyperlink>
          </w:p>
        </w:tc>
      </w:tr>
      <w:tr w:rsidR="001F2FB0" w:rsidRPr="001F2FB0" w14:paraId="77871080" w14:textId="77777777" w:rsidTr="00415B36">
        <w:trPr>
          <w:trHeight w:val="20"/>
          <w:jc w:val="center"/>
        </w:trPr>
        <w:tc>
          <w:tcPr>
            <w:tcW w:w="255" w:type="pct"/>
          </w:tcPr>
          <w:p w14:paraId="53A6D63C" w14:textId="77777777" w:rsidR="001F2FB0" w:rsidRPr="001F2FB0" w:rsidRDefault="001F2FB0" w:rsidP="001F2FB0">
            <w:pPr>
              <w:spacing w:before="60" w:after="60"/>
              <w:rPr>
                <w:lang w:val="en-CA"/>
              </w:rPr>
            </w:pPr>
            <w:r w:rsidRPr="001F2FB0">
              <w:rPr>
                <w:lang w:val="en-CA"/>
              </w:rPr>
              <w:t>4</w:t>
            </w:r>
          </w:p>
        </w:tc>
        <w:tc>
          <w:tcPr>
            <w:tcW w:w="3335" w:type="pct"/>
          </w:tcPr>
          <w:p w14:paraId="4275A7B2" w14:textId="6E9F7B75" w:rsidR="001F2FB0" w:rsidRPr="006F3CDE" w:rsidRDefault="006F3CDE" w:rsidP="006F3CDE">
            <w:pPr>
              <w:spacing w:before="60" w:after="60"/>
              <w:rPr>
                <w:rtl/>
                <w:lang w:val="en-CA" w:bidi="ar-EG"/>
              </w:rPr>
            </w:pPr>
            <w:r w:rsidRPr="006F3CDE">
              <w:rPr>
                <w:rFonts w:hint="cs"/>
                <w:rtl/>
              </w:rPr>
              <w:t>المهام والوظائف المنوطة بنائب الأمينة العامة</w:t>
            </w:r>
          </w:p>
        </w:tc>
        <w:tc>
          <w:tcPr>
            <w:tcW w:w="1410" w:type="pct"/>
          </w:tcPr>
          <w:p w14:paraId="36AF20B8" w14:textId="5B237E82" w:rsidR="001F2FB0" w:rsidRPr="001F2FB0" w:rsidRDefault="00A03482" w:rsidP="001F2FB0">
            <w:pPr>
              <w:spacing w:before="60" w:after="60"/>
              <w:jc w:val="center"/>
              <w:rPr>
                <w:lang w:val="en-CA"/>
              </w:rPr>
            </w:pPr>
            <w:hyperlink r:id="rId10" w:history="1">
              <w:bookmarkStart w:id="4" w:name="lt_pId026"/>
              <w:r w:rsidR="001F2FB0" w:rsidRPr="001F2FB0">
                <w:rPr>
                  <w:rStyle w:val="Hyperlink"/>
                  <w:bCs/>
                </w:rPr>
                <w:t>C23/29</w:t>
              </w:r>
              <w:bookmarkEnd w:id="4"/>
            </w:hyperlink>
          </w:p>
        </w:tc>
      </w:tr>
      <w:tr w:rsidR="001F2FB0" w:rsidRPr="001F2FB0" w14:paraId="21616448" w14:textId="77777777" w:rsidTr="00415B36">
        <w:trPr>
          <w:trHeight w:val="20"/>
          <w:jc w:val="center"/>
        </w:trPr>
        <w:tc>
          <w:tcPr>
            <w:tcW w:w="255" w:type="pct"/>
            <w:tcBorders>
              <w:bottom w:val="single" w:sz="4" w:space="0" w:color="auto"/>
            </w:tcBorders>
          </w:tcPr>
          <w:p w14:paraId="139100A7" w14:textId="77777777" w:rsidR="001F2FB0" w:rsidRPr="001F2FB0" w:rsidRDefault="001F2FB0" w:rsidP="001F2FB0">
            <w:pPr>
              <w:spacing w:before="60" w:after="60"/>
              <w:rPr>
                <w:lang w:val="en-CA"/>
              </w:rPr>
            </w:pPr>
            <w:r w:rsidRPr="001F2FB0">
              <w:rPr>
                <w:lang w:val="en-CA"/>
              </w:rPr>
              <w:t>5</w:t>
            </w:r>
          </w:p>
        </w:tc>
        <w:tc>
          <w:tcPr>
            <w:tcW w:w="3335" w:type="pct"/>
            <w:tcBorders>
              <w:bottom w:val="single" w:sz="4" w:space="0" w:color="auto"/>
            </w:tcBorders>
          </w:tcPr>
          <w:p w14:paraId="3CD2CDC7" w14:textId="13A36730" w:rsidR="001F2FB0" w:rsidRPr="006F3CDE" w:rsidRDefault="006F3CDE" w:rsidP="006F3CDE">
            <w:pPr>
              <w:spacing w:before="60" w:after="60"/>
            </w:pPr>
            <w:bookmarkStart w:id="5" w:name="_Toc408328131"/>
            <w:bookmarkStart w:id="6" w:name="_Toc414526851"/>
            <w:bookmarkStart w:id="7" w:name="_Toc415560271"/>
            <w:r w:rsidRPr="006F3CDE">
              <w:rPr>
                <w:rFonts w:hint="cs"/>
                <w:rtl/>
                <w:lang w:bidi="ar-SY"/>
              </w:rPr>
              <w:t>استراتيجية تنسيق الجهود بين قطاعات الاتحاد الثلاثة</w:t>
            </w:r>
            <w:bookmarkEnd w:id="5"/>
            <w:bookmarkEnd w:id="6"/>
            <w:bookmarkEnd w:id="7"/>
          </w:p>
        </w:tc>
        <w:bookmarkStart w:id="8" w:name="lt_pId029"/>
        <w:tc>
          <w:tcPr>
            <w:tcW w:w="1410" w:type="pct"/>
            <w:tcBorders>
              <w:bottom w:val="single" w:sz="4" w:space="0" w:color="auto"/>
            </w:tcBorders>
          </w:tcPr>
          <w:p w14:paraId="7E2D0D3A" w14:textId="76C7FA2F" w:rsidR="001F2FB0" w:rsidRPr="001F2FB0" w:rsidRDefault="001F2FB0" w:rsidP="001F2FB0">
            <w:pPr>
              <w:spacing w:before="60" w:after="60"/>
              <w:ind w:left="-109"/>
              <w:jc w:val="center"/>
              <w:rPr>
                <w:lang w:val="en-CA"/>
              </w:rPr>
            </w:pPr>
            <w:r w:rsidRPr="001F2FB0">
              <w:rPr>
                <w:lang w:val="en-GB"/>
              </w:rPr>
              <w:fldChar w:fldCharType="begin"/>
            </w:r>
            <w:r w:rsidRPr="001F2FB0">
              <w:instrText xml:space="preserve"> HYPERLINK "https://www.itu.int/md/S23-CL-C-0027/en" </w:instrText>
            </w:r>
            <w:r w:rsidRPr="001F2FB0">
              <w:rPr>
                <w:lang w:val="en-GB"/>
              </w:rPr>
            </w:r>
            <w:r w:rsidRPr="001F2FB0">
              <w:rPr>
                <w:lang w:val="en-GB"/>
              </w:rPr>
              <w:fldChar w:fldCharType="separate"/>
            </w:r>
            <w:r w:rsidRPr="001F2FB0">
              <w:rPr>
                <w:rStyle w:val="Hyperlink"/>
                <w:bCs/>
              </w:rPr>
              <w:t>C23/27</w:t>
            </w:r>
            <w:r w:rsidRPr="001F2FB0">
              <w:rPr>
                <w:rStyle w:val="Hyperlink"/>
                <w:bCs/>
              </w:rPr>
              <w:fldChar w:fldCharType="end"/>
            </w:r>
            <w:bookmarkEnd w:id="8"/>
            <w:r w:rsidRPr="00C023EB">
              <w:rPr>
                <w:rFonts w:hint="cs"/>
                <w:rtl/>
              </w:rPr>
              <w:t xml:space="preserve">، </w:t>
            </w:r>
            <w:bookmarkStart w:id="9" w:name="lt_pId030"/>
            <w:r w:rsidR="00C023EB">
              <w:rPr>
                <w:rtl/>
              </w:rPr>
              <w:br/>
            </w:r>
            <w:hyperlink r:id="rId11" w:history="1">
              <w:r w:rsidRPr="001F2FB0">
                <w:rPr>
                  <w:rStyle w:val="Hyperlink"/>
                  <w:bCs/>
                </w:rPr>
                <w:t>C23/72(Rev.1)</w:t>
              </w:r>
            </w:hyperlink>
            <w:r w:rsidRPr="001F2FB0">
              <w:rPr>
                <w:rStyle w:val="Hyperlink"/>
                <w:rFonts w:hint="cs"/>
                <w:bCs/>
                <w:rtl/>
              </w:rPr>
              <w:t xml:space="preserve"> </w:t>
            </w:r>
            <w:r w:rsidRPr="001F2FB0">
              <w:rPr>
                <w:rStyle w:val="Hyperlink"/>
                <w:rFonts w:hint="cs"/>
                <w:rtl/>
              </w:rPr>
              <w:t>+ التصويب 1</w:t>
            </w:r>
            <w:bookmarkEnd w:id="9"/>
            <w:r w:rsidRPr="00C023EB">
              <w:rPr>
                <w:rFonts w:hint="cs"/>
                <w:rtl/>
              </w:rPr>
              <w:t>،</w:t>
            </w:r>
            <w:r w:rsidR="00C023EB">
              <w:rPr>
                <w:rFonts w:hint="cs"/>
                <w:rtl/>
                <w:lang w:bidi="ar-EG"/>
              </w:rPr>
              <w:t xml:space="preserve"> </w:t>
            </w:r>
            <w:r w:rsidR="00C023EB">
              <w:rPr>
                <w:rtl/>
                <w:lang w:bidi="ar-EG"/>
              </w:rPr>
              <w:br/>
            </w:r>
            <w:hyperlink r:id="rId12" w:history="1">
              <w:bookmarkStart w:id="10" w:name="lt_pId031"/>
              <w:r w:rsidRPr="001F2FB0">
                <w:rPr>
                  <w:rStyle w:val="Hyperlink"/>
                  <w:bCs/>
                </w:rPr>
                <w:t>C23/79</w:t>
              </w:r>
              <w:bookmarkEnd w:id="10"/>
            </w:hyperlink>
          </w:p>
        </w:tc>
      </w:tr>
    </w:tbl>
    <w:bookmarkEnd w:id="0"/>
    <w:p w14:paraId="114B8CC7" w14:textId="4F5B6501" w:rsidR="00415B36" w:rsidRDefault="00415B36" w:rsidP="004C4B85">
      <w:pPr>
        <w:pStyle w:val="Heading1"/>
        <w:rPr>
          <w:lang w:bidi="ar-EG"/>
        </w:rPr>
      </w:pPr>
      <w:r>
        <w:rPr>
          <w:cs/>
          <w:lang w:bidi="ar-EG"/>
        </w:rPr>
        <w:t>‎</w:t>
      </w:r>
      <w:r>
        <w:rPr>
          <w:lang w:bidi="ar-EG"/>
        </w:rPr>
        <w:t>1</w:t>
      </w:r>
      <w:r>
        <w:rPr>
          <w:cs/>
          <w:lang w:bidi="ar-EG"/>
        </w:rPr>
        <w:t>‎</w:t>
      </w:r>
      <w:r>
        <w:rPr>
          <w:rtl/>
          <w:lang w:bidi="ar-EG"/>
        </w:rPr>
        <w:tab/>
      </w:r>
      <w:r w:rsidR="00E07785" w:rsidRPr="00E07785">
        <w:rPr>
          <w:rtl/>
          <w:lang w:bidi="ar-EG"/>
        </w:rPr>
        <w:t>إعلان من مدير مكتب الاتصالات الراديوية</w:t>
      </w:r>
    </w:p>
    <w:p w14:paraId="34E8FE1A" w14:textId="35A6E77F" w:rsidR="00415B36" w:rsidRDefault="004C4B85" w:rsidP="00FF3594">
      <w:pPr>
        <w:rPr>
          <w:rtl/>
          <w:lang w:bidi="ar-EG"/>
        </w:rPr>
      </w:pPr>
      <w:r>
        <w:rPr>
          <w:rFonts w:hint="cs"/>
          <w:rtl/>
          <w:lang w:bidi="ar-EG"/>
        </w:rPr>
        <w:t>1.1</w:t>
      </w:r>
      <w:r>
        <w:rPr>
          <w:rtl/>
          <w:lang w:bidi="ar-EG"/>
        </w:rPr>
        <w:tab/>
      </w:r>
      <w:r w:rsidR="0075158F">
        <w:rPr>
          <w:rFonts w:hint="cs"/>
          <w:rtl/>
          <w:lang w:bidi="ar-EG"/>
        </w:rPr>
        <w:t>أعرب</w:t>
      </w:r>
      <w:r w:rsidR="00FF3594" w:rsidRPr="00FF3594">
        <w:rPr>
          <w:rtl/>
          <w:lang w:bidi="ar-EG"/>
        </w:rPr>
        <w:t xml:space="preserve"> مدير مكتب الاتصالات الراديوية </w:t>
      </w:r>
      <w:r w:rsidR="0075158F">
        <w:rPr>
          <w:rFonts w:hint="cs"/>
          <w:rtl/>
          <w:lang w:bidi="ar-EG"/>
        </w:rPr>
        <w:t xml:space="preserve">عن سروره </w:t>
      </w:r>
      <w:r w:rsidR="00FF3594" w:rsidRPr="00FF3594">
        <w:rPr>
          <w:rtl/>
          <w:lang w:bidi="ar-EG"/>
        </w:rPr>
        <w:t xml:space="preserve">بالإعلان عن </w:t>
      </w:r>
      <w:r w:rsidR="00FF3594" w:rsidRPr="00FF3594">
        <w:rPr>
          <w:rFonts w:hint="cs"/>
          <w:rtl/>
          <w:lang w:bidi="ar-EG"/>
        </w:rPr>
        <w:t>فوز</w:t>
      </w:r>
      <w:r w:rsidR="00FF3594" w:rsidRPr="00FF3594">
        <w:rPr>
          <w:rtl/>
          <w:lang w:bidi="ar-EG"/>
        </w:rPr>
        <w:t xml:space="preserve"> الاتحاد </w:t>
      </w:r>
      <w:r w:rsidR="00FF3594" w:rsidRPr="00FF3594">
        <w:rPr>
          <w:rFonts w:hint="cs"/>
          <w:rtl/>
          <w:lang w:bidi="ar-EG"/>
        </w:rPr>
        <w:t>ب</w:t>
      </w:r>
      <w:r w:rsidR="00FF3594" w:rsidRPr="00FF3594">
        <w:rPr>
          <w:rtl/>
          <w:lang w:bidi="ar-EG"/>
        </w:rPr>
        <w:t>جائزة إيمي</w:t>
      </w:r>
      <w:r w:rsidR="00FF3594" w:rsidRPr="00FF3594">
        <w:rPr>
          <w:rFonts w:hint="cs"/>
          <w:rtl/>
          <w:lang w:bidi="ar-EG"/>
        </w:rPr>
        <w:t xml:space="preserve"> (</w:t>
      </w:r>
      <w:r w:rsidR="00FF3594" w:rsidRPr="00FF3594">
        <w:rPr>
          <w:lang w:val="en-GB" w:bidi="ar-EG"/>
        </w:rPr>
        <w:t>Emmy</w:t>
      </w:r>
      <w:r w:rsidR="00FF3594" w:rsidRPr="00FF3594">
        <w:rPr>
          <w:rFonts w:hint="cs"/>
          <w:rtl/>
          <w:lang w:bidi="ar-EG"/>
        </w:rPr>
        <w:t>)</w:t>
      </w:r>
      <w:r w:rsidR="00FF3594" w:rsidRPr="00FF3594">
        <w:rPr>
          <w:rtl/>
          <w:lang w:bidi="ar-EG"/>
        </w:rPr>
        <w:t xml:space="preserve"> للتكنولوجيا والهندسة المرموقة من الأكاديمية الوطنية لفنون وعلوم التلفزيون. وكرمت الجائزة أعمال لجنة الدراسات 6 التابعة لقطاع الاتصالات الراديوية والتوصية </w:t>
      </w:r>
      <w:r w:rsidR="00FF3594" w:rsidRPr="00FF3594">
        <w:rPr>
          <w:lang w:bidi="ar-EG"/>
        </w:rPr>
        <w:t>ITU-R BT 2100</w:t>
      </w:r>
      <w:r w:rsidR="00FF3594" w:rsidRPr="00FF3594">
        <w:rPr>
          <w:rtl/>
          <w:lang w:bidi="ar-EG"/>
        </w:rPr>
        <w:t xml:space="preserve"> بشأن قيم معلمات الصور للتلفزيون ذي المدى الدينامي العالي (</w:t>
      </w:r>
      <w:r w:rsidR="00FF3594" w:rsidRPr="00FF3594">
        <w:rPr>
          <w:lang w:bidi="ar-EG"/>
        </w:rPr>
        <w:t>HDR-Tv</w:t>
      </w:r>
      <w:r w:rsidR="00FF3594" w:rsidRPr="00FF3594">
        <w:rPr>
          <w:rtl/>
          <w:lang w:bidi="ar-EG"/>
        </w:rPr>
        <w:t>) لاستخدامها في إنتاج البرامج وتبادلها دولياً.</w:t>
      </w:r>
    </w:p>
    <w:p w14:paraId="0DCE80D3" w14:textId="27EBECF5" w:rsidR="00FF3594" w:rsidRDefault="004C4B85" w:rsidP="005C5A67">
      <w:pPr>
        <w:rPr>
          <w:rtl/>
          <w:lang w:bidi="ar-EG"/>
        </w:rPr>
      </w:pPr>
      <w:r>
        <w:rPr>
          <w:rFonts w:hint="cs"/>
          <w:rtl/>
          <w:lang w:bidi="ar-EG"/>
        </w:rPr>
        <w:t>2.1</w:t>
      </w:r>
      <w:r>
        <w:rPr>
          <w:rtl/>
          <w:lang w:bidi="ar-EG"/>
        </w:rPr>
        <w:tab/>
      </w:r>
      <w:r w:rsidR="00BE0A3C" w:rsidRPr="00BE0A3C">
        <w:rPr>
          <w:rtl/>
          <w:lang w:bidi="ar-EG"/>
        </w:rPr>
        <w:t>وقد أثرت التوصية على صناعة التلفزيون بمجملها واستخدمتها جميع الأحداث التلفزيونية الكبرى تقريباً، مما أدى إلى حفز تطوير منتجات العرض المهنية ومنتجات المستهلكين على السواء. وهذه هي المرة الثالثة التي شُرف فيها قطاع الاتصالات الراديوية بهذه الطريقة،</w:t>
      </w:r>
      <w:r w:rsidR="00BE0A3C" w:rsidRPr="00BE0A3C">
        <w:rPr>
          <w:rtl/>
        </w:rPr>
        <w:t xml:space="preserve"> </w:t>
      </w:r>
      <w:r w:rsidR="00BE0A3C" w:rsidRPr="00BE0A3C">
        <w:rPr>
          <w:rtl/>
          <w:lang w:bidi="ar-EG"/>
        </w:rPr>
        <w:t>حيث نال الجائزتين الأخريين في عامي 1983 و2011.</w:t>
      </w:r>
      <w:r w:rsidR="005C5A67" w:rsidRPr="005C5A67">
        <w:rPr>
          <w:rtl/>
        </w:rPr>
        <w:t xml:space="preserve"> </w:t>
      </w:r>
      <w:r w:rsidR="005C5A67" w:rsidRPr="005C5A67">
        <w:rPr>
          <w:rtl/>
          <w:lang w:bidi="ar-EG"/>
        </w:rPr>
        <w:t>وقد ساعدت المعايير الدولية الحاسمة التي وضعها قطاع الاتصالات الراديوية في تعزيز</w:t>
      </w:r>
      <w:r w:rsidR="005C5A67" w:rsidRPr="005C5A67">
        <w:rPr>
          <w:rtl/>
        </w:rPr>
        <w:t xml:space="preserve"> </w:t>
      </w:r>
      <w:r w:rsidR="005C5A67" w:rsidRPr="005C5A67">
        <w:rPr>
          <w:rtl/>
          <w:lang w:bidi="ar-EG"/>
        </w:rPr>
        <w:t>اعتماد الخدمات الإذاعية والتمتّع بها على نطاق واسع.</w:t>
      </w:r>
    </w:p>
    <w:p w14:paraId="5FD4E8C3" w14:textId="477839C7" w:rsidR="004C4B85" w:rsidRPr="004C4B85" w:rsidRDefault="004C4B85" w:rsidP="00EC6CB4">
      <w:pPr>
        <w:pStyle w:val="Heading1"/>
        <w:rPr>
          <w:lang w:bidi="ar-EG"/>
        </w:rPr>
      </w:pPr>
      <w:r w:rsidRPr="004C4B85">
        <w:rPr>
          <w:cs/>
          <w:lang w:bidi="ar-EG"/>
        </w:rPr>
        <w:t>‎</w:t>
      </w:r>
      <w:r w:rsidRPr="004C4B85">
        <w:rPr>
          <w:lang w:bidi="ar-EG"/>
        </w:rPr>
        <w:t>2</w:t>
      </w:r>
      <w:r w:rsidRPr="004C4B85">
        <w:rPr>
          <w:cs/>
          <w:lang w:bidi="ar-EG"/>
        </w:rPr>
        <w:t>‎</w:t>
      </w:r>
      <w:r w:rsidRPr="004C4B85">
        <w:rPr>
          <w:rtl/>
          <w:lang w:bidi="ar-EG"/>
        </w:rPr>
        <w:tab/>
      </w:r>
      <w:r w:rsidR="006F3CDE" w:rsidRPr="006F3CDE">
        <w:rPr>
          <w:rFonts w:hint="cs"/>
          <w:rtl/>
        </w:rPr>
        <w:t xml:space="preserve">دور الاتحاد الدولي للاتصالات في تنفيذ خطة "الفضاء </w:t>
      </w:r>
      <w:r w:rsidR="006F3CDE" w:rsidRPr="006F3CDE">
        <w:rPr>
          <w:lang w:bidi="ar-EG"/>
        </w:rPr>
        <w:t>2030</w:t>
      </w:r>
      <w:r w:rsidR="006F3CDE" w:rsidRPr="006F3CDE">
        <w:rPr>
          <w:rFonts w:hint="cs"/>
          <w:rtl/>
        </w:rPr>
        <w:t>": الفضاء باعتباره محركاً</w:t>
      </w:r>
      <w:r w:rsidR="006F3CDE" w:rsidRPr="006F3CDE">
        <w:rPr>
          <w:lang w:bidi="ar-EG"/>
        </w:rPr>
        <w:t xml:space="preserve"> </w:t>
      </w:r>
      <w:r w:rsidR="006F3CDE" w:rsidRPr="006F3CDE">
        <w:rPr>
          <w:rFonts w:hint="cs"/>
          <w:rtl/>
        </w:rPr>
        <w:t>للتنمية المستدامة، وفي عملية متابعة تنفيذ الخطة واستعراضه</w:t>
      </w:r>
      <w:r w:rsidR="006F3CDE" w:rsidRPr="006F3CDE">
        <w:rPr>
          <w:rFonts w:hint="cs"/>
          <w:rtl/>
          <w:lang w:bidi="ar-EG"/>
        </w:rPr>
        <w:t xml:space="preserve"> </w:t>
      </w:r>
      <w:r>
        <w:rPr>
          <w:rFonts w:hint="cs"/>
          <w:rtl/>
          <w:lang w:bidi="ar-EG"/>
        </w:rPr>
        <w:t>(الوثيق</w:t>
      </w:r>
      <w:r w:rsidR="006F3CDE">
        <w:rPr>
          <w:rFonts w:hint="cs"/>
          <w:rtl/>
          <w:lang w:bidi="ar-EG"/>
        </w:rPr>
        <w:t>ة</w:t>
      </w:r>
      <w:r w:rsidR="006F3CDE">
        <w:rPr>
          <w:rFonts w:hint="eastAsia"/>
          <w:rtl/>
          <w:lang w:bidi="ar-EG"/>
        </w:rPr>
        <w:t> </w:t>
      </w:r>
      <w:hyperlink r:id="rId13" w:history="1">
        <w:r w:rsidR="006F3CDE" w:rsidRPr="006F3CDE">
          <w:rPr>
            <w:rStyle w:val="Hyperlink"/>
            <w:lang w:bidi="ar-EG"/>
          </w:rPr>
          <w:t>C23/58</w:t>
        </w:r>
      </w:hyperlink>
      <w:r>
        <w:rPr>
          <w:rFonts w:hint="cs"/>
          <w:rtl/>
          <w:lang w:bidi="ar-EG"/>
        </w:rPr>
        <w:t>)</w:t>
      </w:r>
    </w:p>
    <w:p w14:paraId="6968FA91" w14:textId="6FF2DB2D" w:rsidR="004C4B85" w:rsidRDefault="004C4B85" w:rsidP="00E55BCF">
      <w:pPr>
        <w:rPr>
          <w:rtl/>
          <w:lang w:bidi="ar-EG"/>
        </w:rPr>
      </w:pPr>
      <w:r>
        <w:rPr>
          <w:rFonts w:hint="cs"/>
          <w:rtl/>
          <w:lang w:bidi="ar-EG"/>
        </w:rPr>
        <w:t>1.2</w:t>
      </w:r>
      <w:r>
        <w:rPr>
          <w:rtl/>
          <w:lang w:bidi="ar-EG"/>
        </w:rPr>
        <w:tab/>
      </w:r>
      <w:r w:rsidR="00E55BCF" w:rsidRPr="00E55BCF">
        <w:rPr>
          <w:rtl/>
          <w:lang w:bidi="ar-EG"/>
        </w:rPr>
        <w:t xml:space="preserve">قدم ممثل مكتب الاتصالات الراديوية الوثيقة </w:t>
      </w:r>
      <w:r w:rsidR="00E55BCF" w:rsidRPr="00E55BCF">
        <w:rPr>
          <w:lang w:bidi="ar-EG"/>
        </w:rPr>
        <w:t>C23/58</w:t>
      </w:r>
      <w:r w:rsidR="00E55BCF" w:rsidRPr="00E55BCF">
        <w:rPr>
          <w:rtl/>
          <w:lang w:bidi="ar-EG"/>
        </w:rPr>
        <w:t xml:space="preserve"> التي تناولت دور الاتحاد في تنفيذ خطة "الفضاء 2030"</w:t>
      </w:r>
      <w:r w:rsidR="00E55BCF" w:rsidRPr="00E55BCF">
        <w:rPr>
          <w:rFonts w:hint="cs"/>
          <w:rtl/>
          <w:lang w:bidi="ar-EG"/>
        </w:rPr>
        <w:t xml:space="preserve"> </w:t>
      </w:r>
      <w:r w:rsidR="0075158F">
        <w:rPr>
          <w:rFonts w:hint="cs"/>
          <w:rtl/>
          <w:lang w:bidi="ar-EG"/>
        </w:rPr>
        <w:t xml:space="preserve">وتضمنت </w:t>
      </w:r>
      <w:r w:rsidR="00E55BCF" w:rsidRPr="00E55BCF">
        <w:rPr>
          <w:rtl/>
          <w:lang w:bidi="ar-EG"/>
        </w:rPr>
        <w:t>في الملحق التقارير الثلاثة المطلوبة بموجب القرار 218 (بوخارست، 2022) لمؤتمر المندوبين المفوضين.</w:t>
      </w:r>
    </w:p>
    <w:p w14:paraId="6B2E6665" w14:textId="710A80CF" w:rsidR="004C4B85" w:rsidRDefault="004C4B85" w:rsidP="00423C30">
      <w:pPr>
        <w:keepNext/>
        <w:keepLines/>
        <w:rPr>
          <w:rtl/>
          <w:lang w:bidi="ar-EG"/>
        </w:rPr>
      </w:pPr>
      <w:r w:rsidRPr="000356B5">
        <w:rPr>
          <w:rFonts w:hint="cs"/>
          <w:rtl/>
          <w:lang w:bidi="ar-EG"/>
        </w:rPr>
        <w:lastRenderedPageBreak/>
        <w:t>2.2</w:t>
      </w:r>
      <w:r w:rsidRPr="000356B5">
        <w:rPr>
          <w:rtl/>
          <w:lang w:bidi="ar-EG"/>
        </w:rPr>
        <w:tab/>
      </w:r>
      <w:r w:rsidR="000F3B58" w:rsidRPr="000356B5">
        <w:rPr>
          <w:rtl/>
          <w:lang w:bidi="ar-EG"/>
        </w:rPr>
        <w:t xml:space="preserve">وقدم الملحق 1 تقريراً عن حالة الخطط التي </w:t>
      </w:r>
      <w:r w:rsidR="0075158F" w:rsidRPr="000356B5">
        <w:rPr>
          <w:rFonts w:hint="cs"/>
          <w:rtl/>
          <w:lang w:bidi="ar-EG"/>
        </w:rPr>
        <w:t>تحكمها</w:t>
      </w:r>
      <w:r w:rsidR="0075158F" w:rsidRPr="000356B5">
        <w:rPr>
          <w:rtl/>
          <w:lang w:bidi="ar-EG"/>
        </w:rPr>
        <w:t xml:space="preserve"> </w:t>
      </w:r>
      <w:r w:rsidR="000F3B58" w:rsidRPr="000356B5">
        <w:rPr>
          <w:rtl/>
          <w:lang w:bidi="ar-EG"/>
        </w:rPr>
        <w:t>التذييلات 30 و</w:t>
      </w:r>
      <w:r w:rsidR="0075158F" w:rsidRPr="004D41A5">
        <w:t>30A</w:t>
      </w:r>
      <w:r w:rsidR="0075158F" w:rsidRPr="000356B5">
        <w:rPr>
          <w:rtl/>
          <w:lang w:bidi="ar-EG"/>
        </w:rPr>
        <w:t xml:space="preserve"> </w:t>
      </w:r>
      <w:r w:rsidR="000F3B58" w:rsidRPr="000356B5">
        <w:rPr>
          <w:rtl/>
          <w:lang w:bidi="ar-EG"/>
        </w:rPr>
        <w:t>و</w:t>
      </w:r>
      <w:r w:rsidR="0075158F" w:rsidRPr="004D41A5">
        <w:t>30B</w:t>
      </w:r>
      <w:r w:rsidR="0075158F" w:rsidRPr="000356B5">
        <w:rPr>
          <w:rtl/>
          <w:lang w:bidi="ar-EG"/>
        </w:rPr>
        <w:t xml:space="preserve"> </w:t>
      </w:r>
      <w:r w:rsidR="000F3B58" w:rsidRPr="000356B5">
        <w:rPr>
          <w:rtl/>
          <w:lang w:bidi="ar-EG"/>
        </w:rPr>
        <w:t>للوائح الراديو. ويجدر بالذكر أن عدداً من الإدارات ليس لديها تعيين وطني في خطة الخدمة الثابتة الساتلية (</w:t>
      </w:r>
      <w:r w:rsidR="000F3B58" w:rsidRPr="000356B5">
        <w:rPr>
          <w:lang w:bidi="ar-EG"/>
        </w:rPr>
        <w:t>FSS</w:t>
      </w:r>
      <w:r w:rsidR="000F3B58" w:rsidRPr="000356B5">
        <w:rPr>
          <w:rtl/>
          <w:lang w:bidi="ar-EG"/>
        </w:rPr>
        <w:t xml:space="preserve">) الواردة في التذييل </w:t>
      </w:r>
      <w:r w:rsidR="0075158F" w:rsidRPr="004D41A5">
        <w:t>30B</w:t>
      </w:r>
      <w:r w:rsidR="0075158F" w:rsidRPr="000356B5" w:rsidDel="009B6598">
        <w:rPr>
          <w:rtl/>
          <w:lang w:bidi="ar-EG"/>
        </w:rPr>
        <w:t xml:space="preserve"> </w:t>
      </w:r>
      <w:r w:rsidR="000F3B58" w:rsidRPr="000356B5">
        <w:rPr>
          <w:rtl/>
          <w:lang w:bidi="ar-EG"/>
        </w:rPr>
        <w:t xml:space="preserve">وذلك أساساً لأنها انضمت إلى الاتحاد بعد وضع الخطة في عام 1988؛ وتجري الإجراءات اللازمة لمعالجة هذا الوضع في قطاع الاتصالات الراديوية. </w:t>
      </w:r>
      <w:r w:rsidR="006C6A25" w:rsidRPr="000356B5">
        <w:rPr>
          <w:rtl/>
          <w:lang w:bidi="ar-EG"/>
        </w:rPr>
        <w:t>ويصف الملحق</w:t>
      </w:r>
      <w:r w:rsidR="000356B5">
        <w:rPr>
          <w:rFonts w:hint="cs"/>
          <w:rtl/>
          <w:lang w:bidi="ar-EG"/>
        </w:rPr>
        <w:t> </w:t>
      </w:r>
      <w:r w:rsidR="006C6A25" w:rsidRPr="000356B5">
        <w:rPr>
          <w:rtl/>
          <w:lang w:bidi="ar-EG"/>
        </w:rPr>
        <w:t xml:space="preserve">2 كيف ساهمت كل واحدة من الأولويات </w:t>
      </w:r>
      <w:r w:rsidR="0075158F" w:rsidRPr="000356B5">
        <w:rPr>
          <w:rFonts w:hint="cs"/>
          <w:rtl/>
          <w:lang w:bidi="ar-EG"/>
        </w:rPr>
        <w:t>المواضيعية</w:t>
      </w:r>
      <w:r w:rsidR="0075158F" w:rsidRPr="000356B5">
        <w:rPr>
          <w:rtl/>
          <w:lang w:bidi="ar-EG"/>
        </w:rPr>
        <w:t xml:space="preserve"> </w:t>
      </w:r>
      <w:r w:rsidR="006C6A25" w:rsidRPr="000356B5">
        <w:rPr>
          <w:rtl/>
          <w:lang w:bidi="ar-EG"/>
        </w:rPr>
        <w:t>الخمس في الخطة الاستراتيجية للاتحاد في تنفيذ</w:t>
      </w:r>
      <w:r w:rsidR="006C6A25" w:rsidRPr="000356B5">
        <w:rPr>
          <w:rtl/>
        </w:rPr>
        <w:t xml:space="preserve"> </w:t>
      </w:r>
      <w:r w:rsidR="006C6A25" w:rsidRPr="000356B5">
        <w:rPr>
          <w:rtl/>
          <w:lang w:bidi="ar-EG"/>
        </w:rPr>
        <w:t>خطة "الفضاء 2030"</w:t>
      </w:r>
      <w:r w:rsidR="006C6A25" w:rsidRPr="000356B5">
        <w:rPr>
          <w:rFonts w:hint="cs"/>
          <w:rtl/>
          <w:lang w:bidi="ar-EG"/>
        </w:rPr>
        <w:t xml:space="preserve"> </w:t>
      </w:r>
      <w:r w:rsidR="006C6A25" w:rsidRPr="000356B5">
        <w:rPr>
          <w:rtl/>
          <w:lang w:bidi="ar-EG"/>
        </w:rPr>
        <w:t xml:space="preserve">وأهدافها الشاملة الأربعة </w:t>
      </w:r>
      <w:r w:rsidR="0075158F" w:rsidRPr="000356B5">
        <w:rPr>
          <w:rFonts w:hint="cs"/>
          <w:rtl/>
          <w:lang w:bidi="ar-EG"/>
        </w:rPr>
        <w:t>المتمحورة</w:t>
      </w:r>
      <w:r w:rsidR="0075158F" w:rsidRPr="000356B5">
        <w:rPr>
          <w:rtl/>
          <w:lang w:bidi="ar-EG"/>
        </w:rPr>
        <w:t xml:space="preserve"> </w:t>
      </w:r>
      <w:r w:rsidR="006C6A25" w:rsidRPr="000356B5">
        <w:rPr>
          <w:rtl/>
          <w:lang w:bidi="ar-EG"/>
        </w:rPr>
        <w:t>حول الركائز الأربع</w:t>
      </w:r>
      <w:r w:rsidR="0075158F" w:rsidRPr="000356B5">
        <w:rPr>
          <w:rFonts w:hint="cs"/>
          <w:rtl/>
          <w:lang w:bidi="ar-EG"/>
        </w:rPr>
        <w:t xml:space="preserve"> المتمثلة في</w:t>
      </w:r>
      <w:r w:rsidR="006C6A25" w:rsidRPr="000356B5">
        <w:rPr>
          <w:rtl/>
          <w:lang w:bidi="ar-EG"/>
        </w:rPr>
        <w:t xml:space="preserve"> اقتصاد الفضاء، ومجتمع الفضاء، وإمكانية النفاذ إلى الفضاء، ودبلوماسية الفضاء. ويقدم الملحق 3 تقريراً عن الدورة الحادية والأربعين للاجتماع المشترك بين وكالات الأمم المتحدة بشأن أنشطة الفضاء الخارجي (</w:t>
      </w:r>
      <w:r w:rsidR="006C6A25" w:rsidRPr="000356B5">
        <w:rPr>
          <w:lang w:bidi="ar-EG"/>
        </w:rPr>
        <w:t>UN-Space</w:t>
      </w:r>
      <w:r w:rsidR="006C6A25" w:rsidRPr="000356B5">
        <w:rPr>
          <w:rtl/>
          <w:lang w:bidi="ar-EG"/>
        </w:rPr>
        <w:t>).</w:t>
      </w:r>
    </w:p>
    <w:p w14:paraId="47D86415" w14:textId="3BAD2334" w:rsidR="004C4B85" w:rsidRDefault="004C4B85" w:rsidP="0045535E">
      <w:pPr>
        <w:rPr>
          <w:rtl/>
          <w:lang w:bidi="ar-EG"/>
        </w:rPr>
      </w:pPr>
      <w:r>
        <w:rPr>
          <w:rFonts w:hint="cs"/>
          <w:rtl/>
          <w:lang w:bidi="ar-EG"/>
        </w:rPr>
        <w:t>3.2</w:t>
      </w:r>
      <w:r>
        <w:rPr>
          <w:rtl/>
          <w:lang w:bidi="ar-EG"/>
        </w:rPr>
        <w:tab/>
      </w:r>
      <w:r w:rsidR="007F55D5" w:rsidRPr="007F55D5">
        <w:rPr>
          <w:rtl/>
          <w:lang w:bidi="ar-EG"/>
        </w:rPr>
        <w:t>وأكد أعضاء المجلس أهمية</w:t>
      </w:r>
      <w:r w:rsidR="007F55D5" w:rsidRPr="007F55D5">
        <w:rPr>
          <w:rtl/>
        </w:rPr>
        <w:t xml:space="preserve"> </w:t>
      </w:r>
      <w:r w:rsidR="007F55D5" w:rsidRPr="007F55D5">
        <w:rPr>
          <w:rtl/>
          <w:lang w:bidi="ar-EG"/>
        </w:rPr>
        <w:t>خطة "الفضاء 2030" وأهدافها</w:t>
      </w:r>
      <w:r w:rsidR="007F55D5" w:rsidRPr="007F55D5">
        <w:rPr>
          <w:rtl/>
        </w:rPr>
        <w:t xml:space="preserve"> </w:t>
      </w:r>
      <w:r w:rsidR="007F55D5" w:rsidRPr="007F55D5">
        <w:rPr>
          <w:rtl/>
          <w:lang w:bidi="ar-EG"/>
        </w:rPr>
        <w:t xml:space="preserve">الرئيسية الأربعة في عالم يشكل الفضاء فيه أولوية وأداة مهمة للتنمية الاجتماعية والاقتصادية. وكانت التقارير المعروضة مفيدة في توفير أحدث المعلومات، وينبغي للاتحاد أن يواصل القيام بدور حيوي. وقال أحد أعضاء المجلس إن أنشطة مكتب الاتصالات الراديوية في </w:t>
      </w:r>
      <w:r w:rsidR="0075158F">
        <w:rPr>
          <w:rFonts w:hint="cs"/>
          <w:rtl/>
          <w:lang w:bidi="ar-EG"/>
        </w:rPr>
        <w:t xml:space="preserve">مجال </w:t>
      </w:r>
      <w:r w:rsidR="007F55D5" w:rsidRPr="007F55D5">
        <w:rPr>
          <w:rtl/>
          <w:lang w:bidi="ar-EG"/>
        </w:rPr>
        <w:t xml:space="preserve">الفضاء تشكل إحدى أكثر ممارسات المنظمات تميزاً في منظومة الأمم المتحدة. </w:t>
      </w:r>
      <w:r w:rsidR="0045535E" w:rsidRPr="0045535E">
        <w:rPr>
          <w:rFonts w:hint="cs"/>
          <w:rtl/>
          <w:lang w:bidi="ar-EG"/>
        </w:rPr>
        <w:t>ولإضفاء الطابع</w:t>
      </w:r>
      <w:r w:rsidR="0045535E" w:rsidRPr="006C6A25">
        <w:rPr>
          <w:rtl/>
          <w:lang w:bidi="ar-EG"/>
        </w:rPr>
        <w:t xml:space="preserve"> الاقتصاد</w:t>
      </w:r>
      <w:r w:rsidR="0045535E" w:rsidRPr="0045535E">
        <w:rPr>
          <w:rFonts w:hint="cs"/>
          <w:rtl/>
          <w:lang w:bidi="ar-EG"/>
        </w:rPr>
        <w:t>ي</w:t>
      </w:r>
      <w:r w:rsidR="0045535E" w:rsidRPr="006C6A25">
        <w:rPr>
          <w:rtl/>
          <w:lang w:bidi="ar-EG"/>
        </w:rPr>
        <w:t xml:space="preserve"> </w:t>
      </w:r>
      <w:r w:rsidR="0045535E" w:rsidRPr="0045535E">
        <w:rPr>
          <w:rFonts w:hint="cs"/>
          <w:rtl/>
          <w:lang w:bidi="ar-EG"/>
        </w:rPr>
        <w:t>على</w:t>
      </w:r>
      <w:r w:rsidR="0045535E" w:rsidRPr="006C6A25">
        <w:rPr>
          <w:rtl/>
          <w:lang w:bidi="ar-EG"/>
        </w:rPr>
        <w:t xml:space="preserve"> الفضاء واستغلاله، ينبغي أن يضطلع الاتحاد الدولي للاتصالات ومكتب الاتصالات الراديوية بأنشطة ابتكارية </w:t>
      </w:r>
      <w:r w:rsidR="0045535E" w:rsidRPr="0045535E">
        <w:rPr>
          <w:rFonts w:hint="cs"/>
          <w:rtl/>
          <w:lang w:bidi="ar-EG"/>
        </w:rPr>
        <w:t>لتقوية</w:t>
      </w:r>
      <w:r w:rsidR="0045535E" w:rsidRPr="006C6A25">
        <w:rPr>
          <w:rtl/>
          <w:lang w:bidi="ar-EG"/>
        </w:rPr>
        <w:t xml:space="preserve"> وتعزيز التوصيلية</w:t>
      </w:r>
      <w:r w:rsidR="0045535E" w:rsidRPr="0045535E">
        <w:rPr>
          <w:rtl/>
        </w:rPr>
        <w:t xml:space="preserve"> </w:t>
      </w:r>
      <w:r w:rsidR="0045535E" w:rsidRPr="0045535E">
        <w:rPr>
          <w:rtl/>
          <w:lang w:bidi="ar-EG"/>
        </w:rPr>
        <w:t>والشمول الرقمي وضمان النفاذ المنصف لجميع الدول الأعضاء إلى الموارد الفضائية.</w:t>
      </w:r>
      <w:r w:rsidR="00E74A0D">
        <w:rPr>
          <w:rtl/>
          <w:lang w:bidi="ar-EG"/>
        </w:rPr>
        <w:t xml:space="preserve"> </w:t>
      </w:r>
    </w:p>
    <w:p w14:paraId="7C8CCF96" w14:textId="4D0A03A1" w:rsidR="004C4B85" w:rsidRDefault="004C4B85" w:rsidP="004C4B85">
      <w:pPr>
        <w:rPr>
          <w:rtl/>
          <w:lang w:bidi="ar-EG"/>
        </w:rPr>
      </w:pPr>
      <w:r w:rsidRPr="004D41A5">
        <w:rPr>
          <w:rFonts w:hint="cs"/>
          <w:rtl/>
          <w:lang w:bidi="ar-EG"/>
        </w:rPr>
        <w:t>4.2</w:t>
      </w:r>
      <w:r w:rsidRPr="004D41A5">
        <w:rPr>
          <w:rtl/>
          <w:lang w:bidi="ar-EG"/>
        </w:rPr>
        <w:tab/>
      </w:r>
      <w:r w:rsidR="003015E8" w:rsidRPr="004D41A5">
        <w:rPr>
          <w:rtl/>
          <w:lang w:bidi="ar-EG"/>
        </w:rPr>
        <w:t>وقال</w:t>
      </w:r>
      <w:r w:rsidR="003015E8" w:rsidRPr="004D41A5">
        <w:rPr>
          <w:rFonts w:hint="cs"/>
          <w:rtl/>
          <w:lang w:bidi="ar-EG"/>
        </w:rPr>
        <w:t>ت</w:t>
      </w:r>
      <w:r w:rsidR="0075158F" w:rsidRPr="004D41A5">
        <w:rPr>
          <w:rFonts w:hint="cs"/>
          <w:rtl/>
          <w:lang w:bidi="ar-EG"/>
        </w:rPr>
        <w:t xml:space="preserve"> مندوبة</w:t>
      </w:r>
      <w:r w:rsidR="003015E8" w:rsidRPr="004D41A5">
        <w:rPr>
          <w:rtl/>
          <w:lang w:bidi="ar-EG"/>
        </w:rPr>
        <w:t xml:space="preserve"> </w:t>
      </w:r>
      <w:r w:rsidR="003015E8" w:rsidRPr="004D41A5">
        <w:rPr>
          <w:rFonts w:hint="cs"/>
          <w:rtl/>
          <w:lang w:bidi="ar-EG"/>
        </w:rPr>
        <w:t>أخرى</w:t>
      </w:r>
      <w:r w:rsidR="003015E8" w:rsidRPr="004D41A5">
        <w:rPr>
          <w:rtl/>
          <w:lang w:bidi="ar-EG"/>
        </w:rPr>
        <w:t xml:space="preserve"> من أعضاء المجلس، </w:t>
      </w:r>
      <w:r w:rsidR="0075158F" w:rsidRPr="004D41A5">
        <w:rPr>
          <w:rFonts w:hint="cs"/>
          <w:rtl/>
          <w:lang w:bidi="ar-EG"/>
        </w:rPr>
        <w:t xml:space="preserve">إنه </w:t>
      </w:r>
      <w:r w:rsidR="003015E8" w:rsidRPr="004D41A5">
        <w:rPr>
          <w:rtl/>
          <w:lang w:bidi="ar-EG"/>
        </w:rPr>
        <w:t>على الرغم من أن العمل المنجز لمعالجة تردي الحالات المرجعية الواردة في</w:t>
      </w:r>
      <w:r w:rsidR="004D41A5">
        <w:rPr>
          <w:rFonts w:hint="cs"/>
          <w:rtl/>
          <w:lang w:bidi="ar-EG"/>
        </w:rPr>
        <w:t> </w:t>
      </w:r>
      <w:r w:rsidR="003015E8" w:rsidRPr="004D41A5">
        <w:rPr>
          <w:rtl/>
          <w:lang w:bidi="ar-EG"/>
        </w:rPr>
        <w:t>التذييلات 30 و</w:t>
      </w:r>
      <w:r w:rsidR="002001E8" w:rsidRPr="004D41A5">
        <w:rPr>
          <w:lang w:bidi="ar-EG"/>
        </w:rPr>
        <w:t>30A</w:t>
      </w:r>
      <w:r w:rsidR="003015E8" w:rsidRPr="004D41A5">
        <w:rPr>
          <w:rtl/>
          <w:lang w:bidi="ar-EG"/>
        </w:rPr>
        <w:t xml:space="preserve"> و</w:t>
      </w:r>
      <w:r w:rsidR="002001E8" w:rsidRPr="004D41A5">
        <w:rPr>
          <w:lang w:bidi="ar-EG"/>
        </w:rPr>
        <w:t>30</w:t>
      </w:r>
      <w:r w:rsidR="003015E8" w:rsidRPr="004D41A5">
        <w:rPr>
          <w:lang w:bidi="ar-EG"/>
        </w:rPr>
        <w:t>B</w:t>
      </w:r>
      <w:r w:rsidR="003015E8" w:rsidRPr="004D41A5">
        <w:rPr>
          <w:rtl/>
          <w:lang w:bidi="ar-EG"/>
        </w:rPr>
        <w:t xml:space="preserve"> للوائح الراديو يستحق الثناء، من الضروري أيضاً ضمان استمرار قيام الاتحاد، ولا</w:t>
      </w:r>
      <w:r w:rsidR="004D41A5">
        <w:rPr>
          <w:rFonts w:hint="cs"/>
          <w:rtl/>
          <w:lang w:bidi="ar-EG"/>
        </w:rPr>
        <w:t> </w:t>
      </w:r>
      <w:r w:rsidR="003015E8" w:rsidRPr="004D41A5">
        <w:rPr>
          <w:rtl/>
          <w:lang w:bidi="ar-EG"/>
        </w:rPr>
        <w:t xml:space="preserve">سيما مكتب الاتصالات الراديوية، بتقديم الدعم لاستكمال تنفيذ القرار </w:t>
      </w:r>
      <w:r w:rsidR="0075158F" w:rsidRPr="004D41A5">
        <w:t>559 (WRC-19)</w:t>
      </w:r>
      <w:r w:rsidR="003015E8" w:rsidRPr="004D41A5">
        <w:rPr>
          <w:rtl/>
          <w:lang w:bidi="ar-EG"/>
        </w:rPr>
        <w:t xml:space="preserve">. </w:t>
      </w:r>
      <w:r w:rsidR="00337D73" w:rsidRPr="004D41A5">
        <w:rPr>
          <w:rtl/>
          <w:lang w:bidi="ar-EG"/>
        </w:rPr>
        <w:t xml:space="preserve">وأشارت إلى التردي الكبير في </w:t>
      </w:r>
      <w:r w:rsidR="0075158F" w:rsidRPr="004D41A5">
        <w:rPr>
          <w:rtl/>
          <w:lang w:bidi="ar-EG"/>
        </w:rPr>
        <w:t xml:space="preserve">الحالات </w:t>
      </w:r>
      <w:r w:rsidR="00337D73" w:rsidRPr="004D41A5">
        <w:rPr>
          <w:rtl/>
          <w:lang w:bidi="ar-EG"/>
        </w:rPr>
        <w:t>المرجعية للبلدان النامية بسبب تطبيق الاتفاق الضمني، وتساءلت عما إذا كان مفهوم الاتفاق الضمني يحتاج إلى مراجعة لدعم البلدان النامية التي لا تملك الموارد اللازمة لحماية تعييناتها الوطنية.</w:t>
      </w:r>
      <w:r w:rsidR="00337D73" w:rsidRPr="004D41A5">
        <w:rPr>
          <w:rtl/>
        </w:rPr>
        <w:t xml:space="preserve"> </w:t>
      </w:r>
      <w:r w:rsidR="00337D73" w:rsidRPr="004D41A5">
        <w:rPr>
          <w:rtl/>
          <w:lang w:bidi="ar-EG"/>
        </w:rPr>
        <w:t xml:space="preserve">وينبغي النظر مستقبلاً في توسيع النطاقات المخططة لتشمل نطاقات الخدمة الثابتة الساتلية الأخرى، والاستمرار في ضمان النفاذ المنصف لجميع الدول الأعضاء إلى الموارد الساتلية/المدارية ومساعدة البلدان النامية على الاستفادة من الفضاء </w:t>
      </w:r>
      <w:r w:rsidR="0075158F" w:rsidRPr="004D41A5">
        <w:rPr>
          <w:rFonts w:hint="cs"/>
          <w:rtl/>
          <w:lang w:bidi="ar-EG"/>
        </w:rPr>
        <w:t>لصالح</w:t>
      </w:r>
      <w:r w:rsidR="00337D73" w:rsidRPr="004D41A5">
        <w:rPr>
          <w:rtl/>
          <w:lang w:bidi="ar-EG"/>
        </w:rPr>
        <w:t xml:space="preserve"> تنميتها الاجتماعية والاقتصادية.</w:t>
      </w:r>
      <w:r w:rsidR="00E74A0D">
        <w:rPr>
          <w:rtl/>
          <w:lang w:bidi="ar-EG"/>
        </w:rPr>
        <w:t xml:space="preserve"> </w:t>
      </w:r>
    </w:p>
    <w:p w14:paraId="151AE3D6" w14:textId="48B06707" w:rsidR="004C4B85" w:rsidRDefault="004C4B85" w:rsidP="004C4B85">
      <w:pPr>
        <w:rPr>
          <w:rtl/>
          <w:lang w:bidi="ar-EG"/>
        </w:rPr>
      </w:pPr>
      <w:r>
        <w:rPr>
          <w:rFonts w:hint="cs"/>
          <w:rtl/>
          <w:lang w:bidi="ar-EG"/>
        </w:rPr>
        <w:t>5.2</w:t>
      </w:r>
      <w:r>
        <w:rPr>
          <w:rtl/>
          <w:lang w:bidi="ar-EG"/>
        </w:rPr>
        <w:tab/>
      </w:r>
      <w:r w:rsidR="00337D73" w:rsidRPr="00337D73">
        <w:rPr>
          <w:rtl/>
          <w:lang w:bidi="ar-EG"/>
        </w:rPr>
        <w:t xml:space="preserve">وأثنى عضو آخر على عمل مكتب الاتصالات الراديوية في تنفيذ القرار </w:t>
      </w:r>
      <w:r w:rsidR="0075158F" w:rsidRPr="00DF6A46">
        <w:t>559 (WRC-19)</w:t>
      </w:r>
      <w:r w:rsidR="00337D73" w:rsidRPr="00337D73">
        <w:rPr>
          <w:rtl/>
          <w:lang w:bidi="ar-EG"/>
        </w:rPr>
        <w:t>،</w:t>
      </w:r>
      <w:r w:rsidR="00616E0A" w:rsidRPr="00616E0A">
        <w:rPr>
          <w:rtl/>
        </w:rPr>
        <w:t xml:space="preserve"> </w:t>
      </w:r>
      <w:r w:rsidR="00616E0A" w:rsidRPr="00616E0A">
        <w:rPr>
          <w:rtl/>
          <w:lang w:bidi="ar-EG"/>
        </w:rPr>
        <w:t xml:space="preserve">وهو إحدى النتائج الرئيسية للمؤتمر </w:t>
      </w:r>
      <w:r w:rsidR="00616E0A" w:rsidRPr="00616E0A">
        <w:rPr>
          <w:lang w:bidi="ar-EG"/>
        </w:rPr>
        <w:t>WRC-19</w:t>
      </w:r>
      <w:r w:rsidR="00616E0A" w:rsidRPr="00616E0A">
        <w:rPr>
          <w:rtl/>
          <w:lang w:bidi="ar-EG"/>
        </w:rPr>
        <w:t xml:space="preserve"> التي استفادت منها 45 إدارة واتفق بشأن الحاجة إلى استعراض مسألة النطاقات المخططة. و</w:t>
      </w:r>
      <w:r w:rsidR="00616E0A">
        <w:rPr>
          <w:rFonts w:hint="cs"/>
          <w:rtl/>
          <w:lang w:bidi="ar-EG"/>
        </w:rPr>
        <w:t>قال</w:t>
      </w:r>
      <w:r w:rsidR="0075158F">
        <w:rPr>
          <w:rFonts w:hint="cs"/>
          <w:rtl/>
          <w:lang w:bidi="ar-EG"/>
        </w:rPr>
        <w:t xml:space="preserve"> إنه</w:t>
      </w:r>
      <w:r w:rsidR="00616E0A">
        <w:rPr>
          <w:rFonts w:hint="cs"/>
          <w:rtl/>
          <w:lang w:bidi="ar-EG"/>
        </w:rPr>
        <w:t xml:space="preserve"> </w:t>
      </w:r>
      <w:r w:rsidR="00616E0A" w:rsidRPr="00616E0A">
        <w:rPr>
          <w:rtl/>
          <w:lang w:bidi="ar-EG"/>
        </w:rPr>
        <w:t>علاوةً</w:t>
      </w:r>
      <w:r w:rsidR="00636FAF">
        <w:rPr>
          <w:rFonts w:hint="cs"/>
          <w:rtl/>
          <w:lang w:bidi="ar-EG"/>
        </w:rPr>
        <w:t> </w:t>
      </w:r>
      <w:r w:rsidR="00616E0A" w:rsidRPr="00616E0A">
        <w:rPr>
          <w:rtl/>
          <w:lang w:bidi="ar-EG"/>
        </w:rPr>
        <w:t>على ذلك،</w:t>
      </w:r>
      <w:r w:rsidR="00616E0A" w:rsidRPr="00616E0A">
        <w:rPr>
          <w:rtl/>
        </w:rPr>
        <w:t xml:space="preserve"> </w:t>
      </w:r>
      <w:r w:rsidR="00616E0A" w:rsidRPr="00616E0A">
        <w:rPr>
          <w:rtl/>
          <w:lang w:bidi="ar-EG"/>
        </w:rPr>
        <w:t xml:space="preserve">ينبغي لمكتب الاتصالات الراديوية النظر في النفاذ المنصف إلى المدارات غير المستقرة بالنسبة إلى الأرض نظراً </w:t>
      </w:r>
      <w:r w:rsidR="0075158F">
        <w:rPr>
          <w:rFonts w:hint="cs"/>
          <w:rtl/>
          <w:lang w:bidi="ar-EG"/>
        </w:rPr>
        <w:t>إلى أن</w:t>
      </w:r>
      <w:r w:rsidR="00616E0A" w:rsidRPr="00616E0A">
        <w:rPr>
          <w:rtl/>
          <w:lang w:bidi="ar-EG"/>
        </w:rPr>
        <w:t xml:space="preserve"> التكنولوجيا في هذا المجال تتطور بسرعة.</w:t>
      </w:r>
    </w:p>
    <w:p w14:paraId="69BCA4D9" w14:textId="2F894FED" w:rsidR="004C4B85" w:rsidRDefault="004C4B85" w:rsidP="003919CD">
      <w:pPr>
        <w:rPr>
          <w:rtl/>
        </w:rPr>
      </w:pPr>
      <w:r w:rsidRPr="00DF6A46">
        <w:rPr>
          <w:rFonts w:hint="cs"/>
          <w:rtl/>
          <w:lang w:bidi="ar-EG"/>
        </w:rPr>
        <w:t>6.2</w:t>
      </w:r>
      <w:r w:rsidRPr="00DF6A46">
        <w:rPr>
          <w:rtl/>
          <w:lang w:bidi="ar-EG"/>
        </w:rPr>
        <w:tab/>
      </w:r>
      <w:r w:rsidR="003919CD" w:rsidRPr="00DF6A46">
        <w:rPr>
          <w:rtl/>
          <w:lang w:bidi="ar-EG"/>
        </w:rPr>
        <w:t>وقال ممثل مكتب الاتصالات الراديوية إن مسألة الاتفاق الضمني يدرسها قطاع الاتصالات الراديوية وست</w:t>
      </w:r>
      <w:r w:rsidR="003919CD" w:rsidRPr="00DF6A46">
        <w:rPr>
          <w:rFonts w:hint="cs"/>
          <w:rtl/>
          <w:lang w:bidi="ar-EG"/>
        </w:rPr>
        <w:t>ُ</w:t>
      </w:r>
      <w:r w:rsidR="003919CD" w:rsidRPr="00DF6A46">
        <w:rPr>
          <w:rtl/>
          <w:lang w:bidi="ar-EG"/>
        </w:rPr>
        <w:t>درج في</w:t>
      </w:r>
      <w:r w:rsidR="00636FAF">
        <w:rPr>
          <w:rFonts w:hint="cs"/>
          <w:rtl/>
          <w:lang w:bidi="ar-EG"/>
        </w:rPr>
        <w:t> </w:t>
      </w:r>
      <w:r w:rsidR="003919CD" w:rsidRPr="00DF6A46">
        <w:rPr>
          <w:rtl/>
          <w:lang w:bidi="ar-EG"/>
        </w:rPr>
        <w:t xml:space="preserve">جدول أعمال المؤتمر </w:t>
      </w:r>
      <w:r w:rsidR="003919CD" w:rsidRPr="00DF6A46">
        <w:t>WRC-23</w:t>
      </w:r>
      <w:r w:rsidR="003919CD" w:rsidRPr="00DF6A46">
        <w:rPr>
          <w:rtl/>
          <w:lang w:bidi="ar-EG"/>
        </w:rPr>
        <w:t xml:space="preserve">. وستناقش لجنة الدراسات 4 التابعة لقطاع الاتصالات الراديوية في الدورة المقبلة تمديد </w:t>
      </w:r>
      <w:r w:rsidR="0075158F" w:rsidRPr="00DF6A46">
        <w:rPr>
          <w:rFonts w:hint="cs"/>
          <w:rtl/>
          <w:lang w:bidi="ar-EG"/>
        </w:rPr>
        <w:t>ال</w:t>
      </w:r>
      <w:r w:rsidR="003919CD" w:rsidRPr="00DF6A46">
        <w:rPr>
          <w:rtl/>
          <w:lang w:bidi="ar-EG"/>
        </w:rPr>
        <w:t xml:space="preserve">خطط </w:t>
      </w:r>
      <w:r w:rsidR="0075158F" w:rsidRPr="00DF6A46">
        <w:rPr>
          <w:rFonts w:hint="cs"/>
          <w:rtl/>
          <w:lang w:bidi="ar-EG"/>
        </w:rPr>
        <w:t xml:space="preserve">لتشمل </w:t>
      </w:r>
      <w:r w:rsidR="003919CD" w:rsidRPr="00DF6A46">
        <w:rPr>
          <w:rtl/>
          <w:lang w:bidi="ar-EG"/>
        </w:rPr>
        <w:t>ترددات أو مدارات أخرى، على الرغم من أن الأمر قد يتطلب نُهجاً مختلفة للمدارات غير المستقرة بالنسبة إلى الأرض.</w:t>
      </w:r>
    </w:p>
    <w:p w14:paraId="50872DCB" w14:textId="478F082F" w:rsidR="00EC6CB4" w:rsidRDefault="00EC6CB4" w:rsidP="003919CD">
      <w:pPr>
        <w:rPr>
          <w:rtl/>
          <w:lang w:bidi="ar-EG"/>
        </w:rPr>
      </w:pPr>
      <w:r w:rsidRPr="00DF6A46">
        <w:rPr>
          <w:rFonts w:hint="cs"/>
          <w:rtl/>
          <w:lang w:bidi="ar-EG"/>
        </w:rPr>
        <w:t>7.2</w:t>
      </w:r>
      <w:r w:rsidRPr="00DF6A46">
        <w:rPr>
          <w:rtl/>
          <w:lang w:bidi="ar-EG"/>
        </w:rPr>
        <w:tab/>
      </w:r>
      <w:r w:rsidR="003919CD" w:rsidRPr="00165AD0">
        <w:rPr>
          <w:rFonts w:hint="cs"/>
          <w:b/>
          <w:bCs/>
          <w:rtl/>
          <w:lang w:bidi="ar-EG"/>
        </w:rPr>
        <w:t>وأخذ</w:t>
      </w:r>
      <w:r w:rsidR="003919CD" w:rsidRPr="00DF6A46">
        <w:rPr>
          <w:rtl/>
          <w:lang w:bidi="ar-EG"/>
        </w:rPr>
        <w:t xml:space="preserve"> المجلس </w:t>
      </w:r>
      <w:r w:rsidR="003919CD" w:rsidRPr="00165AD0">
        <w:rPr>
          <w:b/>
          <w:bCs/>
          <w:rtl/>
          <w:lang w:bidi="ar-EG"/>
        </w:rPr>
        <w:t>علماً</w:t>
      </w:r>
      <w:r w:rsidR="003919CD" w:rsidRPr="00DF6A46">
        <w:rPr>
          <w:rtl/>
          <w:lang w:bidi="ar-EG"/>
        </w:rPr>
        <w:t xml:space="preserve"> بالتقارير الواردة في الوثيقة </w:t>
      </w:r>
      <w:r w:rsidR="003919CD" w:rsidRPr="00DF6A46">
        <w:rPr>
          <w:lang w:bidi="ar-EG"/>
        </w:rPr>
        <w:t>C23/58</w:t>
      </w:r>
      <w:r w:rsidR="003919CD" w:rsidRPr="00DF6A46">
        <w:rPr>
          <w:rtl/>
          <w:lang w:bidi="ar-EG"/>
        </w:rPr>
        <w:t>.</w:t>
      </w:r>
    </w:p>
    <w:p w14:paraId="05F27D13" w14:textId="2083AA55" w:rsidR="004C4B85" w:rsidRPr="004C4B85" w:rsidRDefault="004C4B85" w:rsidP="00EC6CB4">
      <w:pPr>
        <w:pStyle w:val="Heading1"/>
        <w:rPr>
          <w:lang w:bidi="ar-EG"/>
        </w:rPr>
      </w:pPr>
      <w:r w:rsidRPr="004C4B85">
        <w:rPr>
          <w:cs/>
          <w:lang w:bidi="ar-EG"/>
        </w:rPr>
        <w:t>‎</w:t>
      </w:r>
      <w:r w:rsidRPr="004C4B85">
        <w:rPr>
          <w:lang w:bidi="ar-EG"/>
        </w:rPr>
        <w:t>3</w:t>
      </w:r>
      <w:r w:rsidRPr="004C4B85">
        <w:rPr>
          <w:cs/>
          <w:lang w:bidi="ar-EG"/>
        </w:rPr>
        <w:t>‎</w:t>
      </w:r>
      <w:r w:rsidRPr="004C4B85">
        <w:rPr>
          <w:rtl/>
          <w:lang w:bidi="ar-EG"/>
        </w:rPr>
        <w:tab/>
      </w:r>
      <w:r w:rsidR="00EC6CB4" w:rsidRPr="00EC6CB4">
        <w:rPr>
          <w:rFonts w:hint="cs"/>
          <w:rtl/>
        </w:rPr>
        <w:t>أنشطة التدريب التي يضطلع بها الاتحاد</w:t>
      </w:r>
      <w:r w:rsidR="00EC6CB4" w:rsidRPr="00EC6CB4">
        <w:rPr>
          <w:rFonts w:hint="cs"/>
          <w:rtl/>
          <w:lang w:bidi="ar-EG"/>
        </w:rPr>
        <w:t xml:space="preserve"> </w:t>
      </w:r>
      <w:r>
        <w:rPr>
          <w:rFonts w:hint="cs"/>
          <w:rtl/>
          <w:lang w:bidi="ar-EG"/>
        </w:rPr>
        <w:t>(</w:t>
      </w:r>
      <w:r w:rsidR="00EC6CB4">
        <w:rPr>
          <w:rFonts w:hint="cs"/>
          <w:rtl/>
          <w:lang w:bidi="ar-EG"/>
        </w:rPr>
        <w:t xml:space="preserve">الوثيقة </w:t>
      </w:r>
      <w:hyperlink r:id="rId14" w:history="1">
        <w:r w:rsidR="00EC6CB4" w:rsidRPr="00EC6CB4">
          <w:rPr>
            <w:rStyle w:val="Hyperlink"/>
            <w:lang w:bidi="ar-EG"/>
          </w:rPr>
          <w:t>C23/5</w:t>
        </w:r>
      </w:hyperlink>
      <w:r>
        <w:rPr>
          <w:rFonts w:hint="cs"/>
          <w:rtl/>
          <w:lang w:bidi="ar-EG"/>
        </w:rPr>
        <w:t>)</w:t>
      </w:r>
    </w:p>
    <w:p w14:paraId="7B6185AF" w14:textId="6C948893" w:rsidR="004C4B85" w:rsidRDefault="004C4B85" w:rsidP="00EC6CB4">
      <w:pPr>
        <w:rPr>
          <w:rtl/>
          <w:lang w:bidi="ar-EG"/>
        </w:rPr>
      </w:pPr>
      <w:r>
        <w:rPr>
          <w:rFonts w:hint="cs"/>
          <w:rtl/>
          <w:lang w:bidi="ar-EG"/>
        </w:rPr>
        <w:t>1.3</w:t>
      </w:r>
      <w:r>
        <w:rPr>
          <w:rtl/>
          <w:lang w:bidi="ar-EG"/>
        </w:rPr>
        <w:tab/>
      </w:r>
      <w:r w:rsidR="00096B9F" w:rsidRPr="00096B9F">
        <w:rPr>
          <w:rtl/>
          <w:lang w:bidi="ar-EG"/>
        </w:rPr>
        <w:t xml:space="preserve">قدم ممثل مكتب تنمية الاتصالات الوثيقة </w:t>
      </w:r>
      <w:r w:rsidR="00096B9F" w:rsidRPr="00096B9F">
        <w:rPr>
          <w:lang w:bidi="ar-EG"/>
        </w:rPr>
        <w:t>C23/5</w:t>
      </w:r>
      <w:r w:rsidR="00096B9F">
        <w:rPr>
          <w:rFonts w:hint="cs"/>
          <w:rtl/>
          <w:lang w:bidi="ar-EG"/>
        </w:rPr>
        <w:t xml:space="preserve"> </w:t>
      </w:r>
      <w:r w:rsidR="00096B9F" w:rsidRPr="00096B9F">
        <w:rPr>
          <w:rtl/>
          <w:lang w:bidi="ar-EG"/>
        </w:rPr>
        <w:t>التي</w:t>
      </w:r>
      <w:r w:rsidR="00096B9F">
        <w:rPr>
          <w:rFonts w:hint="cs"/>
          <w:rtl/>
          <w:lang w:bidi="ar-EG"/>
        </w:rPr>
        <w:t xml:space="preserve"> </w:t>
      </w:r>
      <w:r w:rsidR="00096B9F">
        <w:rPr>
          <w:rFonts w:hint="cs"/>
          <w:rtl/>
        </w:rPr>
        <w:t>تورد</w:t>
      </w:r>
      <w:r w:rsidR="00EC6CB4" w:rsidRPr="00EC6CB4">
        <w:rPr>
          <w:rFonts w:hint="cs"/>
          <w:rtl/>
        </w:rPr>
        <w:t xml:space="preserve"> تقريراً عن التقدم المحرز في أنشطة تنمية القدرات والتدريب التي يضطلع بها الاتحاد فيما يتعلق بالمقترحات التي قدمتها أمانة الاتحاد إلى مجلس الاتحاد</w:t>
      </w:r>
      <w:r w:rsidR="00EC6CB4" w:rsidRPr="00EC6CB4">
        <w:rPr>
          <w:rFonts w:hint="cs"/>
          <w:rtl/>
          <w:lang w:bidi="ar-EG"/>
        </w:rPr>
        <w:t xml:space="preserve"> في دورته</w:t>
      </w:r>
      <w:r w:rsidR="00EC6CB4" w:rsidRPr="00EC6CB4">
        <w:rPr>
          <w:rFonts w:hint="cs"/>
          <w:rtl/>
        </w:rPr>
        <w:t xml:space="preserve"> لعام</w:t>
      </w:r>
      <w:r w:rsidR="00DF6A46">
        <w:rPr>
          <w:rFonts w:hint="eastAsia"/>
          <w:rtl/>
        </w:rPr>
        <w:t> </w:t>
      </w:r>
      <w:r w:rsidR="00EC6CB4" w:rsidRPr="00EC6CB4">
        <w:rPr>
          <w:rFonts w:hint="cs"/>
          <w:rtl/>
        </w:rPr>
        <w:t>2022</w:t>
      </w:r>
      <w:r w:rsidR="00EC6CB4" w:rsidRPr="00EC6CB4">
        <w:rPr>
          <w:rFonts w:hint="cs"/>
          <w:rtl/>
          <w:lang w:bidi="ar-EG"/>
        </w:rPr>
        <w:t>. وفي</w:t>
      </w:r>
      <w:r w:rsidR="00DF6A46">
        <w:rPr>
          <w:rFonts w:hint="eastAsia"/>
          <w:rtl/>
          <w:lang w:bidi="ar-EG"/>
        </w:rPr>
        <w:t> </w:t>
      </w:r>
      <w:r w:rsidR="00EC6CB4" w:rsidRPr="00EC6CB4">
        <w:rPr>
          <w:rFonts w:hint="cs"/>
          <w:rtl/>
          <w:lang w:bidi="ar-EG"/>
        </w:rPr>
        <w:t>تلك الدورة، وافق المجلس على المقترحات ودعا الدورات التالية للمجلس إلى إجراء استعراض دوري لتنفيذ أنشطة التدريب التي يضطلع بها الاتحاد.</w:t>
      </w:r>
    </w:p>
    <w:p w14:paraId="379B4BA5" w14:textId="15B432CA" w:rsidR="004C4B85" w:rsidRDefault="004C4B85" w:rsidP="00165AD0">
      <w:pPr>
        <w:rPr>
          <w:rtl/>
          <w:lang w:bidi="ar-EG"/>
        </w:rPr>
      </w:pPr>
      <w:r>
        <w:rPr>
          <w:rFonts w:hint="cs"/>
          <w:rtl/>
          <w:lang w:bidi="ar-EG"/>
        </w:rPr>
        <w:t>2.3</w:t>
      </w:r>
      <w:r>
        <w:rPr>
          <w:rtl/>
          <w:lang w:bidi="ar-EG"/>
        </w:rPr>
        <w:tab/>
      </w:r>
      <w:r w:rsidR="00C01D2E" w:rsidRPr="00C01D2E">
        <w:rPr>
          <w:rtl/>
          <w:lang w:bidi="ar-EG"/>
        </w:rPr>
        <w:t>وعلق أعضاء في المجلس بالقول إن أنشطة التدريب التي يضطلع بها الاتحاد تشكل جزءاً أساسياً من خدماته للدول الأعضاء، مشددين على أهمية أكاديمية الاتحاد بالنسبة إلى البلدان النامية بوجه خاص.</w:t>
      </w:r>
      <w:r w:rsidR="00E74A0D">
        <w:rPr>
          <w:rtl/>
          <w:lang w:bidi="ar-EG"/>
        </w:rPr>
        <w:t xml:space="preserve"> </w:t>
      </w:r>
      <w:r w:rsidR="000E3EBA" w:rsidRPr="000E3EBA">
        <w:rPr>
          <w:rtl/>
          <w:lang w:bidi="ar-EG"/>
        </w:rPr>
        <w:t>فمراكز التدريب التابعة لأكاديمية الاتحاد الدولي للاتصالات (</w:t>
      </w:r>
      <w:r w:rsidR="000E3EBA" w:rsidRPr="000E3EBA">
        <w:rPr>
          <w:lang w:bidi="ar-EG"/>
        </w:rPr>
        <w:t>ATC</w:t>
      </w:r>
      <w:r w:rsidR="000E3EBA" w:rsidRPr="000E3EBA">
        <w:rPr>
          <w:rtl/>
          <w:lang w:bidi="ar-EG"/>
        </w:rPr>
        <w:t xml:space="preserve">) ستجعل أعمال تنمية القدرات في الاتحاد مناسبة لمتطلبات المستقبل، وتعتمد الدول الأعضاء على الاتحاد ومراكز التدريب التابعة لأكاديمية الاتحاد للعمل معاً وبالشراكة مع المنظمات الأخرى لتوفير تدريب عالي الجودة للمهنيين والمسؤولين في مجال تكنولوجيا المعلومات والاتصالات، مع التركيز على البلدان النامية. وقد ثبتت فائدة الطبيعة الافتراضية لأكاديمية الاتحاد بشكل خاص خلال الإغلاقات جراء جائحة </w:t>
      </w:r>
      <w:r w:rsidR="000E3EBA" w:rsidRPr="000E3EBA">
        <w:rPr>
          <w:lang w:bidi="ar-EG"/>
        </w:rPr>
        <w:t>COVID-19</w:t>
      </w:r>
      <w:r w:rsidR="000E3EBA" w:rsidRPr="000E3EBA">
        <w:rPr>
          <w:rtl/>
          <w:lang w:bidi="ar-EG"/>
        </w:rPr>
        <w:t>.</w:t>
      </w:r>
      <w:r w:rsidR="000E3EBA" w:rsidRPr="000E3EBA">
        <w:rPr>
          <w:rtl/>
        </w:rPr>
        <w:t xml:space="preserve"> </w:t>
      </w:r>
      <w:r w:rsidR="000E3EBA">
        <w:rPr>
          <w:rFonts w:hint="cs"/>
          <w:rtl/>
        </w:rPr>
        <w:t>و</w:t>
      </w:r>
      <w:r w:rsidR="000E3EBA" w:rsidRPr="000E3EBA">
        <w:rPr>
          <w:rtl/>
          <w:lang w:bidi="ar-EG"/>
        </w:rPr>
        <w:t>من الناحية المثالية، ينبغي أن تقدم الأكاديمية البرامج دون الاعتماد على أصحاب المصلحة الأقل خبرة من الاتحاد الدولي للاتصالات. ورأى عضوان في المجلس أن الاتحاد ينبغي أن يشكل محور بناء القدرات الرقمية لمنظومة الأمم المتحدة بأسرها.</w:t>
      </w:r>
    </w:p>
    <w:p w14:paraId="1BC4D585" w14:textId="4F8C3B59" w:rsidR="004C4B85" w:rsidRDefault="004C4B85" w:rsidP="00423C30">
      <w:pPr>
        <w:keepNext/>
        <w:keepLines/>
        <w:rPr>
          <w:rtl/>
          <w:lang w:bidi="ar-EG"/>
        </w:rPr>
      </w:pPr>
      <w:r>
        <w:rPr>
          <w:rFonts w:hint="cs"/>
          <w:rtl/>
          <w:lang w:bidi="ar-EG"/>
        </w:rPr>
        <w:lastRenderedPageBreak/>
        <w:t>3.3</w:t>
      </w:r>
      <w:r>
        <w:rPr>
          <w:rtl/>
          <w:lang w:bidi="ar-EG"/>
        </w:rPr>
        <w:tab/>
      </w:r>
      <w:r w:rsidR="00B32540" w:rsidRPr="00B32540">
        <w:rPr>
          <w:rtl/>
          <w:lang w:bidi="ar-EG"/>
        </w:rPr>
        <w:t xml:space="preserve">وأكد عضوان في المجلس أن أكاديمية الاتحاد ينبغي تعزيزها بقوة في المناطق والبلدان، لضمان </w:t>
      </w:r>
      <w:r w:rsidR="0075158F">
        <w:rPr>
          <w:rFonts w:hint="cs"/>
          <w:rtl/>
          <w:lang w:bidi="ar-EG"/>
        </w:rPr>
        <w:t xml:space="preserve">أن تكون </w:t>
      </w:r>
      <w:r w:rsidR="00B32540" w:rsidRPr="00B32540">
        <w:rPr>
          <w:rtl/>
          <w:lang w:bidi="ar-EG"/>
        </w:rPr>
        <w:t xml:space="preserve">الوزارات والشركاء المحتملين على علم بوجودها، وبالتالي زيادة </w:t>
      </w:r>
      <w:r w:rsidR="00B32540">
        <w:rPr>
          <w:rFonts w:hint="cs"/>
          <w:rtl/>
          <w:lang w:bidi="ar-EG"/>
        </w:rPr>
        <w:t>الملتحقين</w:t>
      </w:r>
      <w:r w:rsidR="00B32540" w:rsidRPr="00B32540">
        <w:rPr>
          <w:rtl/>
          <w:lang w:bidi="ar-EG"/>
        </w:rPr>
        <w:t xml:space="preserve"> بالبرامج</w:t>
      </w:r>
      <w:r w:rsidR="00B32540">
        <w:rPr>
          <w:rFonts w:hint="cs"/>
          <w:rtl/>
          <w:lang w:bidi="ar-EG"/>
        </w:rPr>
        <w:t xml:space="preserve"> من</w:t>
      </w:r>
      <w:r w:rsidR="00B32540" w:rsidRPr="00B32540">
        <w:rPr>
          <w:rtl/>
          <w:lang w:bidi="ar-EG"/>
        </w:rPr>
        <w:t xml:space="preserve"> المجتمع المحلي </w:t>
      </w:r>
      <w:r w:rsidR="00B32540">
        <w:rPr>
          <w:rFonts w:hint="cs"/>
          <w:rtl/>
          <w:lang w:bidi="ar-EG"/>
        </w:rPr>
        <w:t>و</w:t>
      </w:r>
      <w:r w:rsidR="00B32540" w:rsidRPr="00B32540">
        <w:rPr>
          <w:rtl/>
          <w:lang w:bidi="ar-EG"/>
        </w:rPr>
        <w:t xml:space="preserve">القطاع. </w:t>
      </w:r>
      <w:r w:rsidR="00FC6AD5" w:rsidRPr="00FC6AD5">
        <w:rPr>
          <w:rtl/>
          <w:lang w:bidi="ar-EG"/>
        </w:rPr>
        <w:t xml:space="preserve">ولاحظ أحد أعضاء المجلس أن البلدان ينبغي أن تكون قادرة على الاستفادة من التدريب المقدم لموظفي الاتحاد في مختبرات التعلم، لا سيما بشأن القضايا الناشئة المهمة مثل </w:t>
      </w:r>
      <w:r w:rsidR="00FC6AD5" w:rsidRPr="00FC6AD5">
        <w:rPr>
          <w:lang w:bidi="ar-EG"/>
        </w:rPr>
        <w:t>ChatGPT</w:t>
      </w:r>
      <w:r w:rsidR="00FC6AD5" w:rsidRPr="00FC6AD5">
        <w:rPr>
          <w:rtl/>
          <w:lang w:bidi="ar-EG"/>
        </w:rPr>
        <w:t>.</w:t>
      </w:r>
    </w:p>
    <w:p w14:paraId="5EF66457" w14:textId="28BA15A4" w:rsidR="004C4B85" w:rsidRDefault="004C4B85" w:rsidP="00C73953">
      <w:pPr>
        <w:rPr>
          <w:rtl/>
          <w:lang w:bidi="ar-EG"/>
        </w:rPr>
      </w:pPr>
      <w:r>
        <w:rPr>
          <w:rFonts w:hint="cs"/>
          <w:rtl/>
          <w:lang w:bidi="ar-EG"/>
        </w:rPr>
        <w:t>4.3</w:t>
      </w:r>
      <w:r>
        <w:rPr>
          <w:rtl/>
          <w:lang w:bidi="ar-EG"/>
        </w:rPr>
        <w:tab/>
      </w:r>
      <w:r w:rsidR="00FC6AD5" w:rsidRPr="00FC6AD5">
        <w:rPr>
          <w:rtl/>
          <w:lang w:bidi="ar-EG"/>
        </w:rPr>
        <w:t xml:space="preserve">وقال أحد أعضاء المجلس إن تدريباً إضافياً للنساء في المناصب القيادية مثل مبادرة تمكين المرأة التي قادتها حكومة أستراليا في عام 2022 سيساعد في زيادة تأثيرهن في صنع القرار. </w:t>
      </w:r>
      <w:r w:rsidR="00C35728" w:rsidRPr="00C35728">
        <w:rPr>
          <w:rtl/>
          <w:lang w:bidi="ar-EG"/>
        </w:rPr>
        <w:t>وقال عضو آخر إن الإحصاءات</w:t>
      </w:r>
      <w:r w:rsidR="0075158F">
        <w:rPr>
          <w:rFonts w:hint="cs"/>
          <w:rtl/>
          <w:lang w:bidi="ar-EG"/>
        </w:rPr>
        <w:t xml:space="preserve"> المصنفة</w:t>
      </w:r>
      <w:r w:rsidR="00C35728" w:rsidRPr="00C35728">
        <w:rPr>
          <w:rtl/>
        </w:rPr>
        <w:t xml:space="preserve"> </w:t>
      </w:r>
      <w:r w:rsidR="00C35728" w:rsidRPr="00C35728">
        <w:rPr>
          <w:rtl/>
          <w:lang w:bidi="ar-EG"/>
        </w:rPr>
        <w:t>س</w:t>
      </w:r>
      <w:r w:rsidR="0075158F">
        <w:rPr>
          <w:rFonts w:hint="cs"/>
          <w:rtl/>
          <w:lang w:bidi="ar-EG"/>
        </w:rPr>
        <w:t>ت</w:t>
      </w:r>
      <w:r w:rsidR="00C35728" w:rsidRPr="00C35728">
        <w:rPr>
          <w:rtl/>
          <w:lang w:bidi="ar-EG"/>
        </w:rPr>
        <w:t>كون مفيد</w:t>
      </w:r>
      <w:r w:rsidR="0075158F">
        <w:rPr>
          <w:rFonts w:hint="cs"/>
          <w:rtl/>
          <w:lang w:bidi="ar-EG"/>
        </w:rPr>
        <w:t>ة</w:t>
      </w:r>
      <w:r w:rsidR="00C35728" w:rsidRPr="00C35728">
        <w:rPr>
          <w:rtl/>
          <w:lang w:bidi="ar-EG"/>
        </w:rPr>
        <w:t xml:space="preserve"> بشأن تكوين الدورات التدريبية، مع الإشارة بشكل خاص إلى سكان المجتمعات النائية والريفية والتوازن بين الجنسين. </w:t>
      </w:r>
      <w:r w:rsidR="00C73953" w:rsidRPr="00C73953">
        <w:rPr>
          <w:rtl/>
          <w:lang w:bidi="ar-EG"/>
        </w:rPr>
        <w:t xml:space="preserve">وقال عضو آخر في المجلس </w:t>
      </w:r>
      <w:r w:rsidR="0075158F">
        <w:rPr>
          <w:rFonts w:hint="cs"/>
          <w:rtl/>
          <w:lang w:bidi="ar-EG"/>
        </w:rPr>
        <w:t>إن من اللازم</w:t>
      </w:r>
      <w:r w:rsidR="0075158F" w:rsidRPr="00C73953">
        <w:rPr>
          <w:rtl/>
          <w:lang w:bidi="ar-EG"/>
        </w:rPr>
        <w:t xml:space="preserve"> </w:t>
      </w:r>
      <w:r w:rsidR="00C73953" w:rsidRPr="00C73953">
        <w:rPr>
          <w:rtl/>
          <w:lang w:bidi="ar-EG"/>
        </w:rPr>
        <w:t>دراسة الأسباب التي أدت إلى عدم استكمال نسبة كبيرة من المشاركين</w:t>
      </w:r>
      <w:r w:rsidR="00C73953" w:rsidRPr="00C73953">
        <w:rPr>
          <w:rtl/>
        </w:rPr>
        <w:t xml:space="preserve"> </w:t>
      </w:r>
      <w:r w:rsidR="00C73953" w:rsidRPr="00C73953">
        <w:rPr>
          <w:rFonts w:hint="cs"/>
          <w:rtl/>
        </w:rPr>
        <w:t>ل</w:t>
      </w:r>
      <w:r w:rsidR="00C73953" w:rsidRPr="00C73953">
        <w:rPr>
          <w:rtl/>
          <w:lang w:bidi="ar-EG"/>
        </w:rPr>
        <w:t>دورات أكاديمية الاتحاد</w:t>
      </w:r>
      <w:r w:rsidR="00C73953" w:rsidRPr="00C73953">
        <w:rPr>
          <w:rFonts w:hint="cs"/>
          <w:rtl/>
          <w:lang w:bidi="ar-EG"/>
        </w:rPr>
        <w:t xml:space="preserve"> المانحة لشهادات</w:t>
      </w:r>
      <w:r w:rsidR="00C73953" w:rsidRPr="00C73953">
        <w:rPr>
          <w:rtl/>
          <w:lang w:bidi="ar-EG"/>
        </w:rPr>
        <w:t xml:space="preserve"> في عام 2022 واتخاذ الخطوات المناسبة للسماح للمشاركين بالاستفادة القصوى من الدورات.</w:t>
      </w:r>
    </w:p>
    <w:p w14:paraId="5FEE292F" w14:textId="77E29656" w:rsidR="004C4B85" w:rsidRDefault="004C4B85" w:rsidP="004C4B85">
      <w:pPr>
        <w:rPr>
          <w:rtl/>
          <w:lang w:bidi="ar-EG"/>
        </w:rPr>
      </w:pPr>
      <w:r>
        <w:rPr>
          <w:rFonts w:hint="cs"/>
          <w:rtl/>
          <w:lang w:bidi="ar-EG"/>
        </w:rPr>
        <w:t>5.3</w:t>
      </w:r>
      <w:r>
        <w:rPr>
          <w:rtl/>
          <w:lang w:bidi="ar-EG"/>
        </w:rPr>
        <w:tab/>
      </w:r>
      <w:r w:rsidR="00C73953" w:rsidRPr="00C73953">
        <w:rPr>
          <w:rtl/>
          <w:lang w:bidi="ar-EG"/>
        </w:rPr>
        <w:t xml:space="preserve">وقال عضو المجلس من المملكة العربية السعودية إن بلاده ترغب في التعاون الوثيق مع الاتحاد لتقديم برامج مجانية للدول الأعضاء. وقالت عضو المجلس </w:t>
      </w:r>
      <w:r w:rsidR="0075158F">
        <w:rPr>
          <w:rFonts w:hint="cs"/>
          <w:rtl/>
          <w:lang w:bidi="ar-EG"/>
        </w:rPr>
        <w:t>من الصين</w:t>
      </w:r>
      <w:r w:rsidR="0075158F" w:rsidRPr="00C73953">
        <w:rPr>
          <w:rtl/>
          <w:lang w:bidi="ar-EG"/>
        </w:rPr>
        <w:t xml:space="preserve"> </w:t>
      </w:r>
      <w:r w:rsidR="00C73953" w:rsidRPr="00C73953">
        <w:rPr>
          <w:rtl/>
          <w:lang w:bidi="ar-EG"/>
        </w:rPr>
        <w:t>إن بلادها ترغب في استعمال مساهمتها التطوعية لدعم الأعمال ذات الصلة.</w:t>
      </w:r>
      <w:r w:rsidR="005D02E5" w:rsidRPr="005D02E5">
        <w:rPr>
          <w:rtl/>
        </w:rPr>
        <w:t xml:space="preserve"> </w:t>
      </w:r>
      <w:r w:rsidR="005D02E5" w:rsidRPr="005D02E5">
        <w:rPr>
          <w:rtl/>
          <w:lang w:bidi="ar-EG"/>
        </w:rPr>
        <w:t>وإذ أقر عضو المجلس من كندا بأن العديد من البلدان في منطقة الأمريكتين استفادت من التدريب المقدم من أكاديمية الاتحاد الدولي للاتصالات، عرض استمرار التعاون والتعاضد ضمن منطقته وضمن لجنة البلدان الأمريكية للاتصالات (</w:t>
      </w:r>
      <w:r w:rsidR="005D02E5" w:rsidRPr="005D02E5">
        <w:rPr>
          <w:lang w:bidi="ar-EG"/>
        </w:rPr>
        <w:t>CITEL</w:t>
      </w:r>
      <w:r w:rsidR="005D02E5" w:rsidRPr="005D02E5">
        <w:rPr>
          <w:rtl/>
          <w:lang w:bidi="ar-EG"/>
        </w:rPr>
        <w:t>).</w:t>
      </w:r>
    </w:p>
    <w:p w14:paraId="220BE8E9" w14:textId="113134E3" w:rsidR="004C4B85" w:rsidRPr="00DB6591" w:rsidRDefault="004C4B85" w:rsidP="002E438C">
      <w:pPr>
        <w:rPr>
          <w:spacing w:val="-2"/>
          <w:rtl/>
          <w:lang w:bidi="ar-EG"/>
        </w:rPr>
      </w:pPr>
      <w:r w:rsidRPr="00DB6591">
        <w:rPr>
          <w:rFonts w:hint="cs"/>
          <w:spacing w:val="-2"/>
          <w:rtl/>
          <w:lang w:bidi="ar-EG"/>
        </w:rPr>
        <w:t>6.3</w:t>
      </w:r>
      <w:r w:rsidRPr="00DB6591">
        <w:rPr>
          <w:spacing w:val="-2"/>
          <w:rtl/>
          <w:lang w:bidi="ar-EG"/>
        </w:rPr>
        <w:tab/>
      </w:r>
      <w:r w:rsidR="005D02E5" w:rsidRPr="00DB6591">
        <w:rPr>
          <w:spacing w:val="-2"/>
          <w:rtl/>
          <w:lang w:bidi="ar-EG"/>
        </w:rPr>
        <w:t>ورداً على المسائل التي أثيرت، قال ممثل مكتب تنمية الاتصالات إن ال</w:t>
      </w:r>
      <w:r w:rsidR="005D02E5" w:rsidRPr="00DB6591">
        <w:rPr>
          <w:rFonts w:hint="cs"/>
          <w:spacing w:val="-2"/>
          <w:rtl/>
          <w:lang w:bidi="ar-EG"/>
        </w:rPr>
        <w:t>م</w:t>
      </w:r>
      <w:r w:rsidR="005D02E5" w:rsidRPr="00DB6591">
        <w:rPr>
          <w:spacing w:val="-2"/>
          <w:rtl/>
          <w:lang w:bidi="ar-EG"/>
        </w:rPr>
        <w:t>قترحات المقد</w:t>
      </w:r>
      <w:r w:rsidR="005D02E5" w:rsidRPr="00DB6591">
        <w:rPr>
          <w:rFonts w:hint="cs"/>
          <w:spacing w:val="-2"/>
          <w:rtl/>
          <w:lang w:bidi="ar-EG"/>
        </w:rPr>
        <w:t>َ</w:t>
      </w:r>
      <w:r w:rsidR="005D02E5" w:rsidRPr="00DB6591">
        <w:rPr>
          <w:spacing w:val="-2"/>
          <w:rtl/>
          <w:lang w:bidi="ar-EG"/>
        </w:rPr>
        <w:t xml:space="preserve">مة </w:t>
      </w:r>
      <w:r w:rsidR="005D02E5" w:rsidRPr="00DB6591">
        <w:rPr>
          <w:rFonts w:hint="cs"/>
          <w:spacing w:val="-2"/>
          <w:rtl/>
          <w:lang w:bidi="ar-EG"/>
        </w:rPr>
        <w:t>أُخذ</w:t>
      </w:r>
      <w:r w:rsidR="005D02E5" w:rsidRPr="00DB6591">
        <w:rPr>
          <w:spacing w:val="-2"/>
          <w:rtl/>
          <w:lang w:bidi="ar-EG"/>
        </w:rPr>
        <w:t xml:space="preserve"> علم</w:t>
      </w:r>
      <w:r w:rsidR="005D02E5" w:rsidRPr="00DB6591">
        <w:rPr>
          <w:rFonts w:hint="cs"/>
          <w:spacing w:val="-2"/>
          <w:rtl/>
          <w:lang w:bidi="ar-EG"/>
        </w:rPr>
        <w:t>ٌ بها</w:t>
      </w:r>
      <w:r w:rsidR="005D02E5" w:rsidRPr="00DB6591">
        <w:rPr>
          <w:spacing w:val="-2"/>
          <w:rtl/>
          <w:lang w:bidi="ar-EG"/>
        </w:rPr>
        <w:t xml:space="preserve"> على النحو الواجب. </w:t>
      </w:r>
      <w:r w:rsidR="002E438C" w:rsidRPr="00DB6591">
        <w:rPr>
          <w:spacing w:val="-2"/>
          <w:rtl/>
          <w:lang w:bidi="ar-EG"/>
        </w:rPr>
        <w:t xml:space="preserve">وقد عمل الاتحاد مع </w:t>
      </w:r>
      <w:r w:rsidR="002E438C" w:rsidRPr="00DB6591">
        <w:rPr>
          <w:rFonts w:hint="cs"/>
          <w:spacing w:val="-2"/>
          <w:rtl/>
          <w:lang w:bidi="ar-EG"/>
        </w:rPr>
        <w:t>عدة</w:t>
      </w:r>
      <w:r w:rsidR="002E438C" w:rsidRPr="00DB6591">
        <w:rPr>
          <w:spacing w:val="-2"/>
          <w:rtl/>
          <w:lang w:bidi="ar-EG"/>
        </w:rPr>
        <w:t xml:space="preserve"> دول أعضاء، ومن الأمثلة على ذلك تقديم تدريب ناجح عبر الإنترنت مع المملكة العربية السعودية على منصة أكاديمية الاتحاد.</w:t>
      </w:r>
      <w:r w:rsidR="00E74A0D">
        <w:rPr>
          <w:spacing w:val="-2"/>
          <w:rtl/>
          <w:lang w:bidi="ar-EG"/>
        </w:rPr>
        <w:t xml:space="preserve"> </w:t>
      </w:r>
      <w:r w:rsidR="002E438C" w:rsidRPr="00DB6591">
        <w:rPr>
          <w:spacing w:val="-2"/>
          <w:rtl/>
          <w:lang w:bidi="ar-EG"/>
        </w:rPr>
        <w:t>وتعمل الأمانة بنشاط على الترويج، وتأمل أن يقوم الأعضاء أيضاً بالترويج للدورات التدريبية لأكاديمية الاتحاد في إداراتهم وفي مناطقهم.</w:t>
      </w:r>
      <w:r w:rsidR="002E438C" w:rsidRPr="00DB6591">
        <w:rPr>
          <w:spacing w:val="-2"/>
          <w:rtl/>
        </w:rPr>
        <w:t xml:space="preserve"> </w:t>
      </w:r>
      <w:r w:rsidR="002E438C" w:rsidRPr="00DB6591">
        <w:rPr>
          <w:spacing w:val="-2"/>
          <w:rtl/>
          <w:lang w:bidi="ar-EG"/>
        </w:rPr>
        <w:t xml:space="preserve">والإحصاءات </w:t>
      </w:r>
      <w:r w:rsidR="0075158F" w:rsidRPr="00DB6591">
        <w:rPr>
          <w:rFonts w:hint="cs"/>
          <w:spacing w:val="-2"/>
          <w:rtl/>
          <w:lang w:bidi="ar-EG"/>
        </w:rPr>
        <w:t>المصنفة</w:t>
      </w:r>
      <w:r w:rsidR="0075158F" w:rsidRPr="00DB6591">
        <w:rPr>
          <w:spacing w:val="-2"/>
          <w:rtl/>
          <w:lang w:bidi="ar-EG"/>
        </w:rPr>
        <w:t xml:space="preserve"> </w:t>
      </w:r>
      <w:r w:rsidR="002E438C" w:rsidRPr="00DB6591">
        <w:rPr>
          <w:spacing w:val="-2"/>
          <w:rtl/>
          <w:lang w:bidi="ar-EG"/>
        </w:rPr>
        <w:t>متاحة، ولكن لم تدرج جميعها في التقرير.</w:t>
      </w:r>
      <w:r w:rsidR="00E74A0D">
        <w:rPr>
          <w:spacing w:val="-2"/>
          <w:rtl/>
          <w:lang w:bidi="ar-EG"/>
        </w:rPr>
        <w:t xml:space="preserve"> </w:t>
      </w:r>
      <w:r w:rsidR="002E438C" w:rsidRPr="00DB6591">
        <w:rPr>
          <w:spacing w:val="-2"/>
          <w:rtl/>
          <w:lang w:bidi="ar-EG"/>
        </w:rPr>
        <w:t>وقد نجح فعلاً تدريب النساء على القيادة، وسيُنظر في أساليب استنساخها، وكذلك في توفير مختبرات التعلم لفائدة الأعضاء على نطاق أوسع.</w:t>
      </w:r>
    </w:p>
    <w:p w14:paraId="45D2C92B" w14:textId="0A5632D8" w:rsidR="004C4B85" w:rsidRDefault="004C4B85" w:rsidP="007070FC">
      <w:pPr>
        <w:rPr>
          <w:rtl/>
          <w:lang w:bidi="ar-EG"/>
        </w:rPr>
      </w:pPr>
      <w:r>
        <w:rPr>
          <w:rFonts w:hint="cs"/>
          <w:rtl/>
          <w:lang w:bidi="ar-EG"/>
        </w:rPr>
        <w:t>7.3</w:t>
      </w:r>
      <w:r>
        <w:rPr>
          <w:rtl/>
          <w:lang w:bidi="ar-EG"/>
        </w:rPr>
        <w:tab/>
      </w:r>
      <w:r w:rsidR="007070FC" w:rsidRPr="007070FC">
        <w:rPr>
          <w:rtl/>
          <w:lang w:bidi="ar-EG"/>
        </w:rPr>
        <w:t>وقال مدير مكتب تنمية الاتصالات إن الاتحاد يعمل على تعزيز جهوده في مجال بناء القدرات وشكر الإدارات</w:t>
      </w:r>
      <w:r w:rsidR="00777E83" w:rsidRPr="00777E83">
        <w:rPr>
          <w:rtl/>
        </w:rPr>
        <w:t xml:space="preserve"> </w:t>
      </w:r>
      <w:r w:rsidR="00777E83" w:rsidRPr="00777E83">
        <w:rPr>
          <w:rtl/>
          <w:lang w:bidi="ar-EG"/>
        </w:rPr>
        <w:t>العديد</w:t>
      </w:r>
      <w:r w:rsidR="00777E83">
        <w:rPr>
          <w:rFonts w:hint="cs"/>
          <w:rtl/>
          <w:lang w:bidi="ar-EG"/>
        </w:rPr>
        <w:t>ة</w:t>
      </w:r>
      <w:r w:rsidR="007070FC" w:rsidRPr="007070FC">
        <w:rPr>
          <w:rtl/>
          <w:lang w:bidi="ar-EG"/>
        </w:rPr>
        <w:t xml:space="preserve"> التي تدعم جهوده</w:t>
      </w:r>
      <w:r w:rsidR="00777E83">
        <w:rPr>
          <w:rFonts w:hint="cs"/>
          <w:rtl/>
          <w:lang w:bidi="ar-EG"/>
        </w:rPr>
        <w:t xml:space="preserve"> الرامية</w:t>
      </w:r>
      <w:r w:rsidR="007070FC" w:rsidRPr="007070FC">
        <w:rPr>
          <w:rtl/>
          <w:lang w:bidi="ar-EG"/>
        </w:rPr>
        <w:t xml:space="preserve"> </w:t>
      </w:r>
      <w:r w:rsidR="0075158F">
        <w:rPr>
          <w:rFonts w:hint="cs"/>
          <w:rtl/>
          <w:lang w:bidi="ar-EG"/>
        </w:rPr>
        <w:t xml:space="preserve">إلى </w:t>
      </w:r>
      <w:r w:rsidR="007070FC" w:rsidRPr="007070FC">
        <w:rPr>
          <w:rtl/>
          <w:lang w:bidi="ar-EG"/>
        </w:rPr>
        <w:t xml:space="preserve">سد فجوة المهارات. </w:t>
      </w:r>
      <w:r w:rsidR="00777E83" w:rsidRPr="00777E83">
        <w:rPr>
          <w:rtl/>
          <w:lang w:bidi="ar-EG"/>
        </w:rPr>
        <w:t xml:space="preserve">وقال </w:t>
      </w:r>
      <w:r w:rsidR="00777E83">
        <w:rPr>
          <w:rFonts w:hint="cs"/>
          <w:rtl/>
          <w:lang w:bidi="ar-EG"/>
        </w:rPr>
        <w:t xml:space="preserve">إن </w:t>
      </w:r>
      <w:r w:rsidR="00777E83" w:rsidRPr="00777E83">
        <w:rPr>
          <w:rtl/>
          <w:lang w:bidi="ar-EG"/>
        </w:rPr>
        <w:t>الأمانة أخذت في الاعتبار النقطة التي أثيرت بشأن استخدام أكاديمية الاتحاد كأداة من أدوات الاتحاد</w:t>
      </w:r>
      <w:r w:rsidR="009C5123">
        <w:rPr>
          <w:rFonts w:hint="cs"/>
          <w:rtl/>
          <w:lang w:bidi="ar-EG"/>
        </w:rPr>
        <w:t>:</w:t>
      </w:r>
      <w:r w:rsidR="009C5123" w:rsidRPr="009C5123">
        <w:rPr>
          <w:rtl/>
        </w:rPr>
        <w:t xml:space="preserve"> </w:t>
      </w:r>
      <w:r w:rsidR="0075158F">
        <w:rPr>
          <w:rFonts w:hint="cs"/>
          <w:rtl/>
          <w:lang w:bidi="ar-EG"/>
        </w:rPr>
        <w:t>ويقدَّم</w:t>
      </w:r>
      <w:r w:rsidR="0075158F" w:rsidRPr="009C5123">
        <w:rPr>
          <w:rtl/>
          <w:lang w:bidi="ar-EG"/>
        </w:rPr>
        <w:t xml:space="preserve"> </w:t>
      </w:r>
      <w:r w:rsidR="009C5123" w:rsidRPr="009C5123">
        <w:rPr>
          <w:rtl/>
          <w:lang w:bidi="ar-EG"/>
        </w:rPr>
        <w:t>المحتوى ذو الصلة على منصة أكاديمية الاتحاد بالتعاون مع مكتب الاتصالات الراديوية ومكتب تقييس الاتصالات،</w:t>
      </w:r>
      <w:r w:rsidR="00DE6F23" w:rsidRPr="00DE6F23">
        <w:rPr>
          <w:rtl/>
        </w:rPr>
        <w:t xml:space="preserve"> </w:t>
      </w:r>
      <w:r w:rsidR="00DE6F23" w:rsidRPr="00DE6F23">
        <w:rPr>
          <w:rtl/>
          <w:lang w:bidi="ar-EG"/>
        </w:rPr>
        <w:t>ومن الأمثلة البارزة على ذلك، الدورات التدريبية المعتمدة بشأن إدارة الطيف لتقديم الإعفاءات حتى مستوى الماجستير.</w:t>
      </w:r>
      <w:r w:rsidR="00E74A0D">
        <w:rPr>
          <w:rtl/>
          <w:lang w:bidi="ar-EG"/>
        </w:rPr>
        <w:t xml:space="preserve"> </w:t>
      </w:r>
      <w:r w:rsidR="00DE6F23" w:rsidRPr="00DE6F23">
        <w:rPr>
          <w:rtl/>
          <w:lang w:bidi="ar-EG"/>
        </w:rPr>
        <w:t>وستتواصل الجهود المبذولة لضمان تقديم التدريب إلى جميع البلدان، سواء في المناطق الريفية أو الحضرية.</w:t>
      </w:r>
    </w:p>
    <w:p w14:paraId="43D08358" w14:textId="073215F7" w:rsidR="004C4B85" w:rsidRPr="00EC6CB4" w:rsidRDefault="004C4B85" w:rsidP="00EC6CB4">
      <w:pPr>
        <w:rPr>
          <w:rtl/>
          <w:lang w:val="en-GB"/>
        </w:rPr>
      </w:pPr>
      <w:r>
        <w:rPr>
          <w:rFonts w:hint="cs"/>
          <w:rtl/>
          <w:lang w:bidi="ar-EG"/>
        </w:rPr>
        <w:t>8.3</w:t>
      </w:r>
      <w:r>
        <w:rPr>
          <w:rtl/>
          <w:lang w:bidi="ar-EG"/>
        </w:rPr>
        <w:tab/>
      </w:r>
      <w:r w:rsidR="00096B9F">
        <w:rPr>
          <w:rFonts w:hint="cs"/>
          <w:b/>
          <w:bCs/>
          <w:rtl/>
        </w:rPr>
        <w:t>وأخذ</w:t>
      </w:r>
      <w:r w:rsidR="00EC6CB4" w:rsidRPr="00A15EA5">
        <w:rPr>
          <w:rtl/>
        </w:rPr>
        <w:t xml:space="preserve"> المجلس </w:t>
      </w:r>
      <w:r w:rsidR="00EC6CB4" w:rsidRPr="00CC21EE">
        <w:rPr>
          <w:b/>
          <w:bCs/>
          <w:rtl/>
        </w:rPr>
        <w:t>علماً</w:t>
      </w:r>
      <w:r w:rsidR="00EC6CB4" w:rsidRPr="00A15EA5">
        <w:rPr>
          <w:rtl/>
        </w:rPr>
        <w:t xml:space="preserve"> بالتقرير الوارد في الوثيقة </w:t>
      </w:r>
      <w:r w:rsidR="00EC6CB4" w:rsidRPr="00A15EA5">
        <w:t>C2</w:t>
      </w:r>
      <w:r w:rsidR="00EC6CB4">
        <w:t>3/5</w:t>
      </w:r>
      <w:r w:rsidR="00EC6CB4">
        <w:rPr>
          <w:rFonts w:hint="cs"/>
          <w:rtl/>
        </w:rPr>
        <w:t>.</w:t>
      </w:r>
    </w:p>
    <w:p w14:paraId="42B4FB86" w14:textId="74A37CE7" w:rsidR="004C4B85" w:rsidRPr="004C4B85" w:rsidRDefault="004C4B85" w:rsidP="00EC6CB4">
      <w:pPr>
        <w:pStyle w:val="Heading1"/>
        <w:rPr>
          <w:lang w:bidi="ar-EG"/>
        </w:rPr>
      </w:pPr>
      <w:r w:rsidRPr="004C4B85">
        <w:rPr>
          <w:lang w:bidi="ar-EG"/>
        </w:rPr>
        <w:t>4</w:t>
      </w:r>
      <w:r w:rsidRPr="004C4B85">
        <w:rPr>
          <w:cs/>
          <w:lang w:bidi="ar-EG"/>
        </w:rPr>
        <w:t>‎</w:t>
      </w:r>
      <w:r w:rsidRPr="004C4B85">
        <w:rPr>
          <w:rtl/>
          <w:lang w:bidi="ar-EG"/>
        </w:rPr>
        <w:tab/>
      </w:r>
      <w:r w:rsidR="00EC6CB4" w:rsidRPr="00EC6CB4">
        <w:rPr>
          <w:rFonts w:hint="cs"/>
          <w:rtl/>
        </w:rPr>
        <w:t>المهام والوظائف المنوطة بنائب الأمينة العامة</w:t>
      </w:r>
      <w:r w:rsidR="00EC6CB4" w:rsidRPr="00EC6CB4">
        <w:rPr>
          <w:rFonts w:hint="cs"/>
          <w:rtl/>
          <w:lang w:bidi="ar-EG"/>
        </w:rPr>
        <w:t xml:space="preserve"> </w:t>
      </w:r>
      <w:r>
        <w:rPr>
          <w:rFonts w:hint="cs"/>
          <w:rtl/>
          <w:lang w:bidi="ar-EG"/>
        </w:rPr>
        <w:t xml:space="preserve">(الوثيقة </w:t>
      </w:r>
      <w:hyperlink r:id="rId15" w:history="1">
        <w:hyperlink r:id="rId16" w:history="1">
          <w:r w:rsidR="00EC6CB4" w:rsidRPr="00EC6CB4">
            <w:rPr>
              <w:rStyle w:val="Hyperlink"/>
              <w:lang w:bidi="ar-EG"/>
            </w:rPr>
            <w:t>C23/29</w:t>
          </w:r>
        </w:hyperlink>
        <w:r w:rsidRPr="004C4B85">
          <w:rPr>
            <w:rStyle w:val="Hyperlink"/>
            <w:cs/>
            <w:lang w:bidi="ar-EG"/>
          </w:rPr>
          <w:t>‎</w:t>
        </w:r>
      </w:hyperlink>
      <w:r>
        <w:rPr>
          <w:rFonts w:hint="cs"/>
          <w:rtl/>
          <w:cs/>
          <w:lang w:bidi="ar-EG"/>
        </w:rPr>
        <w:t>)</w:t>
      </w:r>
    </w:p>
    <w:p w14:paraId="675271D3" w14:textId="71966C9B" w:rsidR="004C4B85" w:rsidRDefault="00843DEB" w:rsidP="00EC6CB4">
      <w:pPr>
        <w:rPr>
          <w:rtl/>
          <w:lang w:bidi="ar-EG"/>
        </w:rPr>
      </w:pPr>
      <w:r>
        <w:rPr>
          <w:rFonts w:hint="cs"/>
          <w:rtl/>
          <w:lang w:bidi="ar-EG"/>
        </w:rPr>
        <w:t>1.4</w:t>
      </w:r>
      <w:r>
        <w:rPr>
          <w:rtl/>
          <w:lang w:bidi="ar-EG"/>
        </w:rPr>
        <w:tab/>
      </w:r>
      <w:r w:rsidR="00DE6F23" w:rsidRPr="00DE6F23">
        <w:rPr>
          <w:rtl/>
          <w:lang w:bidi="ar-EG"/>
        </w:rPr>
        <w:t xml:space="preserve">قدم رئيس </w:t>
      </w:r>
      <w:r w:rsidR="00DE6F23">
        <w:rPr>
          <w:rFonts w:hint="cs"/>
          <w:rtl/>
          <w:lang w:bidi="ar-EG"/>
        </w:rPr>
        <w:t>دائرة</w:t>
      </w:r>
      <w:r w:rsidR="00DE6F23" w:rsidRPr="00DE6F23">
        <w:rPr>
          <w:rtl/>
          <w:lang w:bidi="ar-EG"/>
        </w:rPr>
        <w:t xml:space="preserve"> تنمية الموارد البشرية الوثيقة </w:t>
      </w:r>
      <w:r w:rsidR="00DE6F23" w:rsidRPr="00DC13E7">
        <w:rPr>
          <w:lang w:bidi="ar-EG"/>
        </w:rPr>
        <w:t>C23/29</w:t>
      </w:r>
      <w:r w:rsidR="00DE6F23" w:rsidRPr="00DE6F23">
        <w:rPr>
          <w:rtl/>
          <w:lang w:bidi="ar-EG"/>
        </w:rPr>
        <w:t>.</w:t>
      </w:r>
      <w:r w:rsidR="00DC13E7">
        <w:rPr>
          <w:rFonts w:hint="cs"/>
          <w:rtl/>
          <w:lang w:bidi="ar-EG"/>
        </w:rPr>
        <w:t xml:space="preserve"> </w:t>
      </w:r>
      <w:r w:rsidR="00DE6F23">
        <w:rPr>
          <w:rFonts w:hint="cs"/>
          <w:rtl/>
          <w:lang w:bidi="ar-EG"/>
        </w:rPr>
        <w:t>وتضمنت الوثيقة تقريراً</w:t>
      </w:r>
      <w:r w:rsidR="00EC6CB4">
        <w:rPr>
          <w:rFonts w:hint="cs"/>
          <w:rtl/>
          <w:lang w:bidi="ar-EG"/>
        </w:rPr>
        <w:t xml:space="preserve"> </w:t>
      </w:r>
      <w:r w:rsidR="00EC6CB4" w:rsidRPr="00A5412F">
        <w:rPr>
          <w:rFonts w:hint="cs"/>
          <w:rtl/>
        </w:rPr>
        <w:t xml:space="preserve">أُعد </w:t>
      </w:r>
      <w:r w:rsidR="0075158F">
        <w:rPr>
          <w:rFonts w:hint="cs"/>
          <w:rtl/>
        </w:rPr>
        <w:t>عملاً با</w:t>
      </w:r>
      <w:r w:rsidR="00EC6CB4" w:rsidRPr="00A5412F">
        <w:rPr>
          <w:rFonts w:hint="cs"/>
          <w:rtl/>
        </w:rPr>
        <w:t xml:space="preserve">لقرار </w:t>
      </w:r>
      <w:r w:rsidR="00EC6CB4" w:rsidRPr="00A5412F">
        <w:t>148</w:t>
      </w:r>
      <w:r w:rsidR="00EC6CB4" w:rsidRPr="00A5412F">
        <w:rPr>
          <w:rFonts w:hint="cs"/>
          <w:rtl/>
          <w:lang w:bidi="ar-EG"/>
        </w:rPr>
        <w:t xml:space="preserve"> (المراجَع في</w:t>
      </w:r>
      <w:r w:rsidR="00DB6591">
        <w:rPr>
          <w:rFonts w:hint="eastAsia"/>
          <w:rtl/>
          <w:lang w:bidi="ar-EG"/>
        </w:rPr>
        <w:t> </w:t>
      </w:r>
      <w:r w:rsidR="00EC6CB4" w:rsidRPr="00A5412F">
        <w:rPr>
          <w:rFonts w:hint="cs"/>
          <w:rtl/>
          <w:lang w:bidi="ar-EG"/>
        </w:rPr>
        <w:t xml:space="preserve">بوخارست، </w:t>
      </w:r>
      <w:r w:rsidR="00EC6CB4" w:rsidRPr="00A5412F">
        <w:rPr>
          <w:lang w:bidi="ar-EG"/>
        </w:rPr>
        <w:t>2022</w:t>
      </w:r>
      <w:r w:rsidR="00EC6CB4" w:rsidRPr="00A5412F">
        <w:rPr>
          <w:rFonts w:hint="cs"/>
          <w:rtl/>
          <w:lang w:bidi="ar-EG"/>
        </w:rPr>
        <w:t xml:space="preserve">) لمؤتمر المندوبين المفوضين، </w:t>
      </w:r>
      <w:r w:rsidR="00DE6F23">
        <w:rPr>
          <w:rFonts w:hint="cs"/>
          <w:rtl/>
          <w:lang w:bidi="ar-EG"/>
        </w:rPr>
        <w:t>الذي كلف</w:t>
      </w:r>
      <w:r w:rsidR="00EC6CB4" w:rsidRPr="00A5412F">
        <w:rPr>
          <w:rFonts w:hint="cs"/>
          <w:rtl/>
          <w:lang w:bidi="ar-EG"/>
        </w:rPr>
        <w:t xml:space="preserve"> الأمينة العامة بإعداد توجيهات محددة بشأن المهام </w:t>
      </w:r>
      <w:r w:rsidR="00EC6CB4" w:rsidRPr="00A5412F">
        <w:rPr>
          <w:rtl/>
          <w:lang w:val="fr-FR"/>
        </w:rPr>
        <w:t xml:space="preserve">المفوّضة </w:t>
      </w:r>
      <w:r w:rsidR="00EC6CB4" w:rsidRPr="00A5412F">
        <w:rPr>
          <w:rFonts w:hint="cs"/>
          <w:rtl/>
          <w:lang w:bidi="ar-EG"/>
        </w:rPr>
        <w:t>إلى نائب الأمينة العامة</w:t>
      </w:r>
      <w:r w:rsidR="00DC13E7">
        <w:rPr>
          <w:rFonts w:hint="cs"/>
          <w:rtl/>
          <w:lang w:bidi="ar-EG"/>
        </w:rPr>
        <w:t xml:space="preserve"> </w:t>
      </w:r>
      <w:r w:rsidR="00DC13E7">
        <w:rPr>
          <w:lang w:bidi="ar-EG"/>
        </w:rPr>
        <w:t>(DSG)</w:t>
      </w:r>
      <w:r w:rsidR="00EC6CB4" w:rsidRPr="00A5412F">
        <w:rPr>
          <w:rFonts w:hint="cs"/>
          <w:rtl/>
          <w:lang w:bidi="ar-EG"/>
        </w:rPr>
        <w:t xml:space="preserve">، وفقاً للمادة </w:t>
      </w:r>
      <w:r w:rsidR="00EC6CB4" w:rsidRPr="00A5412F">
        <w:rPr>
          <w:lang w:bidi="ar-EG"/>
        </w:rPr>
        <w:t>11</w:t>
      </w:r>
      <w:r w:rsidR="00EC6CB4" w:rsidRPr="00A5412F">
        <w:rPr>
          <w:rFonts w:hint="cs"/>
          <w:rtl/>
          <w:lang w:bidi="ar-EG"/>
        </w:rPr>
        <w:t xml:space="preserve"> من دستور الاتحاد والمادة </w:t>
      </w:r>
      <w:r w:rsidR="00EC6CB4" w:rsidRPr="00A5412F">
        <w:rPr>
          <w:lang w:bidi="ar-EG"/>
        </w:rPr>
        <w:t>5</w:t>
      </w:r>
      <w:r w:rsidR="00EC6CB4" w:rsidRPr="00A5412F">
        <w:rPr>
          <w:rFonts w:hint="cs"/>
          <w:rtl/>
          <w:lang w:bidi="ar-EG"/>
        </w:rPr>
        <w:t xml:space="preserve"> من اتفاقية الاتحاد، وتقديمها إلى الدورة العادية التالية لمجلس الاتحاد للنظر فيها، حسب الاقتضاء؛ وإصدار توجيهات واضحة ومحددة بشأن المهام </w:t>
      </w:r>
      <w:r w:rsidR="00EC6CB4" w:rsidRPr="00A5412F">
        <w:rPr>
          <w:rtl/>
          <w:lang w:val="fr-FR"/>
        </w:rPr>
        <w:t xml:space="preserve">المفوّضة </w:t>
      </w:r>
      <w:r w:rsidR="00EC6CB4" w:rsidRPr="00A5412F">
        <w:rPr>
          <w:rFonts w:hint="cs"/>
          <w:rtl/>
          <w:lang w:bidi="ar-EG"/>
        </w:rPr>
        <w:t>إلى نائب الأمينة العامة، وإتاحتها لأعضاء الاتحاد، وكذلك لموظفي الاتحاد.</w:t>
      </w:r>
    </w:p>
    <w:p w14:paraId="2845F85A" w14:textId="44244797" w:rsidR="00EC6CB4" w:rsidRDefault="00843DEB" w:rsidP="00843DEB">
      <w:pPr>
        <w:rPr>
          <w:rtl/>
          <w:lang w:bidi="ar-EG"/>
        </w:rPr>
      </w:pPr>
      <w:r>
        <w:rPr>
          <w:rFonts w:hint="cs"/>
          <w:rtl/>
          <w:lang w:bidi="ar-EG"/>
        </w:rPr>
        <w:t>2.4</w:t>
      </w:r>
      <w:r>
        <w:rPr>
          <w:rtl/>
          <w:lang w:bidi="ar-EG"/>
        </w:rPr>
        <w:tab/>
      </w:r>
      <w:r w:rsidR="005178A4" w:rsidRPr="005178A4">
        <w:rPr>
          <w:rtl/>
          <w:lang w:bidi="ar-EG"/>
        </w:rPr>
        <w:t>وأعرب عدة أعضاء في المجلس عن تأييدهم للوثيقة التي دعي المجلس إلى أخذ العلم بها.</w:t>
      </w:r>
    </w:p>
    <w:p w14:paraId="5328518D" w14:textId="32D16068" w:rsidR="00EC6CB4" w:rsidRPr="00DD2CF8" w:rsidRDefault="00EC6CB4" w:rsidP="00843DEB">
      <w:pPr>
        <w:rPr>
          <w:spacing w:val="-2"/>
          <w:rtl/>
          <w:lang w:bidi="ar-EG"/>
        </w:rPr>
      </w:pPr>
      <w:r w:rsidRPr="00DD2CF8">
        <w:rPr>
          <w:rFonts w:hint="cs"/>
          <w:spacing w:val="-2"/>
          <w:rtl/>
          <w:lang w:bidi="ar-EG"/>
        </w:rPr>
        <w:t>3.4</w:t>
      </w:r>
      <w:r w:rsidRPr="00DD2CF8">
        <w:rPr>
          <w:spacing w:val="-2"/>
          <w:rtl/>
          <w:lang w:bidi="ar-EG"/>
        </w:rPr>
        <w:tab/>
      </w:r>
      <w:r w:rsidR="005178A4" w:rsidRPr="00DD2CF8">
        <w:rPr>
          <w:spacing w:val="-2"/>
          <w:rtl/>
          <w:lang w:bidi="ar-EG"/>
        </w:rPr>
        <w:t>وقال عضوان من أعضاء المجلس، نظراً إلى أن استراتيجيات وآليات التنسيق بين القطاعات، المشار إليها في</w:t>
      </w:r>
      <w:r w:rsidR="00DD2CF8" w:rsidRPr="00DD2CF8">
        <w:rPr>
          <w:rFonts w:hint="cs"/>
          <w:spacing w:val="-2"/>
          <w:rtl/>
          <w:lang w:bidi="ar-EG"/>
        </w:rPr>
        <w:t> </w:t>
      </w:r>
      <w:r w:rsidR="005178A4" w:rsidRPr="00DD2CF8">
        <w:rPr>
          <w:spacing w:val="-2"/>
          <w:rtl/>
          <w:lang w:bidi="ar-EG"/>
        </w:rPr>
        <w:t>الفقرة</w:t>
      </w:r>
      <w:r w:rsidR="00DD2CF8" w:rsidRPr="00DD2CF8">
        <w:rPr>
          <w:rFonts w:hint="cs"/>
          <w:spacing w:val="-2"/>
          <w:rtl/>
          <w:lang w:bidi="ar-EG"/>
        </w:rPr>
        <w:t> </w:t>
      </w:r>
      <w:r w:rsidR="005178A4" w:rsidRPr="00DD2CF8">
        <w:rPr>
          <w:spacing w:val="-2"/>
          <w:rtl/>
          <w:lang w:bidi="ar-EG"/>
        </w:rPr>
        <w:t>1</w:t>
      </w:r>
      <w:r w:rsidR="00DD2CF8" w:rsidRPr="00DD2CF8">
        <w:rPr>
          <w:rFonts w:hint="cs"/>
          <w:spacing w:val="-2"/>
          <w:rtl/>
          <w:lang w:bidi="ar-EG"/>
        </w:rPr>
        <w:t>(</w:t>
      </w:r>
      <w:r w:rsidR="005178A4" w:rsidRPr="00DD2CF8">
        <w:rPr>
          <w:spacing w:val="-2"/>
          <w:rtl/>
          <w:lang w:bidi="ar-EG"/>
        </w:rPr>
        <w:t xml:space="preserve">ج) من الوثيقة، قُدّمت للمناقشة في إطار الوثيقة </w:t>
      </w:r>
      <w:r w:rsidR="005178A4" w:rsidRPr="00DD2CF8">
        <w:rPr>
          <w:spacing w:val="-2"/>
          <w:lang w:bidi="ar-EG"/>
        </w:rPr>
        <w:t>C23/27</w:t>
      </w:r>
      <w:r w:rsidR="005178A4" w:rsidRPr="00DD2CF8">
        <w:rPr>
          <w:spacing w:val="-2"/>
          <w:rtl/>
          <w:lang w:bidi="ar-EG"/>
        </w:rPr>
        <w:t>، تفضَّل مناقشة كلتا الوثيقتين معاً من أجل فهم الوظائف المحددة لنائب الأمينة العامة بشكل</w:t>
      </w:r>
      <w:r w:rsidR="00DC13E7">
        <w:rPr>
          <w:rFonts w:hint="cs"/>
          <w:spacing w:val="-2"/>
          <w:rtl/>
          <w:lang w:bidi="ar-EG"/>
        </w:rPr>
        <w:t>ٍ</w:t>
      </w:r>
      <w:r w:rsidR="005178A4" w:rsidRPr="00DD2CF8">
        <w:rPr>
          <w:spacing w:val="-2"/>
          <w:rtl/>
          <w:lang w:bidi="ar-EG"/>
        </w:rPr>
        <w:t xml:space="preserve"> أفضل عند تنفيذها</w:t>
      </w:r>
      <w:r w:rsidR="005178A4" w:rsidRPr="00DD2CF8">
        <w:rPr>
          <w:rFonts w:hint="cs"/>
          <w:spacing w:val="-2"/>
          <w:rtl/>
          <w:lang w:bidi="ar-EG"/>
        </w:rPr>
        <w:t xml:space="preserve">. </w:t>
      </w:r>
      <w:r w:rsidR="005178A4" w:rsidRPr="00DD2CF8">
        <w:rPr>
          <w:spacing w:val="-2"/>
          <w:rtl/>
          <w:lang w:bidi="ar-EG"/>
        </w:rPr>
        <w:t>وأشار أحد الأعضاء إلى أن الفقرة المعنية تختلف جوهرياً عن النسخة السابقة.</w:t>
      </w:r>
    </w:p>
    <w:p w14:paraId="4FD7A59A" w14:textId="1C6B3C16" w:rsidR="00EC6CB4" w:rsidRDefault="00EC6CB4" w:rsidP="00843DEB">
      <w:pPr>
        <w:rPr>
          <w:rtl/>
          <w:lang w:bidi="ar-EG"/>
        </w:rPr>
      </w:pPr>
      <w:r>
        <w:rPr>
          <w:rFonts w:hint="cs"/>
          <w:rtl/>
          <w:lang w:bidi="ar-EG"/>
        </w:rPr>
        <w:t>4.4</w:t>
      </w:r>
      <w:r>
        <w:rPr>
          <w:rtl/>
          <w:lang w:bidi="ar-EG"/>
        </w:rPr>
        <w:tab/>
      </w:r>
      <w:r w:rsidR="00B1688C" w:rsidRPr="00B1688C">
        <w:rPr>
          <w:rtl/>
          <w:lang w:bidi="ar-EG"/>
        </w:rPr>
        <w:t>وسأل أحد أعضاء المجلس عما إذا كان نائب الأمين العام قد فُوض بمهام إضافية، أو ما إذا كان البعض منها قد أزيل.</w:t>
      </w:r>
    </w:p>
    <w:p w14:paraId="1E1A7F3E" w14:textId="47E16708" w:rsidR="00EC6CB4" w:rsidRPr="00EC6CB4" w:rsidRDefault="00EC6CB4" w:rsidP="00EC6CB4">
      <w:pPr>
        <w:rPr>
          <w:rtl/>
          <w:lang w:bidi="ar-EG"/>
        </w:rPr>
      </w:pPr>
      <w:r>
        <w:rPr>
          <w:rFonts w:hint="cs"/>
          <w:rtl/>
          <w:lang w:bidi="ar-EG"/>
        </w:rPr>
        <w:t>5.4</w:t>
      </w:r>
      <w:r>
        <w:rPr>
          <w:rtl/>
          <w:lang w:bidi="ar-EG"/>
        </w:rPr>
        <w:tab/>
      </w:r>
      <w:r w:rsidR="00B1688C" w:rsidRPr="00B1688C">
        <w:rPr>
          <w:rtl/>
          <w:lang w:bidi="ar-EG"/>
        </w:rPr>
        <w:t xml:space="preserve">ورداً على أسئلة أعضاء المجلس بشأن التغييرات التي أدخلت، استرعت </w:t>
      </w:r>
      <w:bookmarkStart w:id="11" w:name="_Hlk143253620"/>
      <w:r w:rsidR="00B1688C" w:rsidRPr="00B1688C">
        <w:rPr>
          <w:rtl/>
          <w:lang w:bidi="ar-EG"/>
        </w:rPr>
        <w:t xml:space="preserve">الأمينة العامة </w:t>
      </w:r>
      <w:bookmarkEnd w:id="11"/>
      <w:r w:rsidR="00B1688C" w:rsidRPr="00B1688C">
        <w:rPr>
          <w:rtl/>
          <w:lang w:bidi="ar-EG"/>
        </w:rPr>
        <w:t>الانتباه إلى الإضافة بموجب الفقرة 1(ب) التي تعبِّر عن روح فريق الإدارة الجديد، أي التشارك في الموارد وتعزيز المهام المختلفة التي ينفذها بشكل متبادل.</w:t>
      </w:r>
      <w:r w:rsidR="00B1688C" w:rsidRPr="00B1688C">
        <w:rPr>
          <w:rtl/>
        </w:rPr>
        <w:t xml:space="preserve"> </w:t>
      </w:r>
      <w:r w:rsidR="00B1688C" w:rsidRPr="00B1688C">
        <w:rPr>
          <w:rtl/>
          <w:lang w:bidi="ar-EG"/>
        </w:rPr>
        <w:t xml:space="preserve">وفيما يتعلق بالفقرة 1 </w:t>
      </w:r>
      <w:r w:rsidR="00DD2CF8">
        <w:rPr>
          <w:rFonts w:hint="cs"/>
          <w:rtl/>
          <w:lang w:bidi="ar-EG"/>
        </w:rPr>
        <w:t>(</w:t>
      </w:r>
      <w:r w:rsidR="00B1688C" w:rsidRPr="00B1688C">
        <w:rPr>
          <w:rtl/>
          <w:lang w:bidi="ar-EG"/>
        </w:rPr>
        <w:t xml:space="preserve">ج)، أشارت إلى أن التنسيق بين القطاعات كان دائماً ضمن اختصاصات نائب الأمين العام؛ بل إن نائب الأمين العام السابق قدم تقارير منتظمة إلى المجلس بشأن مسائل التنسيق بين القطاعات. وقد </w:t>
      </w:r>
      <w:r w:rsidR="000D1B43">
        <w:rPr>
          <w:rFonts w:hint="cs"/>
          <w:rtl/>
          <w:lang w:bidi="ar-EG"/>
        </w:rPr>
        <w:t>اقتبست</w:t>
      </w:r>
      <w:r w:rsidR="00B1688C" w:rsidRPr="00B1688C">
        <w:rPr>
          <w:rtl/>
          <w:lang w:bidi="ar-EG"/>
        </w:rPr>
        <w:t xml:space="preserve"> الإشارة إلى مفهوم "الاتحاد الواحد" </w:t>
      </w:r>
      <w:r w:rsidR="000D1B43">
        <w:rPr>
          <w:rFonts w:hint="cs"/>
          <w:rtl/>
          <w:lang w:bidi="ar-EG"/>
        </w:rPr>
        <w:t>من</w:t>
      </w:r>
      <w:r w:rsidR="00B1688C" w:rsidRPr="00B1688C">
        <w:rPr>
          <w:rtl/>
          <w:lang w:bidi="ar-EG"/>
        </w:rPr>
        <w:t xml:space="preserve"> القرار 191 (المراجع في بوخارست، 2022) لمؤتمر المندوبين المفوضين.</w:t>
      </w:r>
    </w:p>
    <w:p w14:paraId="0B5D9AC5" w14:textId="4F3F9EE2" w:rsidR="00843DEB" w:rsidRPr="00EC6CB4" w:rsidRDefault="00EC6CB4" w:rsidP="00EC6CB4">
      <w:pPr>
        <w:rPr>
          <w:rtl/>
          <w:lang w:val="en-GB"/>
        </w:rPr>
      </w:pPr>
      <w:r w:rsidRPr="00EC6CB4">
        <w:rPr>
          <w:rFonts w:hint="cs"/>
          <w:rtl/>
          <w:lang w:bidi="ar-SY"/>
        </w:rPr>
        <w:lastRenderedPageBreak/>
        <w:t>6.4</w:t>
      </w:r>
      <w:r w:rsidRPr="00EC6CB4">
        <w:rPr>
          <w:rtl/>
          <w:lang w:bidi="ar-SY"/>
        </w:rPr>
        <w:tab/>
      </w:r>
      <w:r w:rsidR="00DE6F23" w:rsidRPr="00DE6F23">
        <w:rPr>
          <w:b/>
          <w:bCs/>
          <w:rtl/>
        </w:rPr>
        <w:t xml:space="preserve">وأخذ </w:t>
      </w:r>
      <w:r w:rsidRPr="00A15EA5">
        <w:rPr>
          <w:rtl/>
        </w:rPr>
        <w:t xml:space="preserve">المجلس </w:t>
      </w:r>
      <w:r w:rsidRPr="00CC21EE">
        <w:rPr>
          <w:b/>
          <w:bCs/>
          <w:rtl/>
        </w:rPr>
        <w:t>علماً</w:t>
      </w:r>
      <w:r w:rsidRPr="00A15EA5">
        <w:rPr>
          <w:rtl/>
        </w:rPr>
        <w:t xml:space="preserve"> بالتقرير الوارد في الوثيقة </w:t>
      </w:r>
      <w:r w:rsidRPr="00A15EA5">
        <w:t>C2</w:t>
      </w:r>
      <w:r>
        <w:t>3/29</w:t>
      </w:r>
      <w:r>
        <w:rPr>
          <w:rFonts w:hint="cs"/>
          <w:rtl/>
        </w:rPr>
        <w:t>.</w:t>
      </w:r>
    </w:p>
    <w:p w14:paraId="452710BA" w14:textId="3CC12127" w:rsidR="00EC6CB4" w:rsidRDefault="00EC6CB4" w:rsidP="00EC6CB4">
      <w:pPr>
        <w:rPr>
          <w:rtl/>
          <w:lang w:bidi="ar-EG"/>
        </w:rPr>
      </w:pPr>
      <w:r w:rsidRPr="00EC6CB4">
        <w:rPr>
          <w:rFonts w:hint="cs"/>
          <w:rtl/>
          <w:lang w:bidi="ar-SY"/>
        </w:rPr>
        <w:t>7.4</w:t>
      </w:r>
      <w:r w:rsidRPr="00EC6CB4">
        <w:rPr>
          <w:rtl/>
          <w:lang w:bidi="ar-SY"/>
        </w:rPr>
        <w:tab/>
      </w:r>
      <w:r w:rsidR="000D1B43">
        <w:rPr>
          <w:rFonts w:hint="cs"/>
          <w:rtl/>
          <w:lang w:bidi="ar-SY"/>
        </w:rPr>
        <w:t>و</w:t>
      </w:r>
      <w:r w:rsidR="000D1B43" w:rsidRPr="000D1B43">
        <w:rPr>
          <w:rtl/>
          <w:lang w:bidi="ar-EG"/>
        </w:rPr>
        <w:t>أعرب نائب الأمينة العامة عن شكره لأعضاء المجلس</w:t>
      </w:r>
      <w:r w:rsidR="000D1B43">
        <w:rPr>
          <w:rFonts w:hint="cs"/>
          <w:rtl/>
          <w:lang w:bidi="ar-EG"/>
        </w:rPr>
        <w:t xml:space="preserve"> على أخذ العلم </w:t>
      </w:r>
      <w:r w:rsidR="00F26CE7" w:rsidRPr="00F26CE7">
        <w:rPr>
          <w:rtl/>
          <w:lang w:bidi="ar-EG"/>
        </w:rPr>
        <w:t xml:space="preserve">بالوثيقة، وللأمينة العامة على ثقتها ولزملائه المسؤولين على نهجهم الجماعي الرامي </w:t>
      </w:r>
      <w:r w:rsidR="0075158F">
        <w:rPr>
          <w:rFonts w:hint="cs"/>
          <w:rtl/>
          <w:lang w:bidi="ar-EG"/>
        </w:rPr>
        <w:t>إ</w:t>
      </w:r>
      <w:r w:rsidR="00F26CE7" w:rsidRPr="00F26CE7">
        <w:rPr>
          <w:rtl/>
          <w:lang w:bidi="ar-EG"/>
        </w:rPr>
        <w:t>ل</w:t>
      </w:r>
      <w:r w:rsidR="0075158F">
        <w:rPr>
          <w:rFonts w:hint="cs"/>
          <w:rtl/>
          <w:lang w:bidi="ar-EG"/>
        </w:rPr>
        <w:t xml:space="preserve">ى </w:t>
      </w:r>
      <w:r w:rsidR="00F26CE7" w:rsidRPr="00F26CE7">
        <w:rPr>
          <w:rtl/>
          <w:lang w:bidi="ar-EG"/>
        </w:rPr>
        <w:t>جعل الاتحاد أوثق صلة بمهامه.</w:t>
      </w:r>
      <w:r w:rsidR="00E74A0D">
        <w:rPr>
          <w:rtl/>
          <w:lang w:bidi="ar-EG"/>
        </w:rPr>
        <w:t xml:space="preserve"> </w:t>
      </w:r>
      <w:r w:rsidR="00F26CE7" w:rsidRPr="00F26CE7">
        <w:rPr>
          <w:rtl/>
          <w:lang w:bidi="ar-EG"/>
        </w:rPr>
        <w:t>وقال إنه لن يدخر جهداً في خدمة الاتحاد.</w:t>
      </w:r>
    </w:p>
    <w:p w14:paraId="3422114E" w14:textId="2DDD3A08" w:rsidR="004C4B85" w:rsidRPr="004C4B85" w:rsidRDefault="004C4B85" w:rsidP="00D320A8">
      <w:pPr>
        <w:pStyle w:val="Heading1"/>
        <w:rPr>
          <w:lang w:bidi="ar-EG"/>
        </w:rPr>
      </w:pPr>
      <w:r w:rsidRPr="004C4B85">
        <w:rPr>
          <w:cs/>
          <w:lang w:bidi="ar-EG"/>
        </w:rPr>
        <w:t>‎</w:t>
      </w:r>
      <w:r w:rsidRPr="004C4B85">
        <w:rPr>
          <w:lang w:bidi="ar-EG"/>
        </w:rPr>
        <w:t>5</w:t>
      </w:r>
      <w:r w:rsidRPr="004C4B85">
        <w:rPr>
          <w:cs/>
          <w:lang w:bidi="ar-EG"/>
        </w:rPr>
        <w:t>‎</w:t>
      </w:r>
      <w:r w:rsidRPr="004C4B85">
        <w:rPr>
          <w:rtl/>
          <w:lang w:bidi="ar-EG"/>
        </w:rPr>
        <w:tab/>
      </w:r>
      <w:r w:rsidR="00D320A8" w:rsidRPr="00D320A8">
        <w:rPr>
          <w:rFonts w:hint="cs"/>
          <w:rtl/>
          <w:lang w:bidi="ar-SY"/>
        </w:rPr>
        <w:t>استراتيجية تنسيق الجهود بين قطاعات الاتحاد الثلاثة</w:t>
      </w:r>
      <w:r w:rsidR="00D320A8" w:rsidRPr="00D320A8">
        <w:rPr>
          <w:rFonts w:hint="cs"/>
          <w:rtl/>
          <w:lang w:bidi="ar-EG"/>
        </w:rPr>
        <w:t xml:space="preserve"> </w:t>
      </w:r>
      <w:r>
        <w:rPr>
          <w:rFonts w:hint="cs"/>
          <w:rtl/>
          <w:lang w:bidi="ar-EG"/>
        </w:rPr>
        <w:t xml:space="preserve">(الوثائق </w:t>
      </w:r>
      <w:hyperlink r:id="rId17" w:history="1">
        <w:r w:rsidR="00D320A8" w:rsidRPr="00D320A8">
          <w:rPr>
            <w:rStyle w:val="Hyperlink"/>
          </w:rPr>
          <w:t>C23/27</w:t>
        </w:r>
      </w:hyperlink>
      <w:r w:rsidR="00D320A8" w:rsidRPr="00D320A8">
        <w:rPr>
          <w:rFonts w:hint="cs"/>
          <w:rtl/>
        </w:rPr>
        <w:t xml:space="preserve"> و</w:t>
      </w:r>
      <w:hyperlink r:id="rId18" w:history="1">
        <w:r w:rsidR="00D320A8" w:rsidRPr="00D320A8">
          <w:rPr>
            <w:rStyle w:val="Hyperlink"/>
          </w:rPr>
          <w:t>C23/72(Rev.1)</w:t>
        </w:r>
        <w:r w:rsidR="00D320A8" w:rsidRPr="00D320A8">
          <w:rPr>
            <w:rStyle w:val="Hyperlink"/>
            <w:rFonts w:hint="cs"/>
            <w:rtl/>
            <w:lang w:val="en-GB"/>
          </w:rPr>
          <w:t xml:space="preserve"> + التصويب 1</w:t>
        </w:r>
      </w:hyperlink>
      <w:r w:rsidR="00D320A8" w:rsidRPr="00D320A8">
        <w:rPr>
          <w:rFonts w:hint="cs"/>
          <w:rtl/>
        </w:rPr>
        <w:t xml:space="preserve"> و</w:t>
      </w:r>
      <w:hyperlink r:id="rId19" w:history="1">
        <w:r w:rsidR="00D320A8" w:rsidRPr="00D320A8">
          <w:rPr>
            <w:rStyle w:val="Hyperlink"/>
          </w:rPr>
          <w:t>C23/79</w:t>
        </w:r>
      </w:hyperlink>
      <w:r>
        <w:rPr>
          <w:rFonts w:hint="cs"/>
          <w:rtl/>
          <w:cs/>
          <w:lang w:bidi="ar-EG"/>
        </w:rPr>
        <w:t>)</w:t>
      </w:r>
    </w:p>
    <w:p w14:paraId="3809FEAA" w14:textId="1E81C6E2" w:rsidR="00415B36" w:rsidRPr="002F046D" w:rsidRDefault="00843DEB" w:rsidP="00765494">
      <w:pPr>
        <w:rPr>
          <w:spacing w:val="-2"/>
          <w:rtl/>
          <w:lang w:bidi="ar-EG"/>
        </w:rPr>
      </w:pPr>
      <w:r w:rsidRPr="002F046D">
        <w:rPr>
          <w:rFonts w:hint="cs"/>
          <w:spacing w:val="-2"/>
          <w:rtl/>
          <w:lang w:bidi="ar-EG"/>
        </w:rPr>
        <w:t>1.5</w:t>
      </w:r>
      <w:r w:rsidRPr="002F046D">
        <w:rPr>
          <w:spacing w:val="-2"/>
          <w:rtl/>
          <w:lang w:bidi="ar-EG"/>
        </w:rPr>
        <w:tab/>
      </w:r>
      <w:r w:rsidR="00F26CE7" w:rsidRPr="002F046D">
        <w:rPr>
          <w:spacing w:val="-2"/>
          <w:rtl/>
          <w:lang w:bidi="ar-EG"/>
        </w:rPr>
        <w:t>قد</w:t>
      </w:r>
      <w:r w:rsidR="00E21A8C">
        <w:rPr>
          <w:rFonts w:hint="cs"/>
          <w:spacing w:val="-2"/>
          <w:rtl/>
          <w:lang w:bidi="ar-EG"/>
        </w:rPr>
        <w:t>ّ</w:t>
      </w:r>
      <w:r w:rsidR="00F26CE7" w:rsidRPr="002F046D">
        <w:rPr>
          <w:spacing w:val="-2"/>
          <w:rtl/>
          <w:lang w:bidi="ar-EG"/>
        </w:rPr>
        <w:t xml:space="preserve">م ممثل الأمانة العامة الوثيقة </w:t>
      </w:r>
      <w:r w:rsidR="00F26CE7" w:rsidRPr="002F046D">
        <w:rPr>
          <w:spacing w:val="-2"/>
          <w:lang w:bidi="ar-EG"/>
        </w:rPr>
        <w:t>C23/27</w:t>
      </w:r>
      <w:r w:rsidR="00F26CE7" w:rsidRPr="002F046D">
        <w:rPr>
          <w:spacing w:val="-2"/>
          <w:rtl/>
          <w:lang w:bidi="ar-EG"/>
        </w:rPr>
        <w:t xml:space="preserve"> التي تتضمن الاستراتيجية الجديدة لتنسيق الجهود بين قطاعات الاتحاد الثلاثة والأمانة العامة عملاً بالقرارات التي اتخذتها الدول الأعضاء في مؤتمر المندوبين المفوضين (بوخارست، 2022) (</w:t>
      </w:r>
      <w:r w:rsidR="00F26CE7" w:rsidRPr="002F046D">
        <w:rPr>
          <w:spacing w:val="-2"/>
          <w:lang w:bidi="ar-EG"/>
        </w:rPr>
        <w:t>PP-22</w:t>
      </w:r>
      <w:r w:rsidR="00F26CE7" w:rsidRPr="002F046D">
        <w:rPr>
          <w:spacing w:val="-2"/>
          <w:rtl/>
          <w:lang w:bidi="ar-EG"/>
        </w:rPr>
        <w:t xml:space="preserve">). </w:t>
      </w:r>
      <w:r w:rsidR="00D260E8" w:rsidRPr="002F046D">
        <w:rPr>
          <w:spacing w:val="-2"/>
          <w:rtl/>
          <w:lang w:bidi="ar-EG"/>
        </w:rPr>
        <w:t xml:space="preserve">وبموجب الأمر الإداري 06/23، فوضت الأمينة العامة نائبها بتنفيذ استراتيجيات وآليات التنسيق بين القطاعات لتسهيل التعاون وتنسيق الأنشطة ضمن الاتحاد وتحقيق "الاتحاد الواحد". وقد </w:t>
      </w:r>
      <w:r w:rsidR="00D260E8" w:rsidRPr="002F046D">
        <w:rPr>
          <w:rFonts w:hint="cs"/>
          <w:spacing w:val="-2"/>
          <w:rtl/>
          <w:lang w:bidi="ar-EG"/>
        </w:rPr>
        <w:t>رسمت</w:t>
      </w:r>
      <w:r w:rsidR="00D260E8" w:rsidRPr="002F046D">
        <w:rPr>
          <w:spacing w:val="-2"/>
          <w:rtl/>
          <w:lang w:bidi="ar-EG"/>
        </w:rPr>
        <w:t xml:space="preserve"> الأمانة </w:t>
      </w:r>
      <w:r w:rsidR="00D260E8" w:rsidRPr="002F046D">
        <w:rPr>
          <w:rFonts w:hint="cs"/>
          <w:spacing w:val="-2"/>
          <w:rtl/>
          <w:lang w:bidi="ar-EG"/>
        </w:rPr>
        <w:t xml:space="preserve">خارطة </w:t>
      </w:r>
      <w:r w:rsidR="0075158F" w:rsidRPr="002F046D">
        <w:rPr>
          <w:rFonts w:hint="cs"/>
          <w:spacing w:val="-2"/>
          <w:rtl/>
          <w:lang w:bidi="ar-EG"/>
        </w:rPr>
        <w:t>تقابل بين</w:t>
      </w:r>
      <w:r w:rsidR="0075158F" w:rsidRPr="002F046D">
        <w:rPr>
          <w:spacing w:val="-2"/>
          <w:rtl/>
          <w:lang w:bidi="ar-EG"/>
        </w:rPr>
        <w:t xml:space="preserve"> </w:t>
      </w:r>
      <w:r w:rsidR="00D260E8" w:rsidRPr="002F046D">
        <w:rPr>
          <w:spacing w:val="-2"/>
          <w:rtl/>
          <w:lang w:bidi="ar-EG"/>
        </w:rPr>
        <w:t xml:space="preserve">جميع القرارات الصادرة عن المؤتمرات والجمعيات الرئيسية للاتحاد، بما في ذلك القرارات التي تدعو إلى التنسيق بين القطاعات، بحيث يتسنى تجنب الازدواجية </w:t>
      </w:r>
      <w:r w:rsidR="00D260E8" w:rsidRPr="002F046D">
        <w:rPr>
          <w:rFonts w:hint="cs"/>
          <w:spacing w:val="-2"/>
          <w:rtl/>
          <w:lang w:bidi="ar-EG"/>
        </w:rPr>
        <w:t>و</w:t>
      </w:r>
      <w:r w:rsidR="00D260E8" w:rsidRPr="002F046D">
        <w:rPr>
          <w:spacing w:val="-2"/>
          <w:rtl/>
          <w:lang w:bidi="ar-EG"/>
        </w:rPr>
        <w:t xml:space="preserve">الاستخدام الأمثل للموارد. </w:t>
      </w:r>
      <w:r w:rsidR="00615BAD" w:rsidRPr="002F046D">
        <w:rPr>
          <w:spacing w:val="-2"/>
          <w:rtl/>
          <w:lang w:bidi="ar-EG"/>
        </w:rPr>
        <w:t xml:space="preserve">ولمعالجة العدد المتزايد من المجالات ذات الاهتمام المشترك، وفق هدف وتسلسل إداري واضحين فضلاً عن آليات المراقبة والتقييم، اقترحت الاستراتيجية الجديدة آلية تنسيق بين القطاعات </w:t>
      </w:r>
      <w:r w:rsidR="0075158F" w:rsidRPr="002F046D">
        <w:rPr>
          <w:rFonts w:hint="cs"/>
          <w:spacing w:val="-2"/>
          <w:rtl/>
          <w:lang w:bidi="ar-EG"/>
        </w:rPr>
        <w:t xml:space="preserve">تقوم </w:t>
      </w:r>
      <w:r w:rsidR="00615BAD" w:rsidRPr="002F046D">
        <w:rPr>
          <w:spacing w:val="-2"/>
          <w:rtl/>
          <w:lang w:bidi="ar-EG"/>
        </w:rPr>
        <w:t>على ثلاثة مسارات هي: القيادة الاستراتيجية، المنسَقة والمستعرَضة على مستوى لجنة التنسيق (</w:t>
      </w:r>
      <w:r w:rsidR="00615BAD" w:rsidRPr="002F046D">
        <w:rPr>
          <w:spacing w:val="-2"/>
          <w:lang w:bidi="ar-EG"/>
        </w:rPr>
        <w:t>CoCo</w:t>
      </w:r>
      <w:r w:rsidR="00615BAD" w:rsidRPr="002F046D">
        <w:rPr>
          <w:spacing w:val="-2"/>
          <w:rtl/>
          <w:lang w:bidi="ar-EG"/>
        </w:rPr>
        <w:t>)؛ والتنسيق البرنامجي، الذي يحل محل فريق المهام المعني بالتنسيق بين القطاعات (</w:t>
      </w:r>
      <w:r w:rsidR="00615BAD" w:rsidRPr="002F046D">
        <w:rPr>
          <w:spacing w:val="-2"/>
          <w:lang w:bidi="ar-EG"/>
        </w:rPr>
        <w:t>ISC-TF</w:t>
      </w:r>
      <w:r w:rsidR="00615BAD" w:rsidRPr="002F046D">
        <w:rPr>
          <w:spacing w:val="-2"/>
          <w:rtl/>
          <w:lang w:bidi="ar-EG"/>
        </w:rPr>
        <w:t>) والذي يقوده فريق تنسيق الإدارة (</w:t>
      </w:r>
      <w:r w:rsidR="00615BAD" w:rsidRPr="002F046D">
        <w:rPr>
          <w:spacing w:val="-2"/>
          <w:lang w:bidi="ar-EG"/>
        </w:rPr>
        <w:t>MCG</w:t>
      </w:r>
      <w:r w:rsidR="00615BAD" w:rsidRPr="002F046D">
        <w:rPr>
          <w:spacing w:val="-2"/>
          <w:rtl/>
          <w:lang w:bidi="ar-EG"/>
        </w:rPr>
        <w:t>)؛ والقرارات المتعلقة بالأداء والتحول، بقيادة نائب الأمينة العامة مع فريق شاغلي الوظائف ذات الرتبة 2.</w:t>
      </w:r>
      <w:r w:rsidR="00615BAD" w:rsidRPr="002F046D">
        <w:rPr>
          <w:spacing w:val="-2"/>
          <w:lang w:bidi="ar-EG"/>
        </w:rPr>
        <w:t>D</w:t>
      </w:r>
      <w:r w:rsidR="00615BAD" w:rsidRPr="002F046D">
        <w:rPr>
          <w:spacing w:val="-2"/>
          <w:rtl/>
          <w:lang w:bidi="ar-EG"/>
        </w:rPr>
        <w:t xml:space="preserve"> </w:t>
      </w:r>
      <w:r w:rsidR="00765494" w:rsidRPr="002F046D">
        <w:rPr>
          <w:rFonts w:hint="cs"/>
          <w:spacing w:val="-2"/>
          <w:rtl/>
          <w:lang w:bidi="ar-EG"/>
        </w:rPr>
        <w:t>(</w:t>
      </w:r>
      <w:r w:rsidR="00765494" w:rsidRPr="002F046D">
        <w:rPr>
          <w:spacing w:val="-2"/>
          <w:rtl/>
          <w:lang w:bidi="ar-EG"/>
        </w:rPr>
        <w:t xml:space="preserve">الفريق </w:t>
      </w:r>
      <w:r w:rsidR="00765494" w:rsidRPr="002F046D">
        <w:rPr>
          <w:spacing w:val="-2"/>
          <w:lang w:bidi="ar-EG"/>
        </w:rPr>
        <w:t>D.2</w:t>
      </w:r>
      <w:r w:rsidR="00765494" w:rsidRPr="002F046D">
        <w:rPr>
          <w:rFonts w:hint="cs"/>
          <w:spacing w:val="-2"/>
          <w:rtl/>
          <w:lang w:bidi="ar-EG"/>
        </w:rPr>
        <w:t xml:space="preserve">) </w:t>
      </w:r>
      <w:r w:rsidR="00615BAD" w:rsidRPr="002F046D">
        <w:rPr>
          <w:spacing w:val="-2"/>
          <w:rtl/>
          <w:lang w:bidi="ar-EG"/>
        </w:rPr>
        <w:t>للنهوض بالعمل وفق "الاتحاد الواحد".</w:t>
      </w:r>
    </w:p>
    <w:p w14:paraId="116DEF36" w14:textId="1CB44EE3" w:rsidR="00843DEB" w:rsidRDefault="00843DEB" w:rsidP="00E61BE8">
      <w:pPr>
        <w:rPr>
          <w:rtl/>
          <w:lang w:bidi="ar-EG"/>
        </w:rPr>
      </w:pPr>
      <w:r>
        <w:rPr>
          <w:rFonts w:hint="cs"/>
          <w:rtl/>
          <w:lang w:bidi="ar-EG"/>
        </w:rPr>
        <w:t>2.5</w:t>
      </w:r>
      <w:r>
        <w:rPr>
          <w:rtl/>
          <w:lang w:bidi="ar-EG"/>
        </w:rPr>
        <w:tab/>
      </w:r>
      <w:r w:rsidR="003F246B" w:rsidRPr="003F246B">
        <w:rPr>
          <w:rtl/>
          <w:lang w:bidi="ar-EG"/>
        </w:rPr>
        <w:t>وأفاد رئيس فريق التنسيق بين القطاعات (</w:t>
      </w:r>
      <w:r w:rsidR="003F246B" w:rsidRPr="003F246B">
        <w:rPr>
          <w:lang w:bidi="ar-EG"/>
        </w:rPr>
        <w:t>ISCG</w:t>
      </w:r>
      <w:r w:rsidR="003F246B" w:rsidRPr="003F246B">
        <w:rPr>
          <w:rtl/>
          <w:lang w:bidi="ar-EG"/>
        </w:rPr>
        <w:t xml:space="preserve">) بأن فريقه عقد اجتماعاً حضورياً في مايو 2023، بمشاركة عن بُعد، ونظر خلاله في الأولويات </w:t>
      </w:r>
      <w:r w:rsidR="0075158F">
        <w:rPr>
          <w:rFonts w:hint="cs"/>
          <w:rtl/>
          <w:lang w:bidi="ar-EG"/>
        </w:rPr>
        <w:t>المواضيعية المتمثلة في</w:t>
      </w:r>
      <w:r w:rsidR="0075158F" w:rsidRPr="003F246B">
        <w:rPr>
          <w:rtl/>
          <w:lang w:bidi="ar-EG"/>
        </w:rPr>
        <w:t xml:space="preserve"> </w:t>
      </w:r>
      <w:r w:rsidR="003F246B" w:rsidRPr="003F246B">
        <w:rPr>
          <w:rtl/>
          <w:lang w:bidi="ar-EG"/>
        </w:rPr>
        <w:t>إمكانية النفاذ، وتغير المناخ، والمشاركة عن بعد/الاجتماعات الإلكترونية وتحسين ومواءمة الصفحات الإلكترونية للقطاعات.</w:t>
      </w:r>
      <w:r w:rsidR="00E74A0D">
        <w:rPr>
          <w:rtl/>
          <w:lang w:bidi="ar-EG"/>
        </w:rPr>
        <w:t xml:space="preserve"> </w:t>
      </w:r>
      <w:r w:rsidR="003F246B" w:rsidRPr="003F246B">
        <w:rPr>
          <w:rtl/>
          <w:lang w:bidi="ar-EG"/>
        </w:rPr>
        <w:t>ومن المخطط أن يُعقد الاجتماع المقبل في خريف 2023.</w:t>
      </w:r>
    </w:p>
    <w:p w14:paraId="6F71E03F" w14:textId="3CCA30B3" w:rsidR="00843DEB" w:rsidRDefault="00843DEB" w:rsidP="00843DEB">
      <w:pPr>
        <w:rPr>
          <w:rtl/>
          <w:lang w:bidi="ar-EG"/>
        </w:rPr>
      </w:pPr>
      <w:r>
        <w:rPr>
          <w:rFonts w:hint="cs"/>
          <w:rtl/>
          <w:lang w:bidi="ar-EG"/>
        </w:rPr>
        <w:t>3.5</w:t>
      </w:r>
      <w:r>
        <w:rPr>
          <w:rtl/>
          <w:lang w:bidi="ar-EG"/>
        </w:rPr>
        <w:tab/>
      </w:r>
      <w:r w:rsidR="003325AD" w:rsidRPr="003325AD">
        <w:rPr>
          <w:rtl/>
          <w:lang w:bidi="ar-EG"/>
        </w:rPr>
        <w:t xml:space="preserve">وذكّر الرئيس بأن المساهمة المقدمة من بلدان متعددة برعاية 13 دولة عضواً، والواردة في الوثيقة </w:t>
      </w:r>
      <w:r w:rsidR="003325AD" w:rsidRPr="003325AD">
        <w:rPr>
          <w:lang w:bidi="ar-EG"/>
        </w:rPr>
        <w:t>C23/72(Rev.1)</w:t>
      </w:r>
      <w:r w:rsidR="00C91865">
        <w:rPr>
          <w:rFonts w:hint="cs"/>
          <w:rtl/>
          <w:lang w:bidi="ar-EG"/>
        </w:rPr>
        <w:t> + التصويب</w:t>
      </w:r>
      <w:r w:rsidR="00E74A0D">
        <w:rPr>
          <w:rFonts w:hint="eastAsia"/>
          <w:rtl/>
          <w:lang w:bidi="ar-EG"/>
        </w:rPr>
        <w:t> </w:t>
      </w:r>
      <w:r w:rsidR="00C91865">
        <w:rPr>
          <w:lang w:bidi="ar-EG"/>
        </w:rPr>
        <w:t>1</w:t>
      </w:r>
      <w:r w:rsidR="003325AD" w:rsidRPr="003325AD">
        <w:rPr>
          <w:rtl/>
          <w:lang w:bidi="ar-EG"/>
        </w:rPr>
        <w:t xml:space="preserve">، قد عُرضت ونوقشت في اللجنة الدائمة. وهي مساهمة تتناول </w:t>
      </w:r>
      <w:r w:rsidR="003325AD" w:rsidRPr="00F7616B">
        <w:rPr>
          <w:b/>
          <w:bCs/>
          <w:rtl/>
          <w:lang w:bidi="ar-EG"/>
        </w:rPr>
        <w:t>ضمان اتباع نهج الاتحاد الواحد من أجل التخطيط المالي السليم، والمساءلة والمرونة بما يعود بالنفع على جميع البلدان ومستقبل الاتحاد</w:t>
      </w:r>
      <w:r w:rsidR="003325AD" w:rsidRPr="003325AD">
        <w:rPr>
          <w:rtl/>
          <w:lang w:bidi="ar-EG"/>
        </w:rPr>
        <w:t>.</w:t>
      </w:r>
    </w:p>
    <w:p w14:paraId="32C29447" w14:textId="3D740E97" w:rsidR="00843DEB" w:rsidRDefault="00843DEB" w:rsidP="00E61BE8">
      <w:pPr>
        <w:rPr>
          <w:rtl/>
          <w:lang w:bidi="ar-EG"/>
        </w:rPr>
      </w:pPr>
      <w:r>
        <w:rPr>
          <w:rFonts w:hint="cs"/>
          <w:rtl/>
          <w:lang w:bidi="ar-EG"/>
        </w:rPr>
        <w:t>4.5</w:t>
      </w:r>
      <w:r>
        <w:rPr>
          <w:rtl/>
          <w:lang w:bidi="ar-EG"/>
        </w:rPr>
        <w:tab/>
      </w:r>
      <w:r w:rsidR="003325AD" w:rsidRPr="003325AD">
        <w:rPr>
          <w:rtl/>
          <w:lang w:bidi="ar-EG"/>
        </w:rPr>
        <w:t xml:space="preserve">وقدمت عضو المجلس من الصين الوثيقة </w:t>
      </w:r>
      <w:r w:rsidR="003325AD" w:rsidRPr="003325AD">
        <w:rPr>
          <w:lang w:bidi="ar-EG"/>
        </w:rPr>
        <w:t>C23/79</w:t>
      </w:r>
      <w:r w:rsidR="003325AD" w:rsidRPr="003325AD">
        <w:rPr>
          <w:rtl/>
          <w:lang w:bidi="ar-EG"/>
        </w:rPr>
        <w:t xml:space="preserve"> التي تعرض المقترحات المقدمة من إدارتها بشأن التنفيذ الشامل لمفهوم "الاتحاد الواحد"، والذي ينبغي أن يستند إلى عدد من المبادئ الرئيسية، وهي: تعزيز الوحدة والتعاون بين الدول الأعضاء؛ وخدمة أغراض الاتحاد المنصوص عليها في دستور الاتحاد؛ والمحافظة على استقرار الهيكل التنظيمي الحالي.</w:t>
      </w:r>
    </w:p>
    <w:p w14:paraId="47C7BD0B" w14:textId="04985AE2" w:rsidR="00843DEB" w:rsidRDefault="00843DEB" w:rsidP="00E61BE8">
      <w:pPr>
        <w:rPr>
          <w:rtl/>
          <w:lang w:bidi="ar-EG"/>
        </w:rPr>
      </w:pPr>
      <w:r>
        <w:rPr>
          <w:rFonts w:hint="cs"/>
          <w:rtl/>
          <w:lang w:bidi="ar-EG"/>
        </w:rPr>
        <w:t>5.5</w:t>
      </w:r>
      <w:r>
        <w:rPr>
          <w:rtl/>
          <w:lang w:bidi="ar-EG"/>
        </w:rPr>
        <w:tab/>
      </w:r>
      <w:r w:rsidR="00F616BF" w:rsidRPr="00F616BF">
        <w:rPr>
          <w:rtl/>
          <w:lang w:bidi="ar-EG"/>
        </w:rPr>
        <w:t>وسأل اثنان من أعضاء المجلس عن سبب الاستعاضة عن فريق المهام المعني بالتنسيق بين القطاعات</w:t>
      </w:r>
      <w:r w:rsidR="00E74A0D">
        <w:rPr>
          <w:rFonts w:hint="cs"/>
          <w:rtl/>
          <w:lang w:bidi="ar-EG"/>
        </w:rPr>
        <w:t> </w:t>
      </w:r>
      <w:r w:rsidR="00F616BF" w:rsidRPr="00F616BF">
        <w:rPr>
          <w:rtl/>
          <w:lang w:bidi="ar-EG"/>
        </w:rPr>
        <w:t>(</w:t>
      </w:r>
      <w:r w:rsidR="00F616BF" w:rsidRPr="00F616BF">
        <w:rPr>
          <w:lang w:bidi="ar-EG"/>
        </w:rPr>
        <w:t>ISC</w:t>
      </w:r>
      <w:r w:rsidR="00E74A0D">
        <w:rPr>
          <w:lang w:bidi="ar-EG"/>
        </w:rPr>
        <w:noBreakHyphen/>
      </w:r>
      <w:r w:rsidR="00F616BF" w:rsidRPr="00F616BF">
        <w:rPr>
          <w:lang w:bidi="ar-EG"/>
        </w:rPr>
        <w:t>TF</w:t>
      </w:r>
      <w:r w:rsidR="00F616BF" w:rsidRPr="00F616BF">
        <w:rPr>
          <w:rtl/>
          <w:lang w:bidi="ar-EG"/>
        </w:rPr>
        <w:t>) بفريق تنسيق الإدارة (</w:t>
      </w:r>
      <w:r w:rsidR="00F616BF" w:rsidRPr="00F616BF">
        <w:rPr>
          <w:lang w:bidi="ar-EG"/>
        </w:rPr>
        <w:t>MCG</w:t>
      </w:r>
      <w:r w:rsidR="00F616BF" w:rsidRPr="00F616BF">
        <w:rPr>
          <w:rtl/>
          <w:lang w:bidi="ar-EG"/>
        </w:rPr>
        <w:t>) في حين أن القرار 191 (المراجَع في بوخارست، 2022) كلف على وجه التحديد الأمينة العامة بمواصلة ضمان التفاعل الوثيق وتبادل المعلومات بانتظام بين فريق التنسيق بين القطاعات وفريق المهام المعني بالتنسيق بين</w:t>
      </w:r>
      <w:r w:rsidR="00E74A0D">
        <w:rPr>
          <w:rFonts w:hint="cs"/>
          <w:rtl/>
          <w:lang w:bidi="ar-EG"/>
        </w:rPr>
        <w:t> </w:t>
      </w:r>
      <w:r w:rsidR="00F616BF" w:rsidRPr="00F616BF">
        <w:rPr>
          <w:rtl/>
          <w:lang w:bidi="ar-EG"/>
        </w:rPr>
        <w:t>القطاعات.</w:t>
      </w:r>
    </w:p>
    <w:p w14:paraId="69F6CEE1" w14:textId="2B58DB30" w:rsidR="00843DEB" w:rsidRPr="000F2292" w:rsidRDefault="00843DEB" w:rsidP="000F2292">
      <w:pPr>
        <w:rPr>
          <w:spacing w:val="-2"/>
          <w:rtl/>
          <w:lang w:bidi="ar-EG"/>
        </w:rPr>
      </w:pPr>
      <w:r w:rsidRPr="000F2292">
        <w:rPr>
          <w:rFonts w:hint="cs"/>
          <w:spacing w:val="-2"/>
          <w:rtl/>
          <w:lang w:bidi="ar-EG"/>
        </w:rPr>
        <w:t>6.5</w:t>
      </w:r>
      <w:r w:rsidRPr="000F2292">
        <w:rPr>
          <w:spacing w:val="-2"/>
          <w:rtl/>
          <w:lang w:bidi="ar-EG"/>
        </w:rPr>
        <w:tab/>
      </w:r>
      <w:r w:rsidR="00F616BF" w:rsidRPr="000F2292">
        <w:rPr>
          <w:spacing w:val="-2"/>
          <w:rtl/>
          <w:lang w:bidi="ar-EG"/>
        </w:rPr>
        <w:t>وأكد عدة أعضاء في المجلس عدم وجود تعريف أو وصف واضح لمفهوم "الاتحاد الواحد".</w:t>
      </w:r>
      <w:r w:rsidR="00E74A0D" w:rsidRPr="000F2292">
        <w:rPr>
          <w:spacing w:val="-2"/>
          <w:rtl/>
          <w:lang w:bidi="ar-EG"/>
        </w:rPr>
        <w:t xml:space="preserve"> </w:t>
      </w:r>
      <w:r w:rsidR="00F616BF" w:rsidRPr="000F2292">
        <w:rPr>
          <w:spacing w:val="-2"/>
          <w:rtl/>
          <w:lang w:bidi="ar-EG"/>
        </w:rPr>
        <w:t>بيد أن هذا التعريف المتفق عليه لا غنى عنه لتحقيق فهم مشترك.</w:t>
      </w:r>
      <w:r w:rsidR="00E74A0D" w:rsidRPr="000F2292">
        <w:rPr>
          <w:spacing w:val="-2"/>
          <w:rtl/>
          <w:lang w:bidi="ar-EG"/>
        </w:rPr>
        <w:t xml:space="preserve"> </w:t>
      </w:r>
      <w:r w:rsidR="00F616BF" w:rsidRPr="000F2292">
        <w:rPr>
          <w:spacing w:val="-2"/>
          <w:rtl/>
          <w:lang w:bidi="ar-EG"/>
        </w:rPr>
        <w:t>وتستند المسارات الواردة في الوثيقة إلى مفهوم الاتحاد الواحد؛ ومن ثم يجب تعريف هذا المفهوم بوضوح لتوجيه عمل جميع الدول الأعضاء والأمانة بصورة أفضل ووضع إطار لا لبس فيه يحدد رؤيتها لما ينبغي أن يصبح عليه الاتحاد.</w:t>
      </w:r>
      <w:r w:rsidR="00E74A0D" w:rsidRPr="000F2292">
        <w:rPr>
          <w:spacing w:val="-2"/>
          <w:rtl/>
          <w:lang w:bidi="ar-EG"/>
        </w:rPr>
        <w:t xml:space="preserve"> </w:t>
      </w:r>
      <w:r w:rsidR="00F616BF" w:rsidRPr="000F2292">
        <w:rPr>
          <w:spacing w:val="-2"/>
          <w:rtl/>
          <w:lang w:bidi="ar-EG"/>
        </w:rPr>
        <w:t>ولا تشكل الإجراءات التي ينبغي تنسيقها في إطار المسارات الثلاثة سوى اتجاهات عامة، ولا تزال التفاصيل غير واضحة.</w:t>
      </w:r>
    </w:p>
    <w:p w14:paraId="52998F2B" w14:textId="743EF66B" w:rsidR="00843DEB" w:rsidRDefault="00843DEB" w:rsidP="008B70DC">
      <w:pPr>
        <w:rPr>
          <w:rtl/>
          <w:lang w:bidi="ar-EG"/>
        </w:rPr>
      </w:pPr>
      <w:r>
        <w:rPr>
          <w:rFonts w:hint="cs"/>
          <w:rtl/>
          <w:lang w:bidi="ar-EG"/>
        </w:rPr>
        <w:t>7.5</w:t>
      </w:r>
      <w:r>
        <w:rPr>
          <w:rtl/>
          <w:lang w:bidi="ar-EG"/>
        </w:rPr>
        <w:tab/>
      </w:r>
      <w:r w:rsidR="008B70DC" w:rsidRPr="008B70DC">
        <w:rPr>
          <w:rtl/>
          <w:lang w:bidi="ar-EG"/>
        </w:rPr>
        <w:t xml:space="preserve">وذكر عضوان في المجلس أن تنفيذ </w:t>
      </w:r>
      <w:r w:rsidR="008B70DC" w:rsidRPr="008B70DC">
        <w:rPr>
          <w:rFonts w:hint="cs"/>
          <w:rtl/>
          <w:lang w:bidi="ar-EG"/>
        </w:rPr>
        <w:t>ا</w:t>
      </w:r>
      <w:r w:rsidR="008B70DC" w:rsidRPr="008B70DC">
        <w:rPr>
          <w:rtl/>
          <w:lang w:bidi="ar-EG"/>
        </w:rPr>
        <w:t>لاتحاد</w:t>
      </w:r>
      <w:r w:rsidR="008B70DC" w:rsidRPr="008B70DC">
        <w:rPr>
          <w:rtl/>
        </w:rPr>
        <w:t xml:space="preserve"> </w:t>
      </w:r>
      <w:r w:rsidR="008B70DC" w:rsidRPr="008B70DC">
        <w:rPr>
          <w:rtl/>
          <w:lang w:bidi="ar-EG"/>
        </w:rPr>
        <w:t>الواحد يجب ألا يكون له أي تأثير على هيكل المنظمة ال</w:t>
      </w:r>
      <w:r w:rsidR="008B70DC" w:rsidRPr="008B70DC">
        <w:rPr>
          <w:rFonts w:hint="cs"/>
          <w:rtl/>
          <w:lang w:bidi="ar-EG"/>
        </w:rPr>
        <w:t>ذ</w:t>
      </w:r>
      <w:r w:rsidR="008B70DC" w:rsidRPr="008B70DC">
        <w:rPr>
          <w:rtl/>
          <w:lang w:bidi="ar-EG"/>
        </w:rPr>
        <w:t xml:space="preserve">ي </w:t>
      </w:r>
      <w:r w:rsidR="008B70DC" w:rsidRPr="008B70DC">
        <w:rPr>
          <w:rFonts w:hint="cs"/>
          <w:rtl/>
          <w:lang w:bidi="ar-EG"/>
        </w:rPr>
        <w:t>ي</w:t>
      </w:r>
      <w:r w:rsidR="008B70DC" w:rsidRPr="008B70DC">
        <w:rPr>
          <w:rtl/>
          <w:lang w:bidi="ar-EG"/>
        </w:rPr>
        <w:t>تألف من القطاعات الثلاثة والأمانة العامة.</w:t>
      </w:r>
    </w:p>
    <w:p w14:paraId="498CC43E" w14:textId="3730282E" w:rsidR="00843DEB" w:rsidRDefault="00843DEB" w:rsidP="00E61BE8">
      <w:pPr>
        <w:rPr>
          <w:rtl/>
          <w:lang w:bidi="ar-EG"/>
        </w:rPr>
      </w:pPr>
      <w:r>
        <w:rPr>
          <w:rFonts w:hint="cs"/>
          <w:rtl/>
          <w:lang w:bidi="ar-EG"/>
        </w:rPr>
        <w:t>8.5</w:t>
      </w:r>
      <w:r>
        <w:rPr>
          <w:rtl/>
          <w:lang w:bidi="ar-EG"/>
        </w:rPr>
        <w:tab/>
      </w:r>
      <w:r w:rsidR="008B70DC" w:rsidRPr="008B70DC">
        <w:rPr>
          <w:rtl/>
          <w:lang w:bidi="ar-EG"/>
        </w:rPr>
        <w:t xml:space="preserve">وأشار أحد أعضاء المجلس إلى أن عملية رسم خارطة </w:t>
      </w:r>
      <w:r w:rsidR="00943188">
        <w:rPr>
          <w:rFonts w:hint="cs"/>
          <w:rtl/>
          <w:lang w:bidi="ar-EG"/>
        </w:rPr>
        <w:t>التقابل</w:t>
      </w:r>
      <w:r w:rsidR="00943188" w:rsidRPr="008B70DC">
        <w:rPr>
          <w:rtl/>
          <w:lang w:bidi="ar-EG"/>
        </w:rPr>
        <w:t xml:space="preserve"> </w:t>
      </w:r>
      <w:r w:rsidR="008B70DC" w:rsidRPr="008B70DC">
        <w:rPr>
          <w:rtl/>
          <w:lang w:bidi="ar-EG"/>
        </w:rPr>
        <w:t>توفر منظوراً للأنشطة في مختلف القطاعات والمؤتمرات والجمعيات يفيد في دعم تبسيط القرارات، وطلب تأكيداً بأن المواضيع المزمع تبنيها في إطار مسار القيادة الاستراتيجية هي تلك التي حددها الأعضاء من خلال مختلف القرارات.</w:t>
      </w:r>
    </w:p>
    <w:p w14:paraId="2BC72382" w14:textId="12A5D18C" w:rsidR="00843DEB" w:rsidRDefault="00843DEB" w:rsidP="00423C30">
      <w:pPr>
        <w:keepNext/>
        <w:rPr>
          <w:rtl/>
          <w:lang w:bidi="ar-EG"/>
        </w:rPr>
      </w:pPr>
      <w:r>
        <w:rPr>
          <w:rFonts w:hint="cs"/>
          <w:rtl/>
          <w:lang w:bidi="ar-EG"/>
        </w:rPr>
        <w:lastRenderedPageBreak/>
        <w:t>9.5</w:t>
      </w:r>
      <w:r>
        <w:rPr>
          <w:rtl/>
          <w:lang w:bidi="ar-EG"/>
        </w:rPr>
        <w:tab/>
      </w:r>
      <w:r w:rsidR="00F76CDD" w:rsidRPr="00F76CDD">
        <w:rPr>
          <w:rtl/>
          <w:lang w:bidi="ar-EG"/>
        </w:rPr>
        <w:t>وسأل ثلاثة أعضاء في المجلس عن الأساس المنطقي للتفاعل المقترح بين نائب الأمينة العامة ونواب المديرين في</w:t>
      </w:r>
      <w:r w:rsidR="000F2292">
        <w:rPr>
          <w:rFonts w:hint="cs"/>
          <w:rtl/>
          <w:lang w:bidi="ar-EG"/>
        </w:rPr>
        <w:t> </w:t>
      </w:r>
      <w:r w:rsidR="00F76CDD" w:rsidRPr="00F76CDD">
        <w:rPr>
          <w:rtl/>
          <w:lang w:bidi="ar-EG"/>
        </w:rPr>
        <w:t xml:space="preserve">الفريق </w:t>
      </w:r>
      <w:r w:rsidR="00F76CDD" w:rsidRPr="00F76CDD">
        <w:rPr>
          <w:lang w:bidi="ar-EG"/>
        </w:rPr>
        <w:t>D.2</w:t>
      </w:r>
      <w:r w:rsidR="00F76CDD" w:rsidRPr="00F76CDD">
        <w:rPr>
          <w:rtl/>
          <w:lang w:bidi="ar-EG"/>
        </w:rPr>
        <w:t xml:space="preserve"> وكيفية عمل الآلية عملياً، وخاصة ما إذا كان النواب سيرفعون تقاريرهم إلى مديري المكاتب وكيفية ضمان المشاركة النشطة للمديرين في مسار مهم يتعلق بقرارات الأداء والتحول.</w:t>
      </w:r>
    </w:p>
    <w:p w14:paraId="24F42C09" w14:textId="03595077" w:rsidR="00843DEB" w:rsidRDefault="00843DEB" w:rsidP="00843DEB">
      <w:pPr>
        <w:rPr>
          <w:rtl/>
          <w:lang w:bidi="ar-EG"/>
        </w:rPr>
      </w:pPr>
      <w:r>
        <w:rPr>
          <w:rFonts w:hint="cs"/>
          <w:rtl/>
          <w:lang w:bidi="ar-EG"/>
        </w:rPr>
        <w:t>10.5</w:t>
      </w:r>
      <w:r>
        <w:rPr>
          <w:rtl/>
          <w:lang w:bidi="ar-EG"/>
        </w:rPr>
        <w:tab/>
      </w:r>
      <w:r w:rsidR="00F76CDD" w:rsidRPr="00F76CDD">
        <w:rPr>
          <w:rtl/>
          <w:lang w:bidi="ar-EG"/>
        </w:rPr>
        <w:t>وشدد أربعة أعضاء في المجلس على ضرورة ضمان تغطية الحضور الإقليمي على النحو الواجب في جميع أنشطة التنسيق بين القطاعات: إذ ينبغي إشراك المديرين الإقليميين بشكل كامل وأن يمتد المفهوم ليشمل المناطق.</w:t>
      </w:r>
    </w:p>
    <w:p w14:paraId="6199F781" w14:textId="4A400801" w:rsidR="00843DEB" w:rsidRDefault="00843DEB" w:rsidP="00843DEB">
      <w:pPr>
        <w:rPr>
          <w:rtl/>
          <w:lang w:bidi="ar-EG"/>
        </w:rPr>
      </w:pPr>
      <w:r>
        <w:rPr>
          <w:rFonts w:hint="cs"/>
          <w:rtl/>
          <w:lang w:bidi="ar-EG"/>
        </w:rPr>
        <w:t>11.5</w:t>
      </w:r>
      <w:r>
        <w:rPr>
          <w:rtl/>
          <w:lang w:bidi="ar-EG"/>
        </w:rPr>
        <w:tab/>
      </w:r>
      <w:r w:rsidR="00F76CDD" w:rsidRPr="00F76CDD">
        <w:rPr>
          <w:rtl/>
          <w:lang w:bidi="ar-EG"/>
        </w:rPr>
        <w:t>وطلب أحد أعضاء المجلس توضيحاً بشأن عضوية فريق التنسيق بين القطاعات ودور المنسق.</w:t>
      </w:r>
    </w:p>
    <w:p w14:paraId="0B9277AD" w14:textId="75EFB52B" w:rsidR="00EC6CB4" w:rsidRDefault="00EC6CB4" w:rsidP="00843DEB">
      <w:pPr>
        <w:rPr>
          <w:rtl/>
          <w:lang w:bidi="ar-EG"/>
        </w:rPr>
      </w:pPr>
      <w:r>
        <w:rPr>
          <w:rFonts w:hint="cs"/>
          <w:rtl/>
          <w:lang w:bidi="ar-EG"/>
        </w:rPr>
        <w:t>12.5</w:t>
      </w:r>
      <w:r>
        <w:rPr>
          <w:rtl/>
          <w:lang w:bidi="ar-EG"/>
        </w:rPr>
        <w:tab/>
      </w:r>
      <w:r w:rsidR="006C6B56" w:rsidRPr="006C6B56">
        <w:rPr>
          <w:rtl/>
          <w:lang w:bidi="ar-EG"/>
        </w:rPr>
        <w:t xml:space="preserve">وقال أحد أعضاء المجلس </w:t>
      </w:r>
      <w:r w:rsidR="00943188">
        <w:rPr>
          <w:rFonts w:hint="cs"/>
          <w:rtl/>
          <w:lang w:bidi="ar-EG"/>
        </w:rPr>
        <w:t xml:space="preserve">إنه </w:t>
      </w:r>
      <w:r w:rsidR="006C6B56" w:rsidRPr="006C6B56">
        <w:rPr>
          <w:rtl/>
          <w:lang w:bidi="ar-EG"/>
        </w:rPr>
        <w:t xml:space="preserve">نظراً </w:t>
      </w:r>
      <w:r w:rsidR="00943188">
        <w:rPr>
          <w:rFonts w:hint="cs"/>
          <w:rtl/>
          <w:lang w:bidi="ar-EG"/>
        </w:rPr>
        <w:t>إ</w:t>
      </w:r>
      <w:r w:rsidR="006C6B56" w:rsidRPr="006C6B56">
        <w:rPr>
          <w:rtl/>
          <w:lang w:bidi="ar-EG"/>
        </w:rPr>
        <w:t>ل</w:t>
      </w:r>
      <w:r w:rsidR="00943188">
        <w:rPr>
          <w:rFonts w:hint="cs"/>
          <w:rtl/>
          <w:lang w:bidi="ar-EG"/>
        </w:rPr>
        <w:t xml:space="preserve">ى </w:t>
      </w:r>
      <w:r w:rsidR="006C6B56" w:rsidRPr="006C6B56">
        <w:rPr>
          <w:rtl/>
          <w:lang w:bidi="ar-EG"/>
        </w:rPr>
        <w:t>غياب أهداف مشتركة بين القطاعات في الخطة الاستراتيجية للفترة 2024</w:t>
      </w:r>
      <w:r w:rsidR="000F2292">
        <w:rPr>
          <w:lang w:bidi="ar-EG"/>
        </w:rPr>
        <w:noBreakHyphen/>
      </w:r>
      <w:r w:rsidR="006C6B56" w:rsidRPr="006C6B56">
        <w:rPr>
          <w:rtl/>
          <w:lang w:bidi="ar-EG"/>
        </w:rPr>
        <w:t>2027، ينبغي أن توضح التقارير المقدمة طبقاً للقرار 191 (المراجَع في بوخارست، 2022) الأهداف المشتركة بين القطاعات وأن تحدد مجالات التحسين على المستوى القطاعي وبين القطاعات.</w:t>
      </w:r>
      <w:r w:rsidR="00E74A0D">
        <w:rPr>
          <w:rtl/>
          <w:lang w:bidi="ar-EG"/>
        </w:rPr>
        <w:t xml:space="preserve"> </w:t>
      </w:r>
      <w:r w:rsidR="006C6B56" w:rsidRPr="006C6B56">
        <w:rPr>
          <w:rtl/>
          <w:lang w:bidi="ar-EG"/>
        </w:rPr>
        <w:t xml:space="preserve">وعلاوةً على ذلك، سيكون من المفيد أن يتلقى المجلس تقارير أفضل عن القضايا التي </w:t>
      </w:r>
      <w:r w:rsidR="00943188">
        <w:rPr>
          <w:rFonts w:hint="cs"/>
          <w:rtl/>
          <w:lang w:bidi="ar-EG"/>
        </w:rPr>
        <w:t>تتناولها</w:t>
      </w:r>
      <w:r w:rsidR="00943188" w:rsidRPr="006C6B56">
        <w:rPr>
          <w:rtl/>
          <w:lang w:bidi="ar-EG"/>
        </w:rPr>
        <w:t xml:space="preserve"> </w:t>
      </w:r>
      <w:r w:rsidR="006C6B56" w:rsidRPr="006C6B56">
        <w:rPr>
          <w:rtl/>
          <w:lang w:bidi="ar-EG"/>
        </w:rPr>
        <w:t>لجنة التنسيق (</w:t>
      </w:r>
      <w:r w:rsidR="006C6B56" w:rsidRPr="006C6B56">
        <w:rPr>
          <w:lang w:bidi="ar-EG"/>
        </w:rPr>
        <w:t>CoCo</w:t>
      </w:r>
      <w:r w:rsidR="006C6B56" w:rsidRPr="006C6B56">
        <w:rPr>
          <w:rtl/>
          <w:lang w:bidi="ar-EG"/>
        </w:rPr>
        <w:t>).</w:t>
      </w:r>
    </w:p>
    <w:p w14:paraId="3012F797" w14:textId="28FA3E10" w:rsidR="00EC6CB4" w:rsidRDefault="00EC6CB4" w:rsidP="00843DEB">
      <w:pPr>
        <w:rPr>
          <w:rtl/>
          <w:lang w:bidi="ar-EG"/>
        </w:rPr>
      </w:pPr>
      <w:r>
        <w:rPr>
          <w:rFonts w:hint="cs"/>
          <w:rtl/>
          <w:lang w:bidi="ar-EG"/>
        </w:rPr>
        <w:t>13.5</w:t>
      </w:r>
      <w:r>
        <w:rPr>
          <w:rtl/>
          <w:lang w:bidi="ar-EG"/>
        </w:rPr>
        <w:tab/>
      </w:r>
      <w:r w:rsidR="006C6B56" w:rsidRPr="006C6B56">
        <w:rPr>
          <w:rtl/>
          <w:lang w:bidi="ar-EG"/>
        </w:rPr>
        <w:t xml:space="preserve">وفيما يتعلق بالخطوات التالية في العملية، في حين اقترحت الوثيقة </w:t>
      </w:r>
      <w:r w:rsidR="006C6B56" w:rsidRPr="006C6B56">
        <w:rPr>
          <w:lang w:bidi="ar-EG"/>
        </w:rPr>
        <w:t>C23/79</w:t>
      </w:r>
      <w:r w:rsidR="006C6B56" w:rsidRPr="006C6B56">
        <w:rPr>
          <w:rtl/>
          <w:lang w:bidi="ar-EG"/>
        </w:rPr>
        <w:t xml:space="preserve"> أن يجري فريق العمل التابع للمجلس والمعني بالموارد المالية والبشرية (</w:t>
      </w:r>
      <w:r w:rsidR="006C6B56" w:rsidRPr="006C6B56">
        <w:rPr>
          <w:lang w:bidi="ar-EG"/>
        </w:rPr>
        <w:t>CWG- FHR</w:t>
      </w:r>
      <w:r w:rsidR="006C6B56" w:rsidRPr="006C6B56">
        <w:rPr>
          <w:rtl/>
          <w:lang w:bidi="ar-EG"/>
        </w:rPr>
        <w:t>) مناقشات مستفيضة بشأن مفهوم "الاتحاد الواحد" وأن يقدم تقريراً إلى المجلس في دورته لعام 2024 للنظر فيه، رأى عدد من أعضاء المجلس انتفاء الحاجة إلى أي مساهمات أخرى في هذا الصدد ما دام مؤتمر المندوبين المفوضين لعام 2022 قد كلف الأمين العام بتقديم تقرير عن تنفيذ مفهوم "الاتحاد الواحد" إلى المجلس في دورته لعام 2024، وأن الدول الأعضاء أتيحت لها بالفعل إمكانية التعليق،</w:t>
      </w:r>
      <w:r w:rsidR="00E74A0D">
        <w:rPr>
          <w:rtl/>
          <w:lang w:bidi="ar-EG"/>
        </w:rPr>
        <w:t xml:space="preserve"> </w:t>
      </w:r>
      <w:r w:rsidR="006C6B56" w:rsidRPr="006C6B56">
        <w:rPr>
          <w:rtl/>
          <w:lang w:bidi="ar-EG"/>
        </w:rPr>
        <w:t>ولا حاجة لأن يشارك فريق العمل التابع للمجلس والمعني بالموارد المالية والبشرية في تعريف هذا المفهوم.</w:t>
      </w:r>
    </w:p>
    <w:p w14:paraId="743C5B32" w14:textId="08E3DC64" w:rsidR="00EC6CB4" w:rsidRPr="000F2292" w:rsidRDefault="00EC6CB4" w:rsidP="00843DEB">
      <w:pPr>
        <w:rPr>
          <w:rtl/>
          <w:lang w:bidi="ar-EG"/>
        </w:rPr>
      </w:pPr>
      <w:r w:rsidRPr="000F2292">
        <w:rPr>
          <w:rFonts w:hint="cs"/>
          <w:rtl/>
          <w:lang w:bidi="ar-EG"/>
        </w:rPr>
        <w:t>14.5</w:t>
      </w:r>
      <w:r w:rsidRPr="000F2292">
        <w:rPr>
          <w:rtl/>
          <w:lang w:bidi="ar-EG"/>
        </w:rPr>
        <w:tab/>
      </w:r>
      <w:r w:rsidR="005003BD" w:rsidRPr="000F2292">
        <w:rPr>
          <w:rtl/>
          <w:lang w:bidi="ar-EG"/>
        </w:rPr>
        <w:t>وقال عدة أعضاء في المجلس إن من المفيد إدراج صفحة توضح المختصرات المستعملة فيما يتعلق بالتنسيق بين</w:t>
      </w:r>
      <w:r w:rsidR="000F2292">
        <w:rPr>
          <w:rFonts w:hint="cs"/>
          <w:rtl/>
          <w:lang w:bidi="ar-EG"/>
        </w:rPr>
        <w:t> </w:t>
      </w:r>
      <w:r w:rsidR="005003BD" w:rsidRPr="000F2292">
        <w:rPr>
          <w:rtl/>
          <w:lang w:bidi="ar-EG"/>
        </w:rPr>
        <w:t>القطاعات.</w:t>
      </w:r>
    </w:p>
    <w:p w14:paraId="643A5861" w14:textId="0CEB9308" w:rsidR="00EC6CB4" w:rsidRDefault="00EC6CB4" w:rsidP="00337CC9">
      <w:pPr>
        <w:rPr>
          <w:rtl/>
          <w:lang w:bidi="ar-EG"/>
        </w:rPr>
      </w:pPr>
      <w:r>
        <w:rPr>
          <w:rFonts w:hint="cs"/>
          <w:rtl/>
          <w:lang w:bidi="ar-EG"/>
        </w:rPr>
        <w:t>15.5</w:t>
      </w:r>
      <w:r>
        <w:rPr>
          <w:rtl/>
          <w:lang w:bidi="ar-EG"/>
        </w:rPr>
        <w:tab/>
      </w:r>
      <w:r w:rsidR="005003BD" w:rsidRPr="005003BD">
        <w:rPr>
          <w:rtl/>
          <w:lang w:bidi="ar-EG"/>
        </w:rPr>
        <w:t xml:space="preserve">ورداً على الأسئلة المطروحة، قال ممثل الأمانة العامة إن استراتيجية التنسيق قُسمت إلى ثلاثة مسارات لأن المجالات ذات الاهتمام المشترك للتنسيق بين القطاعات المحددة في عملية رسم خارطة </w:t>
      </w:r>
      <w:r w:rsidR="00943188">
        <w:rPr>
          <w:rFonts w:hint="cs"/>
          <w:rtl/>
          <w:lang w:bidi="ar-EG"/>
        </w:rPr>
        <w:t>التقابل</w:t>
      </w:r>
      <w:r w:rsidR="00943188" w:rsidRPr="005003BD">
        <w:rPr>
          <w:rtl/>
          <w:lang w:bidi="ar-EG"/>
        </w:rPr>
        <w:t xml:space="preserve"> </w:t>
      </w:r>
      <w:r w:rsidR="005003BD" w:rsidRPr="005003BD">
        <w:rPr>
          <w:rtl/>
          <w:lang w:bidi="ar-EG"/>
        </w:rPr>
        <w:t xml:space="preserve">(42) </w:t>
      </w:r>
      <w:r w:rsidR="00943188" w:rsidRPr="005003BD">
        <w:rPr>
          <w:rtl/>
          <w:lang w:bidi="ar-EG"/>
        </w:rPr>
        <w:t xml:space="preserve">أكثر </w:t>
      </w:r>
      <w:r w:rsidR="005003BD" w:rsidRPr="005003BD">
        <w:rPr>
          <w:rtl/>
          <w:lang w:bidi="ar-EG"/>
        </w:rPr>
        <w:t xml:space="preserve">من أن تتعامل معها جهة واحدة بكفاءة. وأوضحت الحواشي الواردة في الوثيقة </w:t>
      </w:r>
      <w:r w:rsidR="005003BD" w:rsidRPr="005003BD">
        <w:rPr>
          <w:lang w:bidi="ar-EG"/>
        </w:rPr>
        <w:t>C23/27</w:t>
      </w:r>
      <w:r w:rsidR="005003BD" w:rsidRPr="005003BD">
        <w:rPr>
          <w:rtl/>
          <w:lang w:bidi="ar-EG"/>
        </w:rPr>
        <w:t xml:space="preserve"> </w:t>
      </w:r>
      <w:r w:rsidR="005003BD" w:rsidRPr="005003BD">
        <w:rPr>
          <w:rFonts w:hint="cs"/>
          <w:rtl/>
          <w:lang w:bidi="ar-EG"/>
        </w:rPr>
        <w:t>تكوين</w:t>
      </w:r>
      <w:r w:rsidR="005003BD" w:rsidRPr="005003BD">
        <w:rPr>
          <w:rtl/>
          <w:lang w:bidi="ar-EG"/>
        </w:rPr>
        <w:t xml:space="preserve"> كل فريق من هذه الأفرقة. </w:t>
      </w:r>
      <w:r w:rsidR="003C7732" w:rsidRPr="003C7732">
        <w:rPr>
          <w:rtl/>
          <w:lang w:bidi="ar-EG"/>
        </w:rPr>
        <w:t xml:space="preserve">وكما يتضح، </w:t>
      </w:r>
      <w:r w:rsidR="00943188">
        <w:rPr>
          <w:rFonts w:hint="cs"/>
          <w:rtl/>
          <w:lang w:bidi="ar-EG"/>
        </w:rPr>
        <w:t>يمثل</w:t>
      </w:r>
      <w:r w:rsidR="00943188" w:rsidRPr="003C7732">
        <w:rPr>
          <w:rtl/>
          <w:lang w:bidi="ar-EG"/>
        </w:rPr>
        <w:t xml:space="preserve"> </w:t>
      </w:r>
      <w:r w:rsidR="003C7732" w:rsidRPr="003C7732">
        <w:rPr>
          <w:rtl/>
          <w:lang w:bidi="ar-EG"/>
        </w:rPr>
        <w:t>فريق تنسيق الإدارة (</w:t>
      </w:r>
      <w:r w:rsidR="003C7732" w:rsidRPr="003C7732">
        <w:rPr>
          <w:lang w:bidi="ar-EG"/>
        </w:rPr>
        <w:t>MCG</w:t>
      </w:r>
      <w:r w:rsidR="00A54E83">
        <w:rPr>
          <w:lang w:bidi="ar-EG"/>
        </w:rPr>
        <w:t>+</w:t>
      </w:r>
      <w:r w:rsidR="003C7732" w:rsidRPr="003C7732">
        <w:rPr>
          <w:rtl/>
          <w:lang w:bidi="ar-EG"/>
        </w:rPr>
        <w:t xml:space="preserve">) المعزَز استمراراً فعلياً لفريق المهام الحالي المعني بالتنسيق بين القطاعات، وهو مسؤول عن التنسيق بشأن المواضيع البرنامجية، ويشمل المديرين الإقليميين. وفيما يتعلق بالفريق </w:t>
      </w:r>
      <w:r w:rsidR="003C7732" w:rsidRPr="003C7732">
        <w:rPr>
          <w:lang w:bidi="ar-EG"/>
        </w:rPr>
        <w:t>D.2</w:t>
      </w:r>
      <w:r w:rsidR="003C7732" w:rsidRPr="003C7732">
        <w:rPr>
          <w:rtl/>
          <w:lang w:bidi="ar-EG"/>
        </w:rPr>
        <w:t xml:space="preserve"> الذي يتناول مواضيع أقرب إلى الجوانب </w:t>
      </w:r>
      <w:r w:rsidR="00943188">
        <w:rPr>
          <w:rFonts w:hint="cs"/>
          <w:rtl/>
          <w:lang w:bidi="ar-EG"/>
        </w:rPr>
        <w:t>ال</w:t>
      </w:r>
      <w:r w:rsidR="003C7732" w:rsidRPr="003C7732">
        <w:rPr>
          <w:rtl/>
          <w:lang w:bidi="ar-EG"/>
        </w:rPr>
        <w:t>تشغيلية في مجالات لا تشمل بالضرورة تقديم منتجات أو خدمات إلى الأعضاء، فإن النواب سيقدمون بالطبع تقارير إلى مديريهم. وقال إن المواضيع المتعلقة بالمسارات الثلاثة وُضعت يداً بيد مع القطاعات. والواقع أن مجمل الإطار المعروض على المجلس جاء نتيجة مشاورات داخلية واسعة بين جميع القطاعات والأمانة العامة ضمن الفريق 2.</w:t>
      </w:r>
      <w:r w:rsidR="003C7732" w:rsidRPr="003C7732">
        <w:rPr>
          <w:lang w:bidi="ar-EG"/>
        </w:rPr>
        <w:t>D</w:t>
      </w:r>
      <w:r w:rsidR="003C7732" w:rsidRPr="003C7732">
        <w:rPr>
          <w:rtl/>
          <w:lang w:bidi="ar-EG"/>
        </w:rPr>
        <w:t xml:space="preserve"> وفي لجنة التنسيق ووافق عليه فريق تنسيق الإدارة (</w:t>
      </w:r>
      <w:r w:rsidR="003C7732" w:rsidRPr="003C7732">
        <w:rPr>
          <w:lang w:bidi="ar-EG"/>
        </w:rPr>
        <w:t>MCG</w:t>
      </w:r>
      <w:r w:rsidR="00A54E83">
        <w:rPr>
          <w:lang w:bidi="ar-EG"/>
        </w:rPr>
        <w:t>+</w:t>
      </w:r>
      <w:r w:rsidR="003C7732" w:rsidRPr="003C7732">
        <w:rPr>
          <w:rtl/>
          <w:lang w:bidi="ar-EG"/>
        </w:rPr>
        <w:t xml:space="preserve">) المعزَز. </w:t>
      </w:r>
      <w:r w:rsidR="00337CC9" w:rsidRPr="00337CC9">
        <w:rPr>
          <w:rtl/>
          <w:lang w:bidi="ar-EG"/>
        </w:rPr>
        <w:t>وينبغي التأكيد على أن التقارير الدورية عن المسارات الثلاثة ستقدَّم إلى لجنة التنسيق (</w:t>
      </w:r>
      <w:r w:rsidR="00337CC9" w:rsidRPr="00337CC9">
        <w:rPr>
          <w:lang w:bidi="ar-EG"/>
        </w:rPr>
        <w:t>CoCo</w:t>
      </w:r>
      <w:r w:rsidR="00337CC9" w:rsidRPr="00337CC9">
        <w:rPr>
          <w:rtl/>
          <w:lang w:bidi="ar-EG"/>
        </w:rPr>
        <w:t>)، وأن</w:t>
      </w:r>
      <w:r w:rsidR="00A54E83">
        <w:rPr>
          <w:rFonts w:hint="cs"/>
          <w:rtl/>
          <w:lang w:bidi="ar-EG"/>
        </w:rPr>
        <w:t> </w:t>
      </w:r>
      <w:r w:rsidR="00337CC9" w:rsidRPr="00337CC9">
        <w:rPr>
          <w:rtl/>
          <w:lang w:bidi="ar-EG"/>
        </w:rPr>
        <w:t xml:space="preserve">هناك ضوابط وتوازنات داخلية لتحسين التنسيق والتواصل بين هيئات الإدارة الداخلية مع إتاحة المرونة للأفرقة التقنية كي تعمل بما يخدم المصلحة المشتركة حسبما تراه مناسباً. </w:t>
      </w:r>
      <w:r w:rsidR="00337CC9" w:rsidRPr="00337CC9">
        <w:rPr>
          <w:rFonts w:hint="cs"/>
          <w:rtl/>
          <w:lang w:bidi="ar-EG"/>
        </w:rPr>
        <w:t>وأنشئت</w:t>
      </w:r>
      <w:r w:rsidR="00337CC9" w:rsidRPr="00337CC9">
        <w:rPr>
          <w:rtl/>
          <w:lang w:bidi="ar-EG"/>
        </w:rPr>
        <w:t xml:space="preserve"> </w:t>
      </w:r>
      <w:r w:rsidR="00337CC9" w:rsidRPr="00337CC9">
        <w:rPr>
          <w:rFonts w:hint="cs"/>
          <w:rtl/>
          <w:lang w:bidi="ar-EG"/>
        </w:rPr>
        <w:t>آلية</w:t>
      </w:r>
      <w:r w:rsidR="00337CC9" w:rsidRPr="00337CC9">
        <w:rPr>
          <w:rtl/>
          <w:lang w:bidi="ar-EG"/>
        </w:rPr>
        <w:t xml:space="preserve"> تتبع تراقَب فيها خطط كل فريق،</w:t>
      </w:r>
      <w:r w:rsidR="00943188">
        <w:rPr>
          <w:rFonts w:hint="cs"/>
          <w:rtl/>
          <w:lang w:bidi="ar-EG"/>
        </w:rPr>
        <w:t xml:space="preserve"> ويُعتزَم </w:t>
      </w:r>
      <w:r w:rsidR="00337CC9" w:rsidRPr="00337CC9">
        <w:rPr>
          <w:rtl/>
          <w:lang w:bidi="ar-EG"/>
        </w:rPr>
        <w:t xml:space="preserve">إنشاء لوحة </w:t>
      </w:r>
      <w:r w:rsidR="00337CC9" w:rsidRPr="00337CC9">
        <w:rPr>
          <w:rFonts w:hint="cs"/>
          <w:rtl/>
          <w:lang w:bidi="ar-EG"/>
        </w:rPr>
        <w:t>معلومات</w:t>
      </w:r>
      <w:r w:rsidR="00337CC9" w:rsidRPr="00337CC9">
        <w:rPr>
          <w:rtl/>
          <w:lang w:bidi="ar-EG"/>
        </w:rPr>
        <w:t xml:space="preserve"> لتزويد المجلس بمعلومات عن العمل المنج</w:t>
      </w:r>
      <w:r w:rsidR="00337CC9" w:rsidRPr="00337CC9">
        <w:rPr>
          <w:rFonts w:hint="cs"/>
          <w:rtl/>
          <w:lang w:bidi="ar-EG"/>
        </w:rPr>
        <w:t>َ</w:t>
      </w:r>
      <w:r w:rsidR="00337CC9" w:rsidRPr="00337CC9">
        <w:rPr>
          <w:rtl/>
          <w:lang w:bidi="ar-EG"/>
        </w:rPr>
        <w:t xml:space="preserve">ز في إطار المسارات الثلاثة. </w:t>
      </w:r>
      <w:r w:rsidR="00DD51D2" w:rsidRPr="00DD51D2">
        <w:rPr>
          <w:rtl/>
          <w:lang w:bidi="ar-EG"/>
        </w:rPr>
        <w:t>وفيما يتعلق بالأهداف المشتركة بين القطاعات في الخطة الاستراتيجية الحالية، استرعى الانتباه إلى العامل التمكيني الأخير في الخطة الاستراتيجية للفترة</w:t>
      </w:r>
      <w:r w:rsidR="00B2411F">
        <w:rPr>
          <w:rFonts w:hint="cs"/>
          <w:rtl/>
          <w:lang w:bidi="ar-EG"/>
        </w:rPr>
        <w:t> </w:t>
      </w:r>
      <w:r w:rsidR="00DD51D2" w:rsidRPr="00DD51D2">
        <w:rPr>
          <w:rtl/>
          <w:lang w:bidi="ar-EG"/>
        </w:rPr>
        <w:t>2024</w:t>
      </w:r>
      <w:r w:rsidR="00A54E83">
        <w:rPr>
          <w:lang w:bidi="ar-EG"/>
        </w:rPr>
        <w:noBreakHyphen/>
      </w:r>
      <w:r w:rsidR="00DD51D2" w:rsidRPr="00DD51D2">
        <w:rPr>
          <w:rtl/>
          <w:lang w:bidi="ar-EG"/>
        </w:rPr>
        <w:t xml:space="preserve">2027 (التميز في مجال الموارد البشرية والابتكار التنظيمي) </w:t>
      </w:r>
      <w:r w:rsidR="00DD51D2">
        <w:rPr>
          <w:rFonts w:hint="cs"/>
          <w:rtl/>
          <w:lang w:bidi="ar-EG"/>
        </w:rPr>
        <w:t>ذي</w:t>
      </w:r>
      <w:r w:rsidR="00DD51D2" w:rsidRPr="00DD51D2">
        <w:rPr>
          <w:rtl/>
          <w:lang w:bidi="ar-EG"/>
        </w:rPr>
        <w:t xml:space="preserve"> الصلة </w:t>
      </w:r>
      <w:r w:rsidR="00DD51D2">
        <w:rPr>
          <w:rFonts w:hint="cs"/>
          <w:rtl/>
          <w:lang w:bidi="ar-EG"/>
        </w:rPr>
        <w:t>ال</w:t>
      </w:r>
      <w:r w:rsidR="00DD51D2" w:rsidRPr="00DD51D2">
        <w:rPr>
          <w:rtl/>
          <w:lang w:bidi="ar-EG"/>
        </w:rPr>
        <w:t>مباشرة بالتنسيق بين القطاعات.</w:t>
      </w:r>
      <w:r w:rsidR="00E74A0D">
        <w:rPr>
          <w:rtl/>
          <w:lang w:bidi="ar-EG"/>
        </w:rPr>
        <w:t xml:space="preserve"> </w:t>
      </w:r>
      <w:r w:rsidR="00DD51D2" w:rsidRPr="00DD51D2">
        <w:rPr>
          <w:rtl/>
          <w:lang w:bidi="ar-EG"/>
        </w:rPr>
        <w:t>وسيُدرج قسم خاص بالمختصرات في الدليل التعريفي للمندوبين الجدد في مجلس إدارة الاتحاد.</w:t>
      </w:r>
    </w:p>
    <w:p w14:paraId="284BADEB" w14:textId="157B781D" w:rsidR="00EC6CB4" w:rsidRDefault="00EC6CB4" w:rsidP="00843DEB">
      <w:pPr>
        <w:rPr>
          <w:rtl/>
          <w:lang w:bidi="ar-EG"/>
        </w:rPr>
      </w:pPr>
      <w:r>
        <w:rPr>
          <w:rFonts w:hint="cs"/>
          <w:rtl/>
          <w:lang w:bidi="ar-EG"/>
        </w:rPr>
        <w:t>16.5</w:t>
      </w:r>
      <w:r>
        <w:rPr>
          <w:rtl/>
          <w:lang w:bidi="ar-EG"/>
        </w:rPr>
        <w:tab/>
      </w:r>
      <w:r w:rsidR="00785B1F">
        <w:rPr>
          <w:rFonts w:hint="cs"/>
          <w:rtl/>
          <w:lang w:bidi="ar-EG"/>
        </w:rPr>
        <w:t>و</w:t>
      </w:r>
      <w:r w:rsidR="00785B1F" w:rsidRPr="00785B1F">
        <w:rPr>
          <w:rtl/>
          <w:lang w:bidi="ar-EG"/>
        </w:rPr>
        <w:t>قال رئيس فريق التنسيق بين القطاعات إن فريقه يتألف من ممثلين عن كل من الأفرقة الاستشارية للقطاعات.</w:t>
      </w:r>
      <w:r w:rsidR="00E74A0D">
        <w:rPr>
          <w:rtl/>
          <w:lang w:bidi="ar-EG"/>
        </w:rPr>
        <w:t xml:space="preserve"> </w:t>
      </w:r>
      <w:r w:rsidR="00785B1F" w:rsidRPr="00785B1F">
        <w:rPr>
          <w:rtl/>
          <w:lang w:bidi="ar-EG"/>
        </w:rPr>
        <w:t xml:space="preserve">واختير منسقو فريق التنسيق بين القطاعات حسب كفاءتهم وسلطتهم المهنية لتحسين تنسيق الجهود وتجنب التباعد. ودُعي المديرون الإقليميون إلى المشاركة في الاجتماع الأخير </w:t>
      </w:r>
      <w:r w:rsidR="00943188">
        <w:rPr>
          <w:rFonts w:hint="cs"/>
          <w:rtl/>
          <w:lang w:bidi="ar-EG"/>
        </w:rPr>
        <w:t xml:space="preserve">وقد شاركوا فيه </w:t>
      </w:r>
      <w:r w:rsidR="00785B1F" w:rsidRPr="00785B1F">
        <w:rPr>
          <w:rtl/>
          <w:lang w:bidi="ar-EG"/>
        </w:rPr>
        <w:t>عن بُعد.</w:t>
      </w:r>
      <w:r w:rsidR="00C942C9">
        <w:rPr>
          <w:rtl/>
          <w:lang w:bidi="ar-EG"/>
        </w:rPr>
        <w:t xml:space="preserve"> </w:t>
      </w:r>
      <w:r w:rsidR="00FF6B42" w:rsidRPr="00FF6B42">
        <w:rPr>
          <w:rtl/>
          <w:lang w:bidi="ar-EG"/>
        </w:rPr>
        <w:t xml:space="preserve">وتوقع أن يقدم فريق تنسيق الإدارة المنشأ حديثاً تقاريره بانتظام إلى فريق التنسيق بين القطاعات، كما فعل فريق </w:t>
      </w:r>
      <w:r w:rsidR="00943188">
        <w:rPr>
          <w:rFonts w:hint="cs"/>
          <w:rtl/>
          <w:lang w:bidi="ar-EG"/>
        </w:rPr>
        <w:t>المهام المعني</w:t>
      </w:r>
      <w:r w:rsidR="00943188" w:rsidRPr="00FF6B42">
        <w:rPr>
          <w:rtl/>
          <w:lang w:bidi="ar-EG"/>
        </w:rPr>
        <w:t xml:space="preserve"> </w:t>
      </w:r>
      <w:r w:rsidR="00943188">
        <w:rPr>
          <w:rFonts w:hint="cs"/>
          <w:rtl/>
          <w:lang w:bidi="ar-EG"/>
        </w:rPr>
        <w:t>ب</w:t>
      </w:r>
      <w:r w:rsidR="00FF6B42" w:rsidRPr="00FF6B42">
        <w:rPr>
          <w:rtl/>
          <w:lang w:bidi="ar-EG"/>
        </w:rPr>
        <w:t>التنسيق بين القطاعات (</w:t>
      </w:r>
      <w:r w:rsidR="00FF6B42" w:rsidRPr="00FF6B42">
        <w:rPr>
          <w:lang w:bidi="ar-EG"/>
        </w:rPr>
        <w:t>ISC-TF</w:t>
      </w:r>
      <w:r w:rsidR="00FF6B42" w:rsidRPr="00FF6B42">
        <w:rPr>
          <w:rtl/>
          <w:lang w:bidi="ar-EG"/>
        </w:rPr>
        <w:t>) في الماضي.</w:t>
      </w:r>
    </w:p>
    <w:p w14:paraId="059A526D" w14:textId="5A2EADB7" w:rsidR="00EC6CB4" w:rsidRDefault="00EC6CB4" w:rsidP="00843DEB">
      <w:pPr>
        <w:rPr>
          <w:rtl/>
          <w:lang w:bidi="ar-EG"/>
        </w:rPr>
      </w:pPr>
      <w:r>
        <w:rPr>
          <w:rFonts w:hint="cs"/>
          <w:rtl/>
          <w:lang w:bidi="ar-EG"/>
        </w:rPr>
        <w:t>17.5</w:t>
      </w:r>
      <w:r>
        <w:rPr>
          <w:rtl/>
          <w:lang w:bidi="ar-EG"/>
        </w:rPr>
        <w:tab/>
      </w:r>
      <w:r w:rsidR="00C14422" w:rsidRPr="00C14422">
        <w:rPr>
          <w:rtl/>
          <w:lang w:bidi="ar-EG"/>
        </w:rPr>
        <w:t>ورداً على سؤال آخر عن تعريف مفهوم "الاتحاد الواحد"، استشهد ممثل الأمانة العامة بعدد من المصادر في</w:t>
      </w:r>
      <w:r w:rsidR="005F51C4">
        <w:rPr>
          <w:rFonts w:hint="cs"/>
          <w:rtl/>
          <w:lang w:bidi="ar-EG"/>
        </w:rPr>
        <w:t> </w:t>
      </w:r>
      <w:r w:rsidR="00C14422" w:rsidRPr="00C14422">
        <w:rPr>
          <w:rtl/>
          <w:lang w:bidi="ar-EG"/>
        </w:rPr>
        <w:t xml:space="preserve">صكوك الاتحاد ونصوصه. </w:t>
      </w:r>
      <w:r w:rsidR="00324E42" w:rsidRPr="00324E42">
        <w:rPr>
          <w:rtl/>
          <w:lang w:bidi="ar-EG"/>
        </w:rPr>
        <w:t>ففي الخطة الاستراتيجية للفترة 2020-2023 في القرار 71 (المراجع في دبي، 2018)، وردت الإشارة إلى "العمل كاتحاد واحد" في تحليل الوضع وحُدد كمعيار تنفيذ للخطة الاستراتيجية، مع التعريف المرتبط به؛ ويشكل "تنفيذ مفهوم الاتحاد الواحد" الناتج</w:t>
      </w:r>
      <w:r w:rsidR="00943188">
        <w:rPr>
          <w:rFonts w:hint="cs"/>
          <w:rtl/>
          <w:lang w:bidi="ar-EG"/>
        </w:rPr>
        <w:t xml:space="preserve"> </w:t>
      </w:r>
      <w:r w:rsidR="00423C30">
        <w:rPr>
          <w:lang w:bidi="ar-EG"/>
        </w:rPr>
        <w:t>2-6.I</w:t>
      </w:r>
      <w:r w:rsidR="00324E42" w:rsidRPr="00324E42">
        <w:rPr>
          <w:rtl/>
          <w:lang w:bidi="ar-EG"/>
        </w:rPr>
        <w:t xml:space="preserve"> المشترك بين القطاعات.</w:t>
      </w:r>
      <w:r w:rsidR="00E74A0D">
        <w:rPr>
          <w:rtl/>
          <w:lang w:bidi="ar-EG"/>
        </w:rPr>
        <w:t xml:space="preserve"> </w:t>
      </w:r>
      <w:r w:rsidR="00324E42" w:rsidRPr="00324E42">
        <w:rPr>
          <w:rtl/>
          <w:lang w:bidi="ar-EG"/>
        </w:rPr>
        <w:t>وما برح العمل كاتحاد واحد أحد المبادئ التي حددها منذ البداية فريق العمل التابع للمجلس المعني بالخطتين الاستراتيجية والمالية (</w:t>
      </w:r>
      <w:r w:rsidR="00324E42" w:rsidRPr="00324E42">
        <w:rPr>
          <w:lang w:bidi="ar-EG"/>
        </w:rPr>
        <w:t>CWG-SFP</w:t>
      </w:r>
      <w:r w:rsidR="00324E42" w:rsidRPr="00324E42">
        <w:rPr>
          <w:rtl/>
          <w:lang w:bidi="ar-EG"/>
        </w:rPr>
        <w:t>).</w:t>
      </w:r>
      <w:r w:rsidR="00324E42">
        <w:rPr>
          <w:rFonts w:hint="cs"/>
          <w:rtl/>
          <w:lang w:bidi="ar-EG"/>
        </w:rPr>
        <w:t xml:space="preserve"> وفي مؤتمر المندوبين المفوضين لعام 2022، وافقت</w:t>
      </w:r>
      <w:r w:rsidR="00324E42" w:rsidRPr="00324E42">
        <w:rPr>
          <w:rtl/>
        </w:rPr>
        <w:t xml:space="preserve"> </w:t>
      </w:r>
      <w:r w:rsidR="00324E42" w:rsidRPr="00324E42">
        <w:rPr>
          <w:rtl/>
          <w:lang w:bidi="ar-EG"/>
        </w:rPr>
        <w:t>الجلسة العامة</w:t>
      </w:r>
      <w:r w:rsidR="00324E42">
        <w:rPr>
          <w:rFonts w:hint="cs"/>
          <w:rtl/>
          <w:lang w:bidi="ar-EG"/>
        </w:rPr>
        <w:t xml:space="preserve"> على توصية</w:t>
      </w:r>
      <w:r w:rsidRPr="00F60B43">
        <w:rPr>
          <w:rtl/>
          <w:lang w:bidi="ar-EG"/>
        </w:rPr>
        <w:t xml:space="preserve"> اللجنة 6 </w:t>
      </w:r>
      <w:r w:rsidR="00324E42">
        <w:rPr>
          <w:rFonts w:hint="cs"/>
          <w:rtl/>
          <w:lang w:bidi="ar-EG"/>
        </w:rPr>
        <w:t>ب</w:t>
      </w:r>
      <w:r w:rsidR="00324E42" w:rsidRPr="00324E42">
        <w:rPr>
          <w:rtl/>
          <w:lang w:bidi="ar-EG"/>
        </w:rPr>
        <w:t xml:space="preserve">أن يكلَّف </w:t>
      </w:r>
      <w:r w:rsidRPr="00F60B43">
        <w:rPr>
          <w:rtl/>
          <w:lang w:bidi="ar-EG"/>
        </w:rPr>
        <w:t>الأمين العام</w:t>
      </w:r>
      <w:r w:rsidRPr="00F60B43">
        <w:rPr>
          <w:rFonts w:hint="cs"/>
          <w:rtl/>
          <w:lang w:bidi="ar-EG"/>
        </w:rPr>
        <w:t xml:space="preserve"> بأن يقدم، </w:t>
      </w:r>
      <w:r>
        <w:rPr>
          <w:rFonts w:hint="cs"/>
          <w:rtl/>
          <w:lang w:bidi="ar-EG"/>
        </w:rPr>
        <w:t xml:space="preserve">عاملاً </w:t>
      </w:r>
      <w:r w:rsidRPr="00F60B43">
        <w:rPr>
          <w:rtl/>
          <w:lang w:bidi="ar-EG"/>
        </w:rPr>
        <w:t>بالتنسيق مع مديري المكاتب</w:t>
      </w:r>
      <w:r w:rsidRPr="00F60B43">
        <w:rPr>
          <w:rFonts w:hint="cs"/>
          <w:rtl/>
          <w:lang w:bidi="ar-EG"/>
        </w:rPr>
        <w:t>،</w:t>
      </w:r>
      <w:r w:rsidRPr="00F60B43">
        <w:rPr>
          <w:rtl/>
          <w:lang w:bidi="ar-EG"/>
        </w:rPr>
        <w:t xml:space="preserve"> تقرير</w:t>
      </w:r>
      <w:r w:rsidRPr="00F60B43">
        <w:rPr>
          <w:rFonts w:hint="cs"/>
          <w:rtl/>
          <w:lang w:bidi="ar-EG"/>
        </w:rPr>
        <w:t>اً</w:t>
      </w:r>
      <w:r w:rsidRPr="00F60B43">
        <w:rPr>
          <w:rtl/>
          <w:lang w:bidi="ar-EG"/>
        </w:rPr>
        <w:t xml:space="preserve"> إلى المجلس</w:t>
      </w:r>
      <w:r>
        <w:rPr>
          <w:rFonts w:hint="cs"/>
          <w:rtl/>
          <w:lang w:bidi="ar-EG"/>
        </w:rPr>
        <w:t xml:space="preserve"> </w:t>
      </w:r>
      <w:r>
        <w:rPr>
          <w:rFonts w:hint="cs"/>
          <w:rtl/>
          <w:lang w:bidi="ar-EG"/>
        </w:rPr>
        <w:lastRenderedPageBreak/>
        <w:t>في دورته</w:t>
      </w:r>
      <w:r w:rsidRPr="00F60B43">
        <w:rPr>
          <w:rtl/>
          <w:lang w:bidi="ar-EG"/>
        </w:rPr>
        <w:t xml:space="preserve"> لعام 2024 </w:t>
      </w:r>
      <w:r w:rsidRPr="00F60B43">
        <w:rPr>
          <w:rFonts w:hint="cs"/>
          <w:rtl/>
          <w:lang w:bidi="ar-EG"/>
        </w:rPr>
        <w:t>بشأن</w:t>
      </w:r>
      <w:r w:rsidRPr="00F60B43">
        <w:rPr>
          <w:rtl/>
          <w:lang w:bidi="ar-EG"/>
        </w:rPr>
        <w:t xml:space="preserve"> تنفيذ مفهوم </w:t>
      </w:r>
      <w:r w:rsidRPr="00F60B43">
        <w:rPr>
          <w:rFonts w:hint="cs"/>
          <w:rtl/>
          <w:lang w:bidi="ar-EG"/>
        </w:rPr>
        <w:t>"الاتحاد ال</w:t>
      </w:r>
      <w:r w:rsidRPr="00F60B43">
        <w:rPr>
          <w:rtl/>
          <w:lang w:bidi="ar-EG"/>
        </w:rPr>
        <w:t>واحد</w:t>
      </w:r>
      <w:r w:rsidRPr="00F60B43">
        <w:rPr>
          <w:rFonts w:hint="cs"/>
          <w:rtl/>
          <w:lang w:bidi="ar-EG"/>
        </w:rPr>
        <w:t>"</w:t>
      </w:r>
      <w:r>
        <w:rPr>
          <w:rFonts w:hint="cs"/>
          <w:rtl/>
          <w:lang w:bidi="ar-EG"/>
        </w:rPr>
        <w:t>،</w:t>
      </w:r>
      <w:r w:rsidRPr="00F60B43">
        <w:rPr>
          <w:rtl/>
          <w:lang w:bidi="ar-EG"/>
        </w:rPr>
        <w:t xml:space="preserve"> </w:t>
      </w:r>
      <w:r>
        <w:rPr>
          <w:rFonts w:hint="cs"/>
          <w:rtl/>
          <w:lang w:bidi="ar-EG"/>
        </w:rPr>
        <w:t>وأ</w:t>
      </w:r>
      <w:bookmarkStart w:id="12" w:name="_Hlk143264540"/>
      <w:r>
        <w:rPr>
          <w:rFonts w:hint="cs"/>
          <w:rtl/>
          <w:lang w:bidi="ar-EG"/>
        </w:rPr>
        <w:t>ن يكلَّف</w:t>
      </w:r>
      <w:r w:rsidRPr="00F60B43">
        <w:rPr>
          <w:rtl/>
          <w:lang w:bidi="ar-EG"/>
        </w:rPr>
        <w:t xml:space="preserve"> </w:t>
      </w:r>
      <w:bookmarkEnd w:id="12"/>
      <w:r w:rsidRPr="00F60B43">
        <w:rPr>
          <w:rtl/>
          <w:lang w:bidi="ar-EG"/>
        </w:rPr>
        <w:t xml:space="preserve">المجلس </w:t>
      </w:r>
      <w:r>
        <w:rPr>
          <w:rFonts w:hint="cs"/>
          <w:rtl/>
          <w:lang w:bidi="ar-EG"/>
        </w:rPr>
        <w:t>ب</w:t>
      </w:r>
      <w:r w:rsidRPr="00F60B43">
        <w:rPr>
          <w:rtl/>
          <w:lang w:bidi="ar-EG"/>
        </w:rPr>
        <w:t xml:space="preserve">تقييم تقرير الأمين العام وتقديم تقرير إلى مؤتمر المندوبين المفوضين المقبل بشأن تنفيذ مفهوم </w:t>
      </w:r>
      <w:r w:rsidRPr="00F60B43">
        <w:rPr>
          <w:rFonts w:hint="cs"/>
          <w:rtl/>
          <w:lang w:bidi="ar-EG"/>
        </w:rPr>
        <w:t>"الاتحاد ال</w:t>
      </w:r>
      <w:r w:rsidRPr="00F60B43">
        <w:rPr>
          <w:rtl/>
          <w:lang w:bidi="ar-EG"/>
        </w:rPr>
        <w:t>واحد</w:t>
      </w:r>
      <w:r w:rsidRPr="00F60B43">
        <w:rPr>
          <w:rFonts w:hint="cs"/>
          <w:rtl/>
          <w:lang w:bidi="ar-EG"/>
        </w:rPr>
        <w:t xml:space="preserve">"، </w:t>
      </w:r>
      <w:r>
        <w:rPr>
          <w:rFonts w:hint="cs"/>
          <w:rtl/>
          <w:lang w:bidi="ar-EG"/>
        </w:rPr>
        <w:t xml:space="preserve">بما في ذلك، </w:t>
      </w:r>
      <w:r w:rsidRPr="00DC0345">
        <w:rPr>
          <w:rFonts w:hint="cs"/>
          <w:i/>
          <w:iCs/>
          <w:rtl/>
          <w:lang w:bidi="ar-EG"/>
        </w:rPr>
        <w:t>في جملة أمور</w:t>
      </w:r>
      <w:r>
        <w:rPr>
          <w:rFonts w:hint="cs"/>
          <w:rtl/>
          <w:lang w:bidi="ar-EG"/>
        </w:rPr>
        <w:t>،</w:t>
      </w:r>
      <w:r w:rsidRPr="00F60B43">
        <w:rPr>
          <w:rFonts w:hint="cs"/>
          <w:rtl/>
          <w:lang w:bidi="ar-EG"/>
        </w:rPr>
        <w:t xml:space="preserve"> </w:t>
      </w:r>
      <w:r>
        <w:rPr>
          <w:rFonts w:hint="cs"/>
          <w:rtl/>
          <w:lang w:bidi="ar-EG"/>
        </w:rPr>
        <w:t>ما يتعلق</w:t>
      </w:r>
      <w:r w:rsidRPr="00F60B43">
        <w:rPr>
          <w:rFonts w:hint="cs"/>
          <w:rtl/>
          <w:lang w:bidi="ar-EG"/>
        </w:rPr>
        <w:t xml:space="preserve"> </w:t>
      </w:r>
      <w:r>
        <w:rPr>
          <w:rFonts w:hint="cs"/>
          <w:rtl/>
          <w:lang w:bidi="ar-EG"/>
        </w:rPr>
        <w:t>ب</w:t>
      </w:r>
      <w:r w:rsidRPr="00F60B43">
        <w:rPr>
          <w:rtl/>
          <w:lang w:bidi="ar-EG"/>
        </w:rPr>
        <w:t>أنشطة المكاتب الإقليمية ومكاتب المناطق</w:t>
      </w:r>
      <w:r w:rsidR="00D40EE9">
        <w:rPr>
          <w:rFonts w:hint="cs"/>
          <w:rtl/>
          <w:lang w:bidi="ar-EG"/>
        </w:rPr>
        <w:t>.</w:t>
      </w:r>
      <w:r w:rsidR="00D40EE9" w:rsidRPr="00D40EE9">
        <w:rPr>
          <w:rtl/>
        </w:rPr>
        <w:t xml:space="preserve"> </w:t>
      </w:r>
      <w:r w:rsidR="00D40EE9" w:rsidRPr="00D40EE9">
        <w:rPr>
          <w:rtl/>
          <w:lang w:bidi="ar-EG"/>
        </w:rPr>
        <w:t>وتعمل الأمانة كاتحاد واحد وهي تسعى جاهدة لتقديم منتجات وخدمات للأعضاء ككيان واحد.</w:t>
      </w:r>
    </w:p>
    <w:p w14:paraId="62390A0B" w14:textId="63D35C42" w:rsidR="00EC6CB4" w:rsidRDefault="00EC6CB4" w:rsidP="00D40EE9">
      <w:pPr>
        <w:rPr>
          <w:rtl/>
          <w:lang w:bidi="ar-EG"/>
        </w:rPr>
      </w:pPr>
      <w:r>
        <w:rPr>
          <w:rFonts w:hint="cs"/>
          <w:rtl/>
          <w:lang w:bidi="ar-EG"/>
        </w:rPr>
        <w:t>18.5</w:t>
      </w:r>
      <w:r>
        <w:rPr>
          <w:rtl/>
          <w:lang w:bidi="ar-EG"/>
        </w:rPr>
        <w:tab/>
      </w:r>
      <w:r w:rsidR="00D40EE9" w:rsidRPr="00D40EE9">
        <w:rPr>
          <w:rtl/>
          <w:lang w:bidi="ar-EG"/>
        </w:rPr>
        <w:t>وقال الرئيس إن مناقشة هذا البند ست</w:t>
      </w:r>
      <w:r w:rsidR="00D40EE9" w:rsidRPr="00D40EE9">
        <w:rPr>
          <w:rFonts w:hint="cs"/>
          <w:rtl/>
          <w:lang w:bidi="ar-EG"/>
        </w:rPr>
        <w:t>ُ</w:t>
      </w:r>
      <w:r w:rsidR="00D40EE9" w:rsidRPr="00D40EE9">
        <w:rPr>
          <w:rtl/>
          <w:lang w:bidi="ar-EG"/>
        </w:rPr>
        <w:t>ستأنف في الجلسة العامة السادسة.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43DEB" w14:paraId="54FF5D84" w14:textId="77777777" w:rsidTr="00843DEB">
        <w:tc>
          <w:tcPr>
            <w:tcW w:w="4814" w:type="dxa"/>
            <w:hideMark/>
          </w:tcPr>
          <w:p w14:paraId="7FF4E805" w14:textId="7A98502D" w:rsidR="00843DEB" w:rsidRDefault="00843DEB">
            <w:pPr>
              <w:spacing w:before="1440"/>
            </w:pPr>
            <w:r>
              <w:rPr>
                <w:rFonts w:hint="cs"/>
                <w:rtl/>
              </w:rPr>
              <w:t>الأمينة العامة:</w:t>
            </w:r>
            <w:r>
              <w:rPr>
                <w:rFonts w:hint="cs"/>
                <w:rtl/>
              </w:rPr>
              <w:br/>
              <w:t>د</w:t>
            </w:r>
            <w:r w:rsidR="00943188">
              <w:rPr>
                <w:rFonts w:hint="cs"/>
                <w:rtl/>
              </w:rPr>
              <w:t>ورين</w:t>
            </w:r>
            <w:r>
              <w:rPr>
                <w:rFonts w:hint="cs"/>
                <w:rtl/>
              </w:rPr>
              <w:t xml:space="preserve"> بوغدان-مارتن</w:t>
            </w:r>
          </w:p>
        </w:tc>
        <w:tc>
          <w:tcPr>
            <w:tcW w:w="4815" w:type="dxa"/>
            <w:hideMark/>
          </w:tcPr>
          <w:p w14:paraId="7175F330" w14:textId="0A029634" w:rsidR="00843DEB" w:rsidRDefault="00843DEB">
            <w:pPr>
              <w:spacing w:before="1440"/>
              <w:rPr>
                <w:rtl/>
              </w:rPr>
            </w:pPr>
            <w:r>
              <w:rPr>
                <w:rFonts w:hint="cs"/>
                <w:rtl/>
              </w:rPr>
              <w:t>الرئيس:</w:t>
            </w:r>
            <w:r>
              <w:rPr>
                <w:rFonts w:hint="cs"/>
                <w:rtl/>
              </w:rPr>
              <w:br/>
              <w:t>س</w:t>
            </w:r>
            <w:r w:rsidR="00943188">
              <w:rPr>
                <w:rFonts w:hint="cs"/>
                <w:rtl/>
              </w:rPr>
              <w:t>يزار</w:t>
            </w:r>
            <w:r>
              <w:rPr>
                <w:rFonts w:hint="cs"/>
                <w:rtl/>
              </w:rPr>
              <w:t xml:space="preserve"> مارتينيز</w:t>
            </w:r>
          </w:p>
        </w:tc>
      </w:tr>
    </w:tbl>
    <w:p w14:paraId="52C22868"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BBB7" w14:textId="77777777" w:rsidR="00D02FBE" w:rsidRDefault="00D02FBE" w:rsidP="006C3242">
      <w:pPr>
        <w:spacing w:before="0" w:line="240" w:lineRule="auto"/>
      </w:pPr>
      <w:r>
        <w:separator/>
      </w:r>
    </w:p>
  </w:endnote>
  <w:endnote w:type="continuationSeparator" w:id="0">
    <w:p w14:paraId="3F7EF2E5" w14:textId="77777777" w:rsidR="00D02FBE" w:rsidRDefault="00D02FB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6CE0DBB" w14:textId="77777777" w:rsidTr="00357086">
      <w:trPr>
        <w:jc w:val="center"/>
      </w:trPr>
      <w:tc>
        <w:tcPr>
          <w:tcW w:w="868" w:type="pct"/>
          <w:vAlign w:val="center"/>
        </w:tcPr>
        <w:p w14:paraId="316FF6BD" w14:textId="0B8D866D" w:rsidR="00F50E3F" w:rsidRPr="007B0AA0" w:rsidRDefault="00F50E3F" w:rsidP="00843DEB">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EC6CB4">
            <w:rPr>
              <w:rFonts w:ascii="Calibri" w:hAnsi="Calibri" w:cs="Arial"/>
              <w:sz w:val="18"/>
              <w:szCs w:val="14"/>
              <w:lang w:val="fr-FR"/>
            </w:rPr>
            <w:t>526817</w:t>
          </w:r>
        </w:p>
      </w:tc>
      <w:tc>
        <w:tcPr>
          <w:tcW w:w="3912" w:type="pct"/>
        </w:tcPr>
        <w:p w14:paraId="2F598209" w14:textId="0CE014A6"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C6CB4">
            <w:rPr>
              <w:rFonts w:ascii="Calibri" w:hAnsi="Calibri" w:cs="Arial"/>
              <w:bCs/>
              <w:color w:val="7F7F7F"/>
              <w:sz w:val="18"/>
            </w:rPr>
            <w:t>110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DE50CA"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9F1892F" w14:textId="698FB4FF" w:rsidR="006C3242" w:rsidRPr="0026373E" w:rsidRDefault="006C3242" w:rsidP="00EC6CB4">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BCE06E2" w14:textId="77777777" w:rsidTr="00F50E3F">
      <w:trPr>
        <w:jc w:val="center"/>
      </w:trPr>
      <w:tc>
        <w:tcPr>
          <w:tcW w:w="868" w:type="pct"/>
          <w:vAlign w:val="center"/>
        </w:tcPr>
        <w:p w14:paraId="7C1D9576" w14:textId="77777777" w:rsidR="007B0AA0" w:rsidRPr="007B0AA0" w:rsidRDefault="00A03482"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5FBD9AA" w14:textId="0C3C2AA3"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C6CB4">
            <w:rPr>
              <w:rFonts w:ascii="Calibri" w:hAnsi="Calibri" w:cs="Arial"/>
              <w:bCs/>
              <w:color w:val="7F7F7F"/>
              <w:sz w:val="18"/>
            </w:rPr>
            <w:t>110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9DA03BB"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9EADFF2" w14:textId="10F5B8C2" w:rsidR="0006468A" w:rsidRPr="0080430A" w:rsidRDefault="00EC6CB4" w:rsidP="00EC6CB4">
    <w:pPr>
      <w:pStyle w:val="Footer"/>
      <w:tabs>
        <w:tab w:val="clear" w:pos="4153"/>
        <w:tab w:val="clear" w:pos="8306"/>
        <w:tab w:val="center" w:pos="5103"/>
        <w:tab w:val="right" w:pos="9639"/>
      </w:tabs>
      <w:spacing w:before="120"/>
      <w:rPr>
        <w:sz w:val="16"/>
        <w:szCs w:val="16"/>
        <w:lang w:val="fr-FR"/>
      </w:rPr>
    </w:pPr>
    <w:r w:rsidRPr="001C76E5">
      <w:rPr>
        <w:color w:val="F2F2F2" w:themeColor="background1" w:themeShade="F2"/>
        <w:sz w:val="16"/>
        <w:szCs w:val="16"/>
        <w:lang w:val="fr-FR"/>
      </w:rPr>
      <w:fldChar w:fldCharType="begin"/>
    </w:r>
    <w:r w:rsidRPr="001C76E5">
      <w:rPr>
        <w:color w:val="F2F2F2" w:themeColor="background1" w:themeShade="F2"/>
        <w:sz w:val="16"/>
        <w:szCs w:val="16"/>
        <w:lang w:val="fr-FR"/>
      </w:rPr>
      <w:instrText xml:space="preserve"> FILENAME \p \* MERGEFORMAT </w:instrText>
    </w:r>
    <w:r w:rsidRPr="001C76E5">
      <w:rPr>
        <w:color w:val="F2F2F2" w:themeColor="background1" w:themeShade="F2"/>
        <w:sz w:val="16"/>
        <w:szCs w:val="16"/>
        <w:lang w:val="fr-FR"/>
      </w:rPr>
      <w:fldChar w:fldCharType="separate"/>
    </w:r>
    <w:r w:rsidR="00720EAD" w:rsidRPr="001C76E5">
      <w:rPr>
        <w:noProof/>
        <w:color w:val="F2F2F2" w:themeColor="background1" w:themeShade="F2"/>
        <w:sz w:val="16"/>
        <w:szCs w:val="16"/>
        <w:lang w:val="fr-FR"/>
      </w:rPr>
      <w:t>P:\ARA\SG\CONSEIL\C23\100\110A.docx</w:t>
    </w:r>
    <w:r w:rsidRPr="001C76E5">
      <w:rPr>
        <w:color w:val="F2F2F2" w:themeColor="background1" w:themeShade="F2"/>
        <w:sz w:val="16"/>
        <w:szCs w:val="16"/>
      </w:rPr>
      <w:fldChar w:fldCharType="end"/>
    </w:r>
    <w:r w:rsidRPr="001C76E5">
      <w:rPr>
        <w:color w:val="F2F2F2" w:themeColor="background1" w:themeShade="F2"/>
        <w:sz w:val="16"/>
        <w:szCs w:val="16"/>
        <w:lang w:val="fr-CH"/>
      </w:rPr>
      <w:t xml:space="preserve">  </w:t>
    </w:r>
    <w:r w:rsidRPr="001C76E5">
      <w:rPr>
        <w:color w:val="F2F2F2" w:themeColor="background1" w:themeShade="F2"/>
        <w:sz w:val="16"/>
        <w:szCs w:val="16"/>
        <w:lang w:val="fr-FR"/>
      </w:rPr>
      <w:t xml:space="preserve"> (526817)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EAAA" w14:textId="77777777" w:rsidR="00D02FBE" w:rsidRDefault="00D02FBE" w:rsidP="006C3242">
      <w:pPr>
        <w:spacing w:before="0" w:line="240" w:lineRule="auto"/>
      </w:pPr>
      <w:r>
        <w:separator/>
      </w:r>
    </w:p>
  </w:footnote>
  <w:footnote w:type="continuationSeparator" w:id="0">
    <w:p w14:paraId="5EB5ECED" w14:textId="77777777" w:rsidR="00D02FBE" w:rsidRDefault="00D02FB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A514"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31F129" wp14:editId="57FD91CD">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155F"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35CF527F" wp14:editId="6D9C90A0">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36"/>
    <w:rsid w:val="0001168E"/>
    <w:rsid w:val="00031AB9"/>
    <w:rsid w:val="000356B5"/>
    <w:rsid w:val="0006468A"/>
    <w:rsid w:val="00090574"/>
    <w:rsid w:val="000933EF"/>
    <w:rsid w:val="00096B9F"/>
    <w:rsid w:val="000C1C0E"/>
    <w:rsid w:val="000C548A"/>
    <w:rsid w:val="000D1B43"/>
    <w:rsid w:val="000E3EBA"/>
    <w:rsid w:val="000F2292"/>
    <w:rsid w:val="000F3B58"/>
    <w:rsid w:val="00151E19"/>
    <w:rsid w:val="00165AD0"/>
    <w:rsid w:val="001C0169"/>
    <w:rsid w:val="001C76E5"/>
    <w:rsid w:val="001D1D50"/>
    <w:rsid w:val="001D6745"/>
    <w:rsid w:val="001E446E"/>
    <w:rsid w:val="001F2FB0"/>
    <w:rsid w:val="002001E8"/>
    <w:rsid w:val="002154EE"/>
    <w:rsid w:val="002276D2"/>
    <w:rsid w:val="0023283D"/>
    <w:rsid w:val="0026289D"/>
    <w:rsid w:val="0026373E"/>
    <w:rsid w:val="00271C43"/>
    <w:rsid w:val="00277047"/>
    <w:rsid w:val="00290728"/>
    <w:rsid w:val="002978F4"/>
    <w:rsid w:val="002B028D"/>
    <w:rsid w:val="002E438C"/>
    <w:rsid w:val="002E6541"/>
    <w:rsid w:val="002F046D"/>
    <w:rsid w:val="002F147D"/>
    <w:rsid w:val="003015E8"/>
    <w:rsid w:val="00304DC2"/>
    <w:rsid w:val="00324E42"/>
    <w:rsid w:val="003325AD"/>
    <w:rsid w:val="00334924"/>
    <w:rsid w:val="003361E9"/>
    <w:rsid w:val="00337CC9"/>
    <w:rsid w:val="00337D73"/>
    <w:rsid w:val="003409BC"/>
    <w:rsid w:val="00357185"/>
    <w:rsid w:val="00376AE2"/>
    <w:rsid w:val="00383829"/>
    <w:rsid w:val="003919CD"/>
    <w:rsid w:val="003959DA"/>
    <w:rsid w:val="003C7732"/>
    <w:rsid w:val="003D00BA"/>
    <w:rsid w:val="003F246B"/>
    <w:rsid w:val="003F4B29"/>
    <w:rsid w:val="00415B36"/>
    <w:rsid w:val="00422F5D"/>
    <w:rsid w:val="00423C30"/>
    <w:rsid w:val="00425C90"/>
    <w:rsid w:val="0042686F"/>
    <w:rsid w:val="004317D8"/>
    <w:rsid w:val="00434183"/>
    <w:rsid w:val="00443869"/>
    <w:rsid w:val="00447F32"/>
    <w:rsid w:val="0045535E"/>
    <w:rsid w:val="004B7334"/>
    <w:rsid w:val="004C4B85"/>
    <w:rsid w:val="004D41A5"/>
    <w:rsid w:val="004E11DC"/>
    <w:rsid w:val="005003BD"/>
    <w:rsid w:val="00514177"/>
    <w:rsid w:val="005178A4"/>
    <w:rsid w:val="00525DDD"/>
    <w:rsid w:val="005409AC"/>
    <w:rsid w:val="0055516A"/>
    <w:rsid w:val="0058491B"/>
    <w:rsid w:val="00592EA5"/>
    <w:rsid w:val="00594CA9"/>
    <w:rsid w:val="005A3170"/>
    <w:rsid w:val="005C5A67"/>
    <w:rsid w:val="005D02E5"/>
    <w:rsid w:val="005F40F0"/>
    <w:rsid w:val="005F51C4"/>
    <w:rsid w:val="00615BAD"/>
    <w:rsid w:val="00616E0A"/>
    <w:rsid w:val="00636FAF"/>
    <w:rsid w:val="00677396"/>
    <w:rsid w:val="0069200F"/>
    <w:rsid w:val="006A65CB"/>
    <w:rsid w:val="006C3242"/>
    <w:rsid w:val="006C6A25"/>
    <w:rsid w:val="006C6B56"/>
    <w:rsid w:val="006C7CC0"/>
    <w:rsid w:val="006F3CDE"/>
    <w:rsid w:val="006F63F7"/>
    <w:rsid w:val="007025C7"/>
    <w:rsid w:val="00706D7A"/>
    <w:rsid w:val="007070FC"/>
    <w:rsid w:val="00720EAD"/>
    <w:rsid w:val="00722F0D"/>
    <w:rsid w:val="0074420E"/>
    <w:rsid w:val="00750D58"/>
    <w:rsid w:val="0075158F"/>
    <w:rsid w:val="00765494"/>
    <w:rsid w:val="00777E83"/>
    <w:rsid w:val="00783E26"/>
    <w:rsid w:val="00785B1F"/>
    <w:rsid w:val="007B0AA0"/>
    <w:rsid w:val="007C1611"/>
    <w:rsid w:val="007C3BC7"/>
    <w:rsid w:val="007C3BCD"/>
    <w:rsid w:val="007D4ACF"/>
    <w:rsid w:val="007F0787"/>
    <w:rsid w:val="007F55D5"/>
    <w:rsid w:val="0080430A"/>
    <w:rsid w:val="00810B7B"/>
    <w:rsid w:val="0082358A"/>
    <w:rsid w:val="008235CD"/>
    <w:rsid w:val="008247DE"/>
    <w:rsid w:val="008339C0"/>
    <w:rsid w:val="00840B10"/>
    <w:rsid w:val="00843DEB"/>
    <w:rsid w:val="008513CB"/>
    <w:rsid w:val="00867DDC"/>
    <w:rsid w:val="008A7F84"/>
    <w:rsid w:val="008B70DC"/>
    <w:rsid w:val="0091702E"/>
    <w:rsid w:val="00923B0C"/>
    <w:rsid w:val="0094021C"/>
    <w:rsid w:val="00943188"/>
    <w:rsid w:val="00952F86"/>
    <w:rsid w:val="00982B28"/>
    <w:rsid w:val="009C5123"/>
    <w:rsid w:val="009D313F"/>
    <w:rsid w:val="00A47A5A"/>
    <w:rsid w:val="00A54E83"/>
    <w:rsid w:val="00A56699"/>
    <w:rsid w:val="00A6683B"/>
    <w:rsid w:val="00A97F94"/>
    <w:rsid w:val="00AA7EA2"/>
    <w:rsid w:val="00B03099"/>
    <w:rsid w:val="00B05BC8"/>
    <w:rsid w:val="00B1688C"/>
    <w:rsid w:val="00B2411F"/>
    <w:rsid w:val="00B269D3"/>
    <w:rsid w:val="00B32540"/>
    <w:rsid w:val="00B64B47"/>
    <w:rsid w:val="00B95654"/>
    <w:rsid w:val="00BE0A3C"/>
    <w:rsid w:val="00C002DE"/>
    <w:rsid w:val="00C01D2E"/>
    <w:rsid w:val="00C023EB"/>
    <w:rsid w:val="00C14422"/>
    <w:rsid w:val="00C25F68"/>
    <w:rsid w:val="00C35728"/>
    <w:rsid w:val="00C53BF8"/>
    <w:rsid w:val="00C66157"/>
    <w:rsid w:val="00C674FE"/>
    <w:rsid w:val="00C67501"/>
    <w:rsid w:val="00C73953"/>
    <w:rsid w:val="00C75633"/>
    <w:rsid w:val="00C91865"/>
    <w:rsid w:val="00C942C9"/>
    <w:rsid w:val="00CE2EE1"/>
    <w:rsid w:val="00CE3349"/>
    <w:rsid w:val="00CE36E5"/>
    <w:rsid w:val="00CF27F5"/>
    <w:rsid w:val="00CF3FFD"/>
    <w:rsid w:val="00D02FBE"/>
    <w:rsid w:val="00D03326"/>
    <w:rsid w:val="00D10CCF"/>
    <w:rsid w:val="00D13941"/>
    <w:rsid w:val="00D260E8"/>
    <w:rsid w:val="00D320A8"/>
    <w:rsid w:val="00D40EE9"/>
    <w:rsid w:val="00D63735"/>
    <w:rsid w:val="00D77D0F"/>
    <w:rsid w:val="00DA1CF0"/>
    <w:rsid w:val="00DB6591"/>
    <w:rsid w:val="00DC13E7"/>
    <w:rsid w:val="00DC1E02"/>
    <w:rsid w:val="00DC24B4"/>
    <w:rsid w:val="00DC5FB0"/>
    <w:rsid w:val="00DD2CF8"/>
    <w:rsid w:val="00DD51D2"/>
    <w:rsid w:val="00DE6F23"/>
    <w:rsid w:val="00DF16DC"/>
    <w:rsid w:val="00DF6A46"/>
    <w:rsid w:val="00E07785"/>
    <w:rsid w:val="00E1217F"/>
    <w:rsid w:val="00E21A8C"/>
    <w:rsid w:val="00E3127B"/>
    <w:rsid w:val="00E45211"/>
    <w:rsid w:val="00E473C5"/>
    <w:rsid w:val="00E55BCF"/>
    <w:rsid w:val="00E61BE8"/>
    <w:rsid w:val="00E62CCD"/>
    <w:rsid w:val="00E74A0D"/>
    <w:rsid w:val="00E92863"/>
    <w:rsid w:val="00EB796D"/>
    <w:rsid w:val="00EC6CB4"/>
    <w:rsid w:val="00ED6533"/>
    <w:rsid w:val="00EE4C0A"/>
    <w:rsid w:val="00F058DC"/>
    <w:rsid w:val="00F24FC4"/>
    <w:rsid w:val="00F2676C"/>
    <w:rsid w:val="00F26CE7"/>
    <w:rsid w:val="00F363FE"/>
    <w:rsid w:val="00F50E3F"/>
    <w:rsid w:val="00F53302"/>
    <w:rsid w:val="00F616BF"/>
    <w:rsid w:val="00F7616B"/>
    <w:rsid w:val="00F76CDD"/>
    <w:rsid w:val="00F84366"/>
    <w:rsid w:val="00F85089"/>
    <w:rsid w:val="00F974C5"/>
    <w:rsid w:val="00FA6F46"/>
    <w:rsid w:val="00FC4592"/>
    <w:rsid w:val="00FC6AD5"/>
    <w:rsid w:val="00FD527F"/>
    <w:rsid w:val="00FE35CA"/>
    <w:rsid w:val="00FE5872"/>
    <w:rsid w:val="00FE7FCA"/>
    <w:rsid w:val="00FF3594"/>
    <w:rsid w:val="00FF6B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2C26"/>
  <w15:chartTrackingRefBased/>
  <w15:docId w15:val="{639EE980-F4C8-4F5C-97AB-185F5496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4B85"/>
    <w:rPr>
      <w:color w:val="605E5C"/>
      <w:shd w:val="clear" w:color="auto" w:fill="E1DFDD"/>
    </w:rPr>
  </w:style>
  <w:style w:type="paragraph" w:styleId="Revision">
    <w:name w:val="Revision"/>
    <w:hidden/>
    <w:uiPriority w:val="99"/>
    <w:semiHidden/>
    <w:rsid w:val="0075158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18208">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5888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8/en" TargetMode="External"/><Relationship Id="rId13" Type="http://schemas.openxmlformats.org/officeDocument/2006/relationships/hyperlink" Target="https://www.itu.int/md/S23-CL-C-0058/en" TargetMode="External"/><Relationship Id="rId18" Type="http://schemas.openxmlformats.org/officeDocument/2006/relationships/hyperlink" Target="https://www.itu.int/md/S23-CL-C-0072/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3-CL-C-0079/en" TargetMode="External"/><Relationship Id="rId17" Type="http://schemas.openxmlformats.org/officeDocument/2006/relationships/hyperlink" Target="https://www.itu.int/md/S23-CL-C-0027/en" TargetMode="External"/><Relationship Id="rId2" Type="http://schemas.openxmlformats.org/officeDocument/2006/relationships/numbering" Target="numbering.xml"/><Relationship Id="rId16" Type="http://schemas.openxmlformats.org/officeDocument/2006/relationships/hyperlink" Target="https://www.itu.int/md/S23-CL-C-002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7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CL-C-0021/en" TargetMode="External"/><Relationship Id="rId23" Type="http://schemas.openxmlformats.org/officeDocument/2006/relationships/fontTable" Target="fontTable.xml"/><Relationship Id="rId10" Type="http://schemas.openxmlformats.org/officeDocument/2006/relationships/hyperlink" Target="https://www.itu.int/md/S23-CL-C-0029/en" TargetMode="External"/><Relationship Id="rId19" Type="http://schemas.openxmlformats.org/officeDocument/2006/relationships/hyperlink" Target="https://www.itu.int/md/S23-CL-C-0079/en" TargetMode="External"/><Relationship Id="rId4" Type="http://schemas.openxmlformats.org/officeDocument/2006/relationships/settings" Target="settings.xml"/><Relationship Id="rId9" Type="http://schemas.openxmlformats.org/officeDocument/2006/relationships/hyperlink" Target="https://www.itu.int/md/S23-CL-C-0005/en" TargetMode="External"/><Relationship Id="rId14" Type="http://schemas.openxmlformats.org/officeDocument/2006/relationships/hyperlink" Target="https://www.itu.int/md/S23-CL-C-0005/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2023</dc:subject>
  <dc:creator>Arabic_GE</dc:creator>
  <cp:keywords>C2023, C23, Council-23</cp:keywords>
  <dc:description/>
  <cp:lastModifiedBy>Xue, Kun</cp:lastModifiedBy>
  <cp:revision>5</cp:revision>
  <dcterms:created xsi:type="dcterms:W3CDTF">2023-09-15T10:20:00Z</dcterms:created>
  <dcterms:modified xsi:type="dcterms:W3CDTF">2023-09-15T10:23:00Z</dcterms:modified>
  <cp:category>Conference document</cp:category>
</cp:coreProperties>
</file>