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595565" w14:paraId="5932E5BE" w14:textId="77777777" w:rsidTr="00F363FE">
        <w:tc>
          <w:tcPr>
            <w:tcW w:w="6512" w:type="dxa"/>
          </w:tcPr>
          <w:p w14:paraId="5E567488" w14:textId="55F1877C" w:rsidR="007B0AA0" w:rsidRPr="00595565" w:rsidRDefault="007B0AA0" w:rsidP="00F363FE">
            <w:pPr>
              <w:spacing w:before="60" w:after="60" w:line="260" w:lineRule="exact"/>
              <w:rPr>
                <w:b/>
                <w:bCs/>
                <w:lang w:bidi="ar-SY"/>
              </w:rPr>
            </w:pPr>
          </w:p>
        </w:tc>
        <w:tc>
          <w:tcPr>
            <w:tcW w:w="3117" w:type="dxa"/>
          </w:tcPr>
          <w:p w14:paraId="35C171AE" w14:textId="4440089D" w:rsidR="007B0AA0" w:rsidRPr="00595565" w:rsidRDefault="007B0AA0" w:rsidP="00F363FE">
            <w:pPr>
              <w:spacing w:before="60" w:after="60" w:line="260" w:lineRule="exact"/>
              <w:rPr>
                <w:b/>
                <w:bCs/>
                <w:lang w:bidi="ar-EG"/>
              </w:rPr>
            </w:pPr>
            <w:r w:rsidRPr="00595565">
              <w:rPr>
                <w:b/>
                <w:bCs/>
                <w:rtl/>
                <w:lang w:bidi="ar-EG"/>
              </w:rPr>
              <w:t xml:space="preserve">الوثيقة </w:t>
            </w:r>
            <w:r w:rsidRPr="00595565">
              <w:rPr>
                <w:b/>
                <w:bCs/>
                <w:lang w:bidi="ar-EG"/>
              </w:rPr>
              <w:t>C23/</w:t>
            </w:r>
            <w:r w:rsidR="0048246E" w:rsidRPr="00595565">
              <w:rPr>
                <w:b/>
                <w:bCs/>
                <w:lang w:bidi="ar-EG"/>
              </w:rPr>
              <w:t>109</w:t>
            </w:r>
            <w:r w:rsidRPr="00595565">
              <w:rPr>
                <w:b/>
                <w:bCs/>
                <w:lang w:bidi="ar-EG"/>
              </w:rPr>
              <w:t>-A</w:t>
            </w:r>
          </w:p>
        </w:tc>
      </w:tr>
      <w:tr w:rsidR="007B0AA0" w:rsidRPr="00595565" w14:paraId="1E745EE8" w14:textId="77777777" w:rsidTr="00F363FE">
        <w:tc>
          <w:tcPr>
            <w:tcW w:w="6512" w:type="dxa"/>
          </w:tcPr>
          <w:p w14:paraId="10A49972" w14:textId="77777777" w:rsidR="007B0AA0" w:rsidRPr="00595565" w:rsidRDefault="007B0AA0" w:rsidP="00F363FE">
            <w:pPr>
              <w:spacing w:before="60" w:after="60" w:line="260" w:lineRule="exact"/>
              <w:rPr>
                <w:b/>
                <w:bCs/>
                <w:rtl/>
                <w:lang w:bidi="ar-EG"/>
              </w:rPr>
            </w:pPr>
          </w:p>
        </w:tc>
        <w:tc>
          <w:tcPr>
            <w:tcW w:w="3117" w:type="dxa"/>
          </w:tcPr>
          <w:p w14:paraId="159F61B7" w14:textId="6416CBE5" w:rsidR="007B0AA0" w:rsidRPr="00595565" w:rsidRDefault="00E147DA" w:rsidP="00F363FE">
            <w:pPr>
              <w:spacing w:before="60" w:after="60" w:line="260" w:lineRule="exact"/>
              <w:rPr>
                <w:b/>
                <w:bCs/>
                <w:rtl/>
                <w:lang w:bidi="ar-EG"/>
              </w:rPr>
            </w:pPr>
            <w:r>
              <w:rPr>
                <w:b/>
                <w:bCs/>
                <w:lang w:bidi="ar-SY"/>
              </w:rPr>
              <w:t>6</w:t>
            </w:r>
            <w:r>
              <w:rPr>
                <w:b/>
                <w:bCs/>
                <w:rtl/>
                <w:lang w:bidi="ar-EG"/>
              </w:rPr>
              <w:t xml:space="preserve"> سبتمبر </w:t>
            </w:r>
            <w:r>
              <w:rPr>
                <w:b/>
                <w:bCs/>
                <w:lang w:bidi="ar-EG"/>
              </w:rPr>
              <w:t>2023</w:t>
            </w:r>
          </w:p>
        </w:tc>
      </w:tr>
      <w:tr w:rsidR="007B0AA0" w:rsidRPr="00595565" w14:paraId="46C199BB" w14:textId="77777777" w:rsidTr="00F363FE">
        <w:tc>
          <w:tcPr>
            <w:tcW w:w="6512" w:type="dxa"/>
          </w:tcPr>
          <w:p w14:paraId="7169B150" w14:textId="77777777" w:rsidR="007B0AA0" w:rsidRPr="00595565" w:rsidRDefault="007B0AA0" w:rsidP="00F363FE">
            <w:pPr>
              <w:spacing w:before="60" w:after="60" w:line="260" w:lineRule="exact"/>
              <w:rPr>
                <w:b/>
                <w:bCs/>
                <w:rtl/>
                <w:lang w:bidi="ar-EG"/>
              </w:rPr>
            </w:pPr>
          </w:p>
        </w:tc>
        <w:tc>
          <w:tcPr>
            <w:tcW w:w="3117" w:type="dxa"/>
          </w:tcPr>
          <w:p w14:paraId="7EC42B64" w14:textId="77777777" w:rsidR="007B0AA0" w:rsidRPr="00595565" w:rsidRDefault="007B0AA0" w:rsidP="00F363FE">
            <w:pPr>
              <w:spacing w:before="60" w:after="60" w:line="260" w:lineRule="exact"/>
              <w:rPr>
                <w:b/>
                <w:bCs/>
                <w:rtl/>
                <w:lang w:bidi="ar-EG"/>
              </w:rPr>
            </w:pPr>
            <w:r w:rsidRPr="00595565">
              <w:rPr>
                <w:b/>
                <w:bCs/>
                <w:rtl/>
                <w:lang w:bidi="ar-EG"/>
              </w:rPr>
              <w:t>الأصل: بالإنكليزية</w:t>
            </w:r>
          </w:p>
        </w:tc>
      </w:tr>
      <w:tr w:rsidR="007B0AA0" w:rsidRPr="00595565" w14:paraId="29AE6A48" w14:textId="77777777" w:rsidTr="00F363FE">
        <w:tc>
          <w:tcPr>
            <w:tcW w:w="6512" w:type="dxa"/>
          </w:tcPr>
          <w:p w14:paraId="0C338543" w14:textId="77777777" w:rsidR="007B0AA0" w:rsidRPr="00595565" w:rsidRDefault="007B0AA0" w:rsidP="00F363FE">
            <w:pPr>
              <w:spacing w:before="60" w:after="60" w:line="260" w:lineRule="exact"/>
              <w:rPr>
                <w:lang w:bidi="ar-EG"/>
              </w:rPr>
            </w:pPr>
          </w:p>
        </w:tc>
        <w:tc>
          <w:tcPr>
            <w:tcW w:w="3117" w:type="dxa"/>
          </w:tcPr>
          <w:p w14:paraId="2F8C0527" w14:textId="77777777" w:rsidR="007B0AA0" w:rsidRPr="00595565" w:rsidRDefault="007B0AA0" w:rsidP="00F363FE">
            <w:pPr>
              <w:spacing w:before="60" w:after="60" w:line="260" w:lineRule="exact"/>
              <w:rPr>
                <w:rtl/>
                <w:lang w:bidi="ar-EG"/>
              </w:rPr>
            </w:pPr>
          </w:p>
        </w:tc>
      </w:tr>
      <w:tr w:rsidR="007B0AA0" w:rsidRPr="00595565" w14:paraId="084B6387" w14:textId="77777777" w:rsidTr="00C52D6D">
        <w:tc>
          <w:tcPr>
            <w:tcW w:w="9629" w:type="dxa"/>
            <w:gridSpan w:val="2"/>
          </w:tcPr>
          <w:p w14:paraId="23302014" w14:textId="1829D71C" w:rsidR="007B0AA0" w:rsidRPr="00595565" w:rsidRDefault="00C52D6D" w:rsidP="002A28F7">
            <w:pPr>
              <w:pStyle w:val="Title1"/>
              <w:rPr>
                <w:rtl/>
                <w:lang w:bidi="ar-EG"/>
              </w:rPr>
            </w:pPr>
            <w:r w:rsidRPr="00595565">
              <w:rPr>
                <w:rtl/>
              </w:rPr>
              <w:t xml:space="preserve">محضر موجز </w:t>
            </w:r>
            <w:r w:rsidRPr="00595565">
              <w:rPr>
                <w:rtl/>
              </w:rPr>
              <w:br/>
              <w:t xml:space="preserve">للجلسة العامة </w:t>
            </w:r>
            <w:r w:rsidR="0048246E" w:rsidRPr="00595565">
              <w:rPr>
                <w:rtl/>
              </w:rPr>
              <w:t>الرابعة</w:t>
            </w:r>
          </w:p>
        </w:tc>
      </w:tr>
      <w:tr w:rsidR="007B0AA0" w:rsidRPr="00595565" w14:paraId="646D718F" w14:textId="77777777" w:rsidTr="00C52D6D">
        <w:tc>
          <w:tcPr>
            <w:tcW w:w="9629" w:type="dxa"/>
            <w:gridSpan w:val="2"/>
          </w:tcPr>
          <w:p w14:paraId="4F35F7BA" w14:textId="112EB6C5" w:rsidR="007B0AA0" w:rsidRPr="00595565" w:rsidRDefault="0048246E" w:rsidP="002A28F7">
            <w:pPr>
              <w:jc w:val="center"/>
              <w:rPr>
                <w:rtl/>
                <w:lang w:bidi="ar-SY"/>
              </w:rPr>
            </w:pPr>
            <w:r w:rsidRPr="00595565">
              <w:rPr>
                <w:rtl/>
              </w:rPr>
              <w:t>الثلاثاء</w:t>
            </w:r>
            <w:r w:rsidR="00C52D6D" w:rsidRPr="00595565">
              <w:rPr>
                <w:rtl/>
              </w:rPr>
              <w:t xml:space="preserve">، </w:t>
            </w:r>
            <w:r w:rsidRPr="00595565">
              <w:t>18</w:t>
            </w:r>
            <w:r w:rsidR="00C52D6D" w:rsidRPr="00595565">
              <w:rPr>
                <w:rtl/>
                <w:lang w:bidi="ar-SY"/>
              </w:rPr>
              <w:t xml:space="preserve"> يوليو </w:t>
            </w:r>
            <w:r w:rsidR="00C52D6D" w:rsidRPr="00595565">
              <w:rPr>
                <w:lang w:bidi="ar-SY"/>
              </w:rPr>
              <w:t>2023</w:t>
            </w:r>
            <w:r w:rsidR="00C52D6D" w:rsidRPr="00595565">
              <w:rPr>
                <w:rtl/>
                <w:lang w:bidi="ar-SY"/>
              </w:rPr>
              <w:t xml:space="preserve">، من الساعة </w:t>
            </w:r>
            <w:r w:rsidR="00C52D6D" w:rsidRPr="00595565">
              <w:rPr>
                <w:lang w:bidi="ar-SY"/>
              </w:rPr>
              <w:t>14:3</w:t>
            </w:r>
            <w:r w:rsidRPr="00595565">
              <w:rPr>
                <w:lang w:bidi="ar-SY"/>
              </w:rPr>
              <w:t>5</w:t>
            </w:r>
            <w:r w:rsidR="00C52D6D" w:rsidRPr="00595565">
              <w:rPr>
                <w:rtl/>
                <w:lang w:bidi="ar-SY"/>
              </w:rPr>
              <w:t xml:space="preserve"> إلى </w:t>
            </w:r>
            <w:r w:rsidR="00C52D6D" w:rsidRPr="00595565">
              <w:rPr>
                <w:lang w:bidi="ar-SY"/>
              </w:rPr>
              <w:t>17:</w:t>
            </w:r>
            <w:r w:rsidRPr="00595565">
              <w:rPr>
                <w:lang w:bidi="ar-SY"/>
              </w:rPr>
              <w:t>4</w:t>
            </w:r>
            <w:r w:rsidR="00C52D6D" w:rsidRPr="00595565">
              <w:rPr>
                <w:lang w:bidi="ar-SY"/>
              </w:rPr>
              <w:t>5</w:t>
            </w:r>
          </w:p>
        </w:tc>
      </w:tr>
      <w:tr w:rsidR="00C52D6D" w:rsidRPr="00595565" w14:paraId="4013B08D" w14:textId="77777777" w:rsidTr="00C52D6D">
        <w:tc>
          <w:tcPr>
            <w:tcW w:w="9629" w:type="dxa"/>
            <w:gridSpan w:val="2"/>
            <w:tcBorders>
              <w:bottom w:val="single" w:sz="4" w:space="0" w:color="auto"/>
            </w:tcBorders>
          </w:tcPr>
          <w:p w14:paraId="485A0236" w14:textId="1984522B" w:rsidR="00C52D6D" w:rsidRPr="00595565" w:rsidRDefault="00C52D6D" w:rsidP="00C52D6D">
            <w:pPr>
              <w:jc w:val="center"/>
              <w:rPr>
                <w:rtl/>
              </w:rPr>
            </w:pPr>
            <w:r w:rsidRPr="00595565">
              <w:rPr>
                <w:b/>
                <w:bCs/>
                <w:rtl/>
              </w:rPr>
              <w:t>الرئيس:</w:t>
            </w:r>
            <w:r w:rsidRPr="00595565">
              <w:rPr>
                <w:rtl/>
              </w:rPr>
              <w:t xml:space="preserve"> السيد س</w:t>
            </w:r>
            <w:r w:rsidR="00480510" w:rsidRPr="00595565">
              <w:rPr>
                <w:rtl/>
              </w:rPr>
              <w:t>يزار</w:t>
            </w:r>
            <w:r w:rsidRPr="00595565">
              <w:rPr>
                <w:rtl/>
              </w:rPr>
              <w:t xml:space="preserve"> مارتينيز (باراغواي)</w:t>
            </w:r>
          </w:p>
        </w:tc>
      </w:tr>
    </w:tbl>
    <w:p w14:paraId="0B31FED4" w14:textId="77777777" w:rsidR="00E61BE8" w:rsidRPr="00595565" w:rsidRDefault="00E61BE8" w:rsidP="00C52D6D">
      <w:pPr>
        <w:rPr>
          <w:lang w:bidi="ar-EG"/>
        </w:rPr>
      </w:pPr>
    </w:p>
    <w:tbl>
      <w:tblPr>
        <w:bidiVisual/>
        <w:tblW w:w="5000" w:type="pct"/>
        <w:tblLook w:val="0000" w:firstRow="0" w:lastRow="0" w:firstColumn="0" w:lastColumn="0" w:noHBand="0" w:noVBand="0"/>
      </w:tblPr>
      <w:tblGrid>
        <w:gridCol w:w="484"/>
        <w:gridCol w:w="6743"/>
        <w:gridCol w:w="2412"/>
      </w:tblGrid>
      <w:tr w:rsidR="00C52D6D" w:rsidRPr="00070BC0" w14:paraId="46C3579D" w14:textId="77777777" w:rsidTr="0048246E">
        <w:tc>
          <w:tcPr>
            <w:tcW w:w="251" w:type="pct"/>
          </w:tcPr>
          <w:p w14:paraId="0E873248" w14:textId="77777777" w:rsidR="00C52D6D" w:rsidRPr="00070BC0" w:rsidRDefault="00C52D6D" w:rsidP="000E3FA6">
            <w:pPr>
              <w:pStyle w:val="toc0"/>
              <w:spacing w:before="80" w:after="80" w:line="300" w:lineRule="exact"/>
              <w:jc w:val="both"/>
              <w:rPr>
                <w:rFonts w:ascii="Dubai" w:hAnsi="Dubai" w:cs="Dubai"/>
                <w:position w:val="2"/>
                <w:sz w:val="22"/>
                <w:szCs w:val="22"/>
              </w:rPr>
            </w:pPr>
            <w:r w:rsidRPr="00070BC0">
              <w:rPr>
                <w:rFonts w:ascii="Dubai" w:hAnsi="Dubai" w:cs="Dubai"/>
                <w:b w:val="0"/>
                <w:position w:val="2"/>
                <w:sz w:val="22"/>
                <w:szCs w:val="22"/>
              </w:rPr>
              <w:br w:type="page"/>
            </w:r>
            <w:r w:rsidRPr="00070BC0">
              <w:rPr>
                <w:rFonts w:ascii="Dubai" w:hAnsi="Dubai" w:cs="Dubai"/>
                <w:b w:val="0"/>
                <w:position w:val="2"/>
                <w:sz w:val="22"/>
                <w:szCs w:val="22"/>
              </w:rPr>
              <w:br w:type="page"/>
            </w:r>
          </w:p>
        </w:tc>
        <w:tc>
          <w:tcPr>
            <w:tcW w:w="3498" w:type="pct"/>
          </w:tcPr>
          <w:p w14:paraId="73A0BE8F" w14:textId="1EC5C0B2" w:rsidR="00C52D6D" w:rsidRPr="00070BC0" w:rsidRDefault="00C52D6D" w:rsidP="000E3FA6">
            <w:pPr>
              <w:pStyle w:val="toc0"/>
              <w:bidi/>
              <w:spacing w:before="80" w:after="80" w:line="300" w:lineRule="exact"/>
              <w:jc w:val="both"/>
              <w:rPr>
                <w:rFonts w:ascii="Dubai" w:hAnsi="Dubai" w:cs="Dubai"/>
                <w:bCs/>
                <w:position w:val="2"/>
                <w:sz w:val="22"/>
                <w:szCs w:val="22"/>
              </w:rPr>
            </w:pPr>
            <w:r w:rsidRPr="00070BC0">
              <w:rPr>
                <w:rFonts w:ascii="Dubai" w:hAnsi="Dubai" w:cs="Dubai"/>
                <w:bCs/>
                <w:position w:val="2"/>
                <w:sz w:val="22"/>
                <w:szCs w:val="22"/>
                <w:rtl/>
              </w:rPr>
              <w:t xml:space="preserve">مواضيع </w:t>
            </w:r>
            <w:r w:rsidR="00480510" w:rsidRPr="00070BC0">
              <w:rPr>
                <w:rFonts w:ascii="Dubai" w:hAnsi="Dubai" w:cs="Dubai"/>
                <w:bCs/>
                <w:position w:val="2"/>
                <w:sz w:val="22"/>
                <w:szCs w:val="22"/>
                <w:rtl/>
              </w:rPr>
              <w:t>المناقشة</w:t>
            </w:r>
          </w:p>
        </w:tc>
        <w:tc>
          <w:tcPr>
            <w:tcW w:w="1251" w:type="pct"/>
          </w:tcPr>
          <w:p w14:paraId="78BB5BF2" w14:textId="77777777" w:rsidR="00C52D6D" w:rsidRPr="00070BC0" w:rsidRDefault="00C52D6D" w:rsidP="000E3FA6">
            <w:pPr>
              <w:pStyle w:val="toc0"/>
              <w:bidi/>
              <w:spacing w:before="80" w:after="80" w:line="300" w:lineRule="exact"/>
              <w:jc w:val="center"/>
              <w:rPr>
                <w:rFonts w:ascii="Dubai" w:hAnsi="Dubai" w:cs="Dubai"/>
                <w:position w:val="2"/>
                <w:sz w:val="22"/>
                <w:szCs w:val="22"/>
                <w:rtl/>
                <w:lang w:bidi="ar-EG"/>
              </w:rPr>
            </w:pPr>
            <w:r w:rsidRPr="00070BC0">
              <w:rPr>
                <w:rFonts w:ascii="Dubai" w:hAnsi="Dubai" w:cs="Dubai"/>
                <w:bCs/>
                <w:position w:val="2"/>
                <w:sz w:val="22"/>
                <w:szCs w:val="22"/>
                <w:rtl/>
              </w:rPr>
              <w:t>الوثائق</w:t>
            </w:r>
          </w:p>
        </w:tc>
      </w:tr>
      <w:tr w:rsidR="00C52D6D" w:rsidRPr="00070BC0" w14:paraId="4FFB0688" w14:textId="77777777" w:rsidTr="0048246E">
        <w:tc>
          <w:tcPr>
            <w:tcW w:w="251" w:type="pct"/>
          </w:tcPr>
          <w:p w14:paraId="4F04EFE3" w14:textId="77777777" w:rsidR="00C52D6D" w:rsidRPr="00070BC0" w:rsidRDefault="00C52D6D" w:rsidP="000E3FA6">
            <w:pPr>
              <w:spacing w:before="80" w:after="80" w:line="300" w:lineRule="exact"/>
              <w:rPr>
                <w:position w:val="2"/>
              </w:rPr>
            </w:pPr>
            <w:r w:rsidRPr="00070BC0">
              <w:rPr>
                <w:position w:val="2"/>
              </w:rPr>
              <w:t>1</w:t>
            </w:r>
          </w:p>
        </w:tc>
        <w:tc>
          <w:tcPr>
            <w:tcW w:w="3498" w:type="pct"/>
          </w:tcPr>
          <w:p w14:paraId="0B73A6BE" w14:textId="64DECFF5" w:rsidR="00C52D6D" w:rsidRPr="00070BC0" w:rsidRDefault="002A28F7" w:rsidP="00C52D6D">
            <w:pPr>
              <w:spacing w:before="80" w:after="80" w:line="300" w:lineRule="exact"/>
              <w:rPr>
                <w:position w:val="2"/>
                <w:lang w:bidi="ar-EG"/>
              </w:rPr>
            </w:pPr>
            <w:r w:rsidRPr="00070BC0">
              <w:rPr>
                <w:position w:val="2"/>
                <w:rtl/>
              </w:rPr>
              <w:t>بيان المدير العام للمنظمة العالمية للملكية الفكرية</w:t>
            </w:r>
          </w:p>
        </w:tc>
        <w:tc>
          <w:tcPr>
            <w:tcW w:w="1251" w:type="pct"/>
          </w:tcPr>
          <w:p w14:paraId="6ED0813D" w14:textId="389B2592" w:rsidR="00C52D6D" w:rsidRPr="00070BC0" w:rsidRDefault="0048246E" w:rsidP="000E3FA6">
            <w:pPr>
              <w:spacing w:before="80" w:after="80" w:line="300" w:lineRule="exact"/>
              <w:jc w:val="center"/>
              <w:rPr>
                <w:position w:val="2"/>
                <w:lang w:bidi="ar-SY"/>
              </w:rPr>
            </w:pPr>
            <w:r w:rsidRPr="00070BC0">
              <w:rPr>
                <w:position w:val="2"/>
                <w:rtl/>
                <w:lang w:bidi="ar-SY"/>
              </w:rPr>
              <w:t>-</w:t>
            </w:r>
          </w:p>
        </w:tc>
      </w:tr>
      <w:tr w:rsidR="00C52D6D" w:rsidRPr="00070BC0" w14:paraId="454CA2D4" w14:textId="77777777" w:rsidTr="0048246E">
        <w:tc>
          <w:tcPr>
            <w:tcW w:w="251" w:type="pct"/>
          </w:tcPr>
          <w:p w14:paraId="6C367588" w14:textId="77777777" w:rsidR="00C52D6D" w:rsidRPr="00070BC0" w:rsidRDefault="00C52D6D" w:rsidP="00C52D6D">
            <w:pPr>
              <w:spacing w:before="80" w:after="80" w:line="300" w:lineRule="exact"/>
              <w:rPr>
                <w:position w:val="2"/>
              </w:rPr>
            </w:pPr>
            <w:r w:rsidRPr="00070BC0">
              <w:rPr>
                <w:position w:val="2"/>
              </w:rPr>
              <w:t>2</w:t>
            </w:r>
          </w:p>
        </w:tc>
        <w:tc>
          <w:tcPr>
            <w:tcW w:w="3498" w:type="pct"/>
          </w:tcPr>
          <w:p w14:paraId="0047D25A" w14:textId="72BBEFFC" w:rsidR="00C52D6D" w:rsidRPr="00070BC0" w:rsidRDefault="002A28F7" w:rsidP="0048246E">
            <w:pPr>
              <w:spacing w:before="80" w:after="80" w:line="300" w:lineRule="exact"/>
              <w:rPr>
                <w:position w:val="2"/>
                <w:rtl/>
              </w:rPr>
            </w:pPr>
            <w:r w:rsidRPr="00070BC0">
              <w:rPr>
                <w:position w:val="2"/>
                <w:rtl/>
                <w:lang w:bidi="ar-EG"/>
              </w:rPr>
              <w:t>أنشطة الاتحاد الدولي للاتصالات بشأن تعزيز دور الاتحاد في بناء الثقة والأمن في استعمال تكنولوجيا المعلومات والاتصالات</w:t>
            </w:r>
          </w:p>
        </w:tc>
        <w:tc>
          <w:tcPr>
            <w:tcW w:w="1251" w:type="pct"/>
          </w:tcPr>
          <w:p w14:paraId="5E5D888E" w14:textId="1F2ECB6E" w:rsidR="00C52D6D" w:rsidRPr="00070BC0" w:rsidRDefault="00302E06" w:rsidP="00C52D6D">
            <w:pPr>
              <w:spacing w:before="80" w:after="80" w:line="300" w:lineRule="exact"/>
              <w:jc w:val="center"/>
              <w:rPr>
                <w:position w:val="2"/>
              </w:rPr>
            </w:pPr>
            <w:hyperlink r:id="rId8" w:history="1">
              <w:r w:rsidR="0048246E" w:rsidRPr="00070BC0">
                <w:rPr>
                  <w:rStyle w:val="Hyperlink"/>
                  <w:position w:val="2"/>
                </w:rPr>
                <w:t>C23/38</w:t>
              </w:r>
            </w:hyperlink>
            <w:r w:rsidR="0048246E" w:rsidRPr="00070BC0">
              <w:rPr>
                <w:position w:val="2"/>
                <w:rtl/>
              </w:rPr>
              <w:t xml:space="preserve">، </w:t>
            </w:r>
            <w:hyperlink r:id="rId9" w:history="1">
              <w:r w:rsidR="0048246E" w:rsidRPr="00070BC0">
                <w:rPr>
                  <w:rStyle w:val="Hyperlink"/>
                  <w:position w:val="2"/>
                </w:rPr>
                <w:t>C23/93(Rev.1)</w:t>
              </w:r>
            </w:hyperlink>
          </w:p>
        </w:tc>
      </w:tr>
      <w:tr w:rsidR="00C52D6D" w:rsidRPr="00070BC0" w14:paraId="5B74B4C8" w14:textId="77777777" w:rsidTr="0048246E">
        <w:tc>
          <w:tcPr>
            <w:tcW w:w="251" w:type="pct"/>
          </w:tcPr>
          <w:p w14:paraId="280F6ED1" w14:textId="77777777" w:rsidR="00C52D6D" w:rsidRPr="00070BC0" w:rsidRDefault="00C52D6D" w:rsidP="00C52D6D">
            <w:pPr>
              <w:spacing w:before="80" w:after="80" w:line="300" w:lineRule="exact"/>
              <w:rPr>
                <w:position w:val="2"/>
              </w:rPr>
            </w:pPr>
            <w:r w:rsidRPr="00070BC0">
              <w:rPr>
                <w:position w:val="2"/>
              </w:rPr>
              <w:t>3</w:t>
            </w:r>
          </w:p>
        </w:tc>
        <w:tc>
          <w:tcPr>
            <w:tcW w:w="3498" w:type="pct"/>
          </w:tcPr>
          <w:p w14:paraId="731B0C8F" w14:textId="2207BF54" w:rsidR="00C52D6D" w:rsidRPr="00070BC0" w:rsidRDefault="002A28F7" w:rsidP="00C52D6D">
            <w:pPr>
              <w:spacing w:before="80" w:after="80" w:line="300" w:lineRule="exact"/>
              <w:rPr>
                <w:spacing w:val="4"/>
                <w:position w:val="2"/>
                <w:lang w:bidi="ar-EG"/>
              </w:rPr>
            </w:pPr>
            <w:r w:rsidRPr="00070BC0">
              <w:rPr>
                <w:spacing w:val="4"/>
                <w:position w:val="2"/>
                <w:rtl/>
                <w:lang w:bidi="ar-EG"/>
              </w:rPr>
              <w:t>خمسة وعشرون عاماً من برنامج عمل الاتحاد بشأن المساواة بين الجنسين</w:t>
            </w:r>
          </w:p>
        </w:tc>
        <w:tc>
          <w:tcPr>
            <w:tcW w:w="1251" w:type="pct"/>
          </w:tcPr>
          <w:p w14:paraId="6FBDB279" w14:textId="01222D83" w:rsidR="00C52D6D" w:rsidRPr="00070BC0" w:rsidRDefault="00302E06" w:rsidP="00C52D6D">
            <w:pPr>
              <w:spacing w:before="80" w:after="80" w:line="300" w:lineRule="exact"/>
              <w:jc w:val="center"/>
              <w:rPr>
                <w:position w:val="2"/>
              </w:rPr>
            </w:pPr>
            <w:hyperlink r:id="rId10" w:history="1">
              <w:r w:rsidR="0048246E" w:rsidRPr="00070BC0">
                <w:rPr>
                  <w:rStyle w:val="Hyperlink"/>
                  <w:position w:val="2"/>
                </w:rPr>
                <w:t>C23/6</w:t>
              </w:r>
            </w:hyperlink>
            <w:r w:rsidR="0048246E" w:rsidRPr="00070BC0">
              <w:rPr>
                <w:position w:val="2"/>
                <w:rtl/>
              </w:rPr>
              <w:t xml:space="preserve">، </w:t>
            </w:r>
            <w:hyperlink r:id="rId11" w:history="1">
              <w:r w:rsidR="0048246E" w:rsidRPr="00070BC0">
                <w:rPr>
                  <w:rStyle w:val="Hyperlink"/>
                  <w:position w:val="2"/>
                </w:rPr>
                <w:t>C23/76</w:t>
              </w:r>
            </w:hyperlink>
            <w:r w:rsidR="0048246E" w:rsidRPr="00070BC0">
              <w:rPr>
                <w:position w:val="2"/>
                <w:rtl/>
              </w:rPr>
              <w:t xml:space="preserve">، </w:t>
            </w:r>
            <w:hyperlink r:id="rId12" w:history="1">
              <w:r w:rsidR="0048246E" w:rsidRPr="00070BC0">
                <w:rPr>
                  <w:rStyle w:val="Hyperlink"/>
                  <w:position w:val="2"/>
                </w:rPr>
                <w:t>C23/91+Corr.1</w:t>
              </w:r>
            </w:hyperlink>
          </w:p>
        </w:tc>
      </w:tr>
      <w:tr w:rsidR="00C52D6D" w:rsidRPr="00070BC0" w14:paraId="29B95040" w14:textId="77777777" w:rsidTr="0048246E">
        <w:tc>
          <w:tcPr>
            <w:tcW w:w="251" w:type="pct"/>
          </w:tcPr>
          <w:p w14:paraId="27483AFE" w14:textId="77777777" w:rsidR="00C52D6D" w:rsidRPr="00070BC0" w:rsidRDefault="00C52D6D" w:rsidP="000E3FA6">
            <w:pPr>
              <w:spacing w:before="80" w:after="80" w:line="300" w:lineRule="exact"/>
              <w:rPr>
                <w:position w:val="2"/>
              </w:rPr>
            </w:pPr>
            <w:r w:rsidRPr="00070BC0">
              <w:rPr>
                <w:position w:val="2"/>
              </w:rPr>
              <w:t>4</w:t>
            </w:r>
          </w:p>
        </w:tc>
        <w:tc>
          <w:tcPr>
            <w:tcW w:w="3498" w:type="pct"/>
          </w:tcPr>
          <w:p w14:paraId="190BF00D" w14:textId="4BE5D553" w:rsidR="00C52D6D" w:rsidRPr="00070BC0" w:rsidRDefault="002A28F7" w:rsidP="000E3FA6">
            <w:pPr>
              <w:spacing w:before="80" w:after="80" w:line="300" w:lineRule="exact"/>
              <w:jc w:val="left"/>
              <w:rPr>
                <w:position w:val="2"/>
              </w:rPr>
            </w:pPr>
            <w:r w:rsidRPr="00070BC0">
              <w:rPr>
                <w:position w:val="2"/>
                <w:rtl/>
              </w:rPr>
              <w:t>اليوم العالمي للاتصالات ومجتمع المعلومات</w:t>
            </w:r>
          </w:p>
        </w:tc>
        <w:tc>
          <w:tcPr>
            <w:tcW w:w="1251" w:type="pct"/>
          </w:tcPr>
          <w:p w14:paraId="7A04EB06" w14:textId="1D100D7A" w:rsidR="00C52D6D" w:rsidRPr="00070BC0" w:rsidRDefault="00302E06" w:rsidP="000E3FA6">
            <w:pPr>
              <w:spacing w:before="80" w:after="80" w:line="300" w:lineRule="exact"/>
              <w:jc w:val="center"/>
              <w:rPr>
                <w:position w:val="2"/>
              </w:rPr>
            </w:pPr>
            <w:hyperlink r:id="rId13" w:history="1">
              <w:r w:rsidR="0048246E" w:rsidRPr="00070BC0">
                <w:rPr>
                  <w:rStyle w:val="Hyperlink"/>
                  <w:position w:val="2"/>
                </w:rPr>
                <w:t>C23/17</w:t>
              </w:r>
            </w:hyperlink>
            <w:r w:rsidR="0048246E" w:rsidRPr="00070BC0">
              <w:rPr>
                <w:position w:val="2"/>
                <w:rtl/>
              </w:rPr>
              <w:t xml:space="preserve">، </w:t>
            </w:r>
            <w:hyperlink r:id="rId14" w:history="1">
              <w:r w:rsidR="0048246E" w:rsidRPr="00070BC0">
                <w:rPr>
                  <w:rStyle w:val="Hyperlink"/>
                  <w:position w:val="2"/>
                </w:rPr>
                <w:t>C23/DT/4</w:t>
              </w:r>
            </w:hyperlink>
          </w:p>
        </w:tc>
      </w:tr>
      <w:tr w:rsidR="0048246E" w:rsidRPr="00070BC0" w14:paraId="60C8D84A" w14:textId="77777777" w:rsidTr="0048246E">
        <w:tc>
          <w:tcPr>
            <w:tcW w:w="251" w:type="pct"/>
          </w:tcPr>
          <w:p w14:paraId="1FB360CA" w14:textId="141E8965" w:rsidR="0048246E" w:rsidRPr="00070BC0" w:rsidRDefault="0048246E" w:rsidP="000E3FA6">
            <w:pPr>
              <w:spacing w:before="80" w:after="80" w:line="300" w:lineRule="exact"/>
              <w:rPr>
                <w:position w:val="2"/>
              </w:rPr>
            </w:pPr>
            <w:r w:rsidRPr="00070BC0">
              <w:rPr>
                <w:position w:val="2"/>
              </w:rPr>
              <w:t>5</w:t>
            </w:r>
          </w:p>
        </w:tc>
        <w:tc>
          <w:tcPr>
            <w:tcW w:w="3498" w:type="pct"/>
          </w:tcPr>
          <w:p w14:paraId="3F94F110" w14:textId="4598DEE2" w:rsidR="0048246E" w:rsidRPr="00070BC0" w:rsidRDefault="002A28F7" w:rsidP="000E3FA6">
            <w:pPr>
              <w:spacing w:before="80" w:after="80" w:line="300" w:lineRule="exact"/>
              <w:jc w:val="left"/>
              <w:rPr>
                <w:position w:val="2"/>
                <w:rtl/>
              </w:rPr>
            </w:pPr>
            <w:r w:rsidRPr="00070BC0">
              <w:rPr>
                <w:position w:val="2"/>
                <w:rtl/>
              </w:rPr>
              <w:t>الاستعراض الدوري للوائح الاتصالات الدولية (تابع)</w:t>
            </w:r>
          </w:p>
        </w:tc>
        <w:tc>
          <w:tcPr>
            <w:tcW w:w="1251" w:type="pct"/>
          </w:tcPr>
          <w:p w14:paraId="4FF0B7D2" w14:textId="59066241" w:rsidR="0048246E" w:rsidRPr="00070BC0" w:rsidRDefault="00302E06" w:rsidP="000E3FA6">
            <w:pPr>
              <w:spacing w:before="80" w:after="80" w:line="300" w:lineRule="exact"/>
              <w:jc w:val="center"/>
              <w:rPr>
                <w:position w:val="2"/>
              </w:rPr>
            </w:pPr>
            <w:hyperlink r:id="rId15" w:history="1">
              <w:r w:rsidR="0048246E" w:rsidRPr="00070BC0">
                <w:rPr>
                  <w:rStyle w:val="Hyperlink"/>
                  <w:position w:val="2"/>
                </w:rPr>
                <w:t>C23/12</w:t>
              </w:r>
            </w:hyperlink>
            <w:r w:rsidR="0048246E" w:rsidRPr="00070BC0">
              <w:rPr>
                <w:position w:val="2"/>
                <w:rtl/>
              </w:rPr>
              <w:t xml:space="preserve">، </w:t>
            </w:r>
            <w:hyperlink r:id="rId16" w:history="1">
              <w:r w:rsidR="0048246E" w:rsidRPr="00070BC0">
                <w:rPr>
                  <w:rStyle w:val="Hyperlink"/>
                  <w:position w:val="2"/>
                </w:rPr>
                <w:t>C23/66</w:t>
              </w:r>
            </w:hyperlink>
            <w:r w:rsidR="0048246E" w:rsidRPr="00070BC0">
              <w:rPr>
                <w:position w:val="2"/>
                <w:rtl/>
              </w:rPr>
              <w:t xml:space="preserve">، </w:t>
            </w:r>
            <w:hyperlink r:id="rId17" w:history="1">
              <w:r w:rsidR="0048246E" w:rsidRPr="00070BC0">
                <w:rPr>
                  <w:rStyle w:val="Hyperlink"/>
                  <w:position w:val="2"/>
                </w:rPr>
                <w:t>C23/73</w:t>
              </w:r>
            </w:hyperlink>
            <w:r w:rsidR="0048246E" w:rsidRPr="00070BC0">
              <w:rPr>
                <w:position w:val="2"/>
                <w:rtl/>
              </w:rPr>
              <w:t xml:space="preserve">، </w:t>
            </w:r>
            <w:hyperlink r:id="rId18" w:history="1">
              <w:r w:rsidR="0048246E" w:rsidRPr="00070BC0">
                <w:rPr>
                  <w:rStyle w:val="Hyperlink"/>
                  <w:position w:val="2"/>
                </w:rPr>
                <w:t>C23/77+Corr.1</w:t>
              </w:r>
            </w:hyperlink>
            <w:r w:rsidR="0048246E" w:rsidRPr="00070BC0">
              <w:rPr>
                <w:position w:val="2"/>
                <w:rtl/>
              </w:rPr>
              <w:t xml:space="preserve">، </w:t>
            </w:r>
            <w:hyperlink r:id="rId19" w:history="1">
              <w:r w:rsidR="0048246E" w:rsidRPr="00070BC0">
                <w:rPr>
                  <w:rStyle w:val="Hyperlink"/>
                  <w:position w:val="2"/>
                </w:rPr>
                <w:t>C23/88+Corr.1,2</w:t>
              </w:r>
            </w:hyperlink>
            <w:r w:rsidR="0048246E" w:rsidRPr="00070BC0">
              <w:rPr>
                <w:position w:val="2"/>
                <w:rtl/>
              </w:rPr>
              <w:t xml:space="preserve">، </w:t>
            </w:r>
            <w:hyperlink r:id="rId20" w:history="1">
              <w:bookmarkStart w:id="0" w:name="lt_pId030"/>
              <w:r w:rsidR="0048246E" w:rsidRPr="00070BC0">
                <w:rPr>
                  <w:rStyle w:val="Hyperlink"/>
                  <w:position w:val="2"/>
                </w:rPr>
                <w:t>C23/DT/5</w:t>
              </w:r>
              <w:bookmarkEnd w:id="0"/>
            </w:hyperlink>
          </w:p>
        </w:tc>
      </w:tr>
      <w:tr w:rsidR="0048246E" w:rsidRPr="00070BC0" w14:paraId="3D93356D" w14:textId="77777777" w:rsidTr="0048246E">
        <w:tc>
          <w:tcPr>
            <w:tcW w:w="251" w:type="pct"/>
          </w:tcPr>
          <w:p w14:paraId="5EDBE97C" w14:textId="21E110ED" w:rsidR="0048246E" w:rsidRPr="00070BC0" w:rsidRDefault="0048246E" w:rsidP="000E3FA6">
            <w:pPr>
              <w:spacing w:before="80" w:after="80" w:line="300" w:lineRule="exact"/>
              <w:rPr>
                <w:position w:val="2"/>
              </w:rPr>
            </w:pPr>
            <w:r w:rsidRPr="00070BC0">
              <w:rPr>
                <w:position w:val="2"/>
              </w:rPr>
              <w:t>6</w:t>
            </w:r>
          </w:p>
        </w:tc>
        <w:tc>
          <w:tcPr>
            <w:tcW w:w="3498" w:type="pct"/>
          </w:tcPr>
          <w:p w14:paraId="35992160" w14:textId="60E590FD" w:rsidR="0048246E" w:rsidRPr="00070BC0" w:rsidRDefault="002A28F7" w:rsidP="0048246E">
            <w:pPr>
              <w:spacing w:before="80" w:after="80" w:line="300" w:lineRule="exact"/>
              <w:rPr>
                <w:position w:val="2"/>
                <w:rtl/>
              </w:rPr>
            </w:pPr>
            <w:r w:rsidRPr="00070BC0">
              <w:rPr>
                <w:position w:val="2"/>
                <w:rtl/>
              </w:rPr>
              <w:t>الأعمال التحضيرية للمنتدى العالمي لسياسات الاتصالات/تكنولوجيا المعلومات والاتصالات لعام 2026 (</w:t>
            </w:r>
            <w:r w:rsidRPr="00070BC0">
              <w:rPr>
                <w:position w:val="2"/>
              </w:rPr>
              <w:t>WTPF-26</w:t>
            </w:r>
            <w:r w:rsidRPr="00070BC0">
              <w:rPr>
                <w:position w:val="2"/>
                <w:rtl/>
              </w:rPr>
              <w:t>)</w:t>
            </w:r>
          </w:p>
        </w:tc>
        <w:tc>
          <w:tcPr>
            <w:tcW w:w="1251" w:type="pct"/>
          </w:tcPr>
          <w:p w14:paraId="4EA225DC" w14:textId="2C3EF4AC" w:rsidR="0048246E" w:rsidRPr="00070BC0" w:rsidRDefault="00302E06" w:rsidP="000E3FA6">
            <w:pPr>
              <w:spacing w:before="80" w:after="80" w:line="300" w:lineRule="exact"/>
              <w:jc w:val="center"/>
              <w:rPr>
                <w:position w:val="2"/>
              </w:rPr>
            </w:pPr>
            <w:hyperlink r:id="rId21" w:history="1">
              <w:bookmarkStart w:id="1" w:name="lt_pId033"/>
              <w:r w:rsidR="0048246E" w:rsidRPr="00070BC0">
                <w:rPr>
                  <w:rStyle w:val="Hyperlink"/>
                  <w:position w:val="2"/>
                </w:rPr>
                <w:t>C23/13</w:t>
              </w:r>
              <w:bookmarkEnd w:id="1"/>
            </w:hyperlink>
          </w:p>
        </w:tc>
      </w:tr>
      <w:tr w:rsidR="0048246E" w:rsidRPr="00070BC0" w14:paraId="327F01FB" w14:textId="77777777" w:rsidTr="0048246E">
        <w:tc>
          <w:tcPr>
            <w:tcW w:w="251" w:type="pct"/>
          </w:tcPr>
          <w:p w14:paraId="0B748538" w14:textId="698802D2" w:rsidR="0048246E" w:rsidRPr="00070BC0" w:rsidRDefault="0048246E" w:rsidP="000E3FA6">
            <w:pPr>
              <w:spacing w:before="80" w:after="80" w:line="300" w:lineRule="exact"/>
              <w:rPr>
                <w:position w:val="2"/>
              </w:rPr>
            </w:pPr>
            <w:r w:rsidRPr="00070BC0">
              <w:rPr>
                <w:position w:val="2"/>
              </w:rPr>
              <w:t>7</w:t>
            </w:r>
          </w:p>
        </w:tc>
        <w:tc>
          <w:tcPr>
            <w:tcW w:w="3498" w:type="pct"/>
          </w:tcPr>
          <w:p w14:paraId="10277244" w14:textId="722E5645" w:rsidR="0048246E" w:rsidRPr="00070BC0" w:rsidRDefault="002A28F7" w:rsidP="000E3FA6">
            <w:pPr>
              <w:spacing w:before="80" w:after="80" w:line="300" w:lineRule="exact"/>
              <w:jc w:val="left"/>
              <w:rPr>
                <w:position w:val="2"/>
                <w:rtl/>
              </w:rPr>
            </w:pPr>
            <w:r w:rsidRPr="00070BC0">
              <w:rPr>
                <w:position w:val="2"/>
                <w:rtl/>
              </w:rPr>
              <w:t>مشاركة الشباب والمبادرات المتعلقة بهم في الاتحاد الدولي للاتصالات</w:t>
            </w:r>
          </w:p>
        </w:tc>
        <w:tc>
          <w:tcPr>
            <w:tcW w:w="1251" w:type="pct"/>
          </w:tcPr>
          <w:p w14:paraId="545741AA" w14:textId="3170DEC0" w:rsidR="0048246E" w:rsidRPr="00070BC0" w:rsidRDefault="00302E06" w:rsidP="000E3FA6">
            <w:pPr>
              <w:spacing w:before="80" w:after="80" w:line="300" w:lineRule="exact"/>
              <w:jc w:val="center"/>
              <w:rPr>
                <w:position w:val="2"/>
              </w:rPr>
            </w:pPr>
            <w:hyperlink r:id="rId22" w:history="1">
              <w:r w:rsidR="0048246E" w:rsidRPr="00070BC0">
                <w:rPr>
                  <w:rStyle w:val="Hyperlink"/>
                  <w:position w:val="2"/>
                </w:rPr>
                <w:t>C23/63</w:t>
              </w:r>
            </w:hyperlink>
            <w:r w:rsidR="0048246E" w:rsidRPr="00070BC0">
              <w:rPr>
                <w:position w:val="2"/>
                <w:rtl/>
              </w:rPr>
              <w:t xml:space="preserve">، </w:t>
            </w:r>
            <w:hyperlink r:id="rId23" w:history="1">
              <w:r w:rsidR="0048246E" w:rsidRPr="00070BC0">
                <w:rPr>
                  <w:rStyle w:val="Hyperlink"/>
                  <w:position w:val="2"/>
                </w:rPr>
                <w:t>C23/67</w:t>
              </w:r>
            </w:hyperlink>
          </w:p>
        </w:tc>
      </w:tr>
      <w:tr w:rsidR="0048246E" w:rsidRPr="00070BC0" w14:paraId="6C944101" w14:textId="77777777" w:rsidTr="002A28F7">
        <w:tc>
          <w:tcPr>
            <w:tcW w:w="251" w:type="pct"/>
          </w:tcPr>
          <w:p w14:paraId="26277838" w14:textId="7407C7C7" w:rsidR="0048246E" w:rsidRPr="00070BC0" w:rsidRDefault="0048246E" w:rsidP="000E3FA6">
            <w:pPr>
              <w:spacing w:before="80" w:after="80" w:line="300" w:lineRule="exact"/>
              <w:rPr>
                <w:position w:val="2"/>
              </w:rPr>
            </w:pPr>
            <w:r w:rsidRPr="00070BC0">
              <w:rPr>
                <w:position w:val="2"/>
              </w:rPr>
              <w:t>8</w:t>
            </w:r>
          </w:p>
        </w:tc>
        <w:tc>
          <w:tcPr>
            <w:tcW w:w="3498" w:type="pct"/>
          </w:tcPr>
          <w:p w14:paraId="533BB104" w14:textId="1FC5B4FB" w:rsidR="0048246E" w:rsidRPr="00070BC0" w:rsidRDefault="002A28F7" w:rsidP="000E3FA6">
            <w:pPr>
              <w:spacing w:before="80" w:after="80" w:line="300" w:lineRule="exact"/>
              <w:jc w:val="left"/>
              <w:rPr>
                <w:position w:val="2"/>
                <w:rtl/>
              </w:rPr>
            </w:pPr>
            <w:r w:rsidRPr="00070BC0">
              <w:rPr>
                <w:position w:val="2"/>
                <w:rtl/>
              </w:rPr>
              <w:t>بيان من إسبانيا</w:t>
            </w:r>
          </w:p>
        </w:tc>
        <w:tc>
          <w:tcPr>
            <w:tcW w:w="1251" w:type="pct"/>
          </w:tcPr>
          <w:p w14:paraId="3402DAE5" w14:textId="6C405F48" w:rsidR="0048246E" w:rsidRPr="00070BC0" w:rsidRDefault="0048246E" w:rsidP="000E3FA6">
            <w:pPr>
              <w:spacing w:before="80" w:after="80" w:line="300" w:lineRule="exact"/>
              <w:jc w:val="center"/>
              <w:rPr>
                <w:position w:val="2"/>
              </w:rPr>
            </w:pPr>
            <w:r w:rsidRPr="00070BC0">
              <w:rPr>
                <w:position w:val="2"/>
                <w:rtl/>
              </w:rPr>
              <w:t>-</w:t>
            </w:r>
          </w:p>
        </w:tc>
      </w:tr>
      <w:tr w:rsidR="0048246E" w:rsidRPr="00070BC0" w14:paraId="2DEAA5D3" w14:textId="77777777" w:rsidTr="002A28F7">
        <w:tc>
          <w:tcPr>
            <w:tcW w:w="251" w:type="pct"/>
          </w:tcPr>
          <w:p w14:paraId="2CE7D63A" w14:textId="1DE84E12" w:rsidR="0048246E" w:rsidRPr="00070BC0" w:rsidRDefault="0048246E" w:rsidP="000E3FA6">
            <w:pPr>
              <w:spacing w:before="80" w:after="80" w:line="300" w:lineRule="exact"/>
              <w:rPr>
                <w:position w:val="2"/>
              </w:rPr>
            </w:pPr>
            <w:r w:rsidRPr="00070BC0">
              <w:rPr>
                <w:position w:val="2"/>
              </w:rPr>
              <w:t>9</w:t>
            </w:r>
          </w:p>
        </w:tc>
        <w:tc>
          <w:tcPr>
            <w:tcW w:w="3498" w:type="pct"/>
            <w:tcBorders>
              <w:bottom w:val="single" w:sz="4" w:space="0" w:color="auto"/>
            </w:tcBorders>
          </w:tcPr>
          <w:p w14:paraId="55123667" w14:textId="6FF110BA" w:rsidR="0048246E" w:rsidRPr="00070BC0" w:rsidRDefault="002A28F7" w:rsidP="000E3FA6">
            <w:pPr>
              <w:spacing w:before="80" w:after="80" w:line="300" w:lineRule="exact"/>
              <w:jc w:val="left"/>
              <w:rPr>
                <w:position w:val="2"/>
                <w:rtl/>
              </w:rPr>
            </w:pPr>
            <w:r w:rsidRPr="00070BC0">
              <w:rPr>
                <w:position w:val="2"/>
                <w:rtl/>
                <w:lang w:bidi="ar-SY"/>
              </w:rPr>
              <w:t>هدية إلى الاتحاد من المملكة المتحدة</w:t>
            </w:r>
          </w:p>
        </w:tc>
        <w:tc>
          <w:tcPr>
            <w:tcW w:w="1251" w:type="pct"/>
            <w:tcBorders>
              <w:bottom w:val="single" w:sz="4" w:space="0" w:color="auto"/>
            </w:tcBorders>
          </w:tcPr>
          <w:p w14:paraId="36BDE443" w14:textId="7C943288" w:rsidR="0048246E" w:rsidRPr="00070BC0" w:rsidRDefault="0048246E" w:rsidP="000E3FA6">
            <w:pPr>
              <w:spacing w:before="80" w:after="80" w:line="300" w:lineRule="exact"/>
              <w:jc w:val="center"/>
              <w:rPr>
                <w:position w:val="2"/>
              </w:rPr>
            </w:pPr>
            <w:r w:rsidRPr="00070BC0">
              <w:rPr>
                <w:position w:val="2"/>
                <w:rtl/>
              </w:rPr>
              <w:t>-</w:t>
            </w:r>
          </w:p>
        </w:tc>
      </w:tr>
    </w:tbl>
    <w:p w14:paraId="1FEECB30" w14:textId="77777777" w:rsidR="00C52D6D" w:rsidRPr="00595565" w:rsidRDefault="00F50E3F" w:rsidP="002A28F7">
      <w:pPr>
        <w:rPr>
          <w:rtl/>
          <w:lang w:bidi="ar-EG"/>
        </w:rPr>
      </w:pPr>
      <w:r w:rsidRPr="00595565">
        <w:rPr>
          <w:rtl/>
          <w:lang w:bidi="ar-EG"/>
        </w:rPr>
        <w:br w:type="page"/>
      </w:r>
    </w:p>
    <w:p w14:paraId="1809B3A1" w14:textId="7E027C16" w:rsidR="00F50E3F" w:rsidRPr="00595565" w:rsidRDefault="00A21352" w:rsidP="00A21352">
      <w:pPr>
        <w:pStyle w:val="Heading1"/>
        <w:rPr>
          <w:rtl/>
          <w:lang w:bidi="ar-SY"/>
        </w:rPr>
      </w:pPr>
      <w:r w:rsidRPr="00595565">
        <w:rPr>
          <w:lang w:bidi="ar-SY"/>
        </w:rPr>
        <w:lastRenderedPageBreak/>
        <w:t>1</w:t>
      </w:r>
      <w:r w:rsidRPr="00595565">
        <w:rPr>
          <w:rtl/>
          <w:lang w:bidi="ar-SY"/>
        </w:rPr>
        <w:tab/>
      </w:r>
      <w:r w:rsidR="001D2D05" w:rsidRPr="00595565">
        <w:rPr>
          <w:rtl/>
        </w:rPr>
        <w:t>بيان المدير العام للمنظمة العالمية للملكية الفكرية</w:t>
      </w:r>
    </w:p>
    <w:p w14:paraId="728BBE39" w14:textId="0B366A7E" w:rsidR="008C4BA4" w:rsidRPr="00595565" w:rsidRDefault="008C4BA4" w:rsidP="002A28F7">
      <w:pPr>
        <w:rPr>
          <w:rtl/>
          <w:lang w:bidi="ar-SY"/>
        </w:rPr>
      </w:pPr>
      <w:r w:rsidRPr="00595565">
        <w:rPr>
          <w:lang w:bidi="ar-SY"/>
        </w:rPr>
        <w:t>1.1</w:t>
      </w:r>
      <w:r w:rsidRPr="00595565">
        <w:rPr>
          <w:rtl/>
          <w:lang w:bidi="ar-SY"/>
        </w:rPr>
        <w:tab/>
      </w:r>
      <w:r w:rsidR="001D2D05" w:rsidRPr="00595565">
        <w:rPr>
          <w:rtl/>
          <w:lang w:bidi="ar-SY"/>
        </w:rPr>
        <w:t>أدلى المدير العام للمنظمة العالمية للملكية الفكرية، السيد دارين تانغ، بالبيان</w:t>
      </w:r>
      <w:r w:rsidR="001D2D05" w:rsidRPr="00595565">
        <w:rPr>
          <w:rtl/>
          <w:lang w:val="en-GB"/>
        </w:rPr>
        <w:t xml:space="preserve"> المتاح </w:t>
      </w:r>
      <w:r w:rsidR="00480510" w:rsidRPr="00595565">
        <w:rPr>
          <w:rtl/>
          <w:lang w:val="en-GB"/>
        </w:rPr>
        <w:t xml:space="preserve">من خلال </w:t>
      </w:r>
      <w:r w:rsidR="001D2D05" w:rsidRPr="00595565">
        <w:rPr>
          <w:rtl/>
          <w:lang w:val="en-GB"/>
        </w:rPr>
        <w:t>الرابط</w:t>
      </w:r>
      <w:r w:rsidR="001D2D05" w:rsidRPr="00595565">
        <w:rPr>
          <w:rtl/>
          <w:lang w:bidi="ar-SY"/>
        </w:rPr>
        <w:t xml:space="preserve"> التالي:</w:t>
      </w:r>
      <w:r w:rsidR="002A28F7" w:rsidRPr="00595565">
        <w:rPr>
          <w:rtl/>
          <w:lang w:bidi="ar-SY"/>
        </w:rPr>
        <w:tab/>
      </w:r>
      <w:r w:rsidR="002A28F7" w:rsidRPr="00595565">
        <w:rPr>
          <w:rtl/>
          <w:lang w:bidi="ar-SY"/>
        </w:rPr>
        <w:br/>
      </w:r>
      <w:hyperlink r:id="rId24" w:history="1">
        <w:r w:rsidR="002A28F7" w:rsidRPr="00595565">
          <w:rPr>
            <w:rStyle w:val="Hyperlink"/>
            <w:szCs w:val="24"/>
            <w:lang w:val="en-CA"/>
          </w:rPr>
          <w:t>https://council.itu.int/2023/en/news/speeches/speech-director-general-of-wipo-daren-tang/</w:t>
        </w:r>
      </w:hyperlink>
      <w:r w:rsidR="002A28F7" w:rsidRPr="00595565">
        <w:rPr>
          <w:rtl/>
        </w:rPr>
        <w:t>.</w:t>
      </w:r>
    </w:p>
    <w:p w14:paraId="073E29A9" w14:textId="0B3715B3" w:rsidR="00F50E3F" w:rsidRPr="00595565" w:rsidRDefault="00A21352" w:rsidP="00A21352">
      <w:pPr>
        <w:pStyle w:val="Heading1"/>
      </w:pPr>
      <w:r w:rsidRPr="00595565">
        <w:rPr>
          <w:lang w:bidi="ar-SY"/>
        </w:rPr>
        <w:t>2</w:t>
      </w:r>
      <w:r w:rsidRPr="00595565">
        <w:rPr>
          <w:rtl/>
          <w:lang w:bidi="ar-SY"/>
        </w:rPr>
        <w:tab/>
      </w:r>
      <w:r w:rsidR="00A930D3" w:rsidRPr="00595565">
        <w:rPr>
          <w:rtl/>
          <w:lang w:bidi="ar-EG"/>
        </w:rPr>
        <w:t>أنشطة الاتحاد الدولي للاتصالات بشأن تعزيز دور الاتحاد في بناء الثقة والأمن في استعمال تكنولوجيا المعلومات والاتصالات</w:t>
      </w:r>
      <w:r w:rsidRPr="00595565">
        <w:rPr>
          <w:rtl/>
          <w:lang w:bidi="ar-EG"/>
        </w:rPr>
        <w:t xml:space="preserve"> (</w:t>
      </w:r>
      <w:r w:rsidR="001D2D05" w:rsidRPr="00595565">
        <w:rPr>
          <w:rtl/>
          <w:lang w:bidi="ar-EG"/>
        </w:rPr>
        <w:t>الوثيقتان</w:t>
      </w:r>
      <w:r w:rsidRPr="00595565">
        <w:rPr>
          <w:rtl/>
          <w:lang w:bidi="ar-EG"/>
        </w:rPr>
        <w:t xml:space="preserve"> </w:t>
      </w:r>
      <w:hyperlink r:id="rId25" w:history="1">
        <w:r w:rsidRPr="00595565">
          <w:rPr>
            <w:rStyle w:val="Hyperlink"/>
            <w:szCs w:val="24"/>
          </w:rPr>
          <w:t>C23/</w:t>
        </w:r>
        <w:r w:rsidR="00A930D3" w:rsidRPr="00595565">
          <w:rPr>
            <w:rStyle w:val="Hyperlink"/>
            <w:szCs w:val="24"/>
          </w:rPr>
          <w:t>38</w:t>
        </w:r>
      </w:hyperlink>
      <w:r w:rsidR="001D2D05" w:rsidRPr="00595565">
        <w:rPr>
          <w:rtl/>
        </w:rPr>
        <w:t xml:space="preserve"> و</w:t>
      </w:r>
      <w:hyperlink r:id="rId26" w:history="1">
        <w:r w:rsidR="00A930D3" w:rsidRPr="00595565">
          <w:rPr>
            <w:rStyle w:val="Hyperlink"/>
            <w:szCs w:val="24"/>
            <w:lang w:val="en-CA"/>
          </w:rPr>
          <w:t>C23/93(Rev.1)</w:t>
        </w:r>
      </w:hyperlink>
      <w:r w:rsidRPr="00595565">
        <w:rPr>
          <w:rtl/>
        </w:rPr>
        <w:t>)</w:t>
      </w:r>
    </w:p>
    <w:p w14:paraId="222F9380" w14:textId="2F3CD6D3" w:rsidR="00A21352" w:rsidRPr="00595565" w:rsidRDefault="00A21352" w:rsidP="002A28F7">
      <w:pPr>
        <w:rPr>
          <w:rtl/>
        </w:rPr>
      </w:pPr>
      <w:r w:rsidRPr="00595565">
        <w:rPr>
          <w:lang w:bidi="ar-SY"/>
        </w:rPr>
        <w:t>1.2</w:t>
      </w:r>
      <w:r w:rsidRPr="00595565">
        <w:rPr>
          <w:rtl/>
          <w:lang w:bidi="ar-SY"/>
        </w:rPr>
        <w:tab/>
      </w:r>
      <w:r w:rsidR="008B307B" w:rsidRPr="00595565">
        <w:rPr>
          <w:rtl/>
          <w:lang w:bidi="ar-SY"/>
        </w:rPr>
        <w:t>قدم ممثل</w:t>
      </w:r>
      <w:r w:rsidR="00480510" w:rsidRPr="00595565">
        <w:rPr>
          <w:rtl/>
          <w:lang w:bidi="ar-SY"/>
        </w:rPr>
        <w:t xml:space="preserve"> عن</w:t>
      </w:r>
      <w:r w:rsidR="008B307B" w:rsidRPr="00595565">
        <w:rPr>
          <w:rtl/>
          <w:lang w:bidi="ar-SY"/>
        </w:rPr>
        <w:t xml:space="preserve"> الأمانة العامة الوثيقة </w:t>
      </w:r>
      <w:r w:rsidR="008B307B" w:rsidRPr="00595565">
        <w:rPr>
          <w:lang w:bidi="ar-SY"/>
        </w:rPr>
        <w:t>C23/38</w:t>
      </w:r>
      <w:r w:rsidR="008B307B" w:rsidRPr="00595565">
        <w:rPr>
          <w:rtl/>
          <w:lang w:bidi="ar-SY"/>
        </w:rPr>
        <w:t xml:space="preserve"> التي تتضمن ملخص أنشطة الاتحاد فيما يتعلق بالقرار 130 (المراج</w:t>
      </w:r>
      <w:r w:rsidR="002A28F7" w:rsidRPr="00595565">
        <w:rPr>
          <w:rtl/>
          <w:lang w:bidi="ar-SY"/>
        </w:rPr>
        <w:t>َ</w:t>
      </w:r>
      <w:r w:rsidR="008B307B" w:rsidRPr="00595565">
        <w:rPr>
          <w:rtl/>
          <w:lang w:bidi="ar-SY"/>
        </w:rPr>
        <w:t xml:space="preserve">ع في بوخارست، 2022) لمؤتمر المندوبين المفوضين، ودوره </w:t>
      </w:r>
      <w:r w:rsidR="008B307B" w:rsidRPr="00595565">
        <w:rPr>
          <w:color w:val="000000"/>
          <w:rtl/>
        </w:rPr>
        <w:t xml:space="preserve">بصفته الميسّر الوحيد </w:t>
      </w:r>
      <w:r w:rsidR="008B307B" w:rsidRPr="00595565">
        <w:rPr>
          <w:rtl/>
          <w:lang w:bidi="ar-SY"/>
        </w:rPr>
        <w:t>لخط العمل جيم</w:t>
      </w:r>
      <w:r w:rsidR="008B307B" w:rsidRPr="00595565">
        <w:rPr>
          <w:rFonts w:ascii="Arial" w:hAnsi="Arial" w:cs="Arial" w:hint="cs"/>
          <w:rtl/>
          <w:lang w:bidi="ar-SY"/>
        </w:rPr>
        <w:t>‬</w:t>
      </w:r>
      <w:r w:rsidR="008B307B" w:rsidRPr="00595565">
        <w:rPr>
          <w:rtl/>
          <w:lang w:bidi="ar-SY"/>
        </w:rPr>
        <w:t xml:space="preserve">5 </w:t>
      </w:r>
      <w:dir w:val="rtl">
        <w:r w:rsidR="008B307B" w:rsidRPr="00595565">
          <w:rPr>
            <w:rtl/>
            <w:lang w:bidi="ar-SY"/>
          </w:rPr>
          <w:t xml:space="preserve">للقمة العالمية لمجتمع المعلومات والقرارات </w:t>
        </w:r>
        <w:r w:rsidR="00480510" w:rsidRPr="00595565">
          <w:rPr>
            <w:rtl/>
            <w:lang w:bidi="ar-SY"/>
          </w:rPr>
          <w:t>المتعلقة ب</w:t>
        </w:r>
        <w:r w:rsidR="008B307B" w:rsidRPr="00595565">
          <w:rPr>
            <w:rtl/>
            <w:lang w:bidi="ar-SY"/>
          </w:rPr>
          <w:t>تعزيز دوره في بناء الثقة والأمن في استخدام تكنولوجيا المعلومات والاتصالات.</w:t>
        </w:r>
        <w:r w:rsidR="008B307B" w:rsidRPr="00595565">
          <w:rPr>
            <w:rtl/>
          </w:rPr>
          <w:t xml:space="preserve"> وتمحور التقرير حول الركائز الخمس لبرنامج الأمن السيبراني العالمي (</w:t>
        </w:r>
        <w:r w:rsidR="008B307B" w:rsidRPr="00595565">
          <w:rPr>
            <w:rFonts w:ascii="Arial" w:hAnsi="Arial" w:cs="Arial" w:hint="cs"/>
            <w:rtl/>
          </w:rPr>
          <w:t>‬</w:t>
        </w:r>
        <w:r w:rsidR="008B307B" w:rsidRPr="00595565">
          <w:t>GCA</w:t>
        </w:r>
        <w:r w:rsidR="008B307B" w:rsidRPr="00595565">
          <w:rPr>
            <w:rtl/>
          </w:rPr>
          <w:t xml:space="preserve">) </w:t>
        </w:r>
        <w:dir w:val="rtl">
          <w:r w:rsidR="008B307B" w:rsidRPr="00595565">
            <w:rPr>
              <w:rtl/>
            </w:rPr>
            <w:t>وأظهر الطبيعة التكاملية لعمل القطاعات الثلاثة.</w:t>
          </w:r>
          <w:r w:rsidR="008B307B" w:rsidRPr="00595565">
            <w:rPr>
              <w:rFonts w:ascii="Arial" w:hAnsi="Arial" w:cs="Arial" w:hint="cs"/>
              <w:rtl/>
            </w:rPr>
            <w:t>‬</w:t>
          </w:r>
          <w:r w:rsidR="00A378DC" w:rsidRPr="00595565">
            <w:rPr>
              <w:rFonts w:ascii="Arial" w:hAnsi="Arial" w:cs="Arial"/>
            </w:rPr>
            <w:t>‬</w:t>
          </w:r>
          <w:r w:rsidR="00A378DC" w:rsidRPr="00595565">
            <w:rPr>
              <w:rFonts w:ascii="Arial" w:hAnsi="Arial" w:cs="Arial"/>
            </w:rPr>
            <w:t>‬</w:t>
          </w:r>
          <w:r w:rsidR="007D4128" w:rsidRPr="00595565">
            <w:rPr>
              <w:rFonts w:ascii="Arial" w:hAnsi="Arial" w:cs="Arial"/>
            </w:rPr>
            <w:t>‬</w:t>
          </w:r>
          <w:r w:rsidR="007D4128" w:rsidRPr="00595565">
            <w:rPr>
              <w:rFonts w:ascii="Arial" w:hAnsi="Arial" w:cs="Arial"/>
            </w:rPr>
            <w:t>‬</w:t>
          </w:r>
          <w:r w:rsidR="00617102" w:rsidRPr="00595565">
            <w:rPr>
              <w:rFonts w:ascii="Arial" w:hAnsi="Arial" w:cs="Arial"/>
            </w:rPr>
            <w:t>‬</w:t>
          </w:r>
          <w:r w:rsidR="00617102" w:rsidRPr="00595565">
            <w:rPr>
              <w:rFonts w:ascii="Arial" w:hAnsi="Arial" w:cs="Arial"/>
            </w:rPr>
            <w:t>‬</w:t>
          </w:r>
          <w:r w:rsidR="00A61FE2" w:rsidRPr="00595565">
            <w:rPr>
              <w:rFonts w:ascii="Arial" w:hAnsi="Arial" w:cs="Arial"/>
            </w:rPr>
            <w:t>‬</w:t>
          </w:r>
          <w:r w:rsidR="00A61FE2" w:rsidRPr="00595565">
            <w:rPr>
              <w:rFonts w:ascii="Arial" w:hAnsi="Arial" w:cs="Arial"/>
            </w:rPr>
            <w:t>‬</w:t>
          </w:r>
          <w:r w:rsidR="00107FD3">
            <w:t>‬</w:t>
          </w:r>
          <w:r w:rsidR="00107FD3">
            <w:t>‬</w:t>
          </w:r>
          <w:r w:rsidR="00302E06">
            <w:t>‬</w:t>
          </w:r>
          <w:r w:rsidR="00302E06">
            <w:t>‬</w:t>
          </w:r>
        </w:dir>
      </w:dir>
    </w:p>
    <w:p w14:paraId="506BABB6" w14:textId="1FE68DBC" w:rsidR="00A21352" w:rsidRPr="00595565" w:rsidRDefault="00A21352" w:rsidP="002A28F7">
      <w:pPr>
        <w:rPr>
          <w:rtl/>
        </w:rPr>
      </w:pPr>
      <w:r w:rsidRPr="00595565">
        <w:rPr>
          <w:lang w:bidi="ar-SY"/>
        </w:rPr>
        <w:t>2.2</w:t>
      </w:r>
      <w:r w:rsidRPr="00595565">
        <w:rPr>
          <w:rtl/>
          <w:lang w:bidi="ar-SY"/>
        </w:rPr>
        <w:tab/>
      </w:r>
      <w:r w:rsidR="00E51BB6">
        <w:rPr>
          <w:rFonts w:hint="cs"/>
          <w:rtl/>
          <w:lang w:bidi="ar-SY"/>
        </w:rPr>
        <w:t>و</w:t>
      </w:r>
      <w:r w:rsidR="00BA0431" w:rsidRPr="00595565">
        <w:rPr>
          <w:rtl/>
          <w:lang w:bidi="ar-SY"/>
        </w:rPr>
        <w:t xml:space="preserve">قدم عضو المجلس من البرازيل الوثيقة </w:t>
      </w:r>
      <w:r w:rsidR="00BA0431" w:rsidRPr="00595565">
        <w:rPr>
          <w:rFonts w:ascii="Arial" w:hAnsi="Arial" w:cs="Arial" w:hint="cs"/>
          <w:rtl/>
          <w:lang w:bidi="ar-SY"/>
        </w:rPr>
        <w:t>‬</w:t>
      </w:r>
      <w:r w:rsidR="00BA0431" w:rsidRPr="00595565">
        <w:rPr>
          <w:lang w:bidi="ar-SY"/>
        </w:rPr>
        <w:t>C23/93(Rev.1)</w:t>
      </w:r>
      <w:r w:rsidR="00BA0431" w:rsidRPr="00595565">
        <w:rPr>
          <w:rtl/>
          <w:lang w:bidi="ar-SY"/>
        </w:rPr>
        <w:t xml:space="preserve"> </w:t>
      </w:r>
      <w:dir w:val="rtl">
        <w:r w:rsidR="00BA0431" w:rsidRPr="00595565">
          <w:rPr>
            <w:rtl/>
            <w:lang w:bidi="ar-SY"/>
          </w:rPr>
          <w:t xml:space="preserve">التي تتضمن مشروع مقرر يكلف الأمين العام ومديري المكاتب </w:t>
        </w:r>
        <w:r w:rsidR="00BA0431" w:rsidRPr="00595565">
          <w:rPr>
            <w:rFonts w:ascii="Arial" w:hAnsi="Arial" w:cs="Arial" w:hint="cs"/>
            <w:rtl/>
            <w:lang w:bidi="ar-SY"/>
          </w:rPr>
          <w:t>‬</w:t>
        </w:r>
        <w:r w:rsidR="00BA0431" w:rsidRPr="00595565">
          <w:rPr>
            <w:rtl/>
            <w:lang w:bidi="ar-SY"/>
          </w:rPr>
          <w:t xml:space="preserve">– </w:t>
        </w:r>
        <w:dir w:val="rtl">
          <w:r w:rsidR="00BA0431" w:rsidRPr="00595565">
            <w:rPr>
              <w:rtl/>
              <w:lang w:bidi="ar-SY"/>
            </w:rPr>
            <w:t>تماشياً مع خط العمل جيم5</w:t>
          </w:r>
          <w:r w:rsidR="00BA0431" w:rsidRPr="00595565">
            <w:rPr>
              <w:rFonts w:ascii="Arial" w:hAnsi="Arial" w:cs="Arial" w:hint="cs"/>
              <w:rtl/>
              <w:lang w:bidi="ar-SY"/>
            </w:rPr>
            <w:t>‬</w:t>
          </w:r>
          <w:r w:rsidR="00BA0431" w:rsidRPr="00595565">
            <w:rPr>
              <w:rtl/>
              <w:lang w:bidi="ar-SY"/>
            </w:rPr>
            <w:t xml:space="preserve"> </w:t>
          </w:r>
          <w:dir w:val="rtl">
            <w:r w:rsidR="00BA0431" w:rsidRPr="00595565">
              <w:rPr>
                <w:rtl/>
                <w:lang w:bidi="ar-SY"/>
              </w:rPr>
              <w:t xml:space="preserve">للقمة العالمية لمجتمع المعلومات </w:t>
            </w:r>
            <w:r w:rsidR="00BA0431" w:rsidRPr="00595565">
              <w:rPr>
                <w:rFonts w:ascii="Arial" w:hAnsi="Arial" w:cs="Arial" w:hint="cs"/>
                <w:rtl/>
                <w:lang w:bidi="ar-SY"/>
              </w:rPr>
              <w:t>‬</w:t>
            </w:r>
            <w:r w:rsidR="00BA0431" w:rsidRPr="00595565">
              <w:rPr>
                <w:rtl/>
                <w:lang w:bidi="ar-SY"/>
              </w:rPr>
              <w:t xml:space="preserve">– </w:t>
            </w:r>
            <w:dir w:val="rtl">
              <w:r w:rsidR="00BA0431" w:rsidRPr="00595565">
                <w:rPr>
                  <w:rtl/>
                  <w:lang w:bidi="ar-SY"/>
                </w:rPr>
                <w:t>بوضع وصيانة مورد إعلامي للدول الأعضاء يتضمن أمثلة لأفضل الممارسات بشأن الأمن السيبراني والصمود السيبراني ومصادر المشورة والمساعدة والتوجيه ومعلومات بشأن برامج بناء القدرات.</w:t>
              </w:r>
              <w:r w:rsidR="00A378DC" w:rsidRPr="00595565">
                <w:rPr>
                  <w:rFonts w:ascii="Arial" w:hAnsi="Arial" w:cs="Arial"/>
                </w:rPr>
                <w:t>‬</w:t>
              </w:r>
              <w:r w:rsidR="00A378DC" w:rsidRPr="00595565">
                <w:rPr>
                  <w:rFonts w:ascii="Arial" w:hAnsi="Arial" w:cs="Arial"/>
                </w:rPr>
                <w:t>‬</w:t>
              </w:r>
              <w:r w:rsidR="00A378DC" w:rsidRPr="00595565">
                <w:rPr>
                  <w:rFonts w:ascii="Arial" w:hAnsi="Arial" w:cs="Arial"/>
                </w:rPr>
                <w:t>‬</w:t>
              </w:r>
              <w:r w:rsidR="00A378DC" w:rsidRPr="00595565">
                <w:rPr>
                  <w:rFonts w:ascii="Arial" w:hAnsi="Arial" w:cs="Arial"/>
                </w:rPr>
                <w:t>‬</w:t>
              </w:r>
              <w:r w:rsidR="007D4128" w:rsidRPr="00595565">
                <w:rPr>
                  <w:rFonts w:ascii="Arial" w:hAnsi="Arial" w:cs="Arial"/>
                </w:rPr>
                <w:t>‬</w:t>
              </w:r>
              <w:r w:rsidR="007D4128" w:rsidRPr="00595565">
                <w:rPr>
                  <w:rFonts w:ascii="Arial" w:hAnsi="Arial" w:cs="Arial"/>
                </w:rPr>
                <w:t>‬</w:t>
              </w:r>
              <w:r w:rsidR="007D4128" w:rsidRPr="00595565">
                <w:rPr>
                  <w:rFonts w:ascii="Arial" w:hAnsi="Arial" w:cs="Arial"/>
                </w:rPr>
                <w:t>‬</w:t>
              </w:r>
              <w:r w:rsidR="007D4128" w:rsidRPr="00595565">
                <w:rPr>
                  <w:rFonts w:ascii="Arial" w:hAnsi="Arial" w:cs="Arial"/>
                </w:rPr>
                <w:t>‬</w:t>
              </w:r>
              <w:r w:rsidR="00617102" w:rsidRPr="00595565">
                <w:rPr>
                  <w:rFonts w:ascii="Arial" w:hAnsi="Arial" w:cs="Arial"/>
                </w:rPr>
                <w:t>‬</w:t>
              </w:r>
              <w:r w:rsidR="00617102" w:rsidRPr="00595565">
                <w:rPr>
                  <w:rFonts w:ascii="Arial" w:hAnsi="Arial" w:cs="Arial"/>
                </w:rPr>
                <w:t>‬</w:t>
              </w:r>
              <w:r w:rsidR="00617102" w:rsidRPr="00595565">
                <w:rPr>
                  <w:rFonts w:ascii="Arial" w:hAnsi="Arial" w:cs="Arial"/>
                </w:rPr>
                <w:t>‬</w:t>
              </w:r>
              <w:r w:rsidR="00617102" w:rsidRPr="00595565">
                <w:rPr>
                  <w:rFonts w:ascii="Arial" w:hAnsi="Arial" w:cs="Arial"/>
                </w:rPr>
                <w:t>‬</w:t>
              </w:r>
              <w:r w:rsidR="00A61FE2" w:rsidRPr="00595565">
                <w:rPr>
                  <w:rFonts w:ascii="Arial" w:hAnsi="Arial" w:cs="Arial"/>
                </w:rPr>
                <w:t>‬</w:t>
              </w:r>
              <w:r w:rsidR="00A61FE2" w:rsidRPr="00595565">
                <w:rPr>
                  <w:rFonts w:ascii="Arial" w:hAnsi="Arial" w:cs="Arial"/>
                </w:rPr>
                <w:t>‬</w:t>
              </w:r>
              <w:r w:rsidR="00A61FE2" w:rsidRPr="00595565">
                <w:rPr>
                  <w:rFonts w:ascii="Arial" w:hAnsi="Arial" w:cs="Arial"/>
                </w:rPr>
                <w:t>‬</w:t>
              </w:r>
              <w:r w:rsidR="00A61FE2" w:rsidRPr="00595565">
                <w:rPr>
                  <w:rFonts w:ascii="Arial" w:hAnsi="Arial" w:cs="Arial"/>
                </w:rPr>
                <w:t>‬</w:t>
              </w:r>
              <w:r w:rsidR="00107FD3">
                <w:t>‬</w:t>
              </w:r>
              <w:r w:rsidR="00107FD3">
                <w:t>‬</w:t>
              </w:r>
              <w:r w:rsidR="00107FD3">
                <w:t>‬</w:t>
              </w:r>
              <w:r w:rsidR="00107FD3">
                <w:t>‬</w:t>
              </w:r>
              <w:r w:rsidR="00302E06">
                <w:t>‬</w:t>
              </w:r>
              <w:r w:rsidR="00302E06">
                <w:t>‬</w:t>
              </w:r>
              <w:r w:rsidR="00302E06">
                <w:t>‬</w:t>
              </w:r>
              <w:r w:rsidR="00302E06">
                <w:t>‬</w:t>
              </w:r>
            </w:dir>
          </w:dir>
        </w:dir>
      </w:dir>
    </w:p>
    <w:p w14:paraId="4DA7427A" w14:textId="22B3E25A" w:rsidR="00A21352" w:rsidRPr="00595565" w:rsidRDefault="00A21352" w:rsidP="002A28F7">
      <w:pPr>
        <w:rPr>
          <w:rtl/>
          <w:lang w:bidi="ar-SY"/>
        </w:rPr>
      </w:pPr>
      <w:r w:rsidRPr="00595565">
        <w:rPr>
          <w:lang w:bidi="ar-SY"/>
        </w:rPr>
        <w:t>3.2</w:t>
      </w:r>
      <w:r w:rsidRPr="00595565">
        <w:rPr>
          <w:rtl/>
          <w:lang w:bidi="ar-SY"/>
        </w:rPr>
        <w:tab/>
      </w:r>
      <w:r w:rsidR="00D76811" w:rsidRPr="00595565">
        <w:rPr>
          <w:rtl/>
          <w:lang w:bidi="ar-SY"/>
        </w:rPr>
        <w:t>و</w:t>
      </w:r>
      <w:dir w:val="rtl">
        <w:r w:rsidR="00D76811" w:rsidRPr="00595565">
          <w:rPr>
            <w:rtl/>
            <w:lang w:bidi="ar-SY"/>
          </w:rPr>
          <w:t>أعرب العديد من أعضاء المجلس ومراقبان عن تأييدهم لمشروع المقرر.</w:t>
        </w:r>
        <w:r w:rsidR="00A378DC" w:rsidRPr="00595565">
          <w:rPr>
            <w:rFonts w:ascii="Arial" w:hAnsi="Arial" w:cs="Arial"/>
          </w:rPr>
          <w:t>‬</w:t>
        </w:r>
        <w:r w:rsidR="007D4128" w:rsidRPr="00595565">
          <w:rPr>
            <w:rFonts w:ascii="Arial" w:hAnsi="Arial" w:cs="Arial"/>
          </w:rPr>
          <w:t>‬</w:t>
        </w:r>
        <w:r w:rsidR="00617102" w:rsidRPr="00595565">
          <w:rPr>
            <w:rFonts w:ascii="Arial" w:hAnsi="Arial" w:cs="Arial"/>
          </w:rPr>
          <w:t>‬</w:t>
        </w:r>
        <w:r w:rsidR="00A61FE2" w:rsidRPr="00595565">
          <w:rPr>
            <w:rFonts w:ascii="Arial" w:hAnsi="Arial" w:cs="Arial"/>
          </w:rPr>
          <w:t>‬</w:t>
        </w:r>
        <w:r w:rsidR="00107FD3">
          <w:t>‬</w:t>
        </w:r>
        <w:r w:rsidR="00302E06">
          <w:t>‬</w:t>
        </w:r>
      </w:dir>
    </w:p>
    <w:p w14:paraId="24AE2899" w14:textId="2BC13CCF" w:rsidR="00A21352" w:rsidRPr="00595565" w:rsidRDefault="00A21352" w:rsidP="002A28F7">
      <w:pPr>
        <w:rPr>
          <w:rtl/>
        </w:rPr>
      </w:pPr>
      <w:r w:rsidRPr="00595565">
        <w:rPr>
          <w:lang w:bidi="ar-SY"/>
        </w:rPr>
        <w:t>4.2</w:t>
      </w:r>
      <w:r w:rsidRPr="00595565">
        <w:rPr>
          <w:rtl/>
          <w:lang w:bidi="ar-SY"/>
        </w:rPr>
        <w:tab/>
      </w:r>
      <w:r w:rsidR="00D76811" w:rsidRPr="00595565">
        <w:rPr>
          <w:rtl/>
          <w:lang w:bidi="ar-SY"/>
        </w:rPr>
        <w:t>وأكد العديد من أعضاء المجلس ومراقبان أهمية تعزيز الأمن السيبراني العالمي وأكدوا على دور الاتحاد في مجال بناء القدرات في هذا الصدد.</w:t>
      </w:r>
      <w:r w:rsidR="00D76811" w:rsidRPr="00595565">
        <w:rPr>
          <w:rtl/>
        </w:rPr>
        <w:t xml:space="preserve"> </w:t>
      </w:r>
      <w:dir w:val="rtl">
        <w:r w:rsidR="00D76811" w:rsidRPr="00595565">
          <w:rPr>
            <w:rtl/>
          </w:rPr>
          <w:t>وأكد بعض أعضاء المجلس التزام بلدانهم بدعم عمل الاتحاد في مجال الأمن السيبراني وسلطوا الضوء على الجهود الوطنية لتحقيق هذه الغاية.</w:t>
        </w:r>
        <w:r w:rsidR="00D76811" w:rsidRPr="00595565">
          <w:rPr>
            <w:rFonts w:ascii="Arial" w:hAnsi="Arial" w:cs="Arial" w:hint="cs"/>
            <w:rtl/>
          </w:rPr>
          <w:t>‬</w:t>
        </w:r>
        <w:r w:rsidR="00A378DC" w:rsidRPr="00595565">
          <w:rPr>
            <w:rFonts w:ascii="Arial" w:hAnsi="Arial" w:cs="Arial"/>
          </w:rPr>
          <w:t>‬</w:t>
        </w:r>
        <w:r w:rsidR="007D4128" w:rsidRPr="00595565">
          <w:rPr>
            <w:rFonts w:ascii="Arial" w:hAnsi="Arial" w:cs="Arial"/>
          </w:rPr>
          <w:t>‬</w:t>
        </w:r>
        <w:r w:rsidR="00617102" w:rsidRPr="00595565">
          <w:rPr>
            <w:rFonts w:ascii="Arial" w:hAnsi="Arial" w:cs="Arial"/>
          </w:rPr>
          <w:t>‬</w:t>
        </w:r>
        <w:r w:rsidR="00A61FE2" w:rsidRPr="00595565">
          <w:rPr>
            <w:rFonts w:ascii="Arial" w:hAnsi="Arial" w:cs="Arial"/>
          </w:rPr>
          <w:t>‬</w:t>
        </w:r>
        <w:r w:rsidR="00107FD3">
          <w:t>‬</w:t>
        </w:r>
        <w:r w:rsidR="00302E06">
          <w:t>‬</w:t>
        </w:r>
      </w:dir>
    </w:p>
    <w:p w14:paraId="48584D19" w14:textId="504BDD12" w:rsidR="00A21352" w:rsidRPr="00595565" w:rsidRDefault="00A21352" w:rsidP="002A28F7">
      <w:pPr>
        <w:rPr>
          <w:rtl/>
        </w:rPr>
      </w:pPr>
      <w:r w:rsidRPr="00595565">
        <w:rPr>
          <w:lang w:bidi="ar-SY"/>
        </w:rPr>
        <w:t>5.2</w:t>
      </w:r>
      <w:r w:rsidRPr="00595565">
        <w:rPr>
          <w:rtl/>
          <w:lang w:bidi="ar-SY"/>
        </w:rPr>
        <w:tab/>
      </w:r>
      <w:r w:rsidR="00E51BB6">
        <w:rPr>
          <w:rFonts w:hint="cs"/>
          <w:rtl/>
          <w:lang w:bidi="ar-SY"/>
        </w:rPr>
        <w:t>و</w:t>
      </w:r>
      <w:r w:rsidR="008E0E52" w:rsidRPr="00595565">
        <w:rPr>
          <w:rtl/>
          <w:lang w:bidi="ar-SY"/>
        </w:rPr>
        <w:t>دعت مندوبة من</w:t>
      </w:r>
      <w:r w:rsidR="00E46EA6" w:rsidRPr="00595565">
        <w:rPr>
          <w:rtl/>
          <w:lang w:bidi="ar-SY"/>
        </w:rPr>
        <w:t xml:space="preserve"> أعضاء المجلس إلى وضع اتفاق عالمي ملزم قانوناً بشأن الاستخدام السلمي لتكنولوجيا المعلومات والاتصالات </w:t>
      </w:r>
      <w:r w:rsidR="00480510" w:rsidRPr="00595565">
        <w:rPr>
          <w:rtl/>
          <w:lang w:bidi="ar-SY"/>
        </w:rPr>
        <w:t xml:space="preserve">من أجل حظر </w:t>
      </w:r>
      <w:r w:rsidR="00E46EA6" w:rsidRPr="00595565">
        <w:rPr>
          <w:rtl/>
          <w:lang w:bidi="ar-SY"/>
        </w:rPr>
        <w:t xml:space="preserve">استخدام وسائل التواصل الاجتماعي للتحريض على الحرب أو العنف، وسد الفجوة الرقمية، وإزالة العقبات </w:t>
      </w:r>
      <w:r w:rsidR="004F1619" w:rsidRPr="00595565">
        <w:rPr>
          <w:rtl/>
          <w:lang w:bidi="ar-SY"/>
        </w:rPr>
        <w:t>التي تعترض</w:t>
      </w:r>
      <w:r w:rsidR="00E46EA6" w:rsidRPr="00595565">
        <w:rPr>
          <w:rtl/>
          <w:lang w:bidi="ar-SY"/>
        </w:rPr>
        <w:t xml:space="preserve"> الاستثمار في</w:t>
      </w:r>
      <w:r w:rsidR="007D5836" w:rsidRPr="00595565">
        <w:rPr>
          <w:rtl/>
          <w:lang w:bidi="ar-SY"/>
        </w:rPr>
        <w:t xml:space="preserve"> مجال</w:t>
      </w:r>
      <w:r w:rsidR="00E46EA6" w:rsidRPr="00595565">
        <w:rPr>
          <w:rtl/>
          <w:lang w:bidi="ar-SY"/>
        </w:rPr>
        <w:t xml:space="preserve"> تكنولوجيا المعلومات والاتصالات في البلدان النامية، وسد الثغرات في تشريعات الأمن السيبراني الحالية ودعم التعاون الدولي لمواجهة التهديدات الحالية والمستقبلية، بما في ذلك من خلال بناء القدرات وتبادل أفضل الممارسات وتوحيد أنظمة تصنيف الجرائم السيبرانية. ويجب أن يؤدي الاتحاد دورا</w:t>
      </w:r>
      <w:r w:rsidR="004F1619" w:rsidRPr="00595565">
        <w:rPr>
          <w:rtl/>
          <w:lang w:bidi="ar-SY"/>
        </w:rPr>
        <w:t>ً</w:t>
      </w:r>
      <w:r w:rsidR="00E46EA6" w:rsidRPr="00595565">
        <w:rPr>
          <w:rtl/>
          <w:lang w:bidi="ar-SY"/>
        </w:rPr>
        <w:t xml:space="preserve"> مركزيا</w:t>
      </w:r>
      <w:r w:rsidR="004F1619" w:rsidRPr="00595565">
        <w:rPr>
          <w:rtl/>
          <w:lang w:bidi="ar-SY"/>
        </w:rPr>
        <w:t>ً</w:t>
      </w:r>
      <w:r w:rsidR="00E46EA6" w:rsidRPr="00595565">
        <w:rPr>
          <w:rtl/>
          <w:lang w:bidi="ar-SY"/>
        </w:rPr>
        <w:t xml:space="preserve"> في هذه الجهود.</w:t>
      </w:r>
    </w:p>
    <w:p w14:paraId="17D3353F" w14:textId="096CE976" w:rsidR="00A930D3" w:rsidRPr="00595565" w:rsidRDefault="00A930D3" w:rsidP="00A930D3">
      <w:pPr>
        <w:rPr>
          <w:rtl/>
        </w:rPr>
      </w:pPr>
      <w:r w:rsidRPr="00595565">
        <w:rPr>
          <w:lang w:bidi="ar-SY"/>
        </w:rPr>
        <w:t>6.2</w:t>
      </w:r>
      <w:r w:rsidRPr="00595565">
        <w:rPr>
          <w:rtl/>
          <w:lang w:bidi="ar-SY"/>
        </w:rPr>
        <w:tab/>
      </w:r>
      <w:r w:rsidR="00E51BB6">
        <w:rPr>
          <w:rFonts w:hint="cs"/>
          <w:rtl/>
          <w:lang w:bidi="ar-SY"/>
        </w:rPr>
        <w:t>و</w:t>
      </w:r>
      <w:r w:rsidR="007D5836" w:rsidRPr="00595565">
        <w:rPr>
          <w:rtl/>
          <w:lang w:bidi="ar-SY"/>
        </w:rPr>
        <w:t xml:space="preserve">قال ممثل الأمانة العامة، رداً على </w:t>
      </w:r>
      <w:r w:rsidR="007D5836" w:rsidRPr="00E51BB6">
        <w:rPr>
          <w:rtl/>
          <w:lang w:bidi="ar-SY"/>
        </w:rPr>
        <w:t>أسئلة</w:t>
      </w:r>
      <w:r w:rsidR="007D5836" w:rsidRPr="00595565">
        <w:rPr>
          <w:rtl/>
          <w:lang w:bidi="ar-SY"/>
        </w:rPr>
        <w:t xml:space="preserve">، إنه على الرغم من أن الاتحاد لم يشارك في أي اجتماع من اجتماعات فريق الخبراء الحكوميين المعني بتعزيز السلوك المسؤول للدول في الفضاء السيبراني في سياق الأمن الدولي، فإنه يعمل </w:t>
      </w:r>
      <w:r w:rsidR="00817871" w:rsidRPr="00595565">
        <w:rPr>
          <w:rtl/>
          <w:lang w:bidi="ar-SY"/>
        </w:rPr>
        <w:t>عن كثب</w:t>
      </w:r>
      <w:r w:rsidR="007D5836" w:rsidRPr="00595565">
        <w:rPr>
          <w:rtl/>
          <w:lang w:bidi="ar-SY"/>
        </w:rPr>
        <w:t xml:space="preserve"> مع مكتب الأمم المتحدة لشؤون </w:t>
      </w:r>
      <w:r w:rsidR="00480510" w:rsidRPr="00595565">
        <w:rPr>
          <w:rtl/>
          <w:lang w:bidi="ar-SY"/>
        </w:rPr>
        <w:t xml:space="preserve">نزع </w:t>
      </w:r>
      <w:r w:rsidR="007D5836" w:rsidRPr="00595565">
        <w:rPr>
          <w:rtl/>
          <w:lang w:bidi="ar-SY"/>
        </w:rPr>
        <w:t>السلاح ومعهد الأمم المتحدة لبحوث نزع السلاح بشأن المبادرات ذات الصلة.</w:t>
      </w:r>
      <w:r w:rsidR="00383D88" w:rsidRPr="00595565">
        <w:rPr>
          <w:rtl/>
        </w:rPr>
        <w:t xml:space="preserve"> ويشارك الاتحاد بصفة مراقب في فريق العمل المفتوح العضوية </w:t>
      </w:r>
      <w:r w:rsidR="00817871" w:rsidRPr="00595565">
        <w:rPr>
          <w:rtl/>
        </w:rPr>
        <w:t>بشأن</w:t>
      </w:r>
      <w:r w:rsidR="00383D88" w:rsidRPr="00595565">
        <w:rPr>
          <w:rtl/>
        </w:rPr>
        <w:t xml:space="preserve"> أمن</w:t>
      </w:r>
      <w:r w:rsidR="00817871" w:rsidRPr="00595565">
        <w:rPr>
          <w:rtl/>
        </w:rPr>
        <w:t xml:space="preserve"> واستخدام</w:t>
      </w:r>
      <w:r w:rsidR="00383D88" w:rsidRPr="00595565">
        <w:rPr>
          <w:rtl/>
        </w:rPr>
        <w:t xml:space="preserve"> تكنولوجيا المعلومات والاتصالات، ونظم أحداثاً جانبية بشأن بناء القدرات. وبالإضافة إلى ذلك، سلطت الأمانة الضوء على استعراض البرنامج العالمي للأمن السيبراني الذي يجري كل سنتين، </w:t>
      </w:r>
      <w:r w:rsidR="00EE28A2" w:rsidRPr="00595565">
        <w:rPr>
          <w:rtl/>
        </w:rPr>
        <w:t>والذي قدمت في إطاره</w:t>
      </w:r>
      <w:r w:rsidR="00383D88" w:rsidRPr="00595565">
        <w:rPr>
          <w:rtl/>
        </w:rPr>
        <w:t xml:space="preserve"> تقريرين إلى مؤتمر المندوبين المفوضين</w:t>
      </w:r>
      <w:r w:rsidR="00EE28A2" w:rsidRPr="00595565">
        <w:rPr>
          <w:rtl/>
        </w:rPr>
        <w:t>.</w:t>
      </w:r>
      <w:r w:rsidR="00383D88" w:rsidRPr="00595565">
        <w:rPr>
          <w:rtl/>
        </w:rPr>
        <w:t xml:space="preserve"> </w:t>
      </w:r>
      <w:r w:rsidR="00EE28A2" w:rsidRPr="00595565">
        <w:rPr>
          <w:rtl/>
        </w:rPr>
        <w:t>و</w:t>
      </w:r>
      <w:r w:rsidR="00383D88" w:rsidRPr="00595565">
        <w:rPr>
          <w:rtl/>
        </w:rPr>
        <w:t>فيما يتعلق ببناء القدرات، يقوم الاتحاد بوضع برامج تدريبية في مجال الأمن السيبراني للموظفين والدبلوماسيين.</w:t>
      </w:r>
      <w:r w:rsidR="00383D88" w:rsidRPr="00595565">
        <w:rPr>
          <w:rFonts w:ascii="Arial" w:hAnsi="Arial" w:cs="Arial" w:hint="cs"/>
          <w:rtl/>
        </w:rPr>
        <w:t>‬</w:t>
      </w:r>
      <w:r w:rsidR="00817871" w:rsidRPr="00595565">
        <w:rPr>
          <w:rtl/>
        </w:rPr>
        <w:t xml:space="preserve"> وعلاوة</w:t>
      </w:r>
      <w:r w:rsidR="002A28F7" w:rsidRPr="00595565">
        <w:rPr>
          <w:rtl/>
        </w:rPr>
        <w:t>ً</w:t>
      </w:r>
      <w:r w:rsidR="00817871" w:rsidRPr="00595565">
        <w:rPr>
          <w:rtl/>
        </w:rPr>
        <w:t xml:space="preserve"> على ذلك، وعملاً بالقرار 130 (المراج</w:t>
      </w:r>
      <w:r w:rsidR="002A28F7" w:rsidRPr="00595565">
        <w:rPr>
          <w:rtl/>
        </w:rPr>
        <w:t>َ</w:t>
      </w:r>
      <w:r w:rsidR="00817871" w:rsidRPr="00595565">
        <w:rPr>
          <w:rtl/>
        </w:rPr>
        <w:t xml:space="preserve">ع في بوخارست، 2022)، وضعت الأمانة منصة لتبادل الخبرات فيما يتعلق بأنشطة الأمن السيبراني وتعمل مع الأمم المتحدة لتحديد الأنشطة الجارية. غير أنه لا يوجد مستودع واحد للمعلومات. </w:t>
      </w:r>
      <w:r w:rsidR="00BA16DC" w:rsidRPr="00595565">
        <w:rPr>
          <w:rtl/>
        </w:rPr>
        <w:t>ووافق</w:t>
      </w:r>
      <w:r w:rsidR="00817871" w:rsidRPr="00595565">
        <w:rPr>
          <w:rtl/>
        </w:rPr>
        <w:t xml:space="preserve"> على أن </w:t>
      </w:r>
      <w:r w:rsidR="00BA16DC" w:rsidRPr="00595565">
        <w:rPr>
          <w:rtl/>
        </w:rPr>
        <w:t xml:space="preserve">مثل </w:t>
      </w:r>
      <w:r w:rsidR="00817871" w:rsidRPr="00595565">
        <w:rPr>
          <w:rtl/>
        </w:rPr>
        <w:t xml:space="preserve">هذا المورد سيكون ذا قيمة، </w:t>
      </w:r>
      <w:r w:rsidR="00BA16DC" w:rsidRPr="00595565">
        <w:rPr>
          <w:rtl/>
        </w:rPr>
        <w:t>لكنه</w:t>
      </w:r>
      <w:r w:rsidR="00817871" w:rsidRPr="00595565">
        <w:rPr>
          <w:rtl/>
        </w:rPr>
        <w:t xml:space="preserve"> حذر من أن تطويره </w:t>
      </w:r>
      <w:r w:rsidR="00480510" w:rsidRPr="00595565">
        <w:rPr>
          <w:rtl/>
        </w:rPr>
        <w:t xml:space="preserve">سيحتاج إلى </w:t>
      </w:r>
      <w:r w:rsidR="00BA16DC" w:rsidRPr="00595565">
        <w:rPr>
          <w:rtl/>
        </w:rPr>
        <w:t>وقت وموارد.</w:t>
      </w:r>
    </w:p>
    <w:p w14:paraId="1CAE68D0" w14:textId="476EF975" w:rsidR="00A930D3" w:rsidRPr="00595565" w:rsidRDefault="00A930D3" w:rsidP="000F7441">
      <w:pPr>
        <w:rPr>
          <w:rtl/>
          <w:lang w:val="en-CA"/>
        </w:rPr>
      </w:pPr>
      <w:r w:rsidRPr="00595565">
        <w:rPr>
          <w:lang w:bidi="ar-SY"/>
        </w:rPr>
        <w:t>7.2</w:t>
      </w:r>
      <w:r w:rsidRPr="00595565">
        <w:rPr>
          <w:rtl/>
          <w:lang w:bidi="ar-SY"/>
        </w:rPr>
        <w:tab/>
      </w:r>
      <w:r w:rsidR="009D7D83" w:rsidRPr="00595565">
        <w:rPr>
          <w:rtl/>
          <w:lang w:bidi="ar-SY"/>
        </w:rPr>
        <w:t>وقال ممثل</w:t>
      </w:r>
      <w:r w:rsidR="00480510" w:rsidRPr="00595565">
        <w:rPr>
          <w:rtl/>
          <w:lang w:bidi="ar-SY"/>
        </w:rPr>
        <w:t xml:space="preserve"> عن</w:t>
      </w:r>
      <w:r w:rsidR="009D7D83" w:rsidRPr="00595565">
        <w:rPr>
          <w:rtl/>
          <w:lang w:bidi="ar-SY"/>
        </w:rPr>
        <w:t xml:space="preserve"> مكتب تنمية الاتصالات إن المكتب وافق، استجابة لطلب من المملكة المتحدة إلى الفريق الاستشاري لتنمية الاتصالات</w:t>
      </w:r>
      <w:r w:rsidR="000F7441" w:rsidRPr="00595565">
        <w:rPr>
          <w:rtl/>
          <w:lang w:bidi="ar-SY"/>
        </w:rPr>
        <w:t xml:space="preserve"> </w:t>
      </w:r>
      <w:r w:rsidR="000F7441" w:rsidRPr="00595565">
        <w:rPr>
          <w:lang w:bidi="ar-SY"/>
        </w:rPr>
        <w:t>(TDAG)</w:t>
      </w:r>
      <w:r w:rsidR="009D7D83" w:rsidRPr="00595565">
        <w:rPr>
          <w:rtl/>
          <w:lang w:bidi="ar-SY"/>
        </w:rPr>
        <w:t>، على إجراء عملية تقابل بين أنشطة بناء القدرات الحالية والمخطط لها في مجال الأمن السيبراني</w:t>
      </w:r>
      <w:r w:rsidR="00DB1F1B" w:rsidRPr="00595565">
        <w:rPr>
          <w:rtl/>
          <w:lang w:bidi="ar-SY"/>
        </w:rPr>
        <w:t>.</w:t>
      </w:r>
      <w:r w:rsidR="00DB1F1B" w:rsidRPr="00595565">
        <w:rPr>
          <w:rtl/>
        </w:rPr>
        <w:t xml:space="preserve"> </w:t>
      </w:r>
      <w:dir w:val="rtl">
        <w:r w:rsidR="00DB1F1B" w:rsidRPr="00595565">
          <w:rPr>
            <w:rtl/>
          </w:rPr>
          <w:t>ويمكن أن تدعم نت</w:t>
        </w:r>
        <w:r w:rsidR="000F7441" w:rsidRPr="00595565">
          <w:rPr>
            <w:rtl/>
          </w:rPr>
          <w:t>ا</w:t>
        </w:r>
        <w:r w:rsidR="00DB1F1B" w:rsidRPr="00595565">
          <w:rPr>
            <w:rtl/>
          </w:rPr>
          <w:t>ئج هذه العملية تطوير مورد المعلومات المقترح.</w:t>
        </w:r>
        <w:r w:rsidR="00DB1F1B" w:rsidRPr="00595565">
          <w:rPr>
            <w:rFonts w:ascii="Arial" w:hAnsi="Arial" w:cs="Arial" w:hint="cs"/>
            <w:rtl/>
          </w:rPr>
          <w:t>‬</w:t>
        </w:r>
        <w:r w:rsidR="00DB1F1B" w:rsidRPr="00595565">
          <w:rPr>
            <w:rtl/>
          </w:rPr>
          <w:t xml:space="preserve"> غير أنه في ضوء الصعوبات </w:t>
        </w:r>
        <w:r w:rsidR="00480510" w:rsidRPr="00595565">
          <w:rPr>
            <w:rtl/>
          </w:rPr>
          <w:t xml:space="preserve">التي ووجهت </w:t>
        </w:r>
        <w:r w:rsidR="00DB1F1B" w:rsidRPr="00595565">
          <w:rPr>
            <w:rtl/>
          </w:rPr>
          <w:t xml:space="preserve">في الحصول على البيانات من الدول الأعضاء خلال إعداد الرقم القياسي العالمي للأمن السيبراني، </w:t>
        </w:r>
        <w:r w:rsidR="008118DD" w:rsidRPr="00595565">
          <w:rPr>
            <w:rtl/>
          </w:rPr>
          <w:t>أكد</w:t>
        </w:r>
        <w:r w:rsidR="00DB1F1B" w:rsidRPr="00595565">
          <w:rPr>
            <w:rtl/>
          </w:rPr>
          <w:t xml:space="preserve"> أن أي جهد يُبذل لإنشاء مورد جديد للمعلومات سيعتمد على </w:t>
        </w:r>
        <w:r w:rsidR="00480510" w:rsidRPr="00595565">
          <w:rPr>
            <w:rtl/>
          </w:rPr>
          <w:t xml:space="preserve">المدخلات </w:t>
        </w:r>
        <w:r w:rsidR="00DB1F1B" w:rsidRPr="00595565">
          <w:rPr>
            <w:rtl/>
          </w:rPr>
          <w:t>المقدمة من الأمانة ومن الدول الأعضاء على السواء.</w:t>
        </w:r>
        <w:r w:rsidR="00DB1F1B" w:rsidRPr="00595565">
          <w:rPr>
            <w:rFonts w:ascii="Arial" w:hAnsi="Arial" w:cs="Arial" w:hint="cs"/>
            <w:rtl/>
          </w:rPr>
          <w:t>‬</w:t>
        </w:r>
        <w:r w:rsidR="00A378DC" w:rsidRPr="00595565">
          <w:rPr>
            <w:rFonts w:ascii="Arial" w:hAnsi="Arial" w:cs="Arial"/>
          </w:rPr>
          <w:t>‬</w:t>
        </w:r>
        <w:r w:rsidR="007D4128" w:rsidRPr="00595565">
          <w:rPr>
            <w:rFonts w:ascii="Arial" w:hAnsi="Arial" w:cs="Arial"/>
          </w:rPr>
          <w:t>‬</w:t>
        </w:r>
        <w:r w:rsidR="00617102" w:rsidRPr="00595565">
          <w:rPr>
            <w:rFonts w:ascii="Arial" w:hAnsi="Arial" w:cs="Arial"/>
          </w:rPr>
          <w:t>‬</w:t>
        </w:r>
        <w:r w:rsidR="00A61FE2" w:rsidRPr="00595565">
          <w:rPr>
            <w:rFonts w:ascii="Arial" w:hAnsi="Arial" w:cs="Arial"/>
          </w:rPr>
          <w:t>‬</w:t>
        </w:r>
        <w:r w:rsidR="00107FD3">
          <w:t>‬</w:t>
        </w:r>
        <w:r w:rsidR="00302E06">
          <w:t>‬</w:t>
        </w:r>
      </w:dir>
    </w:p>
    <w:p w14:paraId="69F7AC81" w14:textId="32451940" w:rsidR="00A930D3" w:rsidRPr="00595565" w:rsidRDefault="00A930D3" w:rsidP="00A930D3">
      <w:pPr>
        <w:rPr>
          <w:rtl/>
        </w:rPr>
      </w:pPr>
      <w:r w:rsidRPr="00595565">
        <w:rPr>
          <w:lang w:bidi="ar-SY"/>
        </w:rPr>
        <w:t>8.2</w:t>
      </w:r>
      <w:r w:rsidRPr="00595565">
        <w:rPr>
          <w:rtl/>
          <w:lang w:bidi="ar-SY"/>
        </w:rPr>
        <w:tab/>
      </w:r>
      <w:r w:rsidR="00E51BB6">
        <w:rPr>
          <w:rFonts w:hint="cs"/>
          <w:rtl/>
          <w:lang w:bidi="ar-SY"/>
        </w:rPr>
        <w:t>و</w:t>
      </w:r>
      <w:r w:rsidR="008118DD" w:rsidRPr="00595565">
        <w:rPr>
          <w:rtl/>
          <w:lang w:bidi="ar-SY"/>
        </w:rPr>
        <w:t>قال عضو المجلس من البرازيل إن</w:t>
      </w:r>
      <w:r w:rsidR="00737228" w:rsidRPr="00595565">
        <w:rPr>
          <w:rtl/>
          <w:lang w:bidi="ar-SY"/>
        </w:rPr>
        <w:t xml:space="preserve"> وفده قام،</w:t>
      </w:r>
      <w:r w:rsidR="008118DD" w:rsidRPr="00595565">
        <w:rPr>
          <w:rtl/>
          <w:lang w:bidi="ar-SY"/>
        </w:rPr>
        <w:t xml:space="preserve"> </w:t>
      </w:r>
      <w:r w:rsidR="007D1966" w:rsidRPr="00595565">
        <w:rPr>
          <w:rtl/>
          <w:lang w:bidi="ar-SY"/>
        </w:rPr>
        <w:t>استجابةً</w:t>
      </w:r>
      <w:r w:rsidR="008118DD" w:rsidRPr="00595565">
        <w:rPr>
          <w:rtl/>
          <w:lang w:bidi="ar-SY"/>
        </w:rPr>
        <w:t xml:space="preserve"> </w:t>
      </w:r>
      <w:r w:rsidR="007D1966" w:rsidRPr="00595565">
        <w:rPr>
          <w:rtl/>
          <w:lang w:bidi="ar-SY"/>
        </w:rPr>
        <w:t>ل</w:t>
      </w:r>
      <w:r w:rsidR="008118DD" w:rsidRPr="00595565">
        <w:rPr>
          <w:rtl/>
          <w:lang w:bidi="ar-SY"/>
        </w:rPr>
        <w:t>لتعليقات الواردة من الدول الأعضاء بشأن المشروع الأول للمقرر المقترح، بمراجعة النص لإزالة الإشارات إلى المهام المسندة إلى فريق العمل التابع للمجلس والمعني بالقمة العالمية لمجتمع المعلومات وأهداف التنمية المستدامة (</w:t>
      </w:r>
      <w:r w:rsidR="008118DD" w:rsidRPr="00595565">
        <w:rPr>
          <w:lang w:bidi="ar-SY"/>
        </w:rPr>
        <w:t>CWG-WGSIS&amp;SIS&amp;SDG</w:t>
      </w:r>
      <w:r w:rsidR="008118DD" w:rsidRPr="00595565">
        <w:rPr>
          <w:rtl/>
          <w:lang w:bidi="ar-SY"/>
        </w:rPr>
        <w:t>) بهدف تجنب ازدواجية الجهود.</w:t>
      </w:r>
    </w:p>
    <w:p w14:paraId="5DA1D2DD" w14:textId="1993133A" w:rsidR="00A930D3" w:rsidRPr="00595565" w:rsidRDefault="00A930D3" w:rsidP="003A3EB5">
      <w:pPr>
        <w:rPr>
          <w:rtl/>
          <w:lang w:val="en-CA"/>
        </w:rPr>
      </w:pPr>
      <w:r w:rsidRPr="00595565">
        <w:rPr>
          <w:lang w:bidi="ar-SY"/>
        </w:rPr>
        <w:lastRenderedPageBreak/>
        <w:t>9.2</w:t>
      </w:r>
      <w:r w:rsidRPr="00595565">
        <w:rPr>
          <w:rtl/>
          <w:lang w:bidi="ar-SY"/>
        </w:rPr>
        <w:tab/>
      </w:r>
      <w:r w:rsidR="003A3EB5" w:rsidRPr="00595565">
        <w:rPr>
          <w:b/>
          <w:bCs/>
          <w:rtl/>
          <w:lang w:bidi="ar-SY"/>
        </w:rPr>
        <w:t>أحاط</w:t>
      </w:r>
      <w:r w:rsidR="003A3EB5" w:rsidRPr="00595565">
        <w:rPr>
          <w:rtl/>
          <w:lang w:bidi="ar-SY"/>
        </w:rPr>
        <w:t xml:space="preserve"> المجلس </w:t>
      </w:r>
      <w:r w:rsidR="000F7441" w:rsidRPr="00595565">
        <w:rPr>
          <w:b/>
          <w:bCs/>
          <w:rtl/>
          <w:lang w:bidi="ar-SY"/>
        </w:rPr>
        <w:t xml:space="preserve">علماً </w:t>
      </w:r>
      <w:r w:rsidR="003A3EB5" w:rsidRPr="00595565">
        <w:rPr>
          <w:rtl/>
          <w:lang w:bidi="ar-SY"/>
        </w:rPr>
        <w:t xml:space="preserve">بالوثيقة </w:t>
      </w:r>
      <w:r w:rsidR="003A3EB5" w:rsidRPr="00595565">
        <w:rPr>
          <w:lang w:val="en-GB" w:bidi="ar-SY"/>
        </w:rPr>
        <w:t>C23/38</w:t>
      </w:r>
      <w:r w:rsidRPr="00595565">
        <w:rPr>
          <w:rtl/>
          <w:lang w:bidi="ar-SY"/>
        </w:rPr>
        <w:t xml:space="preserve"> </w:t>
      </w:r>
      <w:r w:rsidR="003A3EB5" w:rsidRPr="00595565">
        <w:rPr>
          <w:rtl/>
          <w:lang w:bidi="ar-SY"/>
        </w:rPr>
        <w:t>و</w:t>
      </w:r>
      <w:r w:rsidR="003A3EB5" w:rsidRPr="00595565">
        <w:rPr>
          <w:b/>
          <w:bCs/>
          <w:rtl/>
        </w:rPr>
        <w:t>اعتمد</w:t>
      </w:r>
      <w:r w:rsidR="003A3EB5" w:rsidRPr="00595565">
        <w:rPr>
          <w:rtl/>
        </w:rPr>
        <w:t xml:space="preserve"> المقرر الوارد في الوثيقة </w:t>
      </w:r>
      <w:r w:rsidR="003A3EB5" w:rsidRPr="00595565">
        <w:rPr>
          <w:lang w:val="en-CA"/>
        </w:rPr>
        <w:t>C23/93(Rev.1)</w:t>
      </w:r>
      <w:r w:rsidR="000F7441" w:rsidRPr="00595565">
        <w:rPr>
          <w:rtl/>
          <w:lang w:val="en-CA"/>
        </w:rPr>
        <w:t>.</w:t>
      </w:r>
    </w:p>
    <w:p w14:paraId="1E7A2F0C" w14:textId="219B12A9" w:rsidR="00A21352" w:rsidRPr="00595565" w:rsidRDefault="00A21352" w:rsidP="008C4BA4">
      <w:pPr>
        <w:pStyle w:val="Heading1"/>
        <w:rPr>
          <w:rtl/>
        </w:rPr>
      </w:pPr>
      <w:r w:rsidRPr="00595565">
        <w:rPr>
          <w:lang w:bidi="ar-SY"/>
        </w:rPr>
        <w:t>3</w:t>
      </w:r>
      <w:r w:rsidRPr="00595565">
        <w:rPr>
          <w:rtl/>
          <w:lang w:bidi="ar-SY"/>
        </w:rPr>
        <w:tab/>
      </w:r>
      <w:r w:rsidR="003A3EB5" w:rsidRPr="00595565">
        <w:rPr>
          <w:spacing w:val="4"/>
          <w:rtl/>
          <w:lang w:bidi="ar-EG"/>
        </w:rPr>
        <w:t>خمسة وعشرون</w:t>
      </w:r>
      <w:r w:rsidR="00A930D3" w:rsidRPr="00595565">
        <w:rPr>
          <w:spacing w:val="4"/>
          <w:rtl/>
          <w:lang w:bidi="ar-EG"/>
        </w:rPr>
        <w:t xml:space="preserve"> عاماً من برنامج عمل الاتحاد بشأن المساواة بين الجنسين</w:t>
      </w:r>
      <w:r w:rsidR="00A930D3" w:rsidRPr="00595565">
        <w:rPr>
          <w:rtl/>
        </w:rPr>
        <w:t xml:space="preserve"> </w:t>
      </w:r>
      <w:r w:rsidRPr="00595565">
        <w:rPr>
          <w:rtl/>
        </w:rPr>
        <w:t>(</w:t>
      </w:r>
      <w:r w:rsidR="00CC1A4E" w:rsidRPr="00595565">
        <w:rPr>
          <w:rtl/>
        </w:rPr>
        <w:t>الوثائق</w:t>
      </w:r>
      <w:r w:rsidRPr="00595565">
        <w:rPr>
          <w:rtl/>
        </w:rPr>
        <w:t xml:space="preserve"> </w:t>
      </w:r>
      <w:hyperlink r:id="rId27" w:history="1">
        <w:r w:rsidR="00A930D3" w:rsidRPr="00595565">
          <w:rPr>
            <w:rStyle w:val="Hyperlink"/>
            <w:lang w:val="en-CA"/>
          </w:rPr>
          <w:t>C23/6</w:t>
        </w:r>
      </w:hyperlink>
      <w:r w:rsidR="00A930D3" w:rsidRPr="00595565">
        <w:rPr>
          <w:rtl/>
        </w:rPr>
        <w:t>،</w:t>
      </w:r>
      <w:r w:rsidR="00CC1A4E" w:rsidRPr="00595565">
        <w:rPr>
          <w:rtl/>
        </w:rPr>
        <w:t xml:space="preserve"> و</w:t>
      </w:r>
      <w:r w:rsidR="00A930D3" w:rsidRPr="00595565">
        <w:rPr>
          <w:rtl/>
        </w:rPr>
        <w:t xml:space="preserve"> </w:t>
      </w:r>
      <w:hyperlink r:id="rId28" w:history="1">
        <w:r w:rsidR="00A930D3" w:rsidRPr="00595565">
          <w:rPr>
            <w:rStyle w:val="Hyperlink"/>
            <w:lang w:val="en-CA"/>
          </w:rPr>
          <w:t>C23/76</w:t>
        </w:r>
      </w:hyperlink>
      <w:r w:rsidR="00A930D3" w:rsidRPr="00595565">
        <w:rPr>
          <w:rtl/>
        </w:rPr>
        <w:t>،</w:t>
      </w:r>
      <w:r w:rsidR="00CC1A4E" w:rsidRPr="00595565">
        <w:rPr>
          <w:rtl/>
        </w:rPr>
        <w:t xml:space="preserve"> و</w:t>
      </w:r>
      <w:hyperlink r:id="rId29" w:history="1">
        <w:r w:rsidR="00A930D3" w:rsidRPr="00595565">
          <w:rPr>
            <w:rStyle w:val="Hyperlink"/>
          </w:rPr>
          <w:t>C23/91</w:t>
        </w:r>
        <w:r w:rsidR="00A930D3" w:rsidRPr="00595565">
          <w:rPr>
            <w:rStyle w:val="Hyperlink"/>
            <w:rtl/>
            <w:lang w:bidi="ar-SY"/>
          </w:rPr>
          <w:t xml:space="preserve"> + التصويب </w:t>
        </w:r>
        <w:r w:rsidR="00A930D3" w:rsidRPr="00595565">
          <w:rPr>
            <w:rStyle w:val="Hyperlink"/>
            <w:lang w:bidi="ar-SY"/>
          </w:rPr>
          <w:t>1</w:t>
        </w:r>
      </w:hyperlink>
      <w:r w:rsidRPr="00595565">
        <w:rPr>
          <w:rtl/>
        </w:rPr>
        <w:t>)</w:t>
      </w:r>
    </w:p>
    <w:p w14:paraId="72C1042C" w14:textId="56A6AE31" w:rsidR="008C4BA4" w:rsidRPr="00595565" w:rsidRDefault="008C4BA4" w:rsidP="000F7441">
      <w:pPr>
        <w:rPr>
          <w:rtl/>
          <w:lang w:bidi="ar-SY"/>
        </w:rPr>
      </w:pPr>
      <w:r w:rsidRPr="00595565">
        <w:rPr>
          <w:lang w:bidi="ar-SY"/>
        </w:rPr>
        <w:t>1.3</w:t>
      </w:r>
      <w:r w:rsidRPr="00595565">
        <w:rPr>
          <w:rtl/>
          <w:lang w:bidi="ar-SY"/>
        </w:rPr>
        <w:tab/>
      </w:r>
      <w:r w:rsidR="00F961FC" w:rsidRPr="00595565">
        <w:rPr>
          <w:rtl/>
          <w:lang w:bidi="ar-SY"/>
        </w:rPr>
        <w:t xml:space="preserve">قال ممثل الأمانة العامة، في معرض تقديمه للوثيقة </w:t>
      </w:r>
      <w:r w:rsidR="00F961FC" w:rsidRPr="00595565">
        <w:rPr>
          <w:lang w:val="en-GB" w:bidi="ar-SY"/>
        </w:rPr>
        <w:t>C23/6</w:t>
      </w:r>
      <w:r w:rsidR="00F961FC" w:rsidRPr="00595565">
        <w:rPr>
          <w:rtl/>
          <w:lang w:bidi="ar-SY"/>
        </w:rPr>
        <w:t xml:space="preserve"> إن الرقمنة أصبحت جانباً أساسياً من جوانب الحياة، ومع ذلك تواجه النساء والفتيات تفاوتات في النفاذ إلى التكنولوجيات الرقمية واستخدامها، كما أن الفجوة الرقمية بين الجنسين </w:t>
      </w:r>
      <w:r w:rsidR="00CF33BA" w:rsidRPr="00595565">
        <w:rPr>
          <w:rtl/>
          <w:lang w:bidi="ar-SY"/>
        </w:rPr>
        <w:t>تحدّ</w:t>
      </w:r>
      <w:r w:rsidR="00F961FC" w:rsidRPr="00595565">
        <w:rPr>
          <w:rtl/>
          <w:lang w:bidi="ar-SY"/>
        </w:rPr>
        <w:t xml:space="preserve"> من مشاركتهن الكامل</w:t>
      </w:r>
      <w:r w:rsidR="00626D41" w:rsidRPr="00595565">
        <w:rPr>
          <w:rtl/>
          <w:lang w:bidi="ar-SY"/>
        </w:rPr>
        <w:t xml:space="preserve">ة </w:t>
      </w:r>
      <w:r w:rsidR="00F961FC" w:rsidRPr="00595565">
        <w:rPr>
          <w:rtl/>
          <w:lang w:bidi="ar-SY"/>
        </w:rPr>
        <w:t xml:space="preserve">في المجتمع الحديث. وسيتطلب سد </w:t>
      </w:r>
      <w:r w:rsidR="00CF33BA" w:rsidRPr="00595565">
        <w:rPr>
          <w:rtl/>
          <w:lang w:bidi="ar-SY"/>
        </w:rPr>
        <w:t>هذه</w:t>
      </w:r>
      <w:r w:rsidR="00F961FC" w:rsidRPr="00595565">
        <w:rPr>
          <w:rtl/>
          <w:lang w:bidi="ar-SY"/>
        </w:rPr>
        <w:t xml:space="preserve"> الفجوة التزاماً مستداماً من جميع أصحاب المصلحة.</w:t>
      </w:r>
      <w:r w:rsidRPr="00595565">
        <w:rPr>
          <w:rtl/>
          <w:lang w:bidi="ar-SY"/>
        </w:rPr>
        <w:t xml:space="preserve"> </w:t>
      </w:r>
      <w:r w:rsidR="00D04ACA" w:rsidRPr="00595565">
        <w:rPr>
          <w:rtl/>
          <w:lang w:bidi="ar-SY"/>
        </w:rPr>
        <w:t>ومن الضروري اتباع نهج "</w:t>
      </w:r>
      <w:r w:rsidR="003B70F8" w:rsidRPr="00595565">
        <w:rPr>
          <w:rtl/>
          <w:lang w:bidi="ar-SY"/>
        </w:rPr>
        <w:t>الاتحاد الواح</w:t>
      </w:r>
      <w:r w:rsidR="00D04ACA" w:rsidRPr="00595565">
        <w:rPr>
          <w:rtl/>
          <w:lang w:bidi="ar-SY"/>
        </w:rPr>
        <w:t xml:space="preserve">د" بموارد أفضل لدعم مجالات الأولوية الموصوفة في التقرير ولذلك </w:t>
      </w:r>
      <w:r w:rsidR="00480510" w:rsidRPr="00595565">
        <w:rPr>
          <w:rtl/>
          <w:lang w:bidi="ar-SY"/>
        </w:rPr>
        <w:t xml:space="preserve">يُطلب </w:t>
      </w:r>
      <w:r w:rsidR="00D04ACA" w:rsidRPr="00595565">
        <w:rPr>
          <w:rtl/>
          <w:lang w:bidi="ar-SY"/>
        </w:rPr>
        <w:t>من الدول الأعضاء تقديم الدعم المالي والعيني لتحقيق هذه الغاية. وشكر الدول الأعضاء التي ساهمت بالفعل في العمل في هذا المجال</w:t>
      </w:r>
      <w:r w:rsidR="00626D41" w:rsidRPr="00595565">
        <w:rPr>
          <w:rtl/>
          <w:lang w:bidi="ar-SY"/>
        </w:rPr>
        <w:t>.</w:t>
      </w:r>
    </w:p>
    <w:p w14:paraId="71C9F64E" w14:textId="175F5219" w:rsidR="008C4BA4" w:rsidRPr="00595565" w:rsidRDefault="008C4BA4" w:rsidP="00A930D3">
      <w:pPr>
        <w:rPr>
          <w:rtl/>
        </w:rPr>
      </w:pPr>
      <w:r w:rsidRPr="00BD5A1A">
        <w:rPr>
          <w:lang w:bidi="ar-SY"/>
        </w:rPr>
        <w:t>2.3</w:t>
      </w:r>
      <w:r w:rsidRPr="00BD5A1A">
        <w:rPr>
          <w:rtl/>
          <w:lang w:bidi="ar-SY"/>
        </w:rPr>
        <w:tab/>
      </w:r>
      <w:r w:rsidR="00CB05F3" w:rsidRPr="00BD5A1A">
        <w:rPr>
          <w:rFonts w:hint="cs"/>
          <w:rtl/>
          <w:lang w:bidi="ar-SY"/>
        </w:rPr>
        <w:t>و</w:t>
      </w:r>
      <w:r w:rsidR="00802E42" w:rsidRPr="00BD5A1A">
        <w:rPr>
          <w:rtl/>
          <w:lang w:bidi="ar-SY"/>
        </w:rPr>
        <w:t>قدم</w:t>
      </w:r>
      <w:r w:rsidR="009F3197" w:rsidRPr="00BD5A1A">
        <w:rPr>
          <w:rtl/>
          <w:lang w:bidi="ar-SY"/>
        </w:rPr>
        <w:t>ت مندوبة إسبانيا من أعضاء</w:t>
      </w:r>
      <w:r w:rsidR="00802E42" w:rsidRPr="00BD5A1A">
        <w:rPr>
          <w:rtl/>
          <w:lang w:bidi="ar-SY"/>
        </w:rPr>
        <w:t xml:space="preserve"> المجلس الوثيقة </w:t>
      </w:r>
      <w:r w:rsidR="00802E42" w:rsidRPr="00BD5A1A">
        <w:rPr>
          <w:lang w:bidi="ar-SY"/>
        </w:rPr>
        <w:t>C23/91</w:t>
      </w:r>
      <w:r w:rsidR="00284A8C">
        <w:rPr>
          <w:rFonts w:hint="cs"/>
          <w:rtl/>
          <w:lang w:bidi="ar-SY"/>
        </w:rPr>
        <w:t xml:space="preserve"> + التصويب 1</w:t>
      </w:r>
      <w:r w:rsidR="00802E42" w:rsidRPr="00BD5A1A">
        <w:rPr>
          <w:rtl/>
          <w:lang w:bidi="ar-SY"/>
        </w:rPr>
        <w:t>، وهي مساهمة متعددة البلدان مقدمة من 48 دولة عضواً تتضمن مشروع قرار للاحتفال بالذكرى السنوية الخامسة والعشرين للقرار 70 (المراج</w:t>
      </w:r>
      <w:r w:rsidR="000F7441" w:rsidRPr="00BD5A1A">
        <w:rPr>
          <w:rtl/>
          <w:lang w:bidi="ar-SY"/>
        </w:rPr>
        <w:t>َ</w:t>
      </w:r>
      <w:r w:rsidR="00802E42" w:rsidRPr="00BD5A1A">
        <w:rPr>
          <w:rtl/>
          <w:lang w:bidi="ar-SY"/>
        </w:rPr>
        <w:t xml:space="preserve">ع في بوخارست، </w:t>
      </w:r>
      <w:proofErr w:type="gramStart"/>
      <w:r w:rsidR="00802E42" w:rsidRPr="00BD5A1A">
        <w:rPr>
          <w:rtl/>
          <w:lang w:bidi="ar-SY"/>
        </w:rPr>
        <w:t>2022)،</w:t>
      </w:r>
      <w:proofErr w:type="gramEnd"/>
      <w:r w:rsidR="00802E42" w:rsidRPr="00BD5A1A">
        <w:rPr>
          <w:rtl/>
          <w:lang w:bidi="ar-SY"/>
        </w:rPr>
        <w:t xml:space="preserve"> الذي يستند بدوره إلى القرار 7 (فاليتا، 1998) للمؤتمر العالمي لتنمية الاتصالات، الذي أضاف منظوراً للمساواة بين الجنسين إلى عمل الاتحاد للمرة الأولى.</w:t>
      </w:r>
      <w:r w:rsidR="00A930D3" w:rsidRPr="00BD5A1A">
        <w:rPr>
          <w:rtl/>
          <w:lang w:bidi="ar-SY"/>
        </w:rPr>
        <w:t xml:space="preserve"> </w:t>
      </w:r>
      <w:r w:rsidR="00EE51BA" w:rsidRPr="00BD5A1A">
        <w:rPr>
          <w:rtl/>
          <w:lang w:bidi="ar-SY"/>
        </w:rPr>
        <w:t>و</w:t>
      </w:r>
      <w:r w:rsidR="00802E42" w:rsidRPr="00BD5A1A">
        <w:rPr>
          <w:rtl/>
          <w:lang w:bidi="ar-SY"/>
        </w:rPr>
        <w:t>يطلب مشروع القرار من الاتحاد إعداد خطة عمل بشأن المساواة بين الجنسين، لتقديمها إلى المجلس</w:t>
      </w:r>
      <w:r w:rsidR="00EE51BA" w:rsidRPr="00BD5A1A">
        <w:rPr>
          <w:rtl/>
          <w:lang w:bidi="ar-SY"/>
        </w:rPr>
        <w:t xml:space="preserve"> للموافقة عليها</w:t>
      </w:r>
      <w:r w:rsidR="00802E42" w:rsidRPr="00BD5A1A">
        <w:rPr>
          <w:rtl/>
          <w:lang w:bidi="ar-SY"/>
        </w:rPr>
        <w:t xml:space="preserve"> في </w:t>
      </w:r>
      <w:r w:rsidR="00802E42" w:rsidRPr="00BD5A1A">
        <w:rPr>
          <w:rFonts w:ascii="Arial" w:hAnsi="Arial" w:cs="Arial" w:hint="cs"/>
          <w:rtl/>
          <w:lang w:bidi="ar-SY"/>
        </w:rPr>
        <w:t>‬</w:t>
      </w:r>
      <w:r w:rsidR="00802E42" w:rsidRPr="00BD5A1A">
        <w:rPr>
          <w:rtl/>
          <w:lang w:bidi="ar-SY"/>
        </w:rPr>
        <w:t xml:space="preserve">2024، مع وضع آلية للإبلاغ والتنسيق </w:t>
      </w:r>
      <w:r w:rsidR="00EE51BA" w:rsidRPr="00BD5A1A">
        <w:rPr>
          <w:rtl/>
          <w:lang w:bidi="ar-SY"/>
        </w:rPr>
        <w:t>للقطاعات الثلاثة جميعها. وي</w:t>
      </w:r>
      <w:r w:rsidR="00EE51BA" w:rsidRPr="00BD5A1A">
        <w:rPr>
          <w:rtl/>
        </w:rPr>
        <w:t>طلب كذلك إنشاء وحدة للمساواة بين الجنسين داخل المكتب التنفيذي للأمين</w:t>
      </w:r>
      <w:r w:rsidR="00480510" w:rsidRPr="00BD5A1A">
        <w:rPr>
          <w:rtl/>
        </w:rPr>
        <w:t>ة</w:t>
      </w:r>
      <w:r w:rsidR="00EE51BA" w:rsidRPr="00BD5A1A">
        <w:rPr>
          <w:rtl/>
        </w:rPr>
        <w:t xml:space="preserve"> العام</w:t>
      </w:r>
      <w:r w:rsidR="00480510" w:rsidRPr="00BD5A1A">
        <w:rPr>
          <w:rtl/>
        </w:rPr>
        <w:t>ة</w:t>
      </w:r>
      <w:r w:rsidR="00EE51BA" w:rsidRPr="00BD5A1A">
        <w:rPr>
          <w:rtl/>
        </w:rPr>
        <w:t>، في حدود الموارد المتاحة في الميزانية.</w:t>
      </w:r>
      <w:r w:rsidR="00EE51BA" w:rsidRPr="00BD5A1A">
        <w:rPr>
          <w:rFonts w:ascii="Arial" w:hAnsi="Arial" w:cs="Arial" w:hint="cs"/>
          <w:rtl/>
        </w:rPr>
        <w:t>‬</w:t>
      </w:r>
      <w:r w:rsidR="00480510" w:rsidRPr="00BD5A1A">
        <w:rPr>
          <w:rtl/>
        </w:rPr>
        <w:t xml:space="preserve"> وقال</w:t>
      </w:r>
      <w:r w:rsidR="009F3197" w:rsidRPr="00BD5A1A">
        <w:rPr>
          <w:rtl/>
        </w:rPr>
        <w:t>ت</w:t>
      </w:r>
      <w:r w:rsidR="00480510" w:rsidRPr="00BD5A1A">
        <w:rPr>
          <w:rtl/>
        </w:rPr>
        <w:t xml:space="preserve"> إن</w:t>
      </w:r>
      <w:r w:rsidR="00EE51BA" w:rsidRPr="00BD5A1A">
        <w:rPr>
          <w:rtl/>
        </w:rPr>
        <w:t xml:space="preserve"> المشاورات غير الرسمية </w:t>
      </w:r>
      <w:r w:rsidR="00480510" w:rsidRPr="00BD5A1A">
        <w:rPr>
          <w:rtl/>
        </w:rPr>
        <w:t>لا</w:t>
      </w:r>
      <w:r w:rsidR="00BD5A1A">
        <w:rPr>
          <w:rFonts w:hint="cs"/>
          <w:rtl/>
        </w:rPr>
        <w:t> </w:t>
      </w:r>
      <w:r w:rsidR="00480510" w:rsidRPr="00BD5A1A">
        <w:rPr>
          <w:rtl/>
        </w:rPr>
        <w:t xml:space="preserve">تزال </w:t>
      </w:r>
      <w:r w:rsidR="00EE51BA" w:rsidRPr="00BD5A1A">
        <w:rPr>
          <w:rtl/>
        </w:rPr>
        <w:t>جارية بشأن صياغة مشروع القرار.</w:t>
      </w:r>
    </w:p>
    <w:p w14:paraId="6BFB04F2" w14:textId="23875C89" w:rsidR="008C4BA4" w:rsidRPr="00595565" w:rsidRDefault="008C4BA4" w:rsidP="008C4BA4">
      <w:pPr>
        <w:rPr>
          <w:rtl/>
          <w:lang w:bidi="ar-SY"/>
        </w:rPr>
      </w:pPr>
      <w:r w:rsidRPr="00595565">
        <w:rPr>
          <w:lang w:bidi="ar-SY"/>
        </w:rPr>
        <w:t>3.3</w:t>
      </w:r>
      <w:r w:rsidRPr="00595565">
        <w:rPr>
          <w:rtl/>
          <w:lang w:bidi="ar-SY"/>
        </w:rPr>
        <w:tab/>
      </w:r>
      <w:r w:rsidR="00CB05F3">
        <w:rPr>
          <w:rFonts w:hint="cs"/>
          <w:rtl/>
          <w:lang w:bidi="ar-SY"/>
        </w:rPr>
        <w:t>و</w:t>
      </w:r>
      <w:r w:rsidR="00EE52B2" w:rsidRPr="00595565">
        <w:rPr>
          <w:rtl/>
          <w:lang w:bidi="ar-SY"/>
        </w:rPr>
        <w:t>عرض</w:t>
      </w:r>
      <w:r w:rsidR="009F3197" w:rsidRPr="00595565">
        <w:rPr>
          <w:rtl/>
          <w:lang w:bidi="ar-SY"/>
        </w:rPr>
        <w:t>ت مندوبة مصر من أعضاء</w:t>
      </w:r>
      <w:r w:rsidR="00EE52B2" w:rsidRPr="00595565">
        <w:rPr>
          <w:rtl/>
          <w:lang w:bidi="ar-SY"/>
        </w:rPr>
        <w:t xml:space="preserve"> المجلس المقترح المتعدد البلدان المقدم من ثماني دول أعضاء والوارد في الوثيقة </w:t>
      </w:r>
      <w:r w:rsidR="00EE52B2" w:rsidRPr="00595565">
        <w:rPr>
          <w:lang w:bidi="ar-SY"/>
        </w:rPr>
        <w:t>C23/76</w:t>
      </w:r>
      <w:r w:rsidR="00EE52B2" w:rsidRPr="00595565">
        <w:rPr>
          <w:rtl/>
          <w:lang w:bidi="ar-SY"/>
        </w:rPr>
        <w:t>، وأشار</w:t>
      </w:r>
      <w:r w:rsidR="009F3197" w:rsidRPr="00595565">
        <w:rPr>
          <w:rtl/>
          <w:lang w:bidi="ar-SY"/>
        </w:rPr>
        <w:t>ت</w:t>
      </w:r>
      <w:r w:rsidR="00EE52B2" w:rsidRPr="00595565">
        <w:rPr>
          <w:rtl/>
          <w:lang w:bidi="ar-SY"/>
        </w:rPr>
        <w:t xml:space="preserve"> إلى أن الاتحاد أطلق عدداً من المبادرات في السنوات الأخيرة، بما في ذلك شبكة المرأة للمؤتمر العالمي لتنمية الاتصالات (</w:t>
      </w:r>
      <w:r w:rsidR="00EE52B2" w:rsidRPr="00595565">
        <w:rPr>
          <w:lang w:bidi="ar-SY"/>
        </w:rPr>
        <w:t>NoW4WTDC</w:t>
      </w:r>
      <w:r w:rsidR="00EE52B2" w:rsidRPr="00595565">
        <w:rPr>
          <w:rtl/>
          <w:lang w:bidi="ar-SY"/>
        </w:rPr>
        <w:t xml:space="preserve">) </w:t>
      </w:r>
      <w:r w:rsidR="00EE52B2" w:rsidRPr="00595565">
        <w:rPr>
          <w:color w:val="000000"/>
          <w:rtl/>
        </w:rPr>
        <w:t>وفريق الخبراء المعني بالمرأة في مجال التقييس</w:t>
      </w:r>
      <w:r w:rsidR="00EE52B2" w:rsidRPr="00595565">
        <w:rPr>
          <w:color w:val="000000"/>
        </w:rPr>
        <w:t xml:space="preserve"> (WISE) </w:t>
      </w:r>
      <w:r w:rsidR="00EE52B2" w:rsidRPr="00595565">
        <w:rPr>
          <w:color w:val="000000"/>
          <w:rtl/>
        </w:rPr>
        <w:t>بالاتحا</w:t>
      </w:r>
      <w:r w:rsidR="00EE52B2" w:rsidRPr="00595565">
        <w:rPr>
          <w:rtl/>
          <w:lang w:bidi="ar-SY"/>
        </w:rPr>
        <w:t>د، وطلب</w:t>
      </w:r>
      <w:r w:rsidR="009F3197" w:rsidRPr="00595565">
        <w:rPr>
          <w:rtl/>
          <w:lang w:bidi="ar-SY"/>
        </w:rPr>
        <w:t>ت</w:t>
      </w:r>
      <w:r w:rsidR="00EE52B2" w:rsidRPr="00595565">
        <w:rPr>
          <w:rtl/>
          <w:lang w:bidi="ar-SY"/>
        </w:rPr>
        <w:t xml:space="preserve"> إنشاء هيئة شاملة موحدة تشمل جميع مبادرات الاتحاد من أجل المرأة مع </w:t>
      </w:r>
      <w:r w:rsidR="00480510" w:rsidRPr="00595565">
        <w:rPr>
          <w:rtl/>
          <w:lang w:bidi="ar-SY"/>
        </w:rPr>
        <w:t>ال</w:t>
      </w:r>
      <w:r w:rsidR="00EE52B2" w:rsidRPr="00595565">
        <w:rPr>
          <w:rtl/>
          <w:lang w:bidi="ar-SY"/>
        </w:rPr>
        <w:t>توفير</w:t>
      </w:r>
      <w:r w:rsidR="00480510" w:rsidRPr="00595565">
        <w:rPr>
          <w:rtl/>
          <w:lang w:bidi="ar-SY"/>
        </w:rPr>
        <w:t xml:space="preserve"> في</w:t>
      </w:r>
      <w:r w:rsidR="00EE52B2" w:rsidRPr="00595565">
        <w:rPr>
          <w:rtl/>
          <w:lang w:bidi="ar-SY"/>
        </w:rPr>
        <w:t xml:space="preserve"> الموارد والاستفادة منها في </w:t>
      </w:r>
      <w:r w:rsidR="00722C9F" w:rsidRPr="00595565">
        <w:rPr>
          <w:rtl/>
          <w:lang w:bidi="ar-SY"/>
        </w:rPr>
        <w:t xml:space="preserve">إطار </w:t>
      </w:r>
      <w:r w:rsidR="00EE52B2" w:rsidRPr="00595565">
        <w:rPr>
          <w:rtl/>
          <w:lang w:bidi="ar-SY"/>
        </w:rPr>
        <w:t xml:space="preserve">نهج الاتحاد الواحد. وينبغي عرض التقدم المحرز </w:t>
      </w:r>
      <w:r w:rsidR="00480510" w:rsidRPr="00595565">
        <w:rPr>
          <w:rtl/>
          <w:lang w:bidi="ar-SY"/>
        </w:rPr>
        <w:t xml:space="preserve">من أجل </w:t>
      </w:r>
      <w:r w:rsidR="00EE52B2" w:rsidRPr="00595565">
        <w:rPr>
          <w:rtl/>
          <w:lang w:bidi="ar-SY"/>
        </w:rPr>
        <w:t xml:space="preserve">إنشاء هذه الهيئة </w:t>
      </w:r>
      <w:r w:rsidR="00480510" w:rsidRPr="00595565">
        <w:rPr>
          <w:rtl/>
          <w:lang w:bidi="ar-SY"/>
        </w:rPr>
        <w:t xml:space="preserve">على </w:t>
      </w:r>
      <w:r w:rsidR="00EE52B2" w:rsidRPr="00595565">
        <w:rPr>
          <w:rtl/>
          <w:lang w:bidi="ar-SY"/>
        </w:rPr>
        <w:t xml:space="preserve">المجلس في دورته لعام </w:t>
      </w:r>
      <w:r w:rsidR="00EE52B2" w:rsidRPr="00595565">
        <w:rPr>
          <w:rFonts w:ascii="Arial" w:hAnsi="Arial" w:cs="Arial" w:hint="cs"/>
          <w:rtl/>
          <w:lang w:bidi="ar-SY"/>
        </w:rPr>
        <w:t>‬</w:t>
      </w:r>
      <w:r w:rsidR="00480510" w:rsidRPr="00595565">
        <w:rPr>
          <w:rtl/>
          <w:lang w:bidi="ar-SY"/>
        </w:rPr>
        <w:t>2024</w:t>
      </w:r>
      <w:r w:rsidR="00EE52B2" w:rsidRPr="00595565">
        <w:rPr>
          <w:rtl/>
          <w:lang w:bidi="ar-SY"/>
        </w:rPr>
        <w:t>.</w:t>
      </w:r>
    </w:p>
    <w:p w14:paraId="4D0F29BF" w14:textId="4C5D39FE" w:rsidR="00722C9F" w:rsidRPr="00595565" w:rsidRDefault="008C4BA4" w:rsidP="000F7441">
      <w:pPr>
        <w:rPr>
          <w:rtl/>
        </w:rPr>
      </w:pPr>
      <w:r w:rsidRPr="00595565">
        <w:rPr>
          <w:lang w:bidi="ar-SY"/>
        </w:rPr>
        <w:t>4.3</w:t>
      </w:r>
      <w:r w:rsidRPr="00595565">
        <w:rPr>
          <w:rtl/>
          <w:lang w:bidi="ar-SY"/>
        </w:rPr>
        <w:tab/>
      </w:r>
      <w:r w:rsidR="00722C9F" w:rsidRPr="00595565">
        <w:rPr>
          <w:rtl/>
          <w:lang w:bidi="ar-SY"/>
        </w:rPr>
        <w:t>وأثنى أعضاء المجلس على الاتحاد لعمله في مجال المساواة بين الجنسين والتزامه بسد الفجوة الرقمية بين الجنسين.</w:t>
      </w:r>
      <w:r w:rsidR="00722C9F" w:rsidRPr="00595565">
        <w:rPr>
          <w:rtl/>
        </w:rPr>
        <w:t xml:space="preserve"> </w:t>
      </w:r>
      <w:r w:rsidR="00722C9F" w:rsidRPr="00595565">
        <w:rPr>
          <w:rtl/>
          <w:lang w:bidi="ar-SY"/>
        </w:rPr>
        <w:t>وأيدوا توسيع نطاق قدرات المرأة داخل الاتحاد وفي قطاع تكنولوجيا المعلومات والاتصالات ككل، بما في ذلك برامج بناء القدرات المستهدفة</w:t>
      </w:r>
      <w:r w:rsidR="00743E7F" w:rsidRPr="00595565">
        <w:rPr>
          <w:rtl/>
          <w:lang w:bidi="ar-SY"/>
        </w:rPr>
        <w:t>.</w:t>
      </w:r>
      <w:r w:rsidR="00964946" w:rsidRPr="00595565">
        <w:rPr>
          <w:rtl/>
          <w:lang w:bidi="ar-SY"/>
        </w:rPr>
        <w:t xml:space="preserve"> ودعا أحد أعضاء المجلس إلى إجراء المزيد من البحوث لتحديد الأسباب الجذرية للتفاوت بين الجنسين في النفاذ إلى تكنولوجيا المعلومات والاتصالات والمشاركة فيها</w:t>
      </w:r>
      <w:r w:rsidR="00964946" w:rsidRPr="00595565">
        <w:rPr>
          <w:rFonts w:ascii="Arial" w:hAnsi="Arial" w:cs="Arial" w:hint="cs"/>
          <w:rtl/>
          <w:lang w:bidi="ar-SY"/>
        </w:rPr>
        <w:t>‬</w:t>
      </w:r>
      <w:r w:rsidR="00964946" w:rsidRPr="00595565">
        <w:rPr>
          <w:rtl/>
        </w:rPr>
        <w:t xml:space="preserve">. وأعرب بعض أعضاء المجلس عن خيبة أملهم لأن أداء الاتحاد لم يكن </w:t>
      </w:r>
      <w:r w:rsidR="00FF705F" w:rsidRPr="00595565">
        <w:rPr>
          <w:rtl/>
        </w:rPr>
        <w:t xml:space="preserve">جيداً بالمقارنة مع </w:t>
      </w:r>
      <w:r w:rsidR="00737228" w:rsidRPr="00595565">
        <w:rPr>
          <w:rtl/>
        </w:rPr>
        <w:t xml:space="preserve">أداء </w:t>
      </w:r>
      <w:r w:rsidR="00964946" w:rsidRPr="00595565">
        <w:rPr>
          <w:rtl/>
        </w:rPr>
        <w:t>المنظمات الأخرى داخل منظومة الأمم المتحدة، ولا سيما من حيث تعيين النساء في مناصب الإدارة العليا.</w:t>
      </w:r>
      <w:r w:rsidR="00964946" w:rsidRPr="00595565">
        <w:rPr>
          <w:rFonts w:ascii="Arial" w:hAnsi="Arial" w:cs="Arial" w:hint="cs"/>
          <w:rtl/>
        </w:rPr>
        <w:t>‬</w:t>
      </w:r>
    </w:p>
    <w:p w14:paraId="5F72C72A" w14:textId="06AEC5A7" w:rsidR="008C4BA4" w:rsidRPr="00595565" w:rsidRDefault="008C4BA4" w:rsidP="008C4BA4">
      <w:pPr>
        <w:rPr>
          <w:rtl/>
          <w:lang w:bidi="ar-SY"/>
        </w:rPr>
      </w:pPr>
      <w:r w:rsidRPr="00595565">
        <w:rPr>
          <w:lang w:bidi="ar-SY"/>
        </w:rPr>
        <w:t>5.3</w:t>
      </w:r>
      <w:r w:rsidRPr="00595565">
        <w:rPr>
          <w:rtl/>
          <w:lang w:bidi="ar-SY"/>
        </w:rPr>
        <w:tab/>
      </w:r>
      <w:r w:rsidR="00480510" w:rsidRPr="00595565">
        <w:rPr>
          <w:rtl/>
          <w:lang w:bidi="ar-SY"/>
        </w:rPr>
        <w:t xml:space="preserve">وأعرب </w:t>
      </w:r>
      <w:r w:rsidR="008B0F5F" w:rsidRPr="00595565">
        <w:rPr>
          <w:rtl/>
          <w:lang w:bidi="ar-SY"/>
        </w:rPr>
        <w:t>عضوان في المجلس</w:t>
      </w:r>
      <w:r w:rsidR="00480510" w:rsidRPr="00595565">
        <w:rPr>
          <w:rtl/>
          <w:lang w:bidi="ar-SY"/>
        </w:rPr>
        <w:t xml:space="preserve"> عن تأييدهما</w:t>
      </w:r>
      <w:r w:rsidR="008B0F5F" w:rsidRPr="00595565">
        <w:rPr>
          <w:rtl/>
          <w:lang w:bidi="ar-SY"/>
        </w:rPr>
        <w:t xml:space="preserve"> </w:t>
      </w:r>
      <w:r w:rsidR="00480510" w:rsidRPr="00595565">
        <w:rPr>
          <w:rtl/>
          <w:lang w:bidi="ar-SY"/>
        </w:rPr>
        <w:t>ل</w:t>
      </w:r>
      <w:r w:rsidR="009C712D" w:rsidRPr="00595565">
        <w:rPr>
          <w:rtl/>
          <w:lang w:bidi="ar-SY"/>
        </w:rPr>
        <w:t xml:space="preserve">نهج </w:t>
      </w:r>
      <w:r w:rsidR="00480510" w:rsidRPr="00595565">
        <w:rPr>
          <w:rtl/>
          <w:lang w:bidi="ar-SY"/>
        </w:rPr>
        <w:t>"</w:t>
      </w:r>
      <w:r w:rsidR="009C712D" w:rsidRPr="00595565">
        <w:rPr>
          <w:rtl/>
          <w:lang w:bidi="ar-SY"/>
        </w:rPr>
        <w:t>الاتحاد الواحد</w:t>
      </w:r>
      <w:r w:rsidR="00480510" w:rsidRPr="00595565">
        <w:rPr>
          <w:rtl/>
          <w:lang w:bidi="ar-SY"/>
        </w:rPr>
        <w:t>"</w:t>
      </w:r>
      <w:r w:rsidR="009C712D" w:rsidRPr="00595565">
        <w:rPr>
          <w:rtl/>
          <w:lang w:bidi="ar-SY"/>
        </w:rPr>
        <w:t xml:space="preserve"> </w:t>
      </w:r>
      <w:r w:rsidR="00480510" w:rsidRPr="00595565">
        <w:rPr>
          <w:rtl/>
          <w:lang w:bidi="ar-SY"/>
        </w:rPr>
        <w:t>و</w:t>
      </w:r>
      <w:r w:rsidR="009C712D" w:rsidRPr="00595565">
        <w:rPr>
          <w:rtl/>
          <w:lang w:bidi="ar-SY"/>
        </w:rPr>
        <w:t xml:space="preserve">تأييدهما لإنشاء هيئة </w:t>
      </w:r>
      <w:r w:rsidR="008B0F5F" w:rsidRPr="00595565">
        <w:rPr>
          <w:rtl/>
          <w:lang w:bidi="ar-SY"/>
        </w:rPr>
        <w:t>شاملة</w:t>
      </w:r>
      <w:r w:rsidR="009C712D" w:rsidRPr="00595565">
        <w:rPr>
          <w:rtl/>
          <w:lang w:bidi="ar-SY"/>
        </w:rPr>
        <w:t xml:space="preserve"> جديدة على النحو المبين في الوثيقة </w:t>
      </w:r>
      <w:r w:rsidR="009C712D" w:rsidRPr="00595565">
        <w:rPr>
          <w:lang w:bidi="ar-SY"/>
        </w:rPr>
        <w:t>C23/76</w:t>
      </w:r>
      <w:r w:rsidR="009C712D" w:rsidRPr="00595565">
        <w:rPr>
          <w:rtl/>
          <w:lang w:bidi="ar-SY"/>
        </w:rPr>
        <w:t xml:space="preserve">. وأشار اثنان آخران إلى تأييدهما للوثيقة </w:t>
      </w:r>
      <w:r w:rsidR="009C712D" w:rsidRPr="00595565">
        <w:rPr>
          <w:lang w:bidi="ar-SY"/>
        </w:rPr>
        <w:t>C23/91</w:t>
      </w:r>
      <w:r w:rsidR="009C712D" w:rsidRPr="00595565">
        <w:rPr>
          <w:rtl/>
          <w:lang w:bidi="ar-SY"/>
        </w:rPr>
        <w:t>.</w:t>
      </w:r>
    </w:p>
    <w:p w14:paraId="34D495F9" w14:textId="307579B1" w:rsidR="005E1170" w:rsidRPr="00595565" w:rsidRDefault="008C4BA4" w:rsidP="000A48EB">
      <w:pPr>
        <w:rPr>
          <w:rtl/>
          <w:lang w:val="en-GB"/>
        </w:rPr>
      </w:pPr>
      <w:r w:rsidRPr="00595565">
        <w:rPr>
          <w:lang w:bidi="ar-SY"/>
        </w:rPr>
        <w:t>6.3</w:t>
      </w:r>
      <w:r w:rsidRPr="00595565">
        <w:rPr>
          <w:rtl/>
          <w:lang w:bidi="ar-SY"/>
        </w:rPr>
        <w:tab/>
      </w:r>
      <w:r w:rsidR="009D7CAF" w:rsidRPr="00595565">
        <w:rPr>
          <w:rtl/>
          <w:lang w:bidi="ar-SY"/>
        </w:rPr>
        <w:t xml:space="preserve">ورحب العديد من أعضاء المجلس بالوثيقة </w:t>
      </w:r>
      <w:r w:rsidR="009D7CAF" w:rsidRPr="00595565">
        <w:rPr>
          <w:lang w:val="en-GB" w:bidi="ar-SY"/>
        </w:rPr>
        <w:t>C23/6</w:t>
      </w:r>
      <w:r w:rsidR="009D7CAF" w:rsidRPr="00595565">
        <w:rPr>
          <w:rtl/>
          <w:lang w:val="en-GB"/>
        </w:rPr>
        <w:t>.</w:t>
      </w:r>
      <w:r w:rsidR="000A5FCB" w:rsidRPr="00595565">
        <w:rPr>
          <w:rtl/>
          <w:lang w:val="en-GB"/>
        </w:rPr>
        <w:t xml:space="preserve"> وأكدوا على قيمة اليوم الدولي للفتيات في مجال تكنولوجيا المعلومات والاتصالات وأشادوا بمسابقة الابتكار الرقمي </w:t>
      </w:r>
      <w:r w:rsidR="007C7E1B" w:rsidRPr="00595565">
        <w:rPr>
          <w:rtl/>
          <w:lang w:val="en-GB"/>
        </w:rPr>
        <w:t>التي</w:t>
      </w:r>
      <w:r w:rsidR="000A5FCB" w:rsidRPr="00595565">
        <w:rPr>
          <w:rtl/>
          <w:lang w:val="en-GB"/>
        </w:rPr>
        <w:t xml:space="preserve"> أطلقه</w:t>
      </w:r>
      <w:r w:rsidR="00EE3D6D" w:rsidRPr="00595565">
        <w:rPr>
          <w:rtl/>
          <w:lang w:val="en-GB"/>
        </w:rPr>
        <w:t>ا</w:t>
      </w:r>
      <w:r w:rsidR="000A5FCB" w:rsidRPr="00595565">
        <w:rPr>
          <w:rtl/>
          <w:lang w:val="en-GB"/>
        </w:rPr>
        <w:t xml:space="preserve"> الاتحاد بالتعاون مع </w:t>
      </w:r>
      <w:r w:rsidR="00B91A5A" w:rsidRPr="00595565">
        <w:rPr>
          <w:color w:val="000000"/>
          <w:rtl/>
        </w:rPr>
        <w:t xml:space="preserve">مسرَّع ريادة المرأة للأعمال </w:t>
      </w:r>
      <w:r w:rsidR="000A5FCB" w:rsidRPr="00595565">
        <w:rPr>
          <w:rtl/>
          <w:lang w:val="en-GB"/>
        </w:rPr>
        <w:t>(</w:t>
      </w:r>
      <w:r w:rsidR="000A5FCB" w:rsidRPr="00595565">
        <w:rPr>
          <w:lang w:val="en-GB"/>
        </w:rPr>
        <w:t>WEA</w:t>
      </w:r>
      <w:r w:rsidR="000A5FCB" w:rsidRPr="00595565">
        <w:rPr>
          <w:rtl/>
          <w:lang w:val="en-GB"/>
        </w:rPr>
        <w:t xml:space="preserve">)، </w:t>
      </w:r>
      <w:r w:rsidR="00EE3D6D" w:rsidRPr="00595565">
        <w:rPr>
          <w:rtl/>
          <w:lang w:val="en-GB"/>
        </w:rPr>
        <w:t>ودعوا</w:t>
      </w:r>
      <w:r w:rsidR="000A5FCB" w:rsidRPr="00595565">
        <w:rPr>
          <w:rtl/>
          <w:lang w:val="en-GB"/>
        </w:rPr>
        <w:t xml:space="preserve"> إلى توفير المزيد من الموارد لتعزيز مشاركة المرأة في الأمن السيبراني والذكاء الاصطناعي</w:t>
      </w:r>
      <w:r w:rsidR="005E1170" w:rsidRPr="00595565">
        <w:rPr>
          <w:rtl/>
          <w:lang w:val="en-GB"/>
        </w:rPr>
        <w:t>. وطلب أحد أعضاء المجلس أن يولي الاتحاد مزيدا</w:t>
      </w:r>
      <w:r w:rsidR="00EE3D6D" w:rsidRPr="00595565">
        <w:rPr>
          <w:rtl/>
          <w:lang w:val="en-GB"/>
        </w:rPr>
        <w:t>ً</w:t>
      </w:r>
      <w:r w:rsidR="005E1170" w:rsidRPr="00595565">
        <w:rPr>
          <w:rtl/>
          <w:lang w:val="en-GB"/>
        </w:rPr>
        <w:t xml:space="preserve"> من الاهتمام لحماية النساء والفتيات، بمن فيهن الصحفيات، من </w:t>
      </w:r>
      <w:r w:rsidR="00EE3D6D" w:rsidRPr="00595565">
        <w:rPr>
          <w:rtl/>
          <w:lang w:val="en-GB"/>
        </w:rPr>
        <w:t>المضايقة</w:t>
      </w:r>
      <w:r w:rsidR="005E1170" w:rsidRPr="00595565">
        <w:rPr>
          <w:rtl/>
          <w:lang w:val="en-GB"/>
        </w:rPr>
        <w:t xml:space="preserve"> عبر الإنترنت.</w:t>
      </w:r>
    </w:p>
    <w:p w14:paraId="252E217E" w14:textId="1AF5B722" w:rsidR="00A930D3" w:rsidRPr="00595565" w:rsidRDefault="00A930D3" w:rsidP="000A48EB">
      <w:pPr>
        <w:rPr>
          <w:rtl/>
        </w:rPr>
      </w:pPr>
      <w:r w:rsidRPr="00595565">
        <w:rPr>
          <w:lang w:bidi="ar-SY"/>
        </w:rPr>
        <w:t>7.3</w:t>
      </w:r>
      <w:r w:rsidRPr="00595565">
        <w:rPr>
          <w:rtl/>
          <w:lang w:bidi="ar-SY"/>
        </w:rPr>
        <w:tab/>
      </w:r>
      <w:r w:rsidR="00CB05F3">
        <w:rPr>
          <w:rFonts w:hint="cs"/>
          <w:rtl/>
          <w:lang w:bidi="ar-SY"/>
        </w:rPr>
        <w:t>و</w:t>
      </w:r>
      <w:r w:rsidR="007C7E1B" w:rsidRPr="00595565">
        <w:rPr>
          <w:rtl/>
          <w:lang w:bidi="ar-SY"/>
        </w:rPr>
        <w:t>شكر ممثل الأمانة العامة الدول الأعضاء على تعليقاتها وأكد أن المقترحات المتعلقة ببناء القدرات والبحوث بشأن الأسباب الجذرية لأوجه التفاوت بين الجنسين في تكنولوجيا المعلومات والاتصالات ستؤخذ في الاعتبار.</w:t>
      </w:r>
      <w:r w:rsidR="006E3E49" w:rsidRPr="00595565">
        <w:rPr>
          <w:rtl/>
        </w:rPr>
        <w:t xml:space="preserve"> وهناك بالفعل برامج تدريبية بشأن ريادة الأعمال الرقمية والمهارات الإدارية للمرأة وهي متاحة من خلال أكاديمية الاتحاد؛ وستتاح برامج أخرى بشأن تعميم المساواة بين الجنسين في السياسات الرقمية في وقت لاحق من</w:t>
      </w:r>
      <w:r w:rsidR="00BE1DD3" w:rsidRPr="00595565">
        <w:rPr>
          <w:rtl/>
        </w:rPr>
        <w:t xml:space="preserve"> هذا</w:t>
      </w:r>
      <w:r w:rsidR="006E3E49" w:rsidRPr="00595565">
        <w:rPr>
          <w:rtl/>
        </w:rPr>
        <w:t xml:space="preserve"> العام</w:t>
      </w:r>
      <w:r w:rsidR="006E3E49" w:rsidRPr="00595565">
        <w:rPr>
          <w:rFonts w:ascii="Arial" w:hAnsi="Arial" w:cs="Arial" w:hint="cs"/>
          <w:rtl/>
        </w:rPr>
        <w:t>‬</w:t>
      </w:r>
      <w:r w:rsidR="00BE1DD3" w:rsidRPr="00595565">
        <w:rPr>
          <w:rtl/>
        </w:rPr>
        <w:t>.</w:t>
      </w:r>
      <w:r w:rsidR="00124665" w:rsidRPr="00595565">
        <w:rPr>
          <w:rtl/>
        </w:rPr>
        <w:t xml:space="preserve"> وسيكون الدعم المستمر من الدول الأعضاء فيما يتعلق </w:t>
      </w:r>
      <w:r w:rsidR="00F401AE" w:rsidRPr="00595565">
        <w:rPr>
          <w:rtl/>
        </w:rPr>
        <w:t>بإعداد</w:t>
      </w:r>
      <w:r w:rsidR="00124665" w:rsidRPr="00595565">
        <w:rPr>
          <w:rtl/>
        </w:rPr>
        <w:t xml:space="preserve"> </w:t>
      </w:r>
      <w:r w:rsidR="00F401AE" w:rsidRPr="00595565">
        <w:rPr>
          <w:rtl/>
        </w:rPr>
        <w:t>التقرير المتعلق</w:t>
      </w:r>
      <w:r w:rsidR="00124665" w:rsidRPr="00595565">
        <w:rPr>
          <w:rtl/>
        </w:rPr>
        <w:t xml:space="preserve"> </w:t>
      </w:r>
      <w:r w:rsidR="00F401AE" w:rsidRPr="00595565">
        <w:rPr>
          <w:rtl/>
        </w:rPr>
        <w:t>ب</w:t>
      </w:r>
      <w:r w:rsidR="00124665" w:rsidRPr="00595565">
        <w:rPr>
          <w:rtl/>
        </w:rPr>
        <w:t xml:space="preserve">خطة العمل على </w:t>
      </w:r>
      <w:r w:rsidR="00F401AE" w:rsidRPr="00595565">
        <w:rPr>
          <w:rtl/>
        </w:rPr>
        <w:t>مستوى</w:t>
      </w:r>
      <w:r w:rsidR="00124665" w:rsidRPr="00595565">
        <w:rPr>
          <w:rtl/>
        </w:rPr>
        <w:t xml:space="preserve"> منظومة الأمم المتحدة (</w:t>
      </w:r>
      <w:r w:rsidR="00124665" w:rsidRPr="00595565">
        <w:t>UN-SWAP</w:t>
      </w:r>
      <w:r w:rsidR="00124665" w:rsidRPr="00595565">
        <w:rPr>
          <w:rtl/>
        </w:rPr>
        <w:t>) وفي جميع مجالات عمل الاتحاد بشأن المساواة بين الجنسين في مجال تكنولوجيا المعلومات والاتصالات موضع تقدير كبير.</w:t>
      </w:r>
    </w:p>
    <w:p w14:paraId="7D2EC9A8" w14:textId="5F7F5224" w:rsidR="00F401AE" w:rsidRPr="00595565" w:rsidRDefault="00A930D3" w:rsidP="000A48EB">
      <w:pPr>
        <w:rPr>
          <w:rtl/>
          <w:lang w:bidi="ar-SY"/>
        </w:rPr>
      </w:pPr>
      <w:r w:rsidRPr="00595565">
        <w:rPr>
          <w:lang w:bidi="ar-SY"/>
        </w:rPr>
        <w:t>8.3</w:t>
      </w:r>
      <w:r w:rsidRPr="00595565">
        <w:rPr>
          <w:rtl/>
          <w:lang w:bidi="ar-SY"/>
        </w:rPr>
        <w:tab/>
      </w:r>
      <w:r w:rsidR="00CB05F3">
        <w:rPr>
          <w:rFonts w:hint="cs"/>
          <w:rtl/>
          <w:lang w:bidi="ar-SY"/>
        </w:rPr>
        <w:t>و</w:t>
      </w:r>
      <w:r w:rsidR="00F401AE" w:rsidRPr="00595565">
        <w:rPr>
          <w:rtl/>
          <w:lang w:bidi="ar-SY"/>
        </w:rPr>
        <w:t xml:space="preserve">قال مدير مكتب تقييس الاتصالات إن </w:t>
      </w:r>
      <w:r w:rsidR="00480510" w:rsidRPr="00595565">
        <w:rPr>
          <w:rtl/>
          <w:lang w:bidi="ar-SY"/>
        </w:rPr>
        <w:t xml:space="preserve">قطاع </w:t>
      </w:r>
      <w:r w:rsidR="00F401AE" w:rsidRPr="00595565">
        <w:rPr>
          <w:rtl/>
          <w:lang w:bidi="ar-SY"/>
        </w:rPr>
        <w:t xml:space="preserve">تقييس الاتصالات ومكتب تقييس الاتصالات يعملان بفعالية </w:t>
      </w:r>
      <w:r w:rsidR="000877C8" w:rsidRPr="00595565">
        <w:rPr>
          <w:rtl/>
          <w:lang w:bidi="ar-SY"/>
        </w:rPr>
        <w:t>في سبيل</w:t>
      </w:r>
      <w:r w:rsidR="00F401AE" w:rsidRPr="00595565">
        <w:rPr>
          <w:rtl/>
          <w:lang w:bidi="ar-SY"/>
        </w:rPr>
        <w:t xml:space="preserve"> تعزيز المساواة بين الجنسين، بما في ذلك في إطار مبادرة </w:t>
      </w:r>
      <w:r w:rsidR="00F401AE" w:rsidRPr="00595565">
        <w:rPr>
          <w:lang w:bidi="ar-SY"/>
        </w:rPr>
        <w:t>NoW4WTDC</w:t>
      </w:r>
      <w:r w:rsidR="00F401AE" w:rsidRPr="00595565">
        <w:rPr>
          <w:rtl/>
          <w:lang w:bidi="ar-SY"/>
        </w:rPr>
        <w:t>. وأعرب عن تأييده التام لنهج الاتحاد الواحد وأكد لأعضاء المجلس أن الاتحاد سيواصل جهوده لسد الفجوة الرقمية وزيادة مشاركة المرأة في اجتماعاته.</w:t>
      </w:r>
    </w:p>
    <w:p w14:paraId="07D489CD" w14:textId="1EB95087" w:rsidR="00A930D3" w:rsidRPr="00595565" w:rsidRDefault="00A930D3" w:rsidP="00A930D3">
      <w:pPr>
        <w:rPr>
          <w:rtl/>
          <w:lang w:bidi="ar-SY"/>
        </w:rPr>
      </w:pPr>
      <w:r w:rsidRPr="00284A8C">
        <w:rPr>
          <w:lang w:bidi="ar-SY"/>
        </w:rPr>
        <w:lastRenderedPageBreak/>
        <w:t>9.3</w:t>
      </w:r>
      <w:r w:rsidRPr="00284A8C">
        <w:rPr>
          <w:rtl/>
          <w:lang w:bidi="ar-SY"/>
        </w:rPr>
        <w:tab/>
      </w:r>
      <w:r w:rsidR="001E0BBE" w:rsidRPr="00284A8C">
        <w:rPr>
          <w:rtl/>
          <w:lang w:bidi="ar-SY"/>
        </w:rPr>
        <w:t xml:space="preserve">ودعا الرئيس المجلس إلى الإحاطة علماً بالتقرير الوارد في الوثيقة </w:t>
      </w:r>
      <w:r w:rsidR="001E0BBE" w:rsidRPr="00284A8C">
        <w:rPr>
          <w:lang w:bidi="ar-SY"/>
        </w:rPr>
        <w:t>C23/6</w:t>
      </w:r>
      <w:r w:rsidR="001E0BBE" w:rsidRPr="00284A8C">
        <w:rPr>
          <w:rtl/>
          <w:lang w:bidi="ar-SY"/>
        </w:rPr>
        <w:t xml:space="preserve">؛ ومواصلة المناقشات غير الرسمية بشأن الوثيقتين </w:t>
      </w:r>
      <w:r w:rsidR="001E0BBE" w:rsidRPr="00284A8C">
        <w:rPr>
          <w:lang w:bidi="ar-SY"/>
        </w:rPr>
        <w:t>C23/76</w:t>
      </w:r>
      <w:r w:rsidR="001E0BBE" w:rsidRPr="00284A8C">
        <w:rPr>
          <w:rtl/>
          <w:lang w:bidi="ar-SY"/>
        </w:rPr>
        <w:t xml:space="preserve"> و</w:t>
      </w:r>
      <w:r w:rsidR="001E0BBE" w:rsidRPr="00284A8C">
        <w:rPr>
          <w:lang w:bidi="ar-SY"/>
        </w:rPr>
        <w:t>C23/91</w:t>
      </w:r>
      <w:r w:rsidR="001E0BBE" w:rsidRPr="00284A8C">
        <w:rPr>
          <w:rtl/>
          <w:lang w:bidi="ar-SY"/>
        </w:rPr>
        <w:t xml:space="preserve"> + التصويب 1؛</w:t>
      </w:r>
      <w:r w:rsidR="00480510" w:rsidRPr="00284A8C">
        <w:rPr>
          <w:rtl/>
          <w:lang w:bidi="ar-SY"/>
        </w:rPr>
        <w:t xml:space="preserve"> والإبلاغ</w:t>
      </w:r>
      <w:r w:rsidR="001E0BBE" w:rsidRPr="00284A8C">
        <w:rPr>
          <w:rtl/>
          <w:lang w:bidi="ar-SY"/>
        </w:rPr>
        <w:t xml:space="preserve"> عن نتائج تلك المناقشات </w:t>
      </w:r>
      <w:r w:rsidR="00480510" w:rsidRPr="00284A8C">
        <w:rPr>
          <w:rtl/>
          <w:lang w:bidi="ar-SY"/>
        </w:rPr>
        <w:t xml:space="preserve">في </w:t>
      </w:r>
      <w:r w:rsidR="001E0BBE" w:rsidRPr="00284A8C">
        <w:rPr>
          <w:rtl/>
          <w:lang w:bidi="ar-SY"/>
        </w:rPr>
        <w:t>جلسة عامة لاحقة.</w:t>
      </w:r>
    </w:p>
    <w:p w14:paraId="7FB72A5A" w14:textId="3BE7CC37" w:rsidR="00A930D3" w:rsidRPr="00595565" w:rsidRDefault="00A930D3" w:rsidP="00A930D3">
      <w:pPr>
        <w:rPr>
          <w:rtl/>
        </w:rPr>
      </w:pPr>
      <w:r w:rsidRPr="00595565">
        <w:rPr>
          <w:lang w:bidi="ar-SY"/>
        </w:rPr>
        <w:t>10.3</w:t>
      </w:r>
      <w:r w:rsidRPr="00595565">
        <w:rPr>
          <w:rtl/>
          <w:lang w:bidi="ar-SY"/>
        </w:rPr>
        <w:tab/>
      </w:r>
      <w:r w:rsidR="00F1188B" w:rsidRPr="00595565">
        <w:rPr>
          <w:rtl/>
          <w:lang w:bidi="ar-SY"/>
        </w:rPr>
        <w:t>و</w:t>
      </w:r>
      <w:r w:rsidR="00F1188B" w:rsidRPr="00595565">
        <w:rPr>
          <w:b/>
          <w:bCs/>
          <w:rtl/>
          <w:lang w:bidi="ar-SY"/>
        </w:rPr>
        <w:t>اتُفق</w:t>
      </w:r>
      <w:r w:rsidR="00F1188B" w:rsidRPr="00595565">
        <w:rPr>
          <w:rtl/>
          <w:lang w:bidi="ar-SY"/>
        </w:rPr>
        <w:t xml:space="preserve"> على ذلك.</w:t>
      </w:r>
    </w:p>
    <w:p w14:paraId="76D0F6A8" w14:textId="2A3675AF" w:rsidR="00F50E3F" w:rsidRPr="00595565" w:rsidRDefault="008C4BA4" w:rsidP="008C4BA4">
      <w:pPr>
        <w:pStyle w:val="Heading1"/>
        <w:rPr>
          <w:rtl/>
        </w:rPr>
      </w:pPr>
      <w:r w:rsidRPr="00595565">
        <w:rPr>
          <w:lang w:bidi="ar-EG"/>
        </w:rPr>
        <w:t>4</w:t>
      </w:r>
      <w:r w:rsidRPr="00595565">
        <w:rPr>
          <w:rtl/>
          <w:lang w:bidi="ar-SY"/>
        </w:rPr>
        <w:tab/>
      </w:r>
      <w:r w:rsidR="00A930D3" w:rsidRPr="00595565">
        <w:rPr>
          <w:rtl/>
        </w:rPr>
        <w:t>اليوم العالمي للاتصالات ومجتمع المعلومات</w:t>
      </w:r>
      <w:r w:rsidRPr="00595565">
        <w:rPr>
          <w:rtl/>
        </w:rPr>
        <w:t xml:space="preserve"> (الوثيقتان </w:t>
      </w:r>
      <w:hyperlink r:id="rId30" w:history="1">
        <w:r w:rsidR="00A930D3" w:rsidRPr="00595565">
          <w:rPr>
            <w:rStyle w:val="Hyperlink"/>
            <w:lang w:val="en-CA"/>
          </w:rPr>
          <w:t>C23/17</w:t>
        </w:r>
      </w:hyperlink>
      <w:r w:rsidRPr="00595565">
        <w:rPr>
          <w:rtl/>
        </w:rPr>
        <w:t xml:space="preserve">، </w:t>
      </w:r>
      <w:hyperlink r:id="rId31" w:history="1">
        <w:r w:rsidR="00A930D3" w:rsidRPr="00595565">
          <w:rPr>
            <w:rStyle w:val="Hyperlink"/>
            <w:lang w:val="en-CA"/>
          </w:rPr>
          <w:t>C23/DT/4</w:t>
        </w:r>
      </w:hyperlink>
      <w:r w:rsidRPr="00595565">
        <w:rPr>
          <w:rtl/>
        </w:rPr>
        <w:t>)</w:t>
      </w:r>
    </w:p>
    <w:p w14:paraId="0256A55A" w14:textId="4C5B56C1" w:rsidR="008C4BA4" w:rsidRPr="00595565" w:rsidRDefault="008C4BA4" w:rsidP="000A48EB">
      <w:pPr>
        <w:rPr>
          <w:rtl/>
        </w:rPr>
      </w:pPr>
      <w:r w:rsidRPr="00595565">
        <w:rPr>
          <w:lang w:bidi="ar-SY"/>
        </w:rPr>
        <w:t>1.4</w:t>
      </w:r>
      <w:r w:rsidRPr="00595565">
        <w:rPr>
          <w:rtl/>
          <w:lang w:bidi="ar-SY"/>
        </w:rPr>
        <w:tab/>
      </w:r>
      <w:r w:rsidR="007B10C3" w:rsidRPr="00595565">
        <w:rPr>
          <w:rtl/>
          <w:lang w:bidi="ar-SY"/>
        </w:rPr>
        <w:t>قد</w:t>
      </w:r>
      <w:r w:rsidR="00D579FE">
        <w:rPr>
          <w:rFonts w:hint="cs"/>
          <w:rtl/>
          <w:lang w:bidi="ar-SY"/>
        </w:rPr>
        <w:t>ّ</w:t>
      </w:r>
      <w:r w:rsidR="007B10C3" w:rsidRPr="00595565">
        <w:rPr>
          <w:rtl/>
          <w:lang w:bidi="ar-SY"/>
        </w:rPr>
        <w:t>م ممثل</w:t>
      </w:r>
      <w:r w:rsidR="00617102" w:rsidRPr="00595565">
        <w:rPr>
          <w:rtl/>
          <w:lang w:bidi="ar-SY"/>
        </w:rPr>
        <w:t>ة</w:t>
      </w:r>
      <w:r w:rsidR="00480510" w:rsidRPr="00595565">
        <w:rPr>
          <w:rtl/>
          <w:lang w:bidi="ar-SY"/>
        </w:rPr>
        <w:t xml:space="preserve"> عن</w:t>
      </w:r>
      <w:r w:rsidR="007B10C3" w:rsidRPr="00595565">
        <w:rPr>
          <w:rtl/>
          <w:lang w:bidi="ar-SY"/>
        </w:rPr>
        <w:t xml:space="preserve"> الأمانة العامة الوثيقة </w:t>
      </w:r>
      <w:r w:rsidR="007B10C3" w:rsidRPr="00595565">
        <w:rPr>
          <w:lang w:bidi="ar-SY"/>
        </w:rPr>
        <w:t>C23/17</w:t>
      </w:r>
      <w:r w:rsidR="007B10C3" w:rsidRPr="00595565">
        <w:rPr>
          <w:rtl/>
          <w:lang w:bidi="ar-SY"/>
        </w:rPr>
        <w:t xml:space="preserve"> التي تحتوي على تقرير عن اليوم العالمي للاتصالات ومجتمع المعلومات (</w:t>
      </w:r>
      <w:r w:rsidR="007B10C3" w:rsidRPr="00595565">
        <w:rPr>
          <w:lang w:bidi="ar-SY"/>
        </w:rPr>
        <w:t>WTISD</w:t>
      </w:r>
      <w:r w:rsidR="007B10C3" w:rsidRPr="00595565">
        <w:rPr>
          <w:rtl/>
          <w:lang w:bidi="ar-SY"/>
        </w:rPr>
        <w:t xml:space="preserve">) الذي </w:t>
      </w:r>
      <w:r w:rsidR="00480510" w:rsidRPr="00595565">
        <w:rPr>
          <w:rtl/>
          <w:lang w:bidi="ar-SY"/>
        </w:rPr>
        <w:t xml:space="preserve">تم الاحتفال </w:t>
      </w:r>
      <w:r w:rsidR="007B10C3" w:rsidRPr="00595565">
        <w:rPr>
          <w:rtl/>
          <w:lang w:bidi="ar-SY"/>
        </w:rPr>
        <w:t>به في 17 مايو 2023 تحت موضوع</w:t>
      </w:r>
      <w:r w:rsidR="007B10C3" w:rsidRPr="00595565">
        <w:rPr>
          <w:rtl/>
        </w:rPr>
        <w:t xml:space="preserve"> </w:t>
      </w:r>
      <w:r w:rsidR="007668D4" w:rsidRPr="00595565">
        <w:rPr>
          <w:rtl/>
        </w:rPr>
        <w:t>"</w:t>
      </w:r>
      <w:r w:rsidR="007668D4" w:rsidRPr="00595565">
        <w:rPr>
          <w:rtl/>
          <w:lang w:bidi="ar-SY"/>
        </w:rPr>
        <w:t>تمكين أقل البلدان نمواً من خلال تكنولوجيا المعلومات والاتصالات"</w:t>
      </w:r>
      <w:r w:rsidR="007B10C3" w:rsidRPr="00595565">
        <w:rPr>
          <w:rtl/>
          <w:lang w:bidi="ar-SY"/>
        </w:rPr>
        <w:t>.</w:t>
      </w:r>
      <w:r w:rsidR="007B10C3" w:rsidRPr="00595565">
        <w:rPr>
          <w:rtl/>
        </w:rPr>
        <w:t xml:space="preserve"> </w:t>
      </w:r>
      <w:r w:rsidR="007B10C3" w:rsidRPr="00595565">
        <w:rPr>
          <w:rtl/>
          <w:lang w:bidi="ar-SY"/>
        </w:rPr>
        <w:t>وسجل التقرير دعوة الاتحاد إلى زيادة قيمة التعهدات لرقمنة العالم لتصل إلى 100 مليار دولار أمريكي بحلول عام 2026، ودعا كذلك أعضاء المجلس إلى تقديم مقترحات بشأن اليوم العالمي للاتصالات ومجتمع المعلومات لعام</w:t>
      </w:r>
      <w:r w:rsidR="007B10C3" w:rsidRPr="00595565">
        <w:rPr>
          <w:rtl/>
        </w:rPr>
        <w:t xml:space="preserve"> 2024. </w:t>
      </w:r>
      <w:dir w:val="rtl">
        <w:r w:rsidR="007B10C3" w:rsidRPr="00595565">
          <w:rPr>
            <w:rtl/>
          </w:rPr>
          <w:t>وورد مقترح من الصين ومقترح من المملكة المتحدة.</w:t>
        </w:r>
        <w:r w:rsidR="007B10C3" w:rsidRPr="00595565">
          <w:rPr>
            <w:rFonts w:ascii="Arial" w:hAnsi="Arial" w:cs="Arial" w:hint="cs"/>
            <w:rtl/>
          </w:rPr>
          <w:t>‬</w:t>
        </w:r>
        <w:r w:rsidR="007D4128" w:rsidRPr="00595565">
          <w:rPr>
            <w:rFonts w:ascii="Arial" w:hAnsi="Arial" w:cs="Arial"/>
          </w:rPr>
          <w:t>‬</w:t>
        </w:r>
        <w:r w:rsidR="00617102" w:rsidRPr="00595565">
          <w:rPr>
            <w:rFonts w:ascii="Arial" w:hAnsi="Arial" w:cs="Arial"/>
          </w:rPr>
          <w:t>‬</w:t>
        </w:r>
        <w:r w:rsidR="00A61FE2" w:rsidRPr="00595565">
          <w:rPr>
            <w:rFonts w:ascii="Arial" w:hAnsi="Arial" w:cs="Arial"/>
          </w:rPr>
          <w:t>‬</w:t>
        </w:r>
        <w:r w:rsidR="00107FD3">
          <w:t>‬</w:t>
        </w:r>
        <w:r w:rsidR="00302E06">
          <w:t>‬</w:t>
        </w:r>
      </w:dir>
    </w:p>
    <w:p w14:paraId="50A6CDEE" w14:textId="62A76F07" w:rsidR="006E1FF5" w:rsidRPr="00595565" w:rsidRDefault="008C4BA4" w:rsidP="000A48EB">
      <w:pPr>
        <w:rPr>
          <w:rtl/>
          <w:lang w:bidi="ar-SY"/>
        </w:rPr>
      </w:pPr>
      <w:r w:rsidRPr="00595565">
        <w:rPr>
          <w:lang w:bidi="ar-SY"/>
        </w:rPr>
        <w:t>2.4</w:t>
      </w:r>
      <w:r w:rsidRPr="00595565">
        <w:rPr>
          <w:rtl/>
          <w:lang w:bidi="ar-SY"/>
        </w:rPr>
        <w:tab/>
      </w:r>
      <w:r w:rsidR="006E1FF5" w:rsidRPr="00595565">
        <w:rPr>
          <w:rtl/>
          <w:lang w:bidi="ar-SY"/>
        </w:rPr>
        <w:t>وأكد الرئيس أنه، عقب مشاورات غير رسمية، سي</w:t>
      </w:r>
      <w:r w:rsidR="002E0321" w:rsidRPr="00595565">
        <w:rPr>
          <w:rtl/>
          <w:lang w:bidi="ar-SY"/>
        </w:rPr>
        <w:t>ُ</w:t>
      </w:r>
      <w:r w:rsidR="006E1FF5" w:rsidRPr="00595565">
        <w:rPr>
          <w:rtl/>
          <w:lang w:bidi="ar-SY"/>
        </w:rPr>
        <w:t>عتمد موضوع "</w:t>
      </w:r>
      <w:r w:rsidR="006E1FF5" w:rsidRPr="00595565">
        <w:rPr>
          <w:spacing w:val="2"/>
          <w:rtl/>
          <w:lang w:val="en-GB" w:bidi="ar-JO"/>
        </w:rPr>
        <w:t xml:space="preserve">الابتكار الرقمي من أجل تحقيق التنمية المستدامة" </w:t>
      </w:r>
      <w:r w:rsidR="006E1FF5" w:rsidRPr="00595565">
        <w:rPr>
          <w:rtl/>
          <w:lang w:bidi="ar-SY"/>
        </w:rPr>
        <w:t>الذي اقترحته الصين من أجل اليوم العالمي للاتصالات ومجتمع المعلومات لعام</w:t>
      </w:r>
      <w:r w:rsidR="006E1FF5" w:rsidRPr="00595565">
        <w:rPr>
          <w:rtl/>
        </w:rPr>
        <w:t xml:space="preserve"> 2024</w:t>
      </w:r>
      <w:r w:rsidR="006E1FF5" w:rsidRPr="00595565">
        <w:rPr>
          <w:rtl/>
          <w:lang w:bidi="ar-SY"/>
        </w:rPr>
        <w:t>، وسي</w:t>
      </w:r>
      <w:r w:rsidR="002E0321" w:rsidRPr="00595565">
        <w:rPr>
          <w:rtl/>
          <w:lang w:bidi="ar-SY"/>
        </w:rPr>
        <w:t>ُ</w:t>
      </w:r>
      <w:r w:rsidR="006E1FF5" w:rsidRPr="00595565">
        <w:rPr>
          <w:rtl/>
          <w:lang w:bidi="ar-SY"/>
        </w:rPr>
        <w:t>عتمد موضوع "المساواة بين الجنسين في مجال التحول الرقمي" الذي اقترحته المملكة المتحدة من أجل اليوم العالمي للاتصالات ومجتمع المعلومات لعام</w:t>
      </w:r>
      <w:r w:rsidR="00E426F9" w:rsidRPr="00595565">
        <w:rPr>
          <w:rtl/>
        </w:rPr>
        <w:t> </w:t>
      </w:r>
      <w:r w:rsidR="006E1FF5" w:rsidRPr="00595565">
        <w:rPr>
          <w:rtl/>
        </w:rPr>
        <w:t>2025</w:t>
      </w:r>
      <w:r w:rsidR="006E1FF5" w:rsidRPr="00595565">
        <w:rPr>
          <w:rtl/>
          <w:lang w:bidi="ar-SY"/>
        </w:rPr>
        <w:t xml:space="preserve">، على النحو المبين في مشروع القرار الجديد الوارد في الوثيقة </w:t>
      </w:r>
      <w:r w:rsidR="006E1FF5" w:rsidRPr="00595565">
        <w:rPr>
          <w:lang w:bidi="ar-SY"/>
        </w:rPr>
        <w:t>C23/DT/4</w:t>
      </w:r>
      <w:r w:rsidR="006E1FF5" w:rsidRPr="00595565">
        <w:rPr>
          <w:rtl/>
          <w:lang w:bidi="ar-SY"/>
        </w:rPr>
        <w:t>.</w:t>
      </w:r>
    </w:p>
    <w:p w14:paraId="3D257976" w14:textId="3E924F84" w:rsidR="008C4BA4" w:rsidRPr="00595565" w:rsidRDefault="008C4BA4" w:rsidP="008C4BA4">
      <w:pPr>
        <w:rPr>
          <w:rtl/>
        </w:rPr>
      </w:pPr>
      <w:r w:rsidRPr="00595565">
        <w:rPr>
          <w:lang w:bidi="ar-SY"/>
        </w:rPr>
        <w:t>3.4</w:t>
      </w:r>
      <w:r w:rsidRPr="00595565">
        <w:rPr>
          <w:rtl/>
          <w:lang w:bidi="ar-SY"/>
        </w:rPr>
        <w:tab/>
      </w:r>
      <w:r w:rsidR="002E0321" w:rsidRPr="00595565">
        <w:rPr>
          <w:b/>
          <w:bCs/>
          <w:rtl/>
          <w:lang w:bidi="ar-SY"/>
        </w:rPr>
        <w:t>أحاط</w:t>
      </w:r>
      <w:r w:rsidR="002E0321" w:rsidRPr="00595565">
        <w:rPr>
          <w:rtl/>
          <w:lang w:bidi="ar-SY"/>
        </w:rPr>
        <w:t xml:space="preserve"> المجلس </w:t>
      </w:r>
      <w:r w:rsidR="002E0321" w:rsidRPr="00595565">
        <w:rPr>
          <w:b/>
          <w:bCs/>
          <w:rtl/>
          <w:lang w:bidi="ar-SY"/>
        </w:rPr>
        <w:t>علماً</w:t>
      </w:r>
      <w:r w:rsidR="002E0321" w:rsidRPr="00595565">
        <w:rPr>
          <w:rtl/>
          <w:lang w:bidi="ar-SY"/>
        </w:rPr>
        <w:t xml:space="preserve"> بالتقرير الوارد في الوثيقة </w:t>
      </w:r>
      <w:r w:rsidR="002E0321" w:rsidRPr="00595565">
        <w:rPr>
          <w:lang w:val="en-GB" w:bidi="ar-SY"/>
        </w:rPr>
        <w:t>C23/17</w:t>
      </w:r>
      <w:r w:rsidRPr="00595565">
        <w:rPr>
          <w:rtl/>
          <w:lang w:bidi="ar-SY"/>
        </w:rPr>
        <w:t xml:space="preserve"> </w:t>
      </w:r>
      <w:r w:rsidR="002E0321" w:rsidRPr="00595565">
        <w:rPr>
          <w:rtl/>
        </w:rPr>
        <w:t>و</w:t>
      </w:r>
      <w:r w:rsidR="002E0321" w:rsidRPr="00595565">
        <w:rPr>
          <w:b/>
          <w:bCs/>
          <w:rtl/>
        </w:rPr>
        <w:t>اعتمد</w:t>
      </w:r>
      <w:r w:rsidR="002E0321" w:rsidRPr="00595565">
        <w:rPr>
          <w:rtl/>
        </w:rPr>
        <w:t xml:space="preserve"> القرار الوارد في الوثيقة </w:t>
      </w:r>
      <w:r w:rsidR="002E0321" w:rsidRPr="00595565">
        <w:rPr>
          <w:lang w:bidi="ar-SY"/>
        </w:rPr>
        <w:t>C23/DT/4</w:t>
      </w:r>
      <w:r w:rsidR="002E0321" w:rsidRPr="00595565">
        <w:rPr>
          <w:rtl/>
        </w:rPr>
        <w:t>.</w:t>
      </w:r>
    </w:p>
    <w:p w14:paraId="6F2AF1B4" w14:textId="36B6FF61" w:rsidR="008C4BA4" w:rsidRPr="00595565" w:rsidRDefault="007668D4" w:rsidP="00E426F9">
      <w:pPr>
        <w:pStyle w:val="Heading1"/>
        <w:rPr>
          <w:rtl/>
        </w:rPr>
      </w:pPr>
      <w:r w:rsidRPr="00595565">
        <w:rPr>
          <w:lang w:bidi="ar-SY"/>
        </w:rPr>
        <w:t>5</w:t>
      </w:r>
      <w:r w:rsidRPr="00595565">
        <w:rPr>
          <w:rtl/>
          <w:lang w:bidi="ar-SY"/>
        </w:rPr>
        <w:tab/>
      </w:r>
      <w:r w:rsidRPr="00595565">
        <w:rPr>
          <w:rtl/>
        </w:rPr>
        <w:t xml:space="preserve">الاستعراض الدوري للوائح الاتصالات الدولية (تابع) (الوثائق </w:t>
      </w:r>
      <w:hyperlink r:id="rId32" w:history="1">
        <w:r w:rsidRPr="00595565">
          <w:rPr>
            <w:rStyle w:val="Hyperlink"/>
            <w:lang w:val="en-CA"/>
          </w:rPr>
          <w:t>C23/12</w:t>
        </w:r>
      </w:hyperlink>
      <w:r w:rsidRPr="00595565">
        <w:rPr>
          <w:rtl/>
        </w:rPr>
        <w:t xml:space="preserve">، </w:t>
      </w:r>
      <w:r w:rsidR="002E0321" w:rsidRPr="00595565">
        <w:rPr>
          <w:rtl/>
        </w:rPr>
        <w:t>و</w:t>
      </w:r>
      <w:hyperlink r:id="rId33" w:history="1">
        <w:r w:rsidRPr="00595565">
          <w:rPr>
            <w:rStyle w:val="Hyperlink"/>
            <w:lang w:val="en-CA"/>
          </w:rPr>
          <w:t>C23/66</w:t>
        </w:r>
      </w:hyperlink>
      <w:r w:rsidRPr="00595565">
        <w:rPr>
          <w:rtl/>
        </w:rPr>
        <w:t xml:space="preserve">، </w:t>
      </w:r>
      <w:r w:rsidR="002E0321" w:rsidRPr="00595565">
        <w:rPr>
          <w:rtl/>
        </w:rPr>
        <w:t>و</w:t>
      </w:r>
      <w:hyperlink r:id="rId34" w:history="1">
        <w:r w:rsidRPr="00595565">
          <w:rPr>
            <w:rStyle w:val="Hyperlink"/>
            <w:lang w:val="en-CA"/>
          </w:rPr>
          <w:t>C23/73</w:t>
        </w:r>
      </w:hyperlink>
      <w:r w:rsidRPr="00595565">
        <w:rPr>
          <w:rtl/>
        </w:rPr>
        <w:t xml:space="preserve">، </w:t>
      </w:r>
      <w:hyperlink r:id="rId35" w:history="1">
        <w:r w:rsidRPr="00595565">
          <w:rPr>
            <w:rStyle w:val="Hyperlink"/>
          </w:rPr>
          <w:t>C23/77</w:t>
        </w:r>
        <w:r w:rsidRPr="00595565">
          <w:rPr>
            <w:rStyle w:val="Hyperlink"/>
            <w:rtl/>
            <w:lang w:bidi="ar-SY"/>
          </w:rPr>
          <w:t xml:space="preserve"> + التصويب </w:t>
        </w:r>
        <w:r w:rsidRPr="00595565">
          <w:rPr>
            <w:rStyle w:val="Hyperlink"/>
            <w:lang w:bidi="ar-SY"/>
          </w:rPr>
          <w:t>1</w:t>
        </w:r>
      </w:hyperlink>
      <w:r w:rsidRPr="00595565">
        <w:rPr>
          <w:rtl/>
          <w:lang w:bidi="ar-SY"/>
        </w:rPr>
        <w:t xml:space="preserve">، </w:t>
      </w:r>
      <w:r w:rsidR="002E0321" w:rsidRPr="00595565">
        <w:rPr>
          <w:rtl/>
          <w:lang w:bidi="ar-SY"/>
        </w:rPr>
        <w:t>و</w:t>
      </w:r>
      <w:hyperlink r:id="rId36" w:history="1">
        <w:r w:rsidRPr="00595565">
          <w:rPr>
            <w:rStyle w:val="Hyperlink"/>
            <w:lang w:bidi="ar-SY"/>
          </w:rPr>
          <w:t>C23/88</w:t>
        </w:r>
        <w:r w:rsidRPr="00595565">
          <w:rPr>
            <w:rStyle w:val="Hyperlink"/>
            <w:rtl/>
            <w:lang w:bidi="ar-SY"/>
          </w:rPr>
          <w:t xml:space="preserve"> + التصويب</w:t>
        </w:r>
        <w:r w:rsidR="002E0321" w:rsidRPr="00595565">
          <w:rPr>
            <w:rStyle w:val="Hyperlink"/>
            <w:rtl/>
            <w:lang w:bidi="ar-SY"/>
          </w:rPr>
          <w:t>ي</w:t>
        </w:r>
        <w:r w:rsidRPr="00595565">
          <w:rPr>
            <w:rStyle w:val="Hyperlink"/>
            <w:rtl/>
            <w:lang w:bidi="ar-SY"/>
          </w:rPr>
          <w:t xml:space="preserve">ن </w:t>
        </w:r>
        <w:r w:rsidRPr="00595565">
          <w:rPr>
            <w:rStyle w:val="Hyperlink"/>
            <w:lang w:bidi="ar-SY"/>
          </w:rPr>
          <w:t>1</w:t>
        </w:r>
        <w:r w:rsidRPr="00595565">
          <w:rPr>
            <w:rStyle w:val="Hyperlink"/>
            <w:rtl/>
            <w:lang w:bidi="ar-SY"/>
          </w:rPr>
          <w:t>،</w:t>
        </w:r>
        <w:r w:rsidRPr="00595565">
          <w:rPr>
            <w:rStyle w:val="Hyperlink"/>
            <w:lang w:bidi="ar-SY"/>
          </w:rPr>
          <w:t>2</w:t>
        </w:r>
      </w:hyperlink>
      <w:r w:rsidRPr="00595565">
        <w:rPr>
          <w:rtl/>
          <w:lang w:bidi="ar-SY"/>
        </w:rPr>
        <w:t xml:space="preserve">، </w:t>
      </w:r>
      <w:r w:rsidR="002E0321" w:rsidRPr="00595565">
        <w:rPr>
          <w:rtl/>
          <w:lang w:bidi="ar-SY"/>
        </w:rPr>
        <w:t>و</w:t>
      </w:r>
      <w:hyperlink r:id="rId37" w:history="1">
        <w:r w:rsidRPr="00595565">
          <w:rPr>
            <w:rStyle w:val="Hyperlink"/>
            <w:lang w:val="en-CA"/>
          </w:rPr>
          <w:t>C23/DT/5</w:t>
        </w:r>
      </w:hyperlink>
      <w:r w:rsidRPr="00595565">
        <w:rPr>
          <w:rtl/>
        </w:rPr>
        <w:t>)</w:t>
      </w:r>
    </w:p>
    <w:p w14:paraId="34B84A74" w14:textId="05BCF4E1" w:rsidR="0022718C" w:rsidRPr="00595565" w:rsidRDefault="007668D4" w:rsidP="00E426F9">
      <w:pPr>
        <w:rPr>
          <w:rtl/>
        </w:rPr>
      </w:pPr>
      <w:r w:rsidRPr="00595565">
        <w:t>1.5</w:t>
      </w:r>
      <w:r w:rsidRPr="00595565">
        <w:rPr>
          <w:rtl/>
          <w:lang w:bidi="ar-SY"/>
        </w:rPr>
        <w:tab/>
      </w:r>
      <w:r w:rsidR="007C696F" w:rsidRPr="00595565">
        <w:rPr>
          <w:rtl/>
          <w:lang w:bidi="ar-SY"/>
        </w:rPr>
        <w:t>قال عضو المجلس من جزر البهاما في معرض الإبلاغ عن النتائج الناجحة للمشاورات غير الرسمية مع الدول الأعضاء والمنسقين الإقليميين والأطراف المهتمة، إن</w:t>
      </w:r>
      <w:r w:rsidR="00480510" w:rsidRPr="00595565">
        <w:rPr>
          <w:rtl/>
          <w:lang w:bidi="ar-SY"/>
        </w:rPr>
        <w:t>ه تم الاتفاق على اختصاصات</w:t>
      </w:r>
      <w:r w:rsidR="007C696F" w:rsidRPr="00595565">
        <w:rPr>
          <w:rtl/>
          <w:lang w:bidi="ar-SY"/>
        </w:rPr>
        <w:t xml:space="preserve"> فريق الخبراء المعني بلوائح الاتصالات الدولية</w:t>
      </w:r>
      <w:r w:rsidR="00480510" w:rsidRPr="00595565">
        <w:rPr>
          <w:rtl/>
          <w:lang w:bidi="ar-SY"/>
        </w:rPr>
        <w:t xml:space="preserve"> فيما يتعلق</w:t>
      </w:r>
      <w:r w:rsidR="007C696F" w:rsidRPr="00595565">
        <w:rPr>
          <w:rtl/>
          <w:lang w:bidi="ar-SY"/>
        </w:rPr>
        <w:t xml:space="preserve"> </w:t>
      </w:r>
      <w:r w:rsidR="00480510" w:rsidRPr="00595565">
        <w:rPr>
          <w:rtl/>
          <w:lang w:bidi="ar-SY"/>
        </w:rPr>
        <w:t>ب</w:t>
      </w:r>
      <w:r w:rsidR="007C696F" w:rsidRPr="00595565">
        <w:rPr>
          <w:rtl/>
          <w:lang w:bidi="ar-SY"/>
        </w:rPr>
        <w:t>الاستعراض الدوري للوائح الاتصالات الدولية وفقاً لما يقتضيه القرار 146 (المراج</w:t>
      </w:r>
      <w:r w:rsidR="00E426F9" w:rsidRPr="00595565">
        <w:rPr>
          <w:rtl/>
          <w:lang w:bidi="ar-SY"/>
        </w:rPr>
        <w:t>َ</w:t>
      </w:r>
      <w:r w:rsidR="007C696F" w:rsidRPr="00595565">
        <w:rPr>
          <w:rtl/>
          <w:lang w:bidi="ar-SY"/>
        </w:rPr>
        <w:t>ع في بوخارست، 2022).</w:t>
      </w:r>
      <w:r w:rsidR="0022718C" w:rsidRPr="00595565">
        <w:rPr>
          <w:rtl/>
          <w:lang w:bidi="ar-SY"/>
        </w:rPr>
        <w:t xml:space="preserve"> ويمثل النص التوافقي الوارد في مشروع مراجعة القرار 1379 (</w:t>
      </w:r>
      <w:r w:rsidR="002C6CAF" w:rsidRPr="00595565">
        <w:rPr>
          <w:rtl/>
          <w:lang w:bidi="ar-SY"/>
        </w:rPr>
        <w:t>دورة المجلس لعام 2016</w:t>
      </w:r>
      <w:r w:rsidR="00480510" w:rsidRPr="00595565">
        <w:rPr>
          <w:rtl/>
          <w:lang w:bidi="ar-SY"/>
        </w:rPr>
        <w:t>،</w:t>
      </w:r>
      <w:r w:rsidR="0022718C" w:rsidRPr="00595565">
        <w:rPr>
          <w:rtl/>
          <w:lang w:bidi="ar-SY"/>
        </w:rPr>
        <w:t xml:space="preserve"> </w:t>
      </w:r>
      <w:r w:rsidR="00480510" w:rsidRPr="00595565">
        <w:rPr>
          <w:rtl/>
          <w:lang w:bidi="ar-SY"/>
        </w:rPr>
        <w:t>التعديل الأخير</w:t>
      </w:r>
      <w:r w:rsidR="0022718C" w:rsidRPr="00595565">
        <w:rPr>
          <w:rtl/>
          <w:lang w:bidi="ar-SY"/>
        </w:rPr>
        <w:t xml:space="preserve"> في دورة المجلس لعام </w:t>
      </w:r>
      <w:r w:rsidR="00480510" w:rsidRPr="00595565">
        <w:rPr>
          <w:rtl/>
          <w:lang w:bidi="ar-SY"/>
        </w:rPr>
        <w:t>2019</w:t>
      </w:r>
      <w:r w:rsidR="0022718C" w:rsidRPr="00595565">
        <w:rPr>
          <w:rtl/>
          <w:lang w:bidi="ar-SY"/>
        </w:rPr>
        <w:t xml:space="preserve">) الوارد في الوثيقة </w:t>
      </w:r>
      <w:r w:rsidR="0022718C" w:rsidRPr="00595565">
        <w:rPr>
          <w:lang w:bidi="ar-SY"/>
        </w:rPr>
        <w:t>C23/DT/5</w:t>
      </w:r>
      <w:r w:rsidR="0022718C" w:rsidRPr="00595565">
        <w:rPr>
          <w:rtl/>
          <w:lang w:bidi="ar-SY"/>
        </w:rPr>
        <w:t xml:space="preserve">، توازناً دقيقاً بين المساهمات المقدمة من الدول الأعضاء في الوثائق </w:t>
      </w:r>
      <w:r w:rsidR="0022718C" w:rsidRPr="00595565">
        <w:rPr>
          <w:lang w:bidi="ar-SY"/>
        </w:rPr>
        <w:t>C23/66</w:t>
      </w:r>
      <w:r w:rsidR="0022718C" w:rsidRPr="00595565">
        <w:rPr>
          <w:rtl/>
          <w:lang w:bidi="ar-SY"/>
        </w:rPr>
        <w:t xml:space="preserve"> و</w:t>
      </w:r>
      <w:r w:rsidR="0022718C" w:rsidRPr="00595565">
        <w:rPr>
          <w:lang w:bidi="ar-SY"/>
        </w:rPr>
        <w:t>C23/73</w:t>
      </w:r>
      <w:r w:rsidR="0022718C" w:rsidRPr="00595565">
        <w:rPr>
          <w:rtl/>
          <w:lang w:bidi="ar-SY"/>
        </w:rPr>
        <w:t xml:space="preserve"> </w:t>
      </w:r>
      <w:r w:rsidR="0022718C" w:rsidRPr="00D579FE">
        <w:rPr>
          <w:rtl/>
          <w:lang w:bidi="ar-SY"/>
        </w:rPr>
        <w:t>و</w:t>
      </w:r>
      <w:r w:rsidR="0022718C" w:rsidRPr="00D579FE">
        <w:rPr>
          <w:lang w:bidi="ar-SY"/>
        </w:rPr>
        <w:t>C23/77</w:t>
      </w:r>
      <w:r w:rsidR="00D579FE" w:rsidRPr="00D579FE">
        <w:rPr>
          <w:rFonts w:hint="cs"/>
          <w:rtl/>
          <w:lang w:bidi="ar-SY"/>
        </w:rPr>
        <w:t> + التصويب 1</w:t>
      </w:r>
      <w:r w:rsidR="0022718C" w:rsidRPr="00D579FE">
        <w:rPr>
          <w:rtl/>
          <w:lang w:bidi="ar-SY"/>
        </w:rPr>
        <w:t xml:space="preserve"> و</w:t>
      </w:r>
      <w:r w:rsidR="0022718C" w:rsidRPr="00D579FE">
        <w:rPr>
          <w:lang w:bidi="ar-SY"/>
        </w:rPr>
        <w:t>C23/88</w:t>
      </w:r>
      <w:r w:rsidR="00D579FE" w:rsidRPr="00D579FE">
        <w:rPr>
          <w:rFonts w:hint="cs"/>
          <w:rtl/>
          <w:lang w:bidi="ar-SY"/>
        </w:rPr>
        <w:t> + التصويب 1</w:t>
      </w:r>
      <w:r w:rsidR="0022718C" w:rsidRPr="00D579FE">
        <w:rPr>
          <w:rtl/>
          <w:lang w:bidi="ar-SY"/>
        </w:rPr>
        <w:t xml:space="preserve"> و</w:t>
      </w:r>
      <w:r w:rsidR="00192404" w:rsidRPr="00D579FE">
        <w:rPr>
          <w:lang w:bidi="ar-SY"/>
        </w:rPr>
        <w:t>C23/88</w:t>
      </w:r>
      <w:r w:rsidR="00D579FE" w:rsidRPr="00D579FE">
        <w:rPr>
          <w:rFonts w:hint="cs"/>
          <w:rtl/>
          <w:lang w:bidi="ar-SY"/>
        </w:rPr>
        <w:t> + التصويب 2.</w:t>
      </w:r>
    </w:p>
    <w:p w14:paraId="06610F58" w14:textId="2956CF0A" w:rsidR="007668D4" w:rsidRPr="00595565" w:rsidRDefault="007668D4" w:rsidP="007668D4">
      <w:pPr>
        <w:rPr>
          <w:rtl/>
        </w:rPr>
      </w:pPr>
      <w:r w:rsidRPr="00595565">
        <w:t>2.5</w:t>
      </w:r>
      <w:r w:rsidRPr="00595565">
        <w:rPr>
          <w:rtl/>
          <w:lang w:bidi="ar-SY"/>
        </w:rPr>
        <w:tab/>
      </w:r>
      <w:r w:rsidR="00B61CC6" w:rsidRPr="00595565">
        <w:rPr>
          <w:rtl/>
          <w:lang w:bidi="ar-SY"/>
        </w:rPr>
        <w:t>و</w:t>
      </w:r>
      <w:r w:rsidR="00B61CC6" w:rsidRPr="00595565">
        <w:rPr>
          <w:b/>
          <w:bCs/>
          <w:rtl/>
          <w:lang w:bidi="ar-SY"/>
        </w:rPr>
        <w:t>اعتمد</w:t>
      </w:r>
      <w:r w:rsidR="00B61CC6" w:rsidRPr="00595565">
        <w:rPr>
          <w:rtl/>
          <w:lang w:bidi="ar-SY"/>
        </w:rPr>
        <w:t xml:space="preserve"> المجلس مراجعة القرار 1379 (دورة المجلس لعام 2016</w:t>
      </w:r>
      <w:r w:rsidR="00480510" w:rsidRPr="00595565">
        <w:rPr>
          <w:rtl/>
          <w:lang w:bidi="ar-SY"/>
        </w:rPr>
        <w:t>،</w:t>
      </w:r>
      <w:r w:rsidR="00B61CC6" w:rsidRPr="00595565">
        <w:rPr>
          <w:rtl/>
          <w:lang w:bidi="ar-SY"/>
        </w:rPr>
        <w:t xml:space="preserve"> </w:t>
      </w:r>
      <w:r w:rsidR="00480510" w:rsidRPr="00595565">
        <w:rPr>
          <w:rtl/>
          <w:lang w:bidi="ar-SY"/>
        </w:rPr>
        <w:t>التعديل الأخير</w:t>
      </w:r>
      <w:r w:rsidR="00B61CC6" w:rsidRPr="00595565">
        <w:rPr>
          <w:rtl/>
          <w:lang w:bidi="ar-SY"/>
        </w:rPr>
        <w:t xml:space="preserve"> في دورة المجلس لعام </w:t>
      </w:r>
      <w:r w:rsidR="00480510" w:rsidRPr="00595565">
        <w:rPr>
          <w:rtl/>
          <w:lang w:bidi="ar-SY"/>
        </w:rPr>
        <w:t>2019</w:t>
      </w:r>
      <w:r w:rsidR="00B61CC6" w:rsidRPr="00595565">
        <w:rPr>
          <w:rtl/>
          <w:lang w:bidi="ar-SY"/>
        </w:rPr>
        <w:t xml:space="preserve">) الوارد في الوثيقة </w:t>
      </w:r>
      <w:r w:rsidR="00B61CC6" w:rsidRPr="00595565">
        <w:rPr>
          <w:lang w:bidi="ar-SY"/>
        </w:rPr>
        <w:t>C23/DT/5</w:t>
      </w:r>
      <w:r w:rsidR="00B61CC6" w:rsidRPr="00595565">
        <w:rPr>
          <w:rtl/>
        </w:rPr>
        <w:t>.</w:t>
      </w:r>
    </w:p>
    <w:p w14:paraId="52A5EE83" w14:textId="6D7FFD67" w:rsidR="007668D4" w:rsidRPr="00595565" w:rsidRDefault="007668D4" w:rsidP="007668D4">
      <w:pPr>
        <w:pStyle w:val="Heading1"/>
        <w:rPr>
          <w:rtl/>
        </w:rPr>
      </w:pPr>
      <w:r w:rsidRPr="00595565">
        <w:rPr>
          <w:lang w:bidi="ar-SY"/>
        </w:rPr>
        <w:t>6</w:t>
      </w:r>
      <w:r w:rsidRPr="00595565">
        <w:rPr>
          <w:rtl/>
          <w:lang w:bidi="ar-SY"/>
        </w:rPr>
        <w:tab/>
      </w:r>
      <w:r w:rsidRPr="00595565">
        <w:rPr>
          <w:rtl/>
        </w:rPr>
        <w:t>الأعمال التحضيرية للمنتدى العالمي لسياسات الاتصالات/تكنولوجيا المعلومات والاتصالات لعام 2026 (</w:t>
      </w:r>
      <w:r w:rsidRPr="00595565">
        <w:t>WTPF-26</w:t>
      </w:r>
      <w:r w:rsidRPr="00595565">
        <w:rPr>
          <w:rtl/>
        </w:rPr>
        <w:t xml:space="preserve">) (الوثيقة </w:t>
      </w:r>
      <w:hyperlink r:id="rId38" w:history="1">
        <w:r w:rsidRPr="00595565">
          <w:rPr>
            <w:rStyle w:val="Hyperlink"/>
            <w:szCs w:val="24"/>
            <w:lang w:val="en-CA"/>
          </w:rPr>
          <w:t>C23/13</w:t>
        </w:r>
      </w:hyperlink>
      <w:r w:rsidRPr="00595565">
        <w:rPr>
          <w:rtl/>
        </w:rPr>
        <w:t>)</w:t>
      </w:r>
    </w:p>
    <w:p w14:paraId="5C164FA1" w14:textId="0CCEF8A6" w:rsidR="00B81577" w:rsidRPr="00595565" w:rsidRDefault="007668D4" w:rsidP="00E426F9">
      <w:pPr>
        <w:rPr>
          <w:rtl/>
          <w:lang w:val="en-GB"/>
        </w:rPr>
      </w:pPr>
      <w:r w:rsidRPr="00595565">
        <w:t>1.6</w:t>
      </w:r>
      <w:r w:rsidRPr="00595565">
        <w:rPr>
          <w:rtl/>
          <w:lang w:bidi="ar-SY"/>
        </w:rPr>
        <w:tab/>
      </w:r>
      <w:r w:rsidR="00B81577" w:rsidRPr="00595565">
        <w:rPr>
          <w:rtl/>
          <w:lang w:bidi="ar-SY"/>
        </w:rPr>
        <w:t>قد</w:t>
      </w:r>
      <w:r w:rsidR="008C0705">
        <w:rPr>
          <w:rFonts w:hint="cs"/>
          <w:rtl/>
          <w:lang w:bidi="ar-SY"/>
        </w:rPr>
        <w:t>ّ</w:t>
      </w:r>
      <w:r w:rsidR="00B81577" w:rsidRPr="00595565">
        <w:rPr>
          <w:rtl/>
          <w:lang w:bidi="ar-SY"/>
        </w:rPr>
        <w:t>م ممثل</w:t>
      </w:r>
      <w:r w:rsidR="00480510" w:rsidRPr="00595565">
        <w:rPr>
          <w:rtl/>
          <w:lang w:bidi="ar-SY"/>
        </w:rPr>
        <w:t xml:space="preserve"> عن</w:t>
      </w:r>
      <w:r w:rsidR="00B81577" w:rsidRPr="00595565">
        <w:rPr>
          <w:rtl/>
          <w:lang w:bidi="ar-SY"/>
        </w:rPr>
        <w:t xml:space="preserve"> الأمانة العامة الوثيقة </w:t>
      </w:r>
      <w:r w:rsidR="00B81577" w:rsidRPr="00595565">
        <w:rPr>
          <w:lang w:bidi="ar-SY"/>
        </w:rPr>
        <w:t>C23/13</w:t>
      </w:r>
      <w:r w:rsidR="00B81577" w:rsidRPr="00595565">
        <w:rPr>
          <w:rtl/>
          <w:lang w:bidi="ar-SY"/>
        </w:rPr>
        <w:t xml:space="preserve"> التي </w:t>
      </w:r>
      <w:r w:rsidR="00480510" w:rsidRPr="00595565">
        <w:rPr>
          <w:rtl/>
          <w:lang w:bidi="ar-SY"/>
        </w:rPr>
        <w:t xml:space="preserve">تبين </w:t>
      </w:r>
      <w:r w:rsidR="00B81577" w:rsidRPr="00595565">
        <w:rPr>
          <w:rtl/>
          <w:lang w:bidi="ar-SY"/>
        </w:rPr>
        <w:t>المتطلبات المنصوص عليها في القرار 2 (المراج</w:t>
      </w:r>
      <w:r w:rsidR="00E426F9" w:rsidRPr="00595565">
        <w:rPr>
          <w:rtl/>
          <w:lang w:bidi="ar-SY"/>
        </w:rPr>
        <w:t>َ</w:t>
      </w:r>
      <w:r w:rsidR="00B81577" w:rsidRPr="00595565">
        <w:rPr>
          <w:rtl/>
          <w:lang w:bidi="ar-SY"/>
        </w:rPr>
        <w:t xml:space="preserve">ع في بوخارست، 2022) </w:t>
      </w:r>
      <w:r w:rsidR="004D4330" w:rsidRPr="00595565">
        <w:rPr>
          <w:rtl/>
          <w:lang w:bidi="ar-SY"/>
        </w:rPr>
        <w:t>بأن يحدد</w:t>
      </w:r>
      <w:r w:rsidR="00B81577" w:rsidRPr="00595565">
        <w:rPr>
          <w:rtl/>
          <w:lang w:bidi="ar-SY"/>
        </w:rPr>
        <w:t xml:space="preserve"> المجلس مدة المنتدى العالمي لسياسات الاتصالات/تكنولوجيا المعلومات والاتصالات المقرر عقده في عام 2026 (</w:t>
      </w:r>
      <w:r w:rsidR="00B81577" w:rsidRPr="00595565">
        <w:rPr>
          <w:lang w:bidi="ar-SY"/>
        </w:rPr>
        <w:t>WTPF-26</w:t>
      </w:r>
      <w:r w:rsidR="00B81577" w:rsidRPr="00595565">
        <w:rPr>
          <w:rtl/>
          <w:lang w:bidi="ar-SY"/>
        </w:rPr>
        <w:t xml:space="preserve">) </w:t>
      </w:r>
      <w:r w:rsidR="004D4330" w:rsidRPr="00595565">
        <w:rPr>
          <w:rtl/>
          <w:lang w:bidi="ar-SY"/>
        </w:rPr>
        <w:t>وتاريخه</w:t>
      </w:r>
      <w:r w:rsidR="00B81577" w:rsidRPr="00595565">
        <w:rPr>
          <w:rtl/>
          <w:lang w:bidi="ar-SY"/>
        </w:rPr>
        <w:t xml:space="preserve"> ومكان انعقاده وجدول أعماله </w:t>
      </w:r>
      <w:r w:rsidR="004D4330" w:rsidRPr="00595565">
        <w:rPr>
          <w:rtl/>
          <w:lang w:bidi="ar-SY"/>
        </w:rPr>
        <w:t>والمواضيع التي سيتناولها.</w:t>
      </w:r>
    </w:p>
    <w:p w14:paraId="517B3CBA" w14:textId="6AACC9C7" w:rsidR="00C53882" w:rsidRPr="00595565" w:rsidRDefault="007668D4" w:rsidP="00E426F9">
      <w:pPr>
        <w:rPr>
          <w:rtl/>
          <w:lang w:bidi="ar-SY"/>
        </w:rPr>
      </w:pPr>
      <w:r w:rsidRPr="00595565">
        <w:t>2.6</w:t>
      </w:r>
      <w:r w:rsidRPr="00595565">
        <w:rPr>
          <w:rtl/>
          <w:lang w:bidi="ar-SY"/>
        </w:rPr>
        <w:tab/>
      </w:r>
      <w:r w:rsidR="00C53882" w:rsidRPr="00595565">
        <w:rPr>
          <w:rtl/>
          <w:lang w:bidi="ar-SY"/>
        </w:rPr>
        <w:t xml:space="preserve">واقترح أحد أعضاء المجلس اتخاذ قرار نهائي بشأن المقترحات في دورة المجلس لعام 2024. وطلب أحد المراقبين عقد اجتماع لفريق خبراء غير رسمي في أقرب وقت ممكن في 2023 لإعداد مقترحات بشأن مواضيع المنتدى </w:t>
      </w:r>
      <w:r w:rsidR="00C53882" w:rsidRPr="00595565">
        <w:rPr>
          <w:lang w:bidi="ar-SY"/>
        </w:rPr>
        <w:t>WTPF-26</w:t>
      </w:r>
      <w:r w:rsidR="00C53882" w:rsidRPr="00595565">
        <w:rPr>
          <w:rtl/>
          <w:lang w:bidi="ar-SY"/>
        </w:rPr>
        <w:t xml:space="preserve"> لتقديمها إلى دورة المجلس لعام 2024.</w:t>
      </w:r>
    </w:p>
    <w:p w14:paraId="18089B62" w14:textId="1117F1BF" w:rsidR="007668D4" w:rsidRPr="00595565" w:rsidRDefault="007668D4" w:rsidP="00E426F9">
      <w:pPr>
        <w:rPr>
          <w:rtl/>
        </w:rPr>
      </w:pPr>
      <w:r w:rsidRPr="00595565">
        <w:t>3.6</w:t>
      </w:r>
      <w:r w:rsidRPr="00595565">
        <w:rPr>
          <w:rtl/>
          <w:lang w:bidi="ar-SY"/>
        </w:rPr>
        <w:tab/>
      </w:r>
      <w:r w:rsidR="004F1CE0" w:rsidRPr="00595565">
        <w:rPr>
          <w:b/>
          <w:bCs/>
          <w:rtl/>
          <w:lang w:bidi="ar-SY"/>
        </w:rPr>
        <w:t>أحاط</w:t>
      </w:r>
      <w:r w:rsidR="004F1CE0" w:rsidRPr="00595565">
        <w:rPr>
          <w:rtl/>
          <w:lang w:bidi="ar-SY"/>
        </w:rPr>
        <w:t xml:space="preserve"> المجلس </w:t>
      </w:r>
      <w:r w:rsidR="004F1CE0" w:rsidRPr="00595565">
        <w:rPr>
          <w:b/>
          <w:bCs/>
          <w:rtl/>
          <w:lang w:bidi="ar-SY"/>
        </w:rPr>
        <w:t>علماً</w:t>
      </w:r>
      <w:r w:rsidR="004F1CE0" w:rsidRPr="00595565">
        <w:rPr>
          <w:rtl/>
          <w:lang w:bidi="ar-SY"/>
        </w:rPr>
        <w:t xml:space="preserve"> بالتقرير الوارد في الوثيقة </w:t>
      </w:r>
      <w:r w:rsidR="004F1CE0" w:rsidRPr="00595565">
        <w:rPr>
          <w:lang w:val="en-GB" w:bidi="ar-SY"/>
        </w:rPr>
        <w:t>C23/13</w:t>
      </w:r>
      <w:r w:rsidR="004F1CE0" w:rsidRPr="00595565">
        <w:rPr>
          <w:rtl/>
          <w:lang w:bidi="ar-SY"/>
        </w:rPr>
        <w:t>.</w:t>
      </w:r>
    </w:p>
    <w:p w14:paraId="5E71C286" w14:textId="73FB8A78" w:rsidR="007668D4" w:rsidRPr="00595565" w:rsidRDefault="007668D4" w:rsidP="007668D4">
      <w:pPr>
        <w:pStyle w:val="Heading1"/>
        <w:rPr>
          <w:rtl/>
        </w:rPr>
      </w:pPr>
      <w:r w:rsidRPr="00595565">
        <w:rPr>
          <w:lang w:bidi="ar-SY"/>
        </w:rPr>
        <w:lastRenderedPageBreak/>
        <w:t>7</w:t>
      </w:r>
      <w:r w:rsidRPr="00595565">
        <w:rPr>
          <w:rtl/>
          <w:lang w:bidi="ar-SY"/>
        </w:rPr>
        <w:tab/>
      </w:r>
      <w:r w:rsidRPr="00595565">
        <w:rPr>
          <w:rtl/>
        </w:rPr>
        <w:t xml:space="preserve">مشاركة الشباب والمبادرات المتعلقة بهم في الاتحاد الدولي للاتصالات (الوثيقتان </w:t>
      </w:r>
      <w:hyperlink r:id="rId39" w:history="1">
        <w:r w:rsidRPr="00595565">
          <w:rPr>
            <w:rStyle w:val="Hyperlink"/>
            <w:lang w:val="en-CA"/>
          </w:rPr>
          <w:t>C23/63</w:t>
        </w:r>
      </w:hyperlink>
      <w:r w:rsidR="008C0705">
        <w:rPr>
          <w:rFonts w:hint="cs"/>
          <w:rtl/>
        </w:rPr>
        <w:t xml:space="preserve"> و</w:t>
      </w:r>
      <w:hyperlink r:id="rId40" w:history="1">
        <w:r w:rsidRPr="00595565">
          <w:rPr>
            <w:rStyle w:val="Hyperlink"/>
            <w:lang w:val="en-CA"/>
          </w:rPr>
          <w:t>C23/67</w:t>
        </w:r>
      </w:hyperlink>
      <w:r w:rsidRPr="00595565">
        <w:rPr>
          <w:rtl/>
        </w:rPr>
        <w:t>)</w:t>
      </w:r>
    </w:p>
    <w:p w14:paraId="2B8073DF" w14:textId="01F0D4F7" w:rsidR="00346230" w:rsidRPr="00595565" w:rsidRDefault="007668D4" w:rsidP="00595565">
      <w:pPr>
        <w:rPr>
          <w:spacing w:val="-2"/>
          <w:rtl/>
          <w:lang w:val="en" w:bidi="ar-SY"/>
        </w:rPr>
      </w:pPr>
      <w:r w:rsidRPr="00595565">
        <w:rPr>
          <w:spacing w:val="-2"/>
        </w:rPr>
        <w:t>1.7</w:t>
      </w:r>
      <w:r w:rsidRPr="00595565">
        <w:rPr>
          <w:spacing w:val="-2"/>
          <w:rtl/>
          <w:lang w:bidi="ar-SY"/>
        </w:rPr>
        <w:tab/>
      </w:r>
      <w:r w:rsidR="00346230" w:rsidRPr="00595565">
        <w:rPr>
          <w:spacing w:val="-2"/>
          <w:rtl/>
          <w:lang w:bidi="ar-SY"/>
        </w:rPr>
        <w:t>قال</w:t>
      </w:r>
      <w:r w:rsidR="00617102" w:rsidRPr="00595565">
        <w:rPr>
          <w:spacing w:val="-2"/>
          <w:rtl/>
          <w:lang w:bidi="ar-SY"/>
        </w:rPr>
        <w:t>ت</w:t>
      </w:r>
      <w:r w:rsidR="00346230" w:rsidRPr="00595565">
        <w:rPr>
          <w:spacing w:val="-2"/>
          <w:rtl/>
          <w:lang w:bidi="ar-SY"/>
        </w:rPr>
        <w:t xml:space="preserve"> ممثل</w:t>
      </w:r>
      <w:r w:rsidR="00617102" w:rsidRPr="00595565">
        <w:rPr>
          <w:spacing w:val="-2"/>
          <w:rtl/>
          <w:lang w:bidi="ar-SY"/>
        </w:rPr>
        <w:t>ة عن</w:t>
      </w:r>
      <w:r w:rsidR="00346230" w:rsidRPr="00595565">
        <w:rPr>
          <w:spacing w:val="-2"/>
          <w:rtl/>
          <w:lang w:bidi="ar-SY"/>
        </w:rPr>
        <w:t xml:space="preserve"> الأمانة العامة، في معرض تقديمه</w:t>
      </w:r>
      <w:r w:rsidR="00617102" w:rsidRPr="00595565">
        <w:rPr>
          <w:spacing w:val="-2"/>
          <w:rtl/>
          <w:lang w:bidi="ar-SY"/>
        </w:rPr>
        <w:t>ا</w:t>
      </w:r>
      <w:r w:rsidR="00346230" w:rsidRPr="00595565">
        <w:rPr>
          <w:spacing w:val="-2"/>
          <w:rtl/>
          <w:lang w:bidi="ar-SY"/>
        </w:rPr>
        <w:t xml:space="preserve"> للتقرير الوارد في الوثيقة </w:t>
      </w:r>
      <w:r w:rsidR="00346230" w:rsidRPr="00595565">
        <w:rPr>
          <w:spacing w:val="-2"/>
          <w:lang w:bidi="ar-SY"/>
        </w:rPr>
        <w:t>C23/63</w:t>
      </w:r>
      <w:r w:rsidR="00346230" w:rsidRPr="00595565">
        <w:rPr>
          <w:spacing w:val="-2"/>
          <w:rtl/>
          <w:lang w:bidi="ar-SY"/>
        </w:rPr>
        <w:t xml:space="preserve">، إن الغرض منه هو إطلاع المجلس على آخر المستجدات بشأن تنفيذ استراتيجية الاتحاد بشأن الشباب. </w:t>
      </w:r>
      <w:r w:rsidR="00480510" w:rsidRPr="00595565">
        <w:rPr>
          <w:spacing w:val="-2"/>
          <w:rtl/>
          <w:lang w:bidi="ar-SY"/>
        </w:rPr>
        <w:t xml:space="preserve">فقد واصل </w:t>
      </w:r>
      <w:r w:rsidR="00346230" w:rsidRPr="00595565">
        <w:rPr>
          <w:spacing w:val="-2"/>
          <w:rtl/>
          <w:lang w:bidi="ar-SY"/>
        </w:rPr>
        <w:t>الاتحاد إشراك</w:t>
      </w:r>
      <w:r w:rsidR="00346230" w:rsidRPr="00595565">
        <w:rPr>
          <w:spacing w:val="-2"/>
          <w:rtl/>
        </w:rPr>
        <w:t xml:space="preserve"> زملاء</w:t>
      </w:r>
      <w:r w:rsidR="00346230" w:rsidRPr="00595565">
        <w:rPr>
          <w:spacing w:val="-2"/>
          <w:rtl/>
          <w:lang w:bidi="ar-SY"/>
        </w:rPr>
        <w:t xml:space="preserve"> من جميع أنحاء المنظمة، بما في ذلك من خلال مبادرة توصيل الجيل، ودعم مشاركة الشباب في أحداث الاتحاد ومؤتمراته وتشجيع التدريب الداخلي والموظفين </w:t>
      </w:r>
      <w:r w:rsidR="00480510" w:rsidRPr="00595565">
        <w:rPr>
          <w:spacing w:val="-2"/>
          <w:rtl/>
          <w:lang w:bidi="ar-SY"/>
        </w:rPr>
        <w:t xml:space="preserve">المهنيين </w:t>
      </w:r>
      <w:r w:rsidR="00346230" w:rsidRPr="00595565">
        <w:rPr>
          <w:spacing w:val="-2"/>
          <w:rtl/>
          <w:lang w:bidi="ar-SY"/>
        </w:rPr>
        <w:t xml:space="preserve">المبتدئين </w:t>
      </w:r>
      <w:r w:rsidR="00480510" w:rsidRPr="00595565">
        <w:rPr>
          <w:spacing w:val="-2"/>
          <w:rtl/>
          <w:lang w:bidi="ar-SY"/>
        </w:rPr>
        <w:t xml:space="preserve">وبرامج المهنيين الشباب </w:t>
      </w:r>
      <w:r w:rsidR="00346230" w:rsidRPr="00595565">
        <w:rPr>
          <w:spacing w:val="-2"/>
          <w:rtl/>
          <w:lang w:bidi="ar-SY"/>
        </w:rPr>
        <w:t>والشراكات مع الهيئات الأكاديمية. ويجري العمل حاليا</w:t>
      </w:r>
      <w:r w:rsidR="00617102" w:rsidRPr="00595565">
        <w:rPr>
          <w:spacing w:val="-2"/>
          <w:rtl/>
          <w:lang w:bidi="ar-SY"/>
        </w:rPr>
        <w:t>ً</w:t>
      </w:r>
      <w:r w:rsidR="00346230" w:rsidRPr="00595565">
        <w:rPr>
          <w:spacing w:val="-2"/>
          <w:rtl/>
          <w:lang w:bidi="ar-SY"/>
        </w:rPr>
        <w:t xml:space="preserve"> لتعزيز استراتيجية الشباب لضمان </w:t>
      </w:r>
      <w:r w:rsidR="00346230" w:rsidRPr="00595565">
        <w:rPr>
          <w:spacing w:val="-2"/>
          <w:rtl/>
        </w:rPr>
        <w:t xml:space="preserve">إمكانية </w:t>
      </w:r>
      <w:r w:rsidR="00346230" w:rsidRPr="00595565">
        <w:rPr>
          <w:spacing w:val="-2"/>
          <w:rtl/>
          <w:lang w:bidi="ar-SY"/>
        </w:rPr>
        <w:t xml:space="preserve">مساهمة الشباب في أحداث الاتحاد واجتماعاته. </w:t>
      </w:r>
      <w:r w:rsidR="00346230" w:rsidRPr="00595565">
        <w:rPr>
          <w:spacing w:val="-2"/>
          <w:rtl/>
          <w:lang w:val="en" w:bidi="ar-SY"/>
        </w:rPr>
        <w:t>ووفقاً للقرار 198 (المراج</w:t>
      </w:r>
      <w:r w:rsidR="00595565" w:rsidRPr="00595565">
        <w:rPr>
          <w:spacing w:val="-2"/>
          <w:rtl/>
          <w:lang w:bidi="ar-SY"/>
        </w:rPr>
        <w:t>َ</w:t>
      </w:r>
      <w:r w:rsidR="00346230" w:rsidRPr="00595565">
        <w:rPr>
          <w:spacing w:val="-2"/>
          <w:rtl/>
          <w:lang w:val="en" w:bidi="ar-SY"/>
        </w:rPr>
        <w:t>ع في بوخارست،</w:t>
      </w:r>
      <w:r w:rsidR="00595565" w:rsidRPr="00595565">
        <w:rPr>
          <w:spacing w:val="-2"/>
          <w:rtl/>
          <w:lang w:val="en" w:bidi="ar-SY"/>
        </w:rPr>
        <w:t> </w:t>
      </w:r>
      <w:r w:rsidR="00346230" w:rsidRPr="00595565">
        <w:rPr>
          <w:spacing w:val="-2"/>
          <w:rtl/>
          <w:lang w:val="en" w:bidi="ar-SY"/>
        </w:rPr>
        <w:t>2022)، طُلب من أعضاء المجلس مواصلة دعم المبادرات التي تهدف إلى تعزيز مشاركة الشباب بمساهمات طوعية وعينية.</w:t>
      </w:r>
    </w:p>
    <w:p w14:paraId="55E4A820" w14:textId="431BF342" w:rsidR="00515E36" w:rsidRPr="00595565" w:rsidRDefault="007668D4" w:rsidP="00595565">
      <w:pPr>
        <w:rPr>
          <w:rtl/>
        </w:rPr>
      </w:pPr>
      <w:r w:rsidRPr="00595565">
        <w:t>2.7</w:t>
      </w:r>
      <w:r w:rsidRPr="00595565">
        <w:rPr>
          <w:rtl/>
          <w:lang w:bidi="ar-SY"/>
        </w:rPr>
        <w:tab/>
      </w:r>
      <w:r w:rsidR="00397E6B">
        <w:rPr>
          <w:rFonts w:hint="cs"/>
          <w:rtl/>
          <w:lang w:bidi="ar-SY"/>
        </w:rPr>
        <w:t>و</w:t>
      </w:r>
      <w:r w:rsidR="00542ED1" w:rsidRPr="00595565">
        <w:rPr>
          <w:rtl/>
          <w:lang w:bidi="ar-SY"/>
        </w:rPr>
        <w:t xml:space="preserve">قدم عضو المجلس من كندا الوثيقة </w:t>
      </w:r>
      <w:r w:rsidR="00542ED1" w:rsidRPr="00595565">
        <w:rPr>
          <w:lang w:bidi="ar-SY"/>
        </w:rPr>
        <w:t>C23/67</w:t>
      </w:r>
      <w:r w:rsidR="00542ED1" w:rsidRPr="00595565">
        <w:rPr>
          <w:rtl/>
          <w:lang w:bidi="ar-SY"/>
        </w:rPr>
        <w:t xml:space="preserve"> التي تتضمن مقترحات لتعزيز العملية التحضيرية للقمة العالمية المقبلة للشباب </w:t>
      </w:r>
      <w:r w:rsidR="00515E9A" w:rsidRPr="00595565">
        <w:rPr>
          <w:rtl/>
          <w:lang w:bidi="ar-SY"/>
        </w:rPr>
        <w:t xml:space="preserve">المنظمة في إطار مبادرة </w:t>
      </w:r>
      <w:r w:rsidR="00542ED1" w:rsidRPr="00595565">
        <w:rPr>
          <w:rtl/>
          <w:lang w:bidi="ar-SY"/>
        </w:rPr>
        <w:t xml:space="preserve">توصيل الجيل؛ </w:t>
      </w:r>
      <w:r w:rsidR="00515E9A" w:rsidRPr="00595565">
        <w:rPr>
          <w:rtl/>
          <w:lang w:bidi="ar-SY"/>
        </w:rPr>
        <w:t>و</w:t>
      </w:r>
      <w:r w:rsidR="00542ED1" w:rsidRPr="00595565">
        <w:rPr>
          <w:rtl/>
          <w:lang w:bidi="ar-SY"/>
        </w:rPr>
        <w:t xml:space="preserve">الغرض </w:t>
      </w:r>
      <w:r w:rsidR="00515E9A" w:rsidRPr="00595565">
        <w:rPr>
          <w:rtl/>
          <w:lang w:bidi="ar-SY"/>
        </w:rPr>
        <w:t>منها</w:t>
      </w:r>
      <w:r w:rsidR="00542ED1" w:rsidRPr="00595565">
        <w:rPr>
          <w:rtl/>
          <w:lang w:bidi="ar-SY"/>
        </w:rPr>
        <w:t xml:space="preserve"> </w:t>
      </w:r>
      <w:r w:rsidR="00515E9A" w:rsidRPr="00595565">
        <w:rPr>
          <w:rtl/>
          <w:lang w:bidi="ar-SY"/>
        </w:rPr>
        <w:t>إتاحة مشاركة هادفة للشباب</w:t>
      </w:r>
      <w:r w:rsidR="00542ED1" w:rsidRPr="00595565">
        <w:rPr>
          <w:rtl/>
          <w:lang w:bidi="ar-SY"/>
        </w:rPr>
        <w:t xml:space="preserve"> في عمليات </w:t>
      </w:r>
      <w:r w:rsidR="00515E9A" w:rsidRPr="00595565">
        <w:rPr>
          <w:rtl/>
          <w:lang w:bidi="ar-SY"/>
        </w:rPr>
        <w:t>وضع</w:t>
      </w:r>
      <w:r w:rsidR="00542ED1" w:rsidRPr="00595565">
        <w:rPr>
          <w:rtl/>
          <w:lang w:bidi="ar-SY"/>
        </w:rPr>
        <w:t xml:space="preserve"> السياسات و</w:t>
      </w:r>
      <w:r w:rsidR="00515E9A" w:rsidRPr="00595565">
        <w:rPr>
          <w:rtl/>
          <w:lang w:bidi="ar-SY"/>
        </w:rPr>
        <w:t xml:space="preserve">اتخاذ </w:t>
      </w:r>
      <w:r w:rsidR="00542ED1" w:rsidRPr="00595565">
        <w:rPr>
          <w:rtl/>
          <w:lang w:bidi="ar-SY"/>
        </w:rPr>
        <w:t xml:space="preserve">القرارات التي </w:t>
      </w:r>
      <w:r w:rsidR="00515E9A" w:rsidRPr="00595565">
        <w:rPr>
          <w:rtl/>
          <w:lang w:bidi="ar-SY"/>
        </w:rPr>
        <w:t>من شأنها تمكين</w:t>
      </w:r>
      <w:r w:rsidR="00542ED1" w:rsidRPr="00595565">
        <w:rPr>
          <w:rtl/>
          <w:lang w:bidi="ar-SY"/>
        </w:rPr>
        <w:t xml:space="preserve"> الشباب من أن يصبحوا قوة</w:t>
      </w:r>
      <w:r w:rsidR="00515E9A" w:rsidRPr="00595565">
        <w:rPr>
          <w:rtl/>
          <w:lang w:bidi="ar-SY"/>
        </w:rPr>
        <w:t xml:space="preserve"> دافعة للتغيير</w:t>
      </w:r>
      <w:r w:rsidR="00480510" w:rsidRPr="00595565">
        <w:rPr>
          <w:rtl/>
          <w:lang w:bidi="ar-SY"/>
        </w:rPr>
        <w:t xml:space="preserve"> المجتمعي</w:t>
      </w:r>
      <w:r w:rsidR="00515E9A" w:rsidRPr="00595565">
        <w:rPr>
          <w:rtl/>
          <w:lang w:bidi="ar-SY"/>
        </w:rPr>
        <w:t>.</w:t>
      </w:r>
      <w:r w:rsidR="00515E36" w:rsidRPr="00595565">
        <w:rPr>
          <w:rtl/>
        </w:rPr>
        <w:t xml:space="preserve"> </w:t>
      </w:r>
      <w:r w:rsidR="00480510" w:rsidRPr="00595565">
        <w:rPr>
          <w:rtl/>
        </w:rPr>
        <w:t>ف</w:t>
      </w:r>
      <w:r w:rsidR="00515E36" w:rsidRPr="00595565">
        <w:rPr>
          <w:rtl/>
        </w:rPr>
        <w:t>الشباب</w:t>
      </w:r>
      <w:r w:rsidR="00480510" w:rsidRPr="00595565">
        <w:rPr>
          <w:rtl/>
        </w:rPr>
        <w:t xml:space="preserve"> متحمسون</w:t>
      </w:r>
      <w:r w:rsidR="00515E36" w:rsidRPr="00595565">
        <w:rPr>
          <w:rtl/>
        </w:rPr>
        <w:t xml:space="preserve"> ل</w:t>
      </w:r>
      <w:r w:rsidR="00480510" w:rsidRPr="00595565">
        <w:rPr>
          <w:rtl/>
        </w:rPr>
        <w:t>ل</w:t>
      </w:r>
      <w:r w:rsidR="00515E36" w:rsidRPr="00595565">
        <w:rPr>
          <w:rtl/>
        </w:rPr>
        <w:t xml:space="preserve">مشاركة في المنصات والشبكات المتنوعة والتمثيلية والتعبير عن </w:t>
      </w:r>
      <w:r w:rsidR="00480510" w:rsidRPr="00595565">
        <w:rPr>
          <w:rtl/>
        </w:rPr>
        <w:t xml:space="preserve">شواغلهم </w:t>
      </w:r>
      <w:r w:rsidR="00515E36" w:rsidRPr="00595565">
        <w:rPr>
          <w:rtl/>
        </w:rPr>
        <w:t xml:space="preserve">بشأن مستقبلهم الرقمي. ويُؤمل أن تعقد قمة الشباب المقبلة </w:t>
      </w:r>
      <w:r w:rsidR="00480510" w:rsidRPr="00595565">
        <w:rPr>
          <w:rtl/>
        </w:rPr>
        <w:t xml:space="preserve">بالترادف </w:t>
      </w:r>
      <w:r w:rsidR="00515E36" w:rsidRPr="00595565">
        <w:rPr>
          <w:rtl/>
        </w:rPr>
        <w:t>مع المؤتمر العالمي المقبل لتنمية الاتصالات.</w:t>
      </w:r>
    </w:p>
    <w:p w14:paraId="4A9258AC" w14:textId="225000D9" w:rsidR="00AD2499" w:rsidRPr="00595565" w:rsidRDefault="007668D4" w:rsidP="00595565">
      <w:pPr>
        <w:rPr>
          <w:rtl/>
        </w:rPr>
      </w:pPr>
      <w:r w:rsidRPr="00595565">
        <w:t>3.7</w:t>
      </w:r>
      <w:r w:rsidRPr="00595565">
        <w:rPr>
          <w:rtl/>
          <w:lang w:bidi="ar-SY"/>
        </w:rPr>
        <w:tab/>
      </w:r>
      <w:r w:rsidR="00397E6B">
        <w:rPr>
          <w:rFonts w:hint="cs"/>
          <w:rtl/>
          <w:lang w:bidi="ar-SY"/>
        </w:rPr>
        <w:t>و</w:t>
      </w:r>
      <w:r w:rsidR="00AD2499" w:rsidRPr="00595565">
        <w:rPr>
          <w:rtl/>
          <w:lang w:bidi="ar-SY"/>
        </w:rPr>
        <w:t xml:space="preserve">أثنى العديد من أعضاء المجلس على الاتحاد لاتخاذه خطوات لاجتذاب الشباب إلى عمله وأعربوا عن دعمهم التام لمشاركة الشباب وإشراكهم </w:t>
      </w:r>
      <w:r w:rsidR="00EF6FE0" w:rsidRPr="00595565">
        <w:rPr>
          <w:rtl/>
          <w:lang w:bidi="ar-SY"/>
        </w:rPr>
        <w:t>بشكل</w:t>
      </w:r>
      <w:r w:rsidR="00397E6B">
        <w:rPr>
          <w:rFonts w:hint="cs"/>
          <w:rtl/>
          <w:lang w:bidi="ar-SY"/>
        </w:rPr>
        <w:t>ٍ</w:t>
      </w:r>
      <w:r w:rsidR="00EF6FE0" w:rsidRPr="00595565">
        <w:rPr>
          <w:rtl/>
          <w:lang w:bidi="ar-SY"/>
        </w:rPr>
        <w:t xml:space="preserve"> هادف</w:t>
      </w:r>
      <w:r w:rsidR="00EF6FE0" w:rsidRPr="00595565">
        <w:rPr>
          <w:rtl/>
        </w:rPr>
        <w:t>.</w:t>
      </w:r>
      <w:r w:rsidR="00712EC8" w:rsidRPr="00595565">
        <w:rPr>
          <w:rtl/>
        </w:rPr>
        <w:t xml:space="preserve"> وينبغي تمكين الشباب من تبادل خبراتهم وتعميق فهمهم للاتصالات وتكنولوجيا المعلومات والاتصالات. وأشار أحد أعضاء المجلس إلى أن بلده قام برعاية مشاركة الشباب من منطقة آسيا والمحيط الهادئ في</w:t>
      </w:r>
      <w:r w:rsidR="00595565" w:rsidRPr="00595565">
        <w:rPr>
          <w:rtl/>
        </w:rPr>
        <w:t> </w:t>
      </w:r>
      <w:r w:rsidR="00712EC8" w:rsidRPr="00595565">
        <w:rPr>
          <w:rtl/>
        </w:rPr>
        <w:t xml:space="preserve">قمة الشباب (كيغالي، 2022)، مما مكن الشباب من إقامة </w:t>
      </w:r>
      <w:r w:rsidR="00480510" w:rsidRPr="00595565">
        <w:rPr>
          <w:rtl/>
        </w:rPr>
        <w:t xml:space="preserve">علاقات تواصل </w:t>
      </w:r>
      <w:r w:rsidR="00712EC8" w:rsidRPr="00595565">
        <w:rPr>
          <w:rtl/>
        </w:rPr>
        <w:t>دائم مع زملائهم المشاركين.</w:t>
      </w:r>
    </w:p>
    <w:p w14:paraId="5E500194" w14:textId="723D3E73" w:rsidR="00AB476F" w:rsidRPr="00595565" w:rsidRDefault="007668D4" w:rsidP="00AB476F">
      <w:pPr>
        <w:rPr>
          <w:rtl/>
        </w:rPr>
      </w:pPr>
      <w:r w:rsidRPr="00595565">
        <w:t>4.7</w:t>
      </w:r>
      <w:r w:rsidRPr="00595565">
        <w:rPr>
          <w:rtl/>
          <w:lang w:bidi="ar-SY"/>
        </w:rPr>
        <w:tab/>
      </w:r>
      <w:r w:rsidR="00397E6B">
        <w:rPr>
          <w:rFonts w:hint="cs"/>
          <w:rtl/>
          <w:lang w:bidi="ar-SY"/>
        </w:rPr>
        <w:t>و</w:t>
      </w:r>
      <w:r w:rsidR="00AB476F" w:rsidRPr="00595565">
        <w:rPr>
          <w:rtl/>
        </w:rPr>
        <w:t xml:space="preserve">أعرب العديد من أعضاء المجلس عن تأييدهم للوثيقة </w:t>
      </w:r>
      <w:r w:rsidR="00AB476F" w:rsidRPr="00595565">
        <w:t>C23/67</w:t>
      </w:r>
      <w:r w:rsidR="00AB476F" w:rsidRPr="00595565">
        <w:rPr>
          <w:rtl/>
        </w:rPr>
        <w:t xml:space="preserve">، مشددين على ضرورة إشراك الشباب في تصميم وتنظيم واختيار مواضيع قمة الشباب المقبلة وأنه ينبغي تشجيع الشباب من جميع المناطق وتمكينهم من المشاركة. وقال عضو المجلس من تايلاند إن تايلاند، بوصفها البلد المضيف للمؤتمر العالمي لتنمية الاتصالات لعام 2025، سيكون من دواعي سرورها أن تستضيف قمة الشباب المقبلة </w:t>
      </w:r>
      <w:r w:rsidR="009A156D" w:rsidRPr="00595565">
        <w:rPr>
          <w:rtl/>
        </w:rPr>
        <w:t xml:space="preserve">بالترادف </w:t>
      </w:r>
      <w:r w:rsidR="00AB476F" w:rsidRPr="00595565">
        <w:rPr>
          <w:rtl/>
        </w:rPr>
        <w:t xml:space="preserve">مع المؤتمر وأن تضمن مشاركة الشباب في المؤتمر </w:t>
      </w:r>
      <w:r w:rsidR="00AB476F" w:rsidRPr="00595565">
        <w:t>WTDC-25</w:t>
      </w:r>
      <w:r w:rsidR="00AB476F" w:rsidRPr="00595565">
        <w:rPr>
          <w:rtl/>
        </w:rPr>
        <w:t xml:space="preserve"> نفسه. وأعرب العديد من أعضاء المجلس عن تقديرهم لهذا المقترح وأيدوه من حيث المبدأ.</w:t>
      </w:r>
    </w:p>
    <w:p w14:paraId="7A762A06" w14:textId="3291B5C4" w:rsidR="00AB476F" w:rsidRPr="00595565" w:rsidRDefault="007668D4" w:rsidP="00595565">
      <w:pPr>
        <w:rPr>
          <w:rtl/>
          <w:lang w:val="en-GB"/>
        </w:rPr>
      </w:pPr>
      <w:r w:rsidRPr="00595565">
        <w:t>5.7</w:t>
      </w:r>
      <w:r w:rsidRPr="00595565">
        <w:rPr>
          <w:rtl/>
          <w:lang w:bidi="ar-SY"/>
        </w:rPr>
        <w:tab/>
      </w:r>
      <w:r w:rsidR="00397E6B">
        <w:rPr>
          <w:rFonts w:hint="cs"/>
          <w:rtl/>
          <w:lang w:bidi="ar-SY"/>
        </w:rPr>
        <w:t>و</w:t>
      </w:r>
      <w:r w:rsidR="00AB476F" w:rsidRPr="00595565">
        <w:rPr>
          <w:rtl/>
          <w:lang w:bidi="ar-SY"/>
        </w:rPr>
        <w:t>أعرب أعضاء المجلس من البلدان النامية عن تقديرهم الخاص لبرامج التدريب الداخلي والشراكات مع الهيئات الأكاديمية.</w:t>
      </w:r>
      <w:r w:rsidRPr="00595565">
        <w:rPr>
          <w:rtl/>
          <w:lang w:bidi="ar-SY"/>
        </w:rPr>
        <w:t xml:space="preserve"> </w:t>
      </w:r>
      <w:r w:rsidR="00AB476F" w:rsidRPr="00595565">
        <w:rPr>
          <w:rtl/>
          <w:lang w:bidi="ar-SY"/>
        </w:rPr>
        <w:t>وطلبوا إيلاء</w:t>
      </w:r>
      <w:r w:rsidR="009A156D" w:rsidRPr="00595565">
        <w:rPr>
          <w:rtl/>
          <w:lang w:bidi="ar-SY"/>
        </w:rPr>
        <w:t xml:space="preserve"> مزيد من الاهتمام</w:t>
      </w:r>
      <w:r w:rsidR="00AB476F" w:rsidRPr="00595565">
        <w:rPr>
          <w:rtl/>
          <w:lang w:bidi="ar-SY"/>
        </w:rPr>
        <w:t xml:space="preserve"> لتعزيز الحوار بين الأجيال؛ </w:t>
      </w:r>
      <w:r w:rsidR="00FE7CDB" w:rsidRPr="00595565">
        <w:rPr>
          <w:rtl/>
        </w:rPr>
        <w:t>و</w:t>
      </w:r>
      <w:r w:rsidR="00AB476F" w:rsidRPr="00595565">
        <w:rPr>
          <w:rtl/>
          <w:lang w:bidi="ar-SY"/>
        </w:rPr>
        <w:t xml:space="preserve">ضمان توسيع فرص المشاركة لتشمل الشباب من أقل البلدان نمواً؛ ودعم اعتماد </w:t>
      </w:r>
      <w:r w:rsidR="000B6131" w:rsidRPr="00595565">
        <w:rPr>
          <w:rtl/>
          <w:lang w:bidi="ar-SY"/>
        </w:rPr>
        <w:t>الإلمام بالمعارف</w:t>
      </w:r>
      <w:r w:rsidR="00AB476F" w:rsidRPr="00595565">
        <w:rPr>
          <w:rtl/>
          <w:lang w:bidi="ar-SY"/>
        </w:rPr>
        <w:t xml:space="preserve"> الرقمية في التعليم، بدءاً من المدرسة الابتدائية.</w:t>
      </w:r>
    </w:p>
    <w:p w14:paraId="10F06C43" w14:textId="1AF700F0" w:rsidR="00685361" w:rsidRPr="00595565" w:rsidRDefault="007668D4" w:rsidP="00685361">
      <w:pPr>
        <w:rPr>
          <w:lang w:val="en-GB" w:bidi="ar-SY"/>
        </w:rPr>
      </w:pPr>
      <w:r w:rsidRPr="00595565">
        <w:t>6.7</w:t>
      </w:r>
      <w:r w:rsidRPr="00595565">
        <w:rPr>
          <w:rtl/>
          <w:lang w:bidi="ar-SY"/>
        </w:rPr>
        <w:tab/>
      </w:r>
      <w:r w:rsidR="00397E6B">
        <w:rPr>
          <w:rFonts w:hint="cs"/>
          <w:rtl/>
          <w:lang w:bidi="ar-SY"/>
        </w:rPr>
        <w:t>و</w:t>
      </w:r>
      <w:r w:rsidR="00685361" w:rsidRPr="00595565">
        <w:rPr>
          <w:rtl/>
          <w:lang w:bidi="ar-SY"/>
        </w:rPr>
        <w:t>طلب العديد من أعضاء المجلس، بالإشارة إلى المناقشات السابقة في إطار الفريق الاستشاري لتنمية الاتصالات، تشكيل فريق عمل للمضي قدماً في الأعمال التحضيرية لقمة الشباب المقبلة، بمشاركة الشباب وأصحاب المصلحة الآخرين</w:t>
      </w:r>
      <w:r w:rsidR="00685361" w:rsidRPr="00595565">
        <w:rPr>
          <w:rtl/>
          <w:lang w:val="en-GB" w:bidi="ar-SY"/>
        </w:rPr>
        <w:t>. وطلب أحد أعضاء المجلس عقد قمة الشباب بشكل منفصل عن الاجتماعات الأخرى وتقديم تقارير مستقلة عن نتائجها.</w:t>
      </w:r>
      <w:r w:rsidR="00685361" w:rsidRPr="00595565">
        <w:rPr>
          <w:rtl/>
        </w:rPr>
        <w:t xml:space="preserve"> </w:t>
      </w:r>
      <w:r w:rsidR="00685361" w:rsidRPr="00595565">
        <w:rPr>
          <w:rtl/>
          <w:lang w:val="en-GB"/>
        </w:rPr>
        <w:t xml:space="preserve">وعلى الرغم من أن أحد المراقبين أعرب عن تأييده لقمة الشباب من حيث المبدأ، فإنه لا يوافق على المقترح، بصيغته الحالية، بالسماح بالتعبير عن آراء الشباب بشكل غير خاضع للرقابة </w:t>
      </w:r>
      <w:r w:rsidR="009A156D" w:rsidRPr="00595565">
        <w:rPr>
          <w:rtl/>
          <w:lang w:val="en-GB"/>
        </w:rPr>
        <w:t>والمراجعة</w:t>
      </w:r>
      <w:r w:rsidR="00685361" w:rsidRPr="00595565">
        <w:rPr>
          <w:rtl/>
          <w:lang w:val="en-GB"/>
        </w:rPr>
        <w:t xml:space="preserve">. وينبغي للفريق الاستشاري لتنمية الاتصالات أن </w:t>
      </w:r>
      <w:r w:rsidR="001C2618" w:rsidRPr="00595565">
        <w:rPr>
          <w:rtl/>
          <w:lang w:val="en-GB"/>
        </w:rPr>
        <w:t>يضطلع</w:t>
      </w:r>
      <w:r w:rsidR="00685361" w:rsidRPr="00595565">
        <w:rPr>
          <w:rtl/>
          <w:lang w:val="en-GB"/>
        </w:rPr>
        <w:t xml:space="preserve"> بمزيد من العمل بشأن هذا</w:t>
      </w:r>
      <w:r w:rsidR="00433A66" w:rsidRPr="00595565">
        <w:rPr>
          <w:rtl/>
          <w:lang w:val="en-GB"/>
        </w:rPr>
        <w:t xml:space="preserve"> الموضوع</w:t>
      </w:r>
      <w:r w:rsidR="00595565" w:rsidRPr="00595565">
        <w:rPr>
          <w:rtl/>
          <w:lang w:val="en-GB"/>
        </w:rPr>
        <w:t>.</w:t>
      </w:r>
    </w:p>
    <w:p w14:paraId="797C1EDE" w14:textId="10EBBDC6" w:rsidR="007668D4" w:rsidRPr="00595565" w:rsidRDefault="007668D4" w:rsidP="00595565">
      <w:pPr>
        <w:rPr>
          <w:rtl/>
          <w:lang w:bidi="ar-SY"/>
        </w:rPr>
      </w:pPr>
      <w:r w:rsidRPr="00595565">
        <w:t>7.7</w:t>
      </w:r>
      <w:r w:rsidRPr="00595565">
        <w:rPr>
          <w:rtl/>
          <w:lang w:bidi="ar-SY"/>
        </w:rPr>
        <w:tab/>
      </w:r>
      <w:r w:rsidR="00397E6B">
        <w:rPr>
          <w:rFonts w:hint="cs"/>
          <w:rtl/>
          <w:lang w:bidi="ar-SY"/>
        </w:rPr>
        <w:t>و</w:t>
      </w:r>
      <w:r w:rsidR="001C2618" w:rsidRPr="00595565">
        <w:rPr>
          <w:rtl/>
          <w:lang w:bidi="ar-SY"/>
        </w:rPr>
        <w:t xml:space="preserve">قالت الأمينة العامة إن فهمها لقيمة الأحداث بالنسبة للشباب قد تعمق بعد لقائها مع مشارك سابق في منتدى الشباب من نيجيريا أسس لاحقاً مبادرة تدعم الشمول الرقمي. </w:t>
      </w:r>
      <w:r w:rsidR="001C2618" w:rsidRPr="00595565">
        <w:rPr>
          <w:rtl/>
        </w:rPr>
        <w:t>و</w:t>
      </w:r>
      <w:r w:rsidR="001C2618" w:rsidRPr="00595565">
        <w:rPr>
          <w:rtl/>
          <w:lang w:bidi="ar-SY"/>
        </w:rPr>
        <w:t xml:space="preserve">يمكن </w:t>
      </w:r>
      <w:r w:rsidR="00AC3E68" w:rsidRPr="00595565">
        <w:rPr>
          <w:rtl/>
          <w:lang w:bidi="ar-SY"/>
        </w:rPr>
        <w:t>ل</w:t>
      </w:r>
      <w:r w:rsidR="00BE69B3" w:rsidRPr="00595565">
        <w:rPr>
          <w:rtl/>
          <w:lang w:bidi="ar-SY"/>
        </w:rPr>
        <w:t>فرص</w:t>
      </w:r>
      <w:r w:rsidR="001C2618" w:rsidRPr="00595565">
        <w:rPr>
          <w:rtl/>
          <w:lang w:bidi="ar-SY"/>
        </w:rPr>
        <w:t xml:space="preserve"> المشاركة والإرشاد التي يوفرها الاتحاد </w:t>
      </w:r>
      <w:r w:rsidR="00C604C2" w:rsidRPr="00595565">
        <w:rPr>
          <w:rtl/>
          <w:lang w:bidi="ar-SY"/>
        </w:rPr>
        <w:t>أن تغير مجرى</w:t>
      </w:r>
      <w:r w:rsidR="001C2618" w:rsidRPr="00595565">
        <w:rPr>
          <w:rtl/>
          <w:lang w:bidi="ar-SY"/>
        </w:rPr>
        <w:t xml:space="preserve"> </w:t>
      </w:r>
      <w:r w:rsidR="00C604C2" w:rsidRPr="00595565">
        <w:rPr>
          <w:rtl/>
          <w:lang w:bidi="ar-SY"/>
        </w:rPr>
        <w:t>ا</w:t>
      </w:r>
      <w:r w:rsidR="001C2618" w:rsidRPr="00595565">
        <w:rPr>
          <w:rtl/>
          <w:lang w:bidi="ar-SY"/>
        </w:rPr>
        <w:t>لحياة.</w:t>
      </w:r>
    </w:p>
    <w:p w14:paraId="29B92F20" w14:textId="704ABB86" w:rsidR="007668D4" w:rsidRPr="00595565" w:rsidRDefault="007668D4" w:rsidP="007668D4">
      <w:pPr>
        <w:rPr>
          <w:rtl/>
        </w:rPr>
      </w:pPr>
      <w:r w:rsidRPr="00595565">
        <w:t>8.7</w:t>
      </w:r>
      <w:r w:rsidRPr="00595565">
        <w:rPr>
          <w:rtl/>
          <w:lang w:bidi="ar-SY"/>
        </w:rPr>
        <w:tab/>
      </w:r>
      <w:r w:rsidR="00FA2FD3" w:rsidRPr="00595565">
        <w:rPr>
          <w:rtl/>
          <w:lang w:bidi="ar-SY"/>
        </w:rPr>
        <w:t xml:space="preserve">واقترح الرئيس أن يحيط المجلس علماً بالتقرير الوارد في الوثيقة </w:t>
      </w:r>
      <w:r w:rsidR="00FA2FD3" w:rsidRPr="00595565">
        <w:rPr>
          <w:lang w:bidi="ar-SY"/>
        </w:rPr>
        <w:t>C23/63</w:t>
      </w:r>
      <w:r w:rsidR="00FA2FD3" w:rsidRPr="00595565">
        <w:rPr>
          <w:rtl/>
          <w:lang w:bidi="ar-SY"/>
        </w:rPr>
        <w:t xml:space="preserve"> والمساهمة الواردة في الوثيقة </w:t>
      </w:r>
      <w:r w:rsidR="00FA2FD3" w:rsidRPr="00595565">
        <w:rPr>
          <w:lang w:bidi="ar-SY"/>
        </w:rPr>
        <w:t>C23/67</w:t>
      </w:r>
      <w:r w:rsidR="00FA2FD3" w:rsidRPr="00595565">
        <w:rPr>
          <w:rtl/>
          <w:lang w:bidi="ar-SY"/>
        </w:rPr>
        <w:t xml:space="preserve"> فضلاً عن التعليقات التي أبديت أثناء المناقشة؛ </w:t>
      </w:r>
      <w:r w:rsidR="009A156D" w:rsidRPr="00595565">
        <w:rPr>
          <w:rtl/>
          <w:lang w:bidi="ar-SY"/>
        </w:rPr>
        <w:t xml:space="preserve">وأن يحيط </w:t>
      </w:r>
      <w:r w:rsidR="00FA2FD3" w:rsidRPr="00595565">
        <w:rPr>
          <w:rtl/>
          <w:lang w:bidi="ar-SY"/>
        </w:rPr>
        <w:t xml:space="preserve">علماً بعرض تايلاند استضافة القمة العالمية للشباب </w:t>
      </w:r>
      <w:r w:rsidR="009A156D" w:rsidRPr="00595565">
        <w:rPr>
          <w:rtl/>
          <w:lang w:bidi="ar-SY"/>
        </w:rPr>
        <w:t xml:space="preserve">بالترادف </w:t>
      </w:r>
      <w:r w:rsidR="00FA2FD3" w:rsidRPr="00595565">
        <w:rPr>
          <w:rtl/>
          <w:lang w:bidi="ar-SY"/>
        </w:rPr>
        <w:t xml:space="preserve">مع المؤتمر </w:t>
      </w:r>
      <w:r w:rsidR="00FA2FD3" w:rsidRPr="00595565">
        <w:rPr>
          <w:lang w:bidi="ar-SY"/>
        </w:rPr>
        <w:t>WTDC-25</w:t>
      </w:r>
      <w:r w:rsidR="00FA2FD3" w:rsidRPr="00595565">
        <w:rPr>
          <w:rtl/>
          <w:lang w:bidi="ar-SY"/>
        </w:rPr>
        <w:t xml:space="preserve">؛ </w:t>
      </w:r>
      <w:r w:rsidR="009A156D" w:rsidRPr="00595565">
        <w:rPr>
          <w:rtl/>
          <w:lang w:bidi="ar-SY"/>
        </w:rPr>
        <w:t xml:space="preserve">وأن يدعو </w:t>
      </w:r>
      <w:r w:rsidR="00FA2FD3" w:rsidRPr="00595565">
        <w:rPr>
          <w:rtl/>
          <w:lang w:bidi="ar-SY"/>
        </w:rPr>
        <w:t>مدير مكتب تنمية الاتصالات إلى إبلاغ الفريق الاستشاري لتنمية الاتصالات بالتقدم المحرز في</w:t>
      </w:r>
      <w:r w:rsidR="00595565" w:rsidRPr="00595565">
        <w:rPr>
          <w:rtl/>
          <w:lang w:bidi="ar-SY"/>
        </w:rPr>
        <w:t> </w:t>
      </w:r>
      <w:r w:rsidR="00FA2FD3" w:rsidRPr="00595565">
        <w:rPr>
          <w:rtl/>
          <w:lang w:bidi="ar-SY"/>
        </w:rPr>
        <w:t>التحضير لقمة الشباب والأمانة إلى تقديم تقرير إلى دورة المجلس لعام 2024.</w:t>
      </w:r>
    </w:p>
    <w:p w14:paraId="4051A5E2" w14:textId="03D96AF8" w:rsidR="007668D4" w:rsidRPr="00595565" w:rsidRDefault="007668D4" w:rsidP="007668D4">
      <w:pPr>
        <w:rPr>
          <w:rtl/>
          <w:lang w:bidi="ar-SY"/>
        </w:rPr>
      </w:pPr>
      <w:r w:rsidRPr="00595565">
        <w:t>9.7</w:t>
      </w:r>
      <w:r w:rsidRPr="00595565">
        <w:rPr>
          <w:rtl/>
          <w:lang w:bidi="ar-SY"/>
        </w:rPr>
        <w:tab/>
      </w:r>
      <w:r w:rsidR="007F2B32" w:rsidRPr="00595565">
        <w:rPr>
          <w:rtl/>
          <w:lang w:bidi="ar-SY"/>
        </w:rPr>
        <w:t>و</w:t>
      </w:r>
      <w:r w:rsidR="007F2B32" w:rsidRPr="00595565">
        <w:rPr>
          <w:b/>
          <w:bCs/>
          <w:rtl/>
          <w:lang w:bidi="ar-SY"/>
        </w:rPr>
        <w:t>اتُفق</w:t>
      </w:r>
      <w:r w:rsidR="007F2B32" w:rsidRPr="00595565">
        <w:rPr>
          <w:rtl/>
          <w:lang w:bidi="ar-SY"/>
        </w:rPr>
        <w:t xml:space="preserve"> على ذلك.</w:t>
      </w:r>
    </w:p>
    <w:p w14:paraId="73A351BA" w14:textId="48FCC5F7" w:rsidR="007668D4" w:rsidRPr="00595565" w:rsidRDefault="007668D4" w:rsidP="007668D4">
      <w:pPr>
        <w:pStyle w:val="Heading1"/>
        <w:rPr>
          <w:rtl/>
          <w:lang w:bidi="ar-SY"/>
        </w:rPr>
      </w:pPr>
      <w:r w:rsidRPr="00595565">
        <w:rPr>
          <w:lang w:bidi="ar-SY"/>
        </w:rPr>
        <w:lastRenderedPageBreak/>
        <w:t>8</w:t>
      </w:r>
      <w:r w:rsidRPr="00595565">
        <w:rPr>
          <w:rtl/>
          <w:lang w:bidi="ar-SY"/>
        </w:rPr>
        <w:tab/>
      </w:r>
      <w:r w:rsidR="001B42F2" w:rsidRPr="00595565">
        <w:rPr>
          <w:rtl/>
        </w:rPr>
        <w:t xml:space="preserve">بيان من </w:t>
      </w:r>
      <w:r w:rsidR="009A156D" w:rsidRPr="00595565">
        <w:rPr>
          <w:rtl/>
        </w:rPr>
        <w:t>إسبانيا</w:t>
      </w:r>
    </w:p>
    <w:p w14:paraId="080B5913" w14:textId="183A68BF" w:rsidR="007668D4" w:rsidRPr="00595565" w:rsidRDefault="007668D4" w:rsidP="00F47812">
      <w:pPr>
        <w:jc w:val="left"/>
        <w:rPr>
          <w:rtl/>
          <w:lang w:bidi="ar-SY"/>
        </w:rPr>
      </w:pPr>
      <w:r w:rsidRPr="00595565">
        <w:rPr>
          <w:lang w:bidi="ar-SY"/>
        </w:rPr>
        <w:t>1.8</w:t>
      </w:r>
      <w:r w:rsidRPr="00595565">
        <w:rPr>
          <w:rtl/>
          <w:lang w:bidi="ar-SY"/>
        </w:rPr>
        <w:tab/>
      </w:r>
      <w:r w:rsidR="001B42F2" w:rsidRPr="00595565">
        <w:rPr>
          <w:rtl/>
          <w:lang w:bidi="ar-SY"/>
        </w:rPr>
        <w:t xml:space="preserve">أدلى السيد </w:t>
      </w:r>
      <w:r w:rsidR="009A156D" w:rsidRPr="00595565">
        <w:rPr>
          <w:rtl/>
          <w:lang w:bidi="ar-SY"/>
        </w:rPr>
        <w:t xml:space="preserve">ماتياس </w:t>
      </w:r>
      <w:proofErr w:type="spellStart"/>
      <w:r w:rsidR="009A156D" w:rsidRPr="00595565">
        <w:rPr>
          <w:rtl/>
          <w:lang w:bidi="ar-SY"/>
        </w:rPr>
        <w:t>غونزاليس</w:t>
      </w:r>
      <w:proofErr w:type="spellEnd"/>
      <w:r w:rsidR="009A156D" w:rsidRPr="00595565">
        <w:rPr>
          <w:rtl/>
          <w:lang w:bidi="ar-SY"/>
        </w:rPr>
        <w:t xml:space="preserve"> مارتن (الأمين العام للاتصالات وخدمات الاتصالات السمعية البصرية)</w:t>
      </w:r>
      <w:r w:rsidR="00595565" w:rsidRPr="00595565">
        <w:rPr>
          <w:rStyle w:val="FootnoteReference"/>
          <w:rtl/>
          <w:lang w:bidi="ar-SY"/>
        </w:rPr>
        <w:footnoteReference w:id="1"/>
      </w:r>
      <w:r w:rsidR="001B42F2" w:rsidRPr="00595565">
        <w:rPr>
          <w:rtl/>
          <w:lang w:bidi="ar-SY"/>
        </w:rPr>
        <w:t xml:space="preserve"> ببيان، </w:t>
      </w:r>
      <w:r w:rsidR="009A156D" w:rsidRPr="00595565">
        <w:rPr>
          <w:rtl/>
          <w:lang w:bidi="ar-SY"/>
        </w:rPr>
        <w:t xml:space="preserve">يتاح </w:t>
      </w:r>
      <w:r w:rsidR="001B42F2" w:rsidRPr="00595565">
        <w:rPr>
          <w:rtl/>
          <w:lang w:bidi="ar-SY"/>
        </w:rPr>
        <w:t xml:space="preserve">نصه </w:t>
      </w:r>
      <w:r w:rsidR="009A156D" w:rsidRPr="00595565">
        <w:rPr>
          <w:rtl/>
          <w:lang w:bidi="ar-SY"/>
        </w:rPr>
        <w:t xml:space="preserve">من خلال </w:t>
      </w:r>
      <w:r w:rsidR="001B42F2" w:rsidRPr="00595565">
        <w:rPr>
          <w:rtl/>
          <w:lang w:bidi="ar-SY"/>
        </w:rPr>
        <w:t>الرابط التالي:</w:t>
      </w:r>
      <w:r w:rsidR="00595565" w:rsidRPr="00595565">
        <w:rPr>
          <w:rtl/>
          <w:lang w:bidi="ar-SY"/>
        </w:rPr>
        <w:t xml:space="preserve"> </w:t>
      </w:r>
      <w:r w:rsidR="00F47812">
        <w:rPr>
          <w:rtl/>
          <w:lang w:bidi="ar-SY"/>
        </w:rPr>
        <w:br/>
      </w:r>
      <w:hyperlink r:id="rId41" w:history="1">
        <w:r w:rsidR="00F47812" w:rsidRPr="00A366A6">
          <w:rPr>
            <w:rStyle w:val="Hyperlink"/>
            <w:lang w:bidi="ar-SY"/>
          </w:rPr>
          <w:t>http://council.itu.int/2023/wp-content/uploads/sites/2/2023/09/C23-Spain-Statement-Matias-Gonzalez_en.pdf</w:t>
        </w:r>
      </w:hyperlink>
      <w:r w:rsidR="00F47812">
        <w:rPr>
          <w:lang w:bidi="ar-SY"/>
        </w:rPr>
        <w:t xml:space="preserve"> </w:t>
      </w:r>
    </w:p>
    <w:p w14:paraId="0C3557D9" w14:textId="6583714E" w:rsidR="007668D4" w:rsidRPr="00595565" w:rsidRDefault="007668D4" w:rsidP="007668D4">
      <w:pPr>
        <w:pStyle w:val="Heading1"/>
        <w:rPr>
          <w:rtl/>
          <w:lang w:bidi="ar-SY"/>
        </w:rPr>
      </w:pPr>
      <w:r w:rsidRPr="00595565">
        <w:rPr>
          <w:lang w:bidi="ar-SY"/>
        </w:rPr>
        <w:t>9</w:t>
      </w:r>
      <w:r w:rsidRPr="00595565">
        <w:rPr>
          <w:rtl/>
          <w:lang w:bidi="ar-SY"/>
        </w:rPr>
        <w:tab/>
      </w:r>
      <w:r w:rsidR="004C007B" w:rsidRPr="00595565">
        <w:rPr>
          <w:rtl/>
          <w:lang w:bidi="ar-SY"/>
        </w:rPr>
        <w:t>هدية إلى الاتحاد من المملكة المتحدة</w:t>
      </w:r>
    </w:p>
    <w:p w14:paraId="5635281E" w14:textId="60467187" w:rsidR="00D458DF" w:rsidRPr="00595565" w:rsidRDefault="007668D4" w:rsidP="00595565">
      <w:pPr>
        <w:rPr>
          <w:spacing w:val="-2"/>
          <w:rtl/>
        </w:rPr>
      </w:pPr>
      <w:r w:rsidRPr="00595565">
        <w:rPr>
          <w:spacing w:val="-2"/>
          <w:lang w:bidi="ar-SY"/>
        </w:rPr>
        <w:t>1.9</w:t>
      </w:r>
      <w:r w:rsidRPr="00595565">
        <w:rPr>
          <w:spacing w:val="-2"/>
          <w:rtl/>
          <w:lang w:bidi="ar-SY"/>
        </w:rPr>
        <w:tab/>
      </w:r>
      <w:r w:rsidR="00D458DF" w:rsidRPr="00595565">
        <w:rPr>
          <w:spacing w:val="-2"/>
          <w:rtl/>
          <w:lang w:bidi="ar-SY"/>
        </w:rPr>
        <w:t>قد</w:t>
      </w:r>
      <w:r w:rsidR="003D76DA">
        <w:rPr>
          <w:rFonts w:hint="cs"/>
          <w:spacing w:val="-2"/>
          <w:rtl/>
          <w:lang w:bidi="ar-SY"/>
        </w:rPr>
        <w:t>ّ</w:t>
      </w:r>
      <w:r w:rsidR="00D458DF" w:rsidRPr="00595565">
        <w:rPr>
          <w:spacing w:val="-2"/>
          <w:rtl/>
          <w:lang w:bidi="ar-SY"/>
        </w:rPr>
        <w:t xml:space="preserve">م السيد سيمون مانلي، السفير والممثل الدائم لبعثة المملكة المتحدة لدى منظمة التجارة العالمية والأمم المتحدة والمنظمات الدولية الأخرى في جنيف، هدية إلى الاتحاد نيابة عن المملكة المتحدة </w:t>
      </w:r>
      <w:r w:rsidR="008E0E52" w:rsidRPr="00595565">
        <w:rPr>
          <w:spacing w:val="-2"/>
          <w:rtl/>
          <w:lang w:bidi="ar-SY"/>
        </w:rPr>
        <w:t xml:space="preserve">هي كابينة </w:t>
      </w:r>
      <w:r w:rsidR="00D458DF" w:rsidRPr="00595565">
        <w:rPr>
          <w:spacing w:val="-2"/>
          <w:rtl/>
          <w:lang w:bidi="ar-SY"/>
        </w:rPr>
        <w:t>هاتف</w:t>
      </w:r>
      <w:r w:rsidR="008E0E52" w:rsidRPr="00595565">
        <w:rPr>
          <w:spacing w:val="-2"/>
          <w:rtl/>
          <w:lang w:bidi="ar-SY"/>
        </w:rPr>
        <w:t xml:space="preserve"> أيقونية من طراز</w:t>
      </w:r>
      <w:r w:rsidR="00D458DF" w:rsidRPr="00595565">
        <w:rPr>
          <w:spacing w:val="-2"/>
          <w:rtl/>
          <w:lang w:bidi="ar-SY"/>
        </w:rPr>
        <w:t xml:space="preserve"> </w:t>
      </w:r>
      <w:r w:rsidR="00D458DF" w:rsidRPr="00595565">
        <w:rPr>
          <w:spacing w:val="-2"/>
          <w:lang w:bidi="ar-SY"/>
        </w:rPr>
        <w:t>K6</w:t>
      </w:r>
      <w:r w:rsidR="00D458DF" w:rsidRPr="00595565">
        <w:rPr>
          <w:spacing w:val="-2"/>
          <w:rtl/>
          <w:lang w:bidi="ar-SY"/>
        </w:rPr>
        <w:t xml:space="preserve"> </w:t>
      </w:r>
      <w:r w:rsidR="008A218D" w:rsidRPr="00595565">
        <w:rPr>
          <w:spacing w:val="-2"/>
          <w:rtl/>
          <w:lang w:bidi="ar-SY"/>
        </w:rPr>
        <w:t>بلون أحمر ساطع</w:t>
      </w:r>
      <w:r w:rsidR="00D458DF" w:rsidRPr="00595565">
        <w:rPr>
          <w:spacing w:val="-2"/>
          <w:rtl/>
          <w:lang w:bidi="ar-SY"/>
        </w:rPr>
        <w:t xml:space="preserve"> صمم</w:t>
      </w:r>
      <w:r w:rsidR="008E0E52" w:rsidRPr="00595565">
        <w:rPr>
          <w:spacing w:val="-2"/>
          <w:rtl/>
          <w:lang w:bidi="ar-SY"/>
        </w:rPr>
        <w:t>ت</w:t>
      </w:r>
      <w:r w:rsidR="00D458DF" w:rsidRPr="00595565">
        <w:rPr>
          <w:spacing w:val="-2"/>
          <w:rtl/>
          <w:lang w:bidi="ar-SY"/>
        </w:rPr>
        <w:t xml:space="preserve"> في عام 1935</w:t>
      </w:r>
      <w:r w:rsidR="008A218D" w:rsidRPr="00595565">
        <w:rPr>
          <w:spacing w:val="-2"/>
          <w:rtl/>
          <w:lang w:bidi="ar-SY"/>
        </w:rPr>
        <w:t>.</w:t>
      </w:r>
      <w:r w:rsidR="008A218D" w:rsidRPr="00595565">
        <w:rPr>
          <w:spacing w:val="-2"/>
          <w:rtl/>
        </w:rPr>
        <w:t xml:space="preserve"> وفي المملكة المتحدة، وربما بالنسبة للعديد من الناس في جميع أنحاء العالم، </w:t>
      </w:r>
      <w:r w:rsidR="008E0E52" w:rsidRPr="00595565">
        <w:rPr>
          <w:spacing w:val="-2"/>
          <w:rtl/>
        </w:rPr>
        <w:t xml:space="preserve">تمثل كابينة </w:t>
      </w:r>
      <w:r w:rsidR="008A218D" w:rsidRPr="00595565">
        <w:rPr>
          <w:spacing w:val="-2"/>
          <w:rtl/>
        </w:rPr>
        <w:t xml:space="preserve">الهاتف </w:t>
      </w:r>
      <w:r w:rsidR="008E0E52" w:rsidRPr="00595565">
        <w:rPr>
          <w:spacing w:val="-2"/>
          <w:rtl/>
        </w:rPr>
        <w:t xml:space="preserve">الحمراء </w:t>
      </w:r>
      <w:r w:rsidR="008A218D" w:rsidRPr="00595565">
        <w:rPr>
          <w:spacing w:val="-2"/>
          <w:rtl/>
        </w:rPr>
        <w:t xml:space="preserve">رمزاً </w:t>
      </w:r>
      <w:r w:rsidR="008E0E52" w:rsidRPr="00595565">
        <w:rPr>
          <w:spacing w:val="-2"/>
          <w:rtl/>
        </w:rPr>
        <w:t xml:space="preserve">للتوصيلية </w:t>
      </w:r>
      <w:r w:rsidR="00C96CFD" w:rsidRPr="00595565">
        <w:rPr>
          <w:spacing w:val="-2"/>
          <w:rtl/>
        </w:rPr>
        <w:t>ل</w:t>
      </w:r>
      <w:r w:rsidR="008A218D" w:rsidRPr="00595565">
        <w:rPr>
          <w:spacing w:val="-2"/>
          <w:rtl/>
        </w:rPr>
        <w:t>لجميع، وبالتالي سيكون له</w:t>
      </w:r>
      <w:r w:rsidR="008E0E52" w:rsidRPr="00595565">
        <w:rPr>
          <w:spacing w:val="-2"/>
          <w:rtl/>
        </w:rPr>
        <w:t>ا</w:t>
      </w:r>
      <w:r w:rsidR="008A218D" w:rsidRPr="00595565">
        <w:rPr>
          <w:spacing w:val="-2"/>
          <w:rtl/>
        </w:rPr>
        <w:t xml:space="preserve"> </w:t>
      </w:r>
      <w:r w:rsidR="008E0E52" w:rsidRPr="00595565">
        <w:rPr>
          <w:spacing w:val="-2"/>
          <w:rtl/>
        </w:rPr>
        <w:t xml:space="preserve">مكاناً </w:t>
      </w:r>
      <w:r w:rsidR="008A218D" w:rsidRPr="00595565">
        <w:rPr>
          <w:spacing w:val="-2"/>
          <w:rtl/>
        </w:rPr>
        <w:t>في منظمة مهمتها الأساسية والأكثر أهمية هي توصيل غير الموصولين</w:t>
      </w:r>
      <w:r w:rsidR="00C96CFD" w:rsidRPr="00595565">
        <w:rPr>
          <w:spacing w:val="-2"/>
          <w:rtl/>
        </w:rPr>
        <w:t>.</w:t>
      </w:r>
    </w:p>
    <w:p w14:paraId="2C3C6CE6" w14:textId="43292EB1" w:rsidR="00E35906" w:rsidRPr="00595565" w:rsidRDefault="007668D4" w:rsidP="00595565">
      <w:pPr>
        <w:rPr>
          <w:rtl/>
          <w:lang w:val="en-GB"/>
        </w:rPr>
      </w:pPr>
      <w:r w:rsidRPr="00595565">
        <w:rPr>
          <w:lang w:bidi="ar-SY"/>
        </w:rPr>
        <w:t>2.9</w:t>
      </w:r>
      <w:r w:rsidRPr="00595565">
        <w:rPr>
          <w:rtl/>
          <w:lang w:bidi="ar-SY"/>
        </w:rPr>
        <w:tab/>
      </w:r>
      <w:r w:rsidR="00E35906" w:rsidRPr="00595565">
        <w:rPr>
          <w:rtl/>
          <w:lang w:bidi="ar-SY"/>
        </w:rPr>
        <w:t xml:space="preserve">ونيابةً عن الاتحاد وأعضائه، أعربت الأمينة العامة عن خالص شكرها للمملكة المتحدة على الهدية </w:t>
      </w:r>
      <w:r w:rsidR="00B3473A" w:rsidRPr="00595565">
        <w:rPr>
          <w:rtl/>
          <w:lang w:bidi="ar-SY"/>
        </w:rPr>
        <w:t>السخية</w:t>
      </w:r>
      <w:r w:rsidR="00E35906" w:rsidRPr="00595565">
        <w:rPr>
          <w:rtl/>
          <w:lang w:bidi="ar-SY"/>
        </w:rPr>
        <w:t xml:space="preserve"> التي </w:t>
      </w:r>
      <w:r w:rsidR="00753FC5" w:rsidRPr="00595565">
        <w:rPr>
          <w:rtl/>
          <w:lang w:bidi="ar-SY"/>
        </w:rPr>
        <w:t>ليست</w:t>
      </w:r>
      <w:r w:rsidR="008E0E52" w:rsidRPr="00595565">
        <w:rPr>
          <w:rtl/>
          <w:lang w:bidi="ar-SY"/>
        </w:rPr>
        <w:t xml:space="preserve"> جميلة وأيقونية</w:t>
      </w:r>
      <w:r w:rsidR="00E35906" w:rsidRPr="00595565">
        <w:rPr>
          <w:rtl/>
          <w:lang w:bidi="ar-SY"/>
        </w:rPr>
        <w:t xml:space="preserve"> فحسب، بل تنسجم بوضوح مع أهداف الاتحاد وغاياته.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C4BA4" w:rsidRPr="00595565" w14:paraId="7F136806" w14:textId="77777777" w:rsidTr="000E3FA6">
        <w:tc>
          <w:tcPr>
            <w:tcW w:w="4814" w:type="dxa"/>
          </w:tcPr>
          <w:p w14:paraId="3D07F189" w14:textId="7A857195" w:rsidR="008C4BA4" w:rsidRPr="00595565" w:rsidRDefault="008C4BA4" w:rsidP="000E3FA6">
            <w:pPr>
              <w:spacing w:before="1440"/>
              <w:rPr>
                <w:rtl/>
              </w:rPr>
            </w:pPr>
            <w:r w:rsidRPr="00595565">
              <w:rPr>
                <w:rtl/>
              </w:rPr>
              <w:t>الأمينة العامة:</w:t>
            </w:r>
            <w:r w:rsidRPr="00595565">
              <w:rPr>
                <w:rtl/>
              </w:rPr>
              <w:br/>
              <w:t>د</w:t>
            </w:r>
            <w:r w:rsidR="008E0E52" w:rsidRPr="00595565">
              <w:rPr>
                <w:rtl/>
              </w:rPr>
              <w:t>ورين</w:t>
            </w:r>
            <w:r w:rsidRPr="00595565">
              <w:rPr>
                <w:rtl/>
              </w:rPr>
              <w:t xml:space="preserve"> بوغدان-مارتن</w:t>
            </w:r>
          </w:p>
        </w:tc>
        <w:tc>
          <w:tcPr>
            <w:tcW w:w="4815" w:type="dxa"/>
          </w:tcPr>
          <w:p w14:paraId="74C9DC40" w14:textId="6C635378" w:rsidR="008C4BA4" w:rsidRPr="00595565" w:rsidRDefault="008C4BA4" w:rsidP="000E3FA6">
            <w:pPr>
              <w:spacing w:before="1440"/>
              <w:rPr>
                <w:rtl/>
              </w:rPr>
            </w:pPr>
            <w:r w:rsidRPr="00595565">
              <w:rPr>
                <w:rtl/>
              </w:rPr>
              <w:t>الرئيس:</w:t>
            </w:r>
            <w:r w:rsidRPr="00595565">
              <w:rPr>
                <w:rtl/>
              </w:rPr>
              <w:br/>
              <w:t>س</w:t>
            </w:r>
            <w:r w:rsidR="008E0E52" w:rsidRPr="00595565">
              <w:rPr>
                <w:rtl/>
              </w:rPr>
              <w:t>يزار</w:t>
            </w:r>
            <w:r w:rsidRPr="00595565">
              <w:rPr>
                <w:rtl/>
              </w:rPr>
              <w:t xml:space="preserve"> مارتينيز</w:t>
            </w:r>
          </w:p>
        </w:tc>
      </w:tr>
    </w:tbl>
    <w:p w14:paraId="3BFDF25F" w14:textId="77777777" w:rsidR="00F50E3F" w:rsidRPr="00595565" w:rsidRDefault="00D63735" w:rsidP="00D63735">
      <w:pPr>
        <w:spacing w:before="600"/>
        <w:jc w:val="center"/>
        <w:rPr>
          <w:rtl/>
          <w:lang w:bidi="ar-EG"/>
        </w:rPr>
      </w:pPr>
      <w:r w:rsidRPr="00595565">
        <w:rPr>
          <w:rtl/>
          <w:lang w:bidi="ar-EG"/>
        </w:rPr>
        <w:t>ــــــــــــــــــــــــــــــــــــــــــــــــــــــــــــــــــــــــــــــــــــــــــــــــ</w:t>
      </w:r>
    </w:p>
    <w:sectPr w:rsidR="00F50E3F" w:rsidRPr="00595565" w:rsidSect="006C3242">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2285" w14:textId="77777777" w:rsidR="00C52D6D" w:rsidRDefault="00C52D6D" w:rsidP="006C3242">
      <w:pPr>
        <w:spacing w:before="0" w:line="240" w:lineRule="auto"/>
      </w:pPr>
      <w:r>
        <w:separator/>
      </w:r>
    </w:p>
  </w:endnote>
  <w:endnote w:type="continuationSeparator" w:id="0">
    <w:p w14:paraId="1F0BB0C3" w14:textId="77777777" w:rsidR="00C52D6D" w:rsidRDefault="00C52D6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Avenir Nxt2 W1G Medium">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A21E9F3" w14:textId="77777777" w:rsidTr="00357086">
      <w:trPr>
        <w:jc w:val="center"/>
      </w:trPr>
      <w:tc>
        <w:tcPr>
          <w:tcW w:w="868" w:type="pct"/>
          <w:vAlign w:val="center"/>
        </w:tcPr>
        <w:p w14:paraId="07EB2DE3" w14:textId="5015B2CD"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A930D3" w:rsidRPr="00A930D3">
            <w:rPr>
              <w:rFonts w:ascii="Calibri" w:hAnsi="Calibri" w:cs="Arial"/>
              <w:sz w:val="18"/>
              <w:szCs w:val="14"/>
            </w:rPr>
            <w:t>526814</w:t>
          </w:r>
        </w:p>
      </w:tc>
      <w:tc>
        <w:tcPr>
          <w:tcW w:w="3912" w:type="pct"/>
        </w:tcPr>
        <w:p w14:paraId="644C222C" w14:textId="7A64170F"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A930D3">
            <w:rPr>
              <w:rFonts w:ascii="Calibri" w:hAnsi="Calibri" w:cs="Arial"/>
              <w:bCs/>
              <w:color w:val="7F7F7F"/>
              <w:sz w:val="18"/>
            </w:rPr>
            <w:t>109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7C7E17A"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218E6F1" w14:textId="1BF878CA" w:rsidR="006C3242" w:rsidRPr="0026373E" w:rsidRDefault="006C3242" w:rsidP="00FE5872">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0A90FAC0" w14:textId="77777777" w:rsidTr="00F50E3F">
      <w:trPr>
        <w:jc w:val="center"/>
      </w:trPr>
      <w:tc>
        <w:tcPr>
          <w:tcW w:w="868" w:type="pct"/>
          <w:vAlign w:val="center"/>
        </w:tcPr>
        <w:p w14:paraId="7D43B660" w14:textId="77777777" w:rsidR="007B0AA0" w:rsidRPr="007B0AA0" w:rsidRDefault="00302E06"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29B889B2" w14:textId="59CA40E1"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90474">
            <w:rPr>
              <w:rFonts w:ascii="Calibri" w:hAnsi="Calibri" w:cs="Arial"/>
              <w:bCs/>
              <w:color w:val="7F7F7F"/>
              <w:sz w:val="18"/>
            </w:rPr>
            <w:t>109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7873F37"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6F03C16" w14:textId="2FC7B85C" w:rsidR="0006468A" w:rsidRPr="00070BC0" w:rsidRDefault="0006468A" w:rsidP="0006468A">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EBE6" w14:textId="77777777" w:rsidR="00C52D6D" w:rsidRDefault="00C52D6D" w:rsidP="006C3242">
      <w:pPr>
        <w:spacing w:before="0" w:line="240" w:lineRule="auto"/>
      </w:pPr>
      <w:r>
        <w:separator/>
      </w:r>
    </w:p>
  </w:footnote>
  <w:footnote w:type="continuationSeparator" w:id="0">
    <w:p w14:paraId="7AAE5962" w14:textId="77777777" w:rsidR="00C52D6D" w:rsidRDefault="00C52D6D" w:rsidP="006C3242">
      <w:pPr>
        <w:spacing w:before="0" w:line="240" w:lineRule="auto"/>
      </w:pPr>
      <w:r>
        <w:continuationSeparator/>
      </w:r>
    </w:p>
  </w:footnote>
  <w:footnote w:id="1">
    <w:p w14:paraId="60D7388A" w14:textId="38FE33DA" w:rsidR="00595565" w:rsidRPr="00A61FE2" w:rsidRDefault="00595565" w:rsidP="003D76DA">
      <w:pPr>
        <w:pStyle w:val="FootnoteText"/>
        <w:tabs>
          <w:tab w:val="clear" w:pos="794"/>
          <w:tab w:val="left" w:pos="283"/>
        </w:tabs>
        <w:rPr>
          <w:lang w:bidi="ar-SY"/>
        </w:rPr>
      </w:pPr>
      <w:r w:rsidRPr="003D76DA">
        <w:rPr>
          <w:rStyle w:val="FootnoteReference"/>
          <w:szCs w:val="24"/>
        </w:rPr>
        <w:footnoteRef/>
      </w:r>
      <w:r w:rsidRPr="003D76DA">
        <w:rPr>
          <w:sz w:val="18"/>
          <w:szCs w:val="18"/>
          <w:rtl/>
        </w:rPr>
        <w:tab/>
        <w:t xml:space="preserve">بيان موجه إلى المجلس أُدلي به في اجتماع اللجنة الدائمة للتنظيم والإدارة يوم الأربعاء </w:t>
      </w:r>
      <w:r w:rsidRPr="003D76DA">
        <w:rPr>
          <w:rFonts w:ascii="Arial" w:hAnsi="Arial" w:cs="Arial" w:hint="cs"/>
          <w:sz w:val="18"/>
          <w:szCs w:val="18"/>
          <w:rtl/>
        </w:rPr>
        <w:t>‬</w:t>
      </w:r>
      <w:r w:rsidRPr="003D76DA">
        <w:rPr>
          <w:sz w:val="18"/>
          <w:szCs w:val="18"/>
          <w:rtl/>
        </w:rPr>
        <w:t>19 يوليو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BCAC" w14:textId="77777777" w:rsidR="00E1217F" w:rsidRDefault="00E1217F" w:rsidP="00E1217F">
    <w:pPr>
      <w:pStyle w:val="Header"/>
      <w:spacing w:before="120" w:after="240"/>
      <w:rPr>
        <w:rtl/>
      </w:rP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23ABADA" wp14:editId="221EFE63">
              <wp:simplePos x="0" y="0"/>
              <wp:positionH relativeFrom="page">
                <wp:posOffset>7454265</wp:posOffset>
              </wp:positionH>
              <wp:positionV relativeFrom="topMargin">
                <wp:posOffset>604625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2402" id="Rectangle 5" o:spid="_x0000_s1026" style="position:absolute;margin-left:586.95pt;margin-top:47.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SmU8MuMAAAAMAQAADwAAAGRycy9kb3ducmV2LnhtbEyPTU/D&#10;MAyG70j8h8hI3FjawlhXmk4IwWHaDuzjslvWmLbQOKXJto5fj3eCm1/50evH+WywrThi7xtHCuJR&#10;BAKpdKahSsF283aXgvBBk9GtI1RwRg+z4voq15lxJ1rhcR0qwSXkM62gDqHLpPRljVb7keuQePfh&#10;eqsDx76SptcnLretTKLoUVrdEF+odYcvNZZf64NVEHZJNTm/L0KyfV18Lz/n8+bH7JS6vRmen0AE&#10;HMIfDBd9VoeCnfbuQMaLlnM8uZ8yq2A6TkBciDhNH0DseRonEcgil/+fKH4BAAD//wMAUEsBAi0A&#10;FAAGAAgAAAAhALaDOJL+AAAA4QEAABMAAAAAAAAAAAAAAAAAAAAAAFtDb250ZW50X1R5cGVzXS54&#10;bWxQSwECLQAUAAYACAAAACEAOP0h/9YAAACUAQAACwAAAAAAAAAAAAAAAAAvAQAAX3JlbHMvLnJl&#10;bHNQSwECLQAUAAYACAAAACEAGpe5+OgBAACzAwAADgAAAAAAAAAAAAAAAAAuAgAAZHJzL2Uyb0Rv&#10;Yy54bWxQSwECLQAUAAYACAAAACEASmU8MuMAAAAMAQAADwAAAAAAAAAAAAAAAABCBAAAZHJzL2Rv&#10;d25yZXYueG1sUEsFBgAAAAAEAAQA8wAAAFIFAAAAAA==&#10;" fillcolor="#009cd5" stroked="f">
              <w10:wrap anchorx="page" anchory="margin"/>
            </v:rect>
          </w:pict>
        </mc:Fallback>
      </mc:AlternateContent>
    </w:r>
    <w:r>
      <w:rPr>
        <w:noProof/>
      </w:rPr>
      <w:drawing>
        <wp:inline distT="0" distB="0" distL="0" distR="0" wp14:anchorId="1A11D07F" wp14:editId="387848EA">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6D"/>
    <w:rsid w:val="0006468A"/>
    <w:rsid w:val="00070BC0"/>
    <w:rsid w:val="000877C8"/>
    <w:rsid w:val="00090574"/>
    <w:rsid w:val="000933EF"/>
    <w:rsid w:val="000A48EB"/>
    <w:rsid w:val="000A5FCB"/>
    <w:rsid w:val="000B6131"/>
    <w:rsid w:val="000C1C0E"/>
    <w:rsid w:val="000C548A"/>
    <w:rsid w:val="000F7441"/>
    <w:rsid w:val="00107FD3"/>
    <w:rsid w:val="00124665"/>
    <w:rsid w:val="001334DA"/>
    <w:rsid w:val="00192404"/>
    <w:rsid w:val="001A20D9"/>
    <w:rsid w:val="001B42F2"/>
    <w:rsid w:val="001C0169"/>
    <w:rsid w:val="001C2618"/>
    <w:rsid w:val="001D1D50"/>
    <w:rsid w:val="001D2D05"/>
    <w:rsid w:val="001D6745"/>
    <w:rsid w:val="001E0BBE"/>
    <w:rsid w:val="001E446E"/>
    <w:rsid w:val="002154EE"/>
    <w:rsid w:val="0022718C"/>
    <w:rsid w:val="002276D2"/>
    <w:rsid w:val="0023283D"/>
    <w:rsid w:val="0026373E"/>
    <w:rsid w:val="00271C43"/>
    <w:rsid w:val="00284A8C"/>
    <w:rsid w:val="00290728"/>
    <w:rsid w:val="00295832"/>
    <w:rsid w:val="002978F4"/>
    <w:rsid w:val="002A28F7"/>
    <w:rsid w:val="002B028D"/>
    <w:rsid w:val="002C6CAF"/>
    <w:rsid w:val="002E0321"/>
    <w:rsid w:val="002E6541"/>
    <w:rsid w:val="00302E06"/>
    <w:rsid w:val="00316F2D"/>
    <w:rsid w:val="00334924"/>
    <w:rsid w:val="003409BC"/>
    <w:rsid w:val="00346230"/>
    <w:rsid w:val="00357185"/>
    <w:rsid w:val="00383829"/>
    <w:rsid w:val="00383D88"/>
    <w:rsid w:val="00397E6B"/>
    <w:rsid w:val="003A3EB5"/>
    <w:rsid w:val="003B70F8"/>
    <w:rsid w:val="003C34F8"/>
    <w:rsid w:val="003D76DA"/>
    <w:rsid w:val="003F4B29"/>
    <w:rsid w:val="0042204B"/>
    <w:rsid w:val="0042686F"/>
    <w:rsid w:val="004317D8"/>
    <w:rsid w:val="00433A66"/>
    <w:rsid w:val="00434183"/>
    <w:rsid w:val="00443869"/>
    <w:rsid w:val="00447F32"/>
    <w:rsid w:val="00450CEA"/>
    <w:rsid w:val="00480510"/>
    <w:rsid w:val="0048246E"/>
    <w:rsid w:val="004B7334"/>
    <w:rsid w:val="004C007B"/>
    <w:rsid w:val="004D4330"/>
    <w:rsid w:val="004E11DC"/>
    <w:rsid w:val="004F1619"/>
    <w:rsid w:val="004F1CE0"/>
    <w:rsid w:val="005030F7"/>
    <w:rsid w:val="00515E36"/>
    <w:rsid w:val="00515E9A"/>
    <w:rsid w:val="00525DDD"/>
    <w:rsid w:val="005409AC"/>
    <w:rsid w:val="00542ED1"/>
    <w:rsid w:val="0055516A"/>
    <w:rsid w:val="0058491B"/>
    <w:rsid w:val="00592EA5"/>
    <w:rsid w:val="00594CA9"/>
    <w:rsid w:val="00595565"/>
    <w:rsid w:val="005A3170"/>
    <w:rsid w:val="005E1170"/>
    <w:rsid w:val="00617102"/>
    <w:rsid w:val="00626D41"/>
    <w:rsid w:val="006513F7"/>
    <w:rsid w:val="00677396"/>
    <w:rsid w:val="00685361"/>
    <w:rsid w:val="0069200F"/>
    <w:rsid w:val="006A65CB"/>
    <w:rsid w:val="006C3242"/>
    <w:rsid w:val="006C7CC0"/>
    <w:rsid w:val="006E1FF5"/>
    <w:rsid w:val="006E3E49"/>
    <w:rsid w:val="006F3B59"/>
    <w:rsid w:val="006F63F7"/>
    <w:rsid w:val="007025C7"/>
    <w:rsid w:val="00706D7A"/>
    <w:rsid w:val="00712EC8"/>
    <w:rsid w:val="00722C9F"/>
    <w:rsid w:val="00722F0D"/>
    <w:rsid w:val="00737228"/>
    <w:rsid w:val="00743E7F"/>
    <w:rsid w:val="0074420E"/>
    <w:rsid w:val="00750D58"/>
    <w:rsid w:val="00753FC5"/>
    <w:rsid w:val="007668D4"/>
    <w:rsid w:val="00783E26"/>
    <w:rsid w:val="007B0AA0"/>
    <w:rsid w:val="007B10C3"/>
    <w:rsid w:val="007C3BC7"/>
    <w:rsid w:val="007C3BCD"/>
    <w:rsid w:val="007C696F"/>
    <w:rsid w:val="007C7E1B"/>
    <w:rsid w:val="007D1966"/>
    <w:rsid w:val="007D4128"/>
    <w:rsid w:val="007D4ACF"/>
    <w:rsid w:val="007D5836"/>
    <w:rsid w:val="007F0787"/>
    <w:rsid w:val="007F2B32"/>
    <w:rsid w:val="00802E42"/>
    <w:rsid w:val="00810B7B"/>
    <w:rsid w:val="008118DD"/>
    <w:rsid w:val="00817871"/>
    <w:rsid w:val="0082358A"/>
    <w:rsid w:val="008235CD"/>
    <w:rsid w:val="008247DE"/>
    <w:rsid w:val="008339C0"/>
    <w:rsid w:val="00840B10"/>
    <w:rsid w:val="008513CB"/>
    <w:rsid w:val="00867DDC"/>
    <w:rsid w:val="008A218D"/>
    <w:rsid w:val="008A7F84"/>
    <w:rsid w:val="008B0F5F"/>
    <w:rsid w:val="008B238F"/>
    <w:rsid w:val="008B307B"/>
    <w:rsid w:val="008C0705"/>
    <w:rsid w:val="008C4BA4"/>
    <w:rsid w:val="008E0E52"/>
    <w:rsid w:val="0090317F"/>
    <w:rsid w:val="0091702E"/>
    <w:rsid w:val="00923B0C"/>
    <w:rsid w:val="00930183"/>
    <w:rsid w:val="0094021C"/>
    <w:rsid w:val="00952F86"/>
    <w:rsid w:val="00964946"/>
    <w:rsid w:val="00982B28"/>
    <w:rsid w:val="009A156D"/>
    <w:rsid w:val="009C712D"/>
    <w:rsid w:val="009D313F"/>
    <w:rsid w:val="009D7CAF"/>
    <w:rsid w:val="009D7D83"/>
    <w:rsid w:val="009F3197"/>
    <w:rsid w:val="00A131C8"/>
    <w:rsid w:val="00A21352"/>
    <w:rsid w:val="00A378DC"/>
    <w:rsid w:val="00A4529A"/>
    <w:rsid w:val="00A47A5A"/>
    <w:rsid w:val="00A61FE2"/>
    <w:rsid w:val="00A6683B"/>
    <w:rsid w:val="00A930D3"/>
    <w:rsid w:val="00A97F94"/>
    <w:rsid w:val="00AA7EA2"/>
    <w:rsid w:val="00AB476F"/>
    <w:rsid w:val="00AC3E68"/>
    <w:rsid w:val="00AD2499"/>
    <w:rsid w:val="00B03099"/>
    <w:rsid w:val="00B05BC8"/>
    <w:rsid w:val="00B20CE7"/>
    <w:rsid w:val="00B269D3"/>
    <w:rsid w:val="00B3473A"/>
    <w:rsid w:val="00B61CC6"/>
    <w:rsid w:val="00B64B47"/>
    <w:rsid w:val="00B75A1A"/>
    <w:rsid w:val="00B81577"/>
    <w:rsid w:val="00B85BB7"/>
    <w:rsid w:val="00B91A5A"/>
    <w:rsid w:val="00B95654"/>
    <w:rsid w:val="00BA0431"/>
    <w:rsid w:val="00BA16DC"/>
    <w:rsid w:val="00BD5A1A"/>
    <w:rsid w:val="00BE1DD3"/>
    <w:rsid w:val="00BE2AA4"/>
    <w:rsid w:val="00BE69B3"/>
    <w:rsid w:val="00C002DE"/>
    <w:rsid w:val="00C11304"/>
    <w:rsid w:val="00C25F68"/>
    <w:rsid w:val="00C27937"/>
    <w:rsid w:val="00C31769"/>
    <w:rsid w:val="00C332BB"/>
    <w:rsid w:val="00C52D6D"/>
    <w:rsid w:val="00C53882"/>
    <w:rsid w:val="00C53BF8"/>
    <w:rsid w:val="00C604C2"/>
    <w:rsid w:val="00C66157"/>
    <w:rsid w:val="00C674FE"/>
    <w:rsid w:val="00C67501"/>
    <w:rsid w:val="00C749FD"/>
    <w:rsid w:val="00C75633"/>
    <w:rsid w:val="00C96CFD"/>
    <w:rsid w:val="00CB05F3"/>
    <w:rsid w:val="00CC1A4E"/>
    <w:rsid w:val="00CE2EE1"/>
    <w:rsid w:val="00CE3349"/>
    <w:rsid w:val="00CE36E5"/>
    <w:rsid w:val="00CF27F5"/>
    <w:rsid w:val="00CF33BA"/>
    <w:rsid w:val="00CF3FFD"/>
    <w:rsid w:val="00D04ACA"/>
    <w:rsid w:val="00D10CCF"/>
    <w:rsid w:val="00D13941"/>
    <w:rsid w:val="00D458DF"/>
    <w:rsid w:val="00D579FE"/>
    <w:rsid w:val="00D63735"/>
    <w:rsid w:val="00D76811"/>
    <w:rsid w:val="00D77D0F"/>
    <w:rsid w:val="00D90474"/>
    <w:rsid w:val="00DA1CF0"/>
    <w:rsid w:val="00DB1F1B"/>
    <w:rsid w:val="00DC1E02"/>
    <w:rsid w:val="00DC24B4"/>
    <w:rsid w:val="00DC5FB0"/>
    <w:rsid w:val="00DF16DC"/>
    <w:rsid w:val="00E1217F"/>
    <w:rsid w:val="00E147DA"/>
    <w:rsid w:val="00E241F7"/>
    <w:rsid w:val="00E35906"/>
    <w:rsid w:val="00E426F9"/>
    <w:rsid w:val="00E45211"/>
    <w:rsid w:val="00E46EA6"/>
    <w:rsid w:val="00E473C5"/>
    <w:rsid w:val="00E51BB6"/>
    <w:rsid w:val="00E61BE8"/>
    <w:rsid w:val="00E92863"/>
    <w:rsid w:val="00EB796D"/>
    <w:rsid w:val="00EE28A2"/>
    <w:rsid w:val="00EE3D6D"/>
    <w:rsid w:val="00EE51BA"/>
    <w:rsid w:val="00EE52B2"/>
    <w:rsid w:val="00EF6FE0"/>
    <w:rsid w:val="00F058DC"/>
    <w:rsid w:val="00F1188B"/>
    <w:rsid w:val="00F24FC4"/>
    <w:rsid w:val="00F2676C"/>
    <w:rsid w:val="00F363FE"/>
    <w:rsid w:val="00F401AE"/>
    <w:rsid w:val="00F47812"/>
    <w:rsid w:val="00F50E3F"/>
    <w:rsid w:val="00F76187"/>
    <w:rsid w:val="00F84366"/>
    <w:rsid w:val="00F85089"/>
    <w:rsid w:val="00F961FC"/>
    <w:rsid w:val="00F974C5"/>
    <w:rsid w:val="00FA2FD3"/>
    <w:rsid w:val="00FA6F46"/>
    <w:rsid w:val="00FC4592"/>
    <w:rsid w:val="00FD527F"/>
    <w:rsid w:val="00FE5872"/>
    <w:rsid w:val="00FE7CDB"/>
    <w:rsid w:val="00FE7FCA"/>
    <w:rsid w:val="00FF70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6F014"/>
  <w15:chartTrackingRefBased/>
  <w15:docId w15:val="{8A844A07-09FE-474B-844F-058BEFE7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
    <w:name w:val="toc 0"/>
    <w:basedOn w:val="Normal"/>
    <w:next w:val="TOC1"/>
    <w:rsid w:val="00C52D6D"/>
    <w:pPr>
      <w:tabs>
        <w:tab w:val="clear" w:pos="794"/>
        <w:tab w:val="right" w:pos="9781"/>
      </w:tabs>
      <w:overflowPunct w:val="0"/>
      <w:autoSpaceDE w:val="0"/>
      <w:autoSpaceDN w:val="0"/>
      <w:bidi w:val="0"/>
      <w:adjustRightInd w:val="0"/>
      <w:spacing w:line="240" w:lineRule="auto"/>
      <w:jc w:val="left"/>
      <w:textAlignment w:val="baseline"/>
    </w:pPr>
    <w:rPr>
      <w:rFonts w:ascii="Calibri" w:eastAsia="SimSun" w:hAnsi="Calibri" w:cs="Times New Roman"/>
      <w:b/>
      <w:sz w:val="24"/>
      <w:szCs w:val="20"/>
      <w:lang w:val="en-GB" w:eastAsia="en-US"/>
    </w:rPr>
  </w:style>
  <w:style w:type="character" w:styleId="FollowedHyperlink">
    <w:name w:val="FollowedHyperlink"/>
    <w:basedOn w:val="DefaultParagraphFont"/>
    <w:uiPriority w:val="99"/>
    <w:semiHidden/>
    <w:unhideWhenUsed/>
    <w:rsid w:val="00C52D6D"/>
    <w:rPr>
      <w:color w:val="954F72" w:themeColor="followedHyperlink"/>
      <w:u w:val="single"/>
    </w:rPr>
  </w:style>
  <w:style w:type="character" w:styleId="UnresolvedMention">
    <w:name w:val="Unresolved Mention"/>
    <w:basedOn w:val="DefaultParagraphFont"/>
    <w:uiPriority w:val="99"/>
    <w:semiHidden/>
    <w:unhideWhenUsed/>
    <w:rsid w:val="00A21352"/>
    <w:rPr>
      <w:color w:val="605E5C"/>
      <w:shd w:val="clear" w:color="auto" w:fill="E1DFDD"/>
    </w:rPr>
  </w:style>
  <w:style w:type="paragraph" w:styleId="Revision">
    <w:name w:val="Revision"/>
    <w:hidden/>
    <w:uiPriority w:val="99"/>
    <w:semiHidden/>
    <w:rsid w:val="00480510"/>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02273">
      <w:bodyDiv w:val="1"/>
      <w:marLeft w:val="0"/>
      <w:marRight w:val="0"/>
      <w:marTop w:val="0"/>
      <w:marBottom w:val="0"/>
      <w:divBdr>
        <w:top w:val="none" w:sz="0" w:space="0" w:color="auto"/>
        <w:left w:val="none" w:sz="0" w:space="0" w:color="auto"/>
        <w:bottom w:val="none" w:sz="0" w:space="0" w:color="auto"/>
        <w:right w:val="none" w:sz="0" w:space="0" w:color="auto"/>
      </w:divBdr>
      <w:divsChild>
        <w:div w:id="65611729">
          <w:marLeft w:val="0"/>
          <w:marRight w:val="0"/>
          <w:marTop w:val="0"/>
          <w:marBottom w:val="0"/>
          <w:divBdr>
            <w:top w:val="none" w:sz="0" w:space="0" w:color="auto"/>
            <w:left w:val="none" w:sz="0" w:space="0" w:color="auto"/>
            <w:bottom w:val="none" w:sz="0" w:space="0" w:color="auto"/>
            <w:right w:val="none" w:sz="0" w:space="0" w:color="auto"/>
          </w:divBdr>
          <w:divsChild>
            <w:div w:id="2000304199">
              <w:marLeft w:val="0"/>
              <w:marRight w:val="0"/>
              <w:marTop w:val="0"/>
              <w:marBottom w:val="0"/>
              <w:divBdr>
                <w:top w:val="none" w:sz="0" w:space="0" w:color="auto"/>
                <w:left w:val="none" w:sz="0" w:space="0" w:color="auto"/>
                <w:bottom w:val="none" w:sz="0" w:space="0" w:color="auto"/>
                <w:right w:val="none" w:sz="0" w:space="0" w:color="auto"/>
              </w:divBdr>
              <w:divsChild>
                <w:div w:id="721565933">
                  <w:marLeft w:val="0"/>
                  <w:marRight w:val="0"/>
                  <w:marTop w:val="0"/>
                  <w:marBottom w:val="0"/>
                  <w:divBdr>
                    <w:top w:val="none" w:sz="0" w:space="0" w:color="auto"/>
                    <w:left w:val="none" w:sz="0" w:space="0" w:color="auto"/>
                    <w:bottom w:val="none" w:sz="0" w:space="0" w:color="auto"/>
                    <w:right w:val="none" w:sz="0" w:space="0" w:color="auto"/>
                  </w:divBdr>
                  <w:divsChild>
                    <w:div w:id="1765488491">
                      <w:marLeft w:val="0"/>
                      <w:marRight w:val="0"/>
                      <w:marTop w:val="0"/>
                      <w:marBottom w:val="0"/>
                      <w:divBdr>
                        <w:top w:val="none" w:sz="0" w:space="0" w:color="auto"/>
                        <w:left w:val="none" w:sz="0" w:space="0" w:color="auto"/>
                        <w:bottom w:val="none" w:sz="0" w:space="0" w:color="auto"/>
                        <w:right w:val="none" w:sz="0" w:space="0" w:color="auto"/>
                      </w:divBdr>
                      <w:divsChild>
                        <w:div w:id="499590516">
                          <w:marLeft w:val="0"/>
                          <w:marRight w:val="0"/>
                          <w:marTop w:val="0"/>
                          <w:marBottom w:val="0"/>
                          <w:divBdr>
                            <w:top w:val="none" w:sz="0" w:space="0" w:color="auto"/>
                            <w:left w:val="none" w:sz="0" w:space="0" w:color="auto"/>
                            <w:bottom w:val="none" w:sz="0" w:space="0" w:color="auto"/>
                            <w:right w:val="none" w:sz="0" w:space="0" w:color="auto"/>
                          </w:divBdr>
                          <w:divsChild>
                            <w:div w:id="1697655678">
                              <w:marLeft w:val="0"/>
                              <w:marRight w:val="0"/>
                              <w:marTop w:val="0"/>
                              <w:marBottom w:val="0"/>
                              <w:divBdr>
                                <w:top w:val="none" w:sz="0" w:space="0" w:color="auto"/>
                                <w:left w:val="none" w:sz="0" w:space="0" w:color="auto"/>
                                <w:bottom w:val="none" w:sz="0" w:space="0" w:color="auto"/>
                                <w:right w:val="none" w:sz="0" w:space="0" w:color="auto"/>
                              </w:divBdr>
                              <w:divsChild>
                                <w:div w:id="749888892">
                                  <w:marLeft w:val="0"/>
                                  <w:marRight w:val="0"/>
                                  <w:marTop w:val="0"/>
                                  <w:marBottom w:val="0"/>
                                  <w:divBdr>
                                    <w:top w:val="none" w:sz="0" w:space="0" w:color="auto"/>
                                    <w:left w:val="none" w:sz="0" w:space="0" w:color="auto"/>
                                    <w:bottom w:val="none" w:sz="0" w:space="0" w:color="auto"/>
                                    <w:right w:val="none" w:sz="0" w:space="0" w:color="auto"/>
                                  </w:divBdr>
                                  <w:divsChild>
                                    <w:div w:id="470945130">
                                      <w:marLeft w:val="0"/>
                                      <w:marRight w:val="0"/>
                                      <w:marTop w:val="0"/>
                                      <w:marBottom w:val="0"/>
                                      <w:divBdr>
                                        <w:top w:val="none" w:sz="0" w:space="0" w:color="auto"/>
                                        <w:left w:val="none" w:sz="0" w:space="0" w:color="auto"/>
                                        <w:bottom w:val="none" w:sz="0" w:space="0" w:color="auto"/>
                                        <w:right w:val="none" w:sz="0" w:space="0" w:color="auto"/>
                                      </w:divBdr>
                                      <w:divsChild>
                                        <w:div w:id="646403402">
                                          <w:marLeft w:val="0"/>
                                          <w:marRight w:val="0"/>
                                          <w:marTop w:val="0"/>
                                          <w:marBottom w:val="0"/>
                                          <w:divBdr>
                                            <w:top w:val="none" w:sz="0" w:space="0" w:color="auto"/>
                                            <w:left w:val="none" w:sz="0" w:space="0" w:color="auto"/>
                                            <w:bottom w:val="none" w:sz="0" w:space="0" w:color="auto"/>
                                            <w:right w:val="none" w:sz="0" w:space="0" w:color="auto"/>
                                          </w:divBdr>
                                          <w:divsChild>
                                            <w:div w:id="620452788">
                                              <w:marLeft w:val="0"/>
                                              <w:marRight w:val="0"/>
                                              <w:marTop w:val="0"/>
                                              <w:marBottom w:val="0"/>
                                              <w:divBdr>
                                                <w:top w:val="none" w:sz="0" w:space="0" w:color="auto"/>
                                                <w:left w:val="none" w:sz="0" w:space="0" w:color="auto"/>
                                                <w:bottom w:val="none" w:sz="0" w:space="0" w:color="auto"/>
                                                <w:right w:val="none" w:sz="0" w:space="0" w:color="auto"/>
                                              </w:divBdr>
                                              <w:divsChild>
                                                <w:div w:id="830609511">
                                                  <w:marLeft w:val="0"/>
                                                  <w:marRight w:val="0"/>
                                                  <w:marTop w:val="0"/>
                                                  <w:marBottom w:val="0"/>
                                                  <w:divBdr>
                                                    <w:top w:val="none" w:sz="0" w:space="0" w:color="auto"/>
                                                    <w:left w:val="none" w:sz="0" w:space="0" w:color="auto"/>
                                                    <w:bottom w:val="none" w:sz="0" w:space="0" w:color="auto"/>
                                                    <w:right w:val="none" w:sz="0" w:space="0" w:color="auto"/>
                                                  </w:divBdr>
                                                  <w:divsChild>
                                                    <w:div w:id="1709992972">
                                                      <w:marLeft w:val="0"/>
                                                      <w:marRight w:val="0"/>
                                                      <w:marTop w:val="0"/>
                                                      <w:marBottom w:val="0"/>
                                                      <w:divBdr>
                                                        <w:top w:val="none" w:sz="0" w:space="0" w:color="auto"/>
                                                        <w:left w:val="none" w:sz="0" w:space="0" w:color="auto"/>
                                                        <w:bottom w:val="none" w:sz="0" w:space="0" w:color="auto"/>
                                                        <w:right w:val="none" w:sz="0" w:space="0" w:color="auto"/>
                                                      </w:divBdr>
                                                      <w:divsChild>
                                                        <w:div w:id="1830093276">
                                                          <w:marLeft w:val="0"/>
                                                          <w:marRight w:val="0"/>
                                                          <w:marTop w:val="0"/>
                                                          <w:marBottom w:val="0"/>
                                                          <w:divBdr>
                                                            <w:top w:val="none" w:sz="0" w:space="0" w:color="auto"/>
                                                            <w:left w:val="none" w:sz="0" w:space="0" w:color="auto"/>
                                                            <w:bottom w:val="none" w:sz="0" w:space="0" w:color="auto"/>
                                                            <w:right w:val="none" w:sz="0" w:space="0" w:color="auto"/>
                                                          </w:divBdr>
                                                          <w:divsChild>
                                                            <w:div w:id="10168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500122903">
      <w:bodyDiv w:val="1"/>
      <w:marLeft w:val="0"/>
      <w:marRight w:val="0"/>
      <w:marTop w:val="0"/>
      <w:marBottom w:val="0"/>
      <w:divBdr>
        <w:top w:val="none" w:sz="0" w:space="0" w:color="auto"/>
        <w:left w:val="none" w:sz="0" w:space="0" w:color="auto"/>
        <w:bottom w:val="none" w:sz="0" w:space="0" w:color="auto"/>
        <w:right w:val="none" w:sz="0" w:space="0" w:color="auto"/>
      </w:divBdr>
      <w:divsChild>
        <w:div w:id="963729410">
          <w:marLeft w:val="0"/>
          <w:marRight w:val="0"/>
          <w:marTop w:val="0"/>
          <w:marBottom w:val="0"/>
          <w:divBdr>
            <w:top w:val="none" w:sz="0" w:space="0" w:color="auto"/>
            <w:left w:val="none" w:sz="0" w:space="0" w:color="auto"/>
            <w:bottom w:val="none" w:sz="0" w:space="0" w:color="auto"/>
            <w:right w:val="none" w:sz="0" w:space="0" w:color="auto"/>
          </w:divBdr>
          <w:divsChild>
            <w:div w:id="2082630081">
              <w:marLeft w:val="0"/>
              <w:marRight w:val="0"/>
              <w:marTop w:val="0"/>
              <w:marBottom w:val="0"/>
              <w:divBdr>
                <w:top w:val="none" w:sz="0" w:space="0" w:color="auto"/>
                <w:left w:val="none" w:sz="0" w:space="0" w:color="auto"/>
                <w:bottom w:val="none" w:sz="0" w:space="0" w:color="auto"/>
                <w:right w:val="none" w:sz="0" w:space="0" w:color="auto"/>
              </w:divBdr>
              <w:divsChild>
                <w:div w:id="677931145">
                  <w:marLeft w:val="0"/>
                  <w:marRight w:val="0"/>
                  <w:marTop w:val="0"/>
                  <w:marBottom w:val="0"/>
                  <w:divBdr>
                    <w:top w:val="none" w:sz="0" w:space="0" w:color="auto"/>
                    <w:left w:val="none" w:sz="0" w:space="0" w:color="auto"/>
                    <w:bottom w:val="none" w:sz="0" w:space="0" w:color="auto"/>
                    <w:right w:val="none" w:sz="0" w:space="0" w:color="auto"/>
                  </w:divBdr>
                  <w:divsChild>
                    <w:div w:id="2103993512">
                      <w:marLeft w:val="0"/>
                      <w:marRight w:val="0"/>
                      <w:marTop w:val="0"/>
                      <w:marBottom w:val="0"/>
                      <w:divBdr>
                        <w:top w:val="none" w:sz="0" w:space="0" w:color="auto"/>
                        <w:left w:val="none" w:sz="0" w:space="0" w:color="auto"/>
                        <w:bottom w:val="none" w:sz="0" w:space="0" w:color="auto"/>
                        <w:right w:val="none" w:sz="0" w:space="0" w:color="auto"/>
                      </w:divBdr>
                      <w:divsChild>
                        <w:div w:id="1132862673">
                          <w:marLeft w:val="0"/>
                          <w:marRight w:val="0"/>
                          <w:marTop w:val="0"/>
                          <w:marBottom w:val="0"/>
                          <w:divBdr>
                            <w:top w:val="none" w:sz="0" w:space="0" w:color="auto"/>
                            <w:left w:val="none" w:sz="0" w:space="0" w:color="auto"/>
                            <w:bottom w:val="none" w:sz="0" w:space="0" w:color="auto"/>
                            <w:right w:val="none" w:sz="0" w:space="0" w:color="auto"/>
                          </w:divBdr>
                          <w:divsChild>
                            <w:div w:id="1624263056">
                              <w:marLeft w:val="0"/>
                              <w:marRight w:val="0"/>
                              <w:marTop w:val="0"/>
                              <w:marBottom w:val="0"/>
                              <w:divBdr>
                                <w:top w:val="none" w:sz="0" w:space="0" w:color="auto"/>
                                <w:left w:val="none" w:sz="0" w:space="0" w:color="auto"/>
                                <w:bottom w:val="none" w:sz="0" w:space="0" w:color="auto"/>
                                <w:right w:val="none" w:sz="0" w:space="0" w:color="auto"/>
                              </w:divBdr>
                              <w:divsChild>
                                <w:div w:id="2039695174">
                                  <w:marLeft w:val="0"/>
                                  <w:marRight w:val="0"/>
                                  <w:marTop w:val="0"/>
                                  <w:marBottom w:val="0"/>
                                  <w:divBdr>
                                    <w:top w:val="none" w:sz="0" w:space="0" w:color="auto"/>
                                    <w:left w:val="none" w:sz="0" w:space="0" w:color="auto"/>
                                    <w:bottom w:val="none" w:sz="0" w:space="0" w:color="auto"/>
                                    <w:right w:val="none" w:sz="0" w:space="0" w:color="auto"/>
                                  </w:divBdr>
                                  <w:divsChild>
                                    <w:div w:id="8531107">
                                      <w:marLeft w:val="0"/>
                                      <w:marRight w:val="0"/>
                                      <w:marTop w:val="0"/>
                                      <w:marBottom w:val="0"/>
                                      <w:divBdr>
                                        <w:top w:val="none" w:sz="0" w:space="0" w:color="auto"/>
                                        <w:left w:val="none" w:sz="0" w:space="0" w:color="auto"/>
                                        <w:bottom w:val="none" w:sz="0" w:space="0" w:color="auto"/>
                                        <w:right w:val="none" w:sz="0" w:space="0" w:color="auto"/>
                                      </w:divBdr>
                                      <w:divsChild>
                                        <w:div w:id="1487896408">
                                          <w:marLeft w:val="0"/>
                                          <w:marRight w:val="0"/>
                                          <w:marTop w:val="0"/>
                                          <w:marBottom w:val="0"/>
                                          <w:divBdr>
                                            <w:top w:val="none" w:sz="0" w:space="0" w:color="auto"/>
                                            <w:left w:val="none" w:sz="0" w:space="0" w:color="auto"/>
                                            <w:bottom w:val="none" w:sz="0" w:space="0" w:color="auto"/>
                                            <w:right w:val="none" w:sz="0" w:space="0" w:color="auto"/>
                                          </w:divBdr>
                                          <w:divsChild>
                                            <w:div w:id="2072460324">
                                              <w:marLeft w:val="0"/>
                                              <w:marRight w:val="0"/>
                                              <w:marTop w:val="0"/>
                                              <w:marBottom w:val="0"/>
                                              <w:divBdr>
                                                <w:top w:val="none" w:sz="0" w:space="0" w:color="auto"/>
                                                <w:left w:val="none" w:sz="0" w:space="0" w:color="auto"/>
                                                <w:bottom w:val="none" w:sz="0" w:space="0" w:color="auto"/>
                                                <w:right w:val="none" w:sz="0" w:space="0" w:color="auto"/>
                                              </w:divBdr>
                                              <w:divsChild>
                                                <w:div w:id="1150827754">
                                                  <w:marLeft w:val="0"/>
                                                  <w:marRight w:val="0"/>
                                                  <w:marTop w:val="0"/>
                                                  <w:marBottom w:val="0"/>
                                                  <w:divBdr>
                                                    <w:top w:val="none" w:sz="0" w:space="0" w:color="auto"/>
                                                    <w:left w:val="none" w:sz="0" w:space="0" w:color="auto"/>
                                                    <w:bottom w:val="none" w:sz="0" w:space="0" w:color="auto"/>
                                                    <w:right w:val="none" w:sz="0" w:space="0" w:color="auto"/>
                                                  </w:divBdr>
                                                  <w:divsChild>
                                                    <w:div w:id="115219493">
                                                      <w:marLeft w:val="0"/>
                                                      <w:marRight w:val="0"/>
                                                      <w:marTop w:val="0"/>
                                                      <w:marBottom w:val="0"/>
                                                      <w:divBdr>
                                                        <w:top w:val="none" w:sz="0" w:space="0" w:color="auto"/>
                                                        <w:left w:val="none" w:sz="0" w:space="0" w:color="auto"/>
                                                        <w:bottom w:val="none" w:sz="0" w:space="0" w:color="auto"/>
                                                        <w:right w:val="none" w:sz="0" w:space="0" w:color="auto"/>
                                                      </w:divBdr>
                                                      <w:divsChild>
                                                        <w:div w:id="374433069">
                                                          <w:marLeft w:val="0"/>
                                                          <w:marRight w:val="0"/>
                                                          <w:marTop w:val="0"/>
                                                          <w:marBottom w:val="0"/>
                                                          <w:divBdr>
                                                            <w:top w:val="none" w:sz="0" w:space="0" w:color="auto"/>
                                                            <w:left w:val="none" w:sz="0" w:space="0" w:color="auto"/>
                                                            <w:bottom w:val="none" w:sz="0" w:space="0" w:color="auto"/>
                                                            <w:right w:val="none" w:sz="0" w:space="0" w:color="auto"/>
                                                          </w:divBdr>
                                                          <w:divsChild>
                                                            <w:div w:id="13499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659098">
      <w:bodyDiv w:val="1"/>
      <w:marLeft w:val="0"/>
      <w:marRight w:val="0"/>
      <w:marTop w:val="0"/>
      <w:marBottom w:val="0"/>
      <w:divBdr>
        <w:top w:val="none" w:sz="0" w:space="0" w:color="auto"/>
        <w:left w:val="none" w:sz="0" w:space="0" w:color="auto"/>
        <w:bottom w:val="none" w:sz="0" w:space="0" w:color="auto"/>
        <w:right w:val="none" w:sz="0" w:space="0" w:color="auto"/>
      </w:divBdr>
      <w:divsChild>
        <w:div w:id="205410142">
          <w:marLeft w:val="0"/>
          <w:marRight w:val="0"/>
          <w:marTop w:val="0"/>
          <w:marBottom w:val="0"/>
          <w:divBdr>
            <w:top w:val="none" w:sz="0" w:space="0" w:color="auto"/>
            <w:left w:val="none" w:sz="0" w:space="0" w:color="auto"/>
            <w:bottom w:val="none" w:sz="0" w:space="0" w:color="auto"/>
            <w:right w:val="none" w:sz="0" w:space="0" w:color="auto"/>
          </w:divBdr>
          <w:divsChild>
            <w:div w:id="942343602">
              <w:marLeft w:val="0"/>
              <w:marRight w:val="0"/>
              <w:marTop w:val="0"/>
              <w:marBottom w:val="0"/>
              <w:divBdr>
                <w:top w:val="none" w:sz="0" w:space="0" w:color="auto"/>
                <w:left w:val="none" w:sz="0" w:space="0" w:color="auto"/>
                <w:bottom w:val="none" w:sz="0" w:space="0" w:color="auto"/>
                <w:right w:val="none" w:sz="0" w:space="0" w:color="auto"/>
              </w:divBdr>
              <w:divsChild>
                <w:div w:id="1017123112">
                  <w:marLeft w:val="0"/>
                  <w:marRight w:val="0"/>
                  <w:marTop w:val="0"/>
                  <w:marBottom w:val="0"/>
                  <w:divBdr>
                    <w:top w:val="none" w:sz="0" w:space="0" w:color="auto"/>
                    <w:left w:val="none" w:sz="0" w:space="0" w:color="auto"/>
                    <w:bottom w:val="none" w:sz="0" w:space="0" w:color="auto"/>
                    <w:right w:val="none" w:sz="0" w:space="0" w:color="auto"/>
                  </w:divBdr>
                  <w:divsChild>
                    <w:div w:id="1273854536">
                      <w:marLeft w:val="0"/>
                      <w:marRight w:val="0"/>
                      <w:marTop w:val="0"/>
                      <w:marBottom w:val="0"/>
                      <w:divBdr>
                        <w:top w:val="none" w:sz="0" w:space="0" w:color="auto"/>
                        <w:left w:val="none" w:sz="0" w:space="0" w:color="auto"/>
                        <w:bottom w:val="none" w:sz="0" w:space="0" w:color="auto"/>
                        <w:right w:val="none" w:sz="0" w:space="0" w:color="auto"/>
                      </w:divBdr>
                      <w:divsChild>
                        <w:div w:id="1743679294">
                          <w:marLeft w:val="0"/>
                          <w:marRight w:val="0"/>
                          <w:marTop w:val="0"/>
                          <w:marBottom w:val="0"/>
                          <w:divBdr>
                            <w:top w:val="none" w:sz="0" w:space="0" w:color="auto"/>
                            <w:left w:val="none" w:sz="0" w:space="0" w:color="auto"/>
                            <w:bottom w:val="none" w:sz="0" w:space="0" w:color="auto"/>
                            <w:right w:val="none" w:sz="0" w:space="0" w:color="auto"/>
                          </w:divBdr>
                          <w:divsChild>
                            <w:div w:id="1209226475">
                              <w:marLeft w:val="0"/>
                              <w:marRight w:val="0"/>
                              <w:marTop w:val="0"/>
                              <w:marBottom w:val="0"/>
                              <w:divBdr>
                                <w:top w:val="none" w:sz="0" w:space="0" w:color="auto"/>
                                <w:left w:val="none" w:sz="0" w:space="0" w:color="auto"/>
                                <w:bottom w:val="none" w:sz="0" w:space="0" w:color="auto"/>
                                <w:right w:val="none" w:sz="0" w:space="0" w:color="auto"/>
                              </w:divBdr>
                              <w:divsChild>
                                <w:div w:id="935211187">
                                  <w:marLeft w:val="0"/>
                                  <w:marRight w:val="0"/>
                                  <w:marTop w:val="0"/>
                                  <w:marBottom w:val="0"/>
                                  <w:divBdr>
                                    <w:top w:val="none" w:sz="0" w:space="0" w:color="auto"/>
                                    <w:left w:val="none" w:sz="0" w:space="0" w:color="auto"/>
                                    <w:bottom w:val="none" w:sz="0" w:space="0" w:color="auto"/>
                                    <w:right w:val="none" w:sz="0" w:space="0" w:color="auto"/>
                                  </w:divBdr>
                                  <w:divsChild>
                                    <w:div w:id="628437611">
                                      <w:marLeft w:val="0"/>
                                      <w:marRight w:val="0"/>
                                      <w:marTop w:val="0"/>
                                      <w:marBottom w:val="0"/>
                                      <w:divBdr>
                                        <w:top w:val="none" w:sz="0" w:space="0" w:color="auto"/>
                                        <w:left w:val="none" w:sz="0" w:space="0" w:color="auto"/>
                                        <w:bottom w:val="none" w:sz="0" w:space="0" w:color="auto"/>
                                        <w:right w:val="none" w:sz="0" w:space="0" w:color="auto"/>
                                      </w:divBdr>
                                      <w:divsChild>
                                        <w:div w:id="391739101">
                                          <w:marLeft w:val="0"/>
                                          <w:marRight w:val="0"/>
                                          <w:marTop w:val="0"/>
                                          <w:marBottom w:val="0"/>
                                          <w:divBdr>
                                            <w:top w:val="none" w:sz="0" w:space="0" w:color="auto"/>
                                            <w:left w:val="none" w:sz="0" w:space="0" w:color="auto"/>
                                            <w:bottom w:val="none" w:sz="0" w:space="0" w:color="auto"/>
                                            <w:right w:val="none" w:sz="0" w:space="0" w:color="auto"/>
                                          </w:divBdr>
                                          <w:divsChild>
                                            <w:div w:id="1135945795">
                                              <w:marLeft w:val="0"/>
                                              <w:marRight w:val="0"/>
                                              <w:marTop w:val="0"/>
                                              <w:marBottom w:val="0"/>
                                              <w:divBdr>
                                                <w:top w:val="none" w:sz="0" w:space="0" w:color="auto"/>
                                                <w:left w:val="none" w:sz="0" w:space="0" w:color="auto"/>
                                                <w:bottom w:val="none" w:sz="0" w:space="0" w:color="auto"/>
                                                <w:right w:val="none" w:sz="0" w:space="0" w:color="auto"/>
                                              </w:divBdr>
                                              <w:divsChild>
                                                <w:div w:id="915895880">
                                                  <w:marLeft w:val="0"/>
                                                  <w:marRight w:val="0"/>
                                                  <w:marTop w:val="0"/>
                                                  <w:marBottom w:val="0"/>
                                                  <w:divBdr>
                                                    <w:top w:val="none" w:sz="0" w:space="0" w:color="auto"/>
                                                    <w:left w:val="none" w:sz="0" w:space="0" w:color="auto"/>
                                                    <w:bottom w:val="none" w:sz="0" w:space="0" w:color="auto"/>
                                                    <w:right w:val="none" w:sz="0" w:space="0" w:color="auto"/>
                                                  </w:divBdr>
                                                  <w:divsChild>
                                                    <w:div w:id="259140526">
                                                      <w:marLeft w:val="0"/>
                                                      <w:marRight w:val="0"/>
                                                      <w:marTop w:val="0"/>
                                                      <w:marBottom w:val="0"/>
                                                      <w:divBdr>
                                                        <w:top w:val="none" w:sz="0" w:space="0" w:color="auto"/>
                                                        <w:left w:val="none" w:sz="0" w:space="0" w:color="auto"/>
                                                        <w:bottom w:val="none" w:sz="0" w:space="0" w:color="auto"/>
                                                        <w:right w:val="none" w:sz="0" w:space="0" w:color="auto"/>
                                                      </w:divBdr>
                                                      <w:divsChild>
                                                        <w:div w:id="307708850">
                                                          <w:marLeft w:val="0"/>
                                                          <w:marRight w:val="0"/>
                                                          <w:marTop w:val="0"/>
                                                          <w:marBottom w:val="0"/>
                                                          <w:divBdr>
                                                            <w:top w:val="none" w:sz="0" w:space="0" w:color="auto"/>
                                                            <w:left w:val="none" w:sz="0" w:space="0" w:color="auto"/>
                                                            <w:bottom w:val="none" w:sz="0" w:space="0" w:color="auto"/>
                                                            <w:right w:val="none" w:sz="0" w:space="0" w:color="auto"/>
                                                          </w:divBdr>
                                                          <w:divsChild>
                                                            <w:div w:id="4751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017/en" TargetMode="External"/><Relationship Id="rId18" Type="http://schemas.openxmlformats.org/officeDocument/2006/relationships/hyperlink" Target="https://www.itu.int/md/S23-CL-C-0077/en" TargetMode="External"/><Relationship Id="rId26" Type="http://schemas.openxmlformats.org/officeDocument/2006/relationships/hyperlink" Target="https://www.itu.int/md/S23-CL-C-0093/en" TargetMode="External"/><Relationship Id="rId39" Type="http://schemas.openxmlformats.org/officeDocument/2006/relationships/hyperlink" Target="https://www.itu.int/md/S23-CL-C-0063/en" TargetMode="External"/><Relationship Id="rId21" Type="http://schemas.openxmlformats.org/officeDocument/2006/relationships/hyperlink" Target="https://www.itu.int/md/S23-CL-C-0013/en" TargetMode="External"/><Relationship Id="rId34" Type="http://schemas.openxmlformats.org/officeDocument/2006/relationships/hyperlink" Target="https://www.itu.int/md/S23-CL-C-0073/e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3-CL-C-0066/en" TargetMode="External"/><Relationship Id="rId29" Type="http://schemas.openxmlformats.org/officeDocument/2006/relationships/hyperlink" Target="https://www.itu.int/md/S23-CL-C-0091/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C-0076/en" TargetMode="External"/><Relationship Id="rId24" Type="http://schemas.openxmlformats.org/officeDocument/2006/relationships/hyperlink" Target="https://council.itu.int/2023/en/news/speeches/speech-director-general-of-wipo-daren-tang/" TargetMode="External"/><Relationship Id="rId32" Type="http://schemas.openxmlformats.org/officeDocument/2006/relationships/hyperlink" Target="https://www.itu.int/md/S23-CL-C-0012/en" TargetMode="External"/><Relationship Id="rId37" Type="http://schemas.openxmlformats.org/officeDocument/2006/relationships/hyperlink" Target="https://www.itu.int/md/S23-CL-230711-TD-0005/en" TargetMode="External"/><Relationship Id="rId40" Type="http://schemas.openxmlformats.org/officeDocument/2006/relationships/hyperlink" Target="https://www.itu.int/md/S23-CL-C-0067/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23-CL-C-0012/en" TargetMode="External"/><Relationship Id="rId23" Type="http://schemas.openxmlformats.org/officeDocument/2006/relationships/hyperlink" Target="https://www.itu.int/md/S23-CL-C-0067/en" TargetMode="External"/><Relationship Id="rId28" Type="http://schemas.openxmlformats.org/officeDocument/2006/relationships/hyperlink" Target="https://www.itu.int/md/S23-CL-C-0076/en" TargetMode="External"/><Relationship Id="rId36" Type="http://schemas.openxmlformats.org/officeDocument/2006/relationships/hyperlink" Target="https://www.itu.int/md/S23-CL-C-0088/en" TargetMode="External"/><Relationship Id="rId10" Type="http://schemas.openxmlformats.org/officeDocument/2006/relationships/hyperlink" Target="https://www.itu.int/md/S23-CL-C-0006/en" TargetMode="External"/><Relationship Id="rId19" Type="http://schemas.openxmlformats.org/officeDocument/2006/relationships/hyperlink" Target="https://www.itu.int/md/S23-CL-C-0088/en" TargetMode="External"/><Relationship Id="rId31" Type="http://schemas.openxmlformats.org/officeDocument/2006/relationships/hyperlink" Target="https://www.itu.int/md/S23-CL-230711-TD-0004/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CL-C-0093/en" TargetMode="External"/><Relationship Id="rId14" Type="http://schemas.openxmlformats.org/officeDocument/2006/relationships/hyperlink" Target="https://www.itu.int/md/S23-CL-230711-TD-0004/en" TargetMode="External"/><Relationship Id="rId22" Type="http://schemas.openxmlformats.org/officeDocument/2006/relationships/hyperlink" Target="https://www.itu.int/md/S23-CL-C-0063/en" TargetMode="External"/><Relationship Id="rId27" Type="http://schemas.openxmlformats.org/officeDocument/2006/relationships/hyperlink" Target="https://www.itu.int/md/S23-CL-C-0006/en" TargetMode="External"/><Relationship Id="rId30" Type="http://schemas.openxmlformats.org/officeDocument/2006/relationships/hyperlink" Target="https://www.itu.int/md/S23-CL-C-0017/en" TargetMode="External"/><Relationship Id="rId35" Type="http://schemas.openxmlformats.org/officeDocument/2006/relationships/hyperlink" Target="https://www.itu.int/md/S23-CL-C-0077/en" TargetMode="External"/><Relationship Id="rId43" Type="http://schemas.openxmlformats.org/officeDocument/2006/relationships/header" Target="header1.xml"/><Relationship Id="rId8" Type="http://schemas.openxmlformats.org/officeDocument/2006/relationships/hyperlink" Target="https://www.itu.int/md/S23-CL-C-0038/en" TargetMode="External"/><Relationship Id="rId3" Type="http://schemas.openxmlformats.org/officeDocument/2006/relationships/styles" Target="styles.xml"/><Relationship Id="rId12" Type="http://schemas.openxmlformats.org/officeDocument/2006/relationships/hyperlink" Target="https://www.itu.int/md/S23-CL-C-0091/en" TargetMode="External"/><Relationship Id="rId17" Type="http://schemas.openxmlformats.org/officeDocument/2006/relationships/hyperlink" Target="https://www.itu.int/md/S23-CL-C-0073/en" TargetMode="External"/><Relationship Id="rId25" Type="http://schemas.openxmlformats.org/officeDocument/2006/relationships/hyperlink" Target="https://www.itu.int/md/S23-CL-C-0038/en" TargetMode="External"/><Relationship Id="rId33" Type="http://schemas.openxmlformats.org/officeDocument/2006/relationships/hyperlink" Target="https://www.itu.int/md/S23-CL-C-0066/en" TargetMode="External"/><Relationship Id="rId38" Type="http://schemas.openxmlformats.org/officeDocument/2006/relationships/hyperlink" Target="https://www.itu.int/md/S23-CL-C-0013/en" TargetMode="External"/><Relationship Id="rId46" Type="http://schemas.openxmlformats.org/officeDocument/2006/relationships/theme" Target="theme/theme1.xml"/><Relationship Id="rId20" Type="http://schemas.openxmlformats.org/officeDocument/2006/relationships/hyperlink" Target="https://www.itu.int/md/S23-CL-230711-TD-0005/en" TargetMode="External"/><Relationship Id="rId41" Type="http://schemas.openxmlformats.org/officeDocument/2006/relationships/hyperlink" Target="http://council.itu.int/2023/wp-content/uploads/sites/2/2023/09/C23-Spain-Statement-Matias-Gonzalez_e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2023</dc:subject>
  <dc:creator>Arabic-AAM</dc:creator>
  <cp:keywords>C2023, C23, Council-23</cp:keywords>
  <dc:description/>
  <cp:lastModifiedBy>Xue, Kun</cp:lastModifiedBy>
  <cp:revision>7</cp:revision>
  <dcterms:created xsi:type="dcterms:W3CDTF">2023-09-06T07:46:00Z</dcterms:created>
  <dcterms:modified xsi:type="dcterms:W3CDTF">2023-09-06T07:50:00Z</dcterms:modified>
  <cp:category>Conference document</cp:category>
</cp:coreProperties>
</file>