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625A33" w:rsidRPr="00310B4D" w14:paraId="2592CC74" w14:textId="77777777">
        <w:trPr>
          <w:cantSplit/>
          <w:trHeight w:val="23"/>
        </w:trPr>
        <w:tc>
          <w:tcPr>
            <w:tcW w:w="3969" w:type="dxa"/>
            <w:vMerge w:val="restart"/>
            <w:tcMar>
              <w:left w:w="0" w:type="dxa"/>
            </w:tcMar>
          </w:tcPr>
          <w:p w14:paraId="27E56DEB" w14:textId="51A05439" w:rsidR="00625A33" w:rsidRPr="00310B4D" w:rsidRDefault="00625A33" w:rsidP="00F15C09">
            <w:pPr>
              <w:tabs>
                <w:tab w:val="left" w:pos="851"/>
              </w:tabs>
              <w:spacing w:before="0"/>
              <w:rPr>
                <w:b/>
              </w:rPr>
            </w:pPr>
          </w:p>
        </w:tc>
        <w:tc>
          <w:tcPr>
            <w:tcW w:w="5245" w:type="dxa"/>
          </w:tcPr>
          <w:p w14:paraId="27B6A98A" w14:textId="2B9D4639" w:rsidR="00625A33" w:rsidRPr="00310B4D" w:rsidRDefault="00683EB5" w:rsidP="00F15C09">
            <w:pPr>
              <w:tabs>
                <w:tab w:val="left" w:pos="851"/>
              </w:tabs>
              <w:spacing w:before="0"/>
              <w:jc w:val="right"/>
              <w:rPr>
                <w:b/>
              </w:rPr>
            </w:pPr>
            <w:r w:rsidRPr="00310B4D">
              <w:rPr>
                <w:b/>
              </w:rPr>
              <w:t>Document C23/107-F</w:t>
            </w:r>
          </w:p>
        </w:tc>
      </w:tr>
      <w:tr w:rsidR="00625A33" w:rsidRPr="00310B4D" w14:paraId="41096C77" w14:textId="77777777">
        <w:trPr>
          <w:cantSplit/>
        </w:trPr>
        <w:tc>
          <w:tcPr>
            <w:tcW w:w="3969" w:type="dxa"/>
            <w:vMerge/>
          </w:tcPr>
          <w:p w14:paraId="0BBA5643" w14:textId="77777777" w:rsidR="00625A33" w:rsidRPr="00310B4D" w:rsidRDefault="00625A33" w:rsidP="00F15C09">
            <w:pPr>
              <w:tabs>
                <w:tab w:val="left" w:pos="851"/>
              </w:tabs>
              <w:rPr>
                <w:b/>
              </w:rPr>
            </w:pPr>
          </w:p>
        </w:tc>
        <w:tc>
          <w:tcPr>
            <w:tcW w:w="5245" w:type="dxa"/>
          </w:tcPr>
          <w:p w14:paraId="068BECD5" w14:textId="4515447F" w:rsidR="00625A33" w:rsidRPr="00310B4D" w:rsidRDefault="007C0E10" w:rsidP="00F15C09">
            <w:pPr>
              <w:tabs>
                <w:tab w:val="left" w:pos="851"/>
              </w:tabs>
              <w:spacing w:before="0"/>
              <w:jc w:val="right"/>
              <w:rPr>
                <w:b/>
              </w:rPr>
            </w:pPr>
            <w:r w:rsidRPr="007C0E10">
              <w:rPr>
                <w:b/>
              </w:rPr>
              <w:t xml:space="preserve">1 septembre </w:t>
            </w:r>
            <w:r w:rsidR="00683EB5" w:rsidRPr="00310B4D">
              <w:rPr>
                <w:b/>
              </w:rPr>
              <w:t>2023</w:t>
            </w:r>
          </w:p>
        </w:tc>
      </w:tr>
      <w:tr w:rsidR="00625A33" w:rsidRPr="00310B4D" w14:paraId="17E5B988" w14:textId="77777777">
        <w:trPr>
          <w:cantSplit/>
          <w:trHeight w:val="23"/>
        </w:trPr>
        <w:tc>
          <w:tcPr>
            <w:tcW w:w="3969" w:type="dxa"/>
            <w:vMerge/>
          </w:tcPr>
          <w:p w14:paraId="2192D6D7" w14:textId="77777777" w:rsidR="00625A33" w:rsidRPr="00310B4D" w:rsidRDefault="00625A33" w:rsidP="00F15C09">
            <w:pPr>
              <w:tabs>
                <w:tab w:val="left" w:pos="851"/>
              </w:tabs>
              <w:rPr>
                <w:b/>
              </w:rPr>
            </w:pPr>
          </w:p>
        </w:tc>
        <w:tc>
          <w:tcPr>
            <w:tcW w:w="5245" w:type="dxa"/>
          </w:tcPr>
          <w:p w14:paraId="1948C622" w14:textId="58E55AAB" w:rsidR="00625A33" w:rsidRPr="00310B4D" w:rsidRDefault="00683EB5" w:rsidP="00F15C09">
            <w:pPr>
              <w:tabs>
                <w:tab w:val="left" w:pos="851"/>
              </w:tabs>
              <w:spacing w:before="0"/>
              <w:jc w:val="right"/>
              <w:rPr>
                <w:b/>
              </w:rPr>
            </w:pPr>
            <w:r w:rsidRPr="00310B4D">
              <w:rPr>
                <w:b/>
              </w:rPr>
              <w:t>Original: anglais</w:t>
            </w:r>
          </w:p>
        </w:tc>
      </w:tr>
      <w:tr w:rsidR="00625A33" w:rsidRPr="00310B4D" w14:paraId="53623BEE" w14:textId="77777777">
        <w:trPr>
          <w:cantSplit/>
          <w:trHeight w:val="23"/>
        </w:trPr>
        <w:tc>
          <w:tcPr>
            <w:tcW w:w="3969" w:type="dxa"/>
          </w:tcPr>
          <w:p w14:paraId="630B4C34" w14:textId="77777777" w:rsidR="00625A33" w:rsidRPr="00310B4D" w:rsidRDefault="00625A33" w:rsidP="00F15C09">
            <w:pPr>
              <w:tabs>
                <w:tab w:val="left" w:pos="851"/>
              </w:tabs>
              <w:rPr>
                <w:b/>
              </w:rPr>
            </w:pPr>
          </w:p>
        </w:tc>
        <w:tc>
          <w:tcPr>
            <w:tcW w:w="5245" w:type="dxa"/>
          </w:tcPr>
          <w:p w14:paraId="437750C4" w14:textId="77777777" w:rsidR="00625A33" w:rsidRPr="00310B4D" w:rsidRDefault="00625A33" w:rsidP="00F15C09">
            <w:pPr>
              <w:tabs>
                <w:tab w:val="left" w:pos="851"/>
              </w:tabs>
              <w:spacing w:before="0"/>
              <w:jc w:val="right"/>
              <w:rPr>
                <w:b/>
              </w:rPr>
            </w:pPr>
          </w:p>
        </w:tc>
      </w:tr>
      <w:tr w:rsidR="00625A33" w:rsidRPr="00310B4D" w14:paraId="31FFA2A5" w14:textId="77777777">
        <w:trPr>
          <w:cantSplit/>
        </w:trPr>
        <w:tc>
          <w:tcPr>
            <w:tcW w:w="9214" w:type="dxa"/>
            <w:gridSpan w:val="2"/>
            <w:tcMar>
              <w:left w:w="0" w:type="dxa"/>
            </w:tcMar>
          </w:tcPr>
          <w:p w14:paraId="4D9D9D7D" w14:textId="77777777" w:rsidR="00625A33" w:rsidRPr="00310B4D" w:rsidRDefault="00683EB5" w:rsidP="00F15C09">
            <w:pPr>
              <w:pStyle w:val="Title1"/>
              <w:rPr>
                <w:rFonts w:eastAsia="MS Mincho"/>
              </w:rPr>
            </w:pPr>
            <w:r w:rsidRPr="00310B4D">
              <w:rPr>
                <w:rFonts w:eastAsia="MS Mincho"/>
              </w:rPr>
              <w:t>COMPTE RENDU</w:t>
            </w:r>
          </w:p>
          <w:p w14:paraId="32AFB614" w14:textId="77777777" w:rsidR="00625A33" w:rsidRPr="00310B4D" w:rsidRDefault="00683EB5" w:rsidP="00F15C09">
            <w:pPr>
              <w:pStyle w:val="Title1"/>
              <w:rPr>
                <w:rFonts w:eastAsia="MS Mincho"/>
              </w:rPr>
            </w:pPr>
            <w:r w:rsidRPr="00310B4D">
              <w:rPr>
                <w:rFonts w:eastAsia="MS Mincho"/>
              </w:rPr>
              <w:t>DE LA</w:t>
            </w:r>
          </w:p>
          <w:p w14:paraId="7AA1F34C" w14:textId="7097B039" w:rsidR="00625A33" w:rsidRPr="00310B4D" w:rsidRDefault="00F15C09" w:rsidP="00F15C09">
            <w:pPr>
              <w:pStyle w:val="Title1"/>
              <w:rPr>
                <w:sz w:val="34"/>
                <w:szCs w:val="34"/>
              </w:rPr>
            </w:pPr>
            <w:r w:rsidRPr="00310B4D">
              <w:rPr>
                <w:rFonts w:eastAsia="MS Mincho"/>
              </w:rPr>
              <w:t>Deuxième SÉANCE PLÉNIÈRE</w:t>
            </w:r>
          </w:p>
        </w:tc>
      </w:tr>
      <w:tr w:rsidR="00625A33" w:rsidRPr="00310B4D" w14:paraId="65E7E3D8" w14:textId="77777777">
        <w:trPr>
          <w:cantSplit/>
        </w:trPr>
        <w:tc>
          <w:tcPr>
            <w:tcW w:w="9214" w:type="dxa"/>
            <w:gridSpan w:val="2"/>
            <w:tcMar>
              <w:left w:w="0" w:type="dxa"/>
            </w:tcMar>
          </w:tcPr>
          <w:p w14:paraId="370F6D7B" w14:textId="1C85A20B" w:rsidR="00625A33" w:rsidRPr="00310B4D" w:rsidRDefault="00683EB5" w:rsidP="00F15C09">
            <w:pPr>
              <w:pStyle w:val="Title1"/>
              <w:rPr>
                <w:sz w:val="24"/>
                <w:szCs w:val="24"/>
              </w:rPr>
            </w:pPr>
            <w:bookmarkStart w:id="0" w:name="lt_pId012"/>
            <w:r w:rsidRPr="00310B4D">
              <w:rPr>
                <w:sz w:val="24"/>
                <w:szCs w:val="24"/>
              </w:rPr>
              <w:t>J</w:t>
            </w:r>
            <w:r w:rsidRPr="00310B4D">
              <w:rPr>
                <w:caps w:val="0"/>
                <w:sz w:val="24"/>
                <w:szCs w:val="24"/>
              </w:rPr>
              <w:t>eudi</w:t>
            </w:r>
            <w:r w:rsidRPr="00310B4D">
              <w:rPr>
                <w:sz w:val="24"/>
                <w:szCs w:val="24"/>
              </w:rPr>
              <w:t xml:space="preserve"> 13</w:t>
            </w:r>
            <w:r w:rsidRPr="00310B4D">
              <w:rPr>
                <w:caps w:val="0"/>
                <w:sz w:val="24"/>
                <w:szCs w:val="24"/>
              </w:rPr>
              <w:t xml:space="preserve"> juillet 2023, de 14 h 30 à 17 </w:t>
            </w:r>
            <w:bookmarkEnd w:id="0"/>
            <w:r w:rsidRPr="00310B4D">
              <w:rPr>
                <w:caps w:val="0"/>
                <w:sz w:val="24"/>
                <w:szCs w:val="24"/>
              </w:rPr>
              <w:t>h 35</w:t>
            </w:r>
          </w:p>
        </w:tc>
      </w:tr>
      <w:tr w:rsidR="00625A33" w:rsidRPr="00310B4D" w14:paraId="3E0DE484" w14:textId="77777777">
        <w:trPr>
          <w:cantSplit/>
        </w:trPr>
        <w:tc>
          <w:tcPr>
            <w:tcW w:w="9214" w:type="dxa"/>
            <w:gridSpan w:val="2"/>
            <w:tcBorders>
              <w:bottom w:val="single" w:sz="4" w:space="0" w:color="auto"/>
            </w:tcBorders>
            <w:tcMar>
              <w:left w:w="0" w:type="dxa"/>
            </w:tcMar>
          </w:tcPr>
          <w:p w14:paraId="29BFCC50" w14:textId="71D447FB" w:rsidR="00625A33" w:rsidRPr="00310B4D" w:rsidRDefault="00683EB5" w:rsidP="00F15C09">
            <w:pPr>
              <w:spacing w:after="120"/>
              <w:jc w:val="center"/>
            </w:pPr>
            <w:r w:rsidRPr="00310B4D">
              <w:rPr>
                <w:b/>
                <w:bCs/>
              </w:rPr>
              <w:t>Président</w:t>
            </w:r>
            <w:r w:rsidR="00FD65DF" w:rsidRPr="00310B4D">
              <w:t>:</w:t>
            </w:r>
            <w:r w:rsidR="00FB6B2E" w:rsidRPr="00310B4D">
              <w:t xml:space="preserve"> M</w:t>
            </w:r>
            <w:r w:rsidRPr="00310B4D">
              <w:rPr>
                <w:bCs/>
              </w:rPr>
              <w:t>. C. MARTINEZ (Paraguay)</w:t>
            </w:r>
          </w:p>
        </w:tc>
      </w:tr>
    </w:tbl>
    <w:p w14:paraId="10E850D2" w14:textId="77777777" w:rsidR="00625A33" w:rsidRPr="00310B4D" w:rsidRDefault="00625A33" w:rsidP="00F15C09"/>
    <w:tbl>
      <w:tblPr>
        <w:tblW w:w="5079" w:type="pct"/>
        <w:tblInd w:w="426" w:type="dxa"/>
        <w:tblLook w:val="0000" w:firstRow="0" w:lastRow="0" w:firstColumn="0" w:lastColumn="0" w:noHBand="0" w:noVBand="0"/>
      </w:tblPr>
      <w:tblGrid>
        <w:gridCol w:w="338"/>
        <w:gridCol w:w="6482"/>
        <w:gridCol w:w="2394"/>
      </w:tblGrid>
      <w:tr w:rsidR="00625A33" w:rsidRPr="00310B4D" w14:paraId="493FCEBD" w14:textId="77777777">
        <w:tc>
          <w:tcPr>
            <w:tcW w:w="183" w:type="pct"/>
          </w:tcPr>
          <w:p w14:paraId="5984B50B" w14:textId="77777777" w:rsidR="00625A33" w:rsidRPr="00310B4D" w:rsidRDefault="00683EB5" w:rsidP="00F15C09">
            <w:pPr>
              <w:rPr>
                <w:b/>
                <w:bCs/>
              </w:rPr>
            </w:pPr>
            <w:r w:rsidRPr="00310B4D">
              <w:rPr>
                <w:b/>
                <w:bCs/>
              </w:rPr>
              <w:br w:type="page"/>
            </w:r>
            <w:r w:rsidRPr="00310B4D">
              <w:rPr>
                <w:b/>
                <w:bCs/>
              </w:rPr>
              <w:br w:type="page"/>
            </w:r>
          </w:p>
        </w:tc>
        <w:tc>
          <w:tcPr>
            <w:tcW w:w="3518" w:type="pct"/>
          </w:tcPr>
          <w:p w14:paraId="53225AFC" w14:textId="77777777" w:rsidR="00625A33" w:rsidRPr="00310B4D" w:rsidRDefault="00683EB5" w:rsidP="00F15C09">
            <w:pPr>
              <w:rPr>
                <w:b/>
                <w:bCs/>
              </w:rPr>
            </w:pPr>
            <w:r w:rsidRPr="00310B4D">
              <w:rPr>
                <w:b/>
                <w:bCs/>
              </w:rPr>
              <w:t>Sujets traités</w:t>
            </w:r>
          </w:p>
        </w:tc>
        <w:tc>
          <w:tcPr>
            <w:tcW w:w="1299" w:type="pct"/>
          </w:tcPr>
          <w:p w14:paraId="68095647" w14:textId="77777777" w:rsidR="00625A33" w:rsidRPr="00310B4D" w:rsidRDefault="00683EB5" w:rsidP="00F15C09">
            <w:pPr>
              <w:jc w:val="center"/>
              <w:rPr>
                <w:b/>
                <w:bCs/>
              </w:rPr>
            </w:pPr>
            <w:r w:rsidRPr="00310B4D">
              <w:rPr>
                <w:b/>
                <w:bCs/>
              </w:rPr>
              <w:t>Documents</w:t>
            </w:r>
          </w:p>
        </w:tc>
      </w:tr>
      <w:tr w:rsidR="00625A33" w:rsidRPr="00310B4D" w14:paraId="2151330D" w14:textId="77777777">
        <w:tc>
          <w:tcPr>
            <w:tcW w:w="183" w:type="pct"/>
          </w:tcPr>
          <w:p w14:paraId="2FEB068C" w14:textId="77777777" w:rsidR="00625A33" w:rsidRPr="00310B4D" w:rsidRDefault="00683EB5" w:rsidP="00F15C09">
            <w:r w:rsidRPr="00310B4D">
              <w:t>1</w:t>
            </w:r>
          </w:p>
        </w:tc>
        <w:tc>
          <w:tcPr>
            <w:tcW w:w="3518" w:type="pct"/>
          </w:tcPr>
          <w:p w14:paraId="6666F330" w14:textId="5B506D52" w:rsidR="00625A33" w:rsidRPr="00310B4D" w:rsidRDefault="00683EB5" w:rsidP="00F15C09">
            <w:r w:rsidRPr="00310B4D">
              <w:t>Rapport sur la vingt-et-unième Conférence de plénipotentiaires (Bucarest, 2022)</w:t>
            </w:r>
          </w:p>
        </w:tc>
        <w:tc>
          <w:tcPr>
            <w:tcW w:w="1299" w:type="pct"/>
          </w:tcPr>
          <w:p w14:paraId="168C5979" w14:textId="0DA2D73F" w:rsidR="00625A33" w:rsidRPr="00310B4D" w:rsidRDefault="00B542B3" w:rsidP="00F15C09">
            <w:pPr>
              <w:jc w:val="center"/>
              <w:rPr>
                <w:szCs w:val="24"/>
              </w:rPr>
            </w:pPr>
            <w:hyperlink r:id="rId6" w:history="1">
              <w:r w:rsidR="00683EB5" w:rsidRPr="00310B4D">
                <w:rPr>
                  <w:rStyle w:val="Hyperlink"/>
                  <w:szCs w:val="24"/>
                </w:rPr>
                <w:t>C23/4</w:t>
              </w:r>
            </w:hyperlink>
            <w:r w:rsidR="00683EB5" w:rsidRPr="00310B4D">
              <w:rPr>
                <w:szCs w:val="24"/>
              </w:rPr>
              <w:t xml:space="preserve">, </w:t>
            </w:r>
            <w:hyperlink r:id="rId7" w:history="1">
              <w:r w:rsidR="00683EB5" w:rsidRPr="00310B4D">
                <w:rPr>
                  <w:rStyle w:val="Hyperlink"/>
                  <w:szCs w:val="24"/>
                </w:rPr>
                <w:t>C23/84</w:t>
              </w:r>
            </w:hyperlink>
          </w:p>
        </w:tc>
      </w:tr>
      <w:tr w:rsidR="00625A33" w:rsidRPr="00310B4D" w14:paraId="634B5BC0" w14:textId="77777777">
        <w:tc>
          <w:tcPr>
            <w:tcW w:w="183" w:type="pct"/>
          </w:tcPr>
          <w:p w14:paraId="43204720" w14:textId="77777777" w:rsidR="00625A33" w:rsidRPr="00310B4D" w:rsidRDefault="00683EB5" w:rsidP="00F15C09">
            <w:r w:rsidRPr="00310B4D">
              <w:t>2</w:t>
            </w:r>
          </w:p>
        </w:tc>
        <w:tc>
          <w:tcPr>
            <w:tcW w:w="3518" w:type="pct"/>
          </w:tcPr>
          <w:p w14:paraId="48556274" w14:textId="1144CC62" w:rsidR="00625A33" w:rsidRPr="00310B4D" w:rsidRDefault="00683EB5" w:rsidP="00F15C09">
            <w:r w:rsidRPr="00310B4D">
              <w:t>Examen périodique du Règlement des télécommunications internationales</w:t>
            </w:r>
          </w:p>
        </w:tc>
        <w:tc>
          <w:tcPr>
            <w:tcW w:w="1299" w:type="pct"/>
          </w:tcPr>
          <w:p w14:paraId="0EAECF17" w14:textId="6C9517C1" w:rsidR="00625A33" w:rsidRPr="00310B4D" w:rsidRDefault="00B542B3" w:rsidP="00F15C09">
            <w:pPr>
              <w:jc w:val="center"/>
              <w:rPr>
                <w:szCs w:val="24"/>
              </w:rPr>
            </w:pPr>
            <w:hyperlink r:id="rId8" w:history="1">
              <w:r w:rsidR="00683EB5" w:rsidRPr="00310B4D">
                <w:rPr>
                  <w:rStyle w:val="Hyperlink"/>
                  <w:szCs w:val="24"/>
                </w:rPr>
                <w:t>C23/12</w:t>
              </w:r>
            </w:hyperlink>
            <w:r w:rsidR="00683EB5" w:rsidRPr="00310B4D">
              <w:rPr>
                <w:szCs w:val="24"/>
              </w:rPr>
              <w:t xml:space="preserve">, </w:t>
            </w:r>
            <w:hyperlink r:id="rId9" w:history="1">
              <w:r w:rsidR="00683EB5" w:rsidRPr="00310B4D">
                <w:rPr>
                  <w:rStyle w:val="Hyperlink"/>
                  <w:szCs w:val="24"/>
                </w:rPr>
                <w:t>C23/66</w:t>
              </w:r>
            </w:hyperlink>
            <w:r w:rsidR="00683EB5" w:rsidRPr="00310B4D">
              <w:rPr>
                <w:szCs w:val="24"/>
              </w:rPr>
              <w:t xml:space="preserve">, </w:t>
            </w:r>
            <w:hyperlink r:id="rId10" w:history="1">
              <w:r w:rsidR="00683EB5" w:rsidRPr="00310B4D">
                <w:rPr>
                  <w:rStyle w:val="Hyperlink"/>
                  <w:szCs w:val="24"/>
                </w:rPr>
                <w:t>C23/73</w:t>
              </w:r>
            </w:hyperlink>
            <w:r w:rsidR="00683EB5" w:rsidRPr="00310B4D">
              <w:rPr>
                <w:szCs w:val="24"/>
              </w:rPr>
              <w:t xml:space="preserve">, </w:t>
            </w:r>
            <w:hyperlink r:id="rId11" w:history="1">
              <w:r w:rsidR="00683EB5" w:rsidRPr="00310B4D">
                <w:rPr>
                  <w:rStyle w:val="Hyperlink"/>
                  <w:szCs w:val="24"/>
                </w:rPr>
                <w:t>C23/77+Corr.1</w:t>
              </w:r>
            </w:hyperlink>
            <w:r w:rsidR="00683EB5" w:rsidRPr="00310B4D">
              <w:rPr>
                <w:szCs w:val="24"/>
              </w:rPr>
              <w:t xml:space="preserve">, </w:t>
            </w:r>
            <w:hyperlink r:id="rId12" w:history="1">
              <w:r w:rsidR="00683EB5" w:rsidRPr="00310B4D">
                <w:rPr>
                  <w:rStyle w:val="Hyperlink"/>
                  <w:szCs w:val="24"/>
                </w:rPr>
                <w:t>C23/88+Corr.1 et 2</w:t>
              </w:r>
            </w:hyperlink>
          </w:p>
        </w:tc>
      </w:tr>
      <w:tr w:rsidR="00625A33" w:rsidRPr="00310B4D" w14:paraId="013656FD" w14:textId="77777777">
        <w:tc>
          <w:tcPr>
            <w:tcW w:w="183" w:type="pct"/>
          </w:tcPr>
          <w:p w14:paraId="5D0BD001" w14:textId="77777777" w:rsidR="00625A33" w:rsidRPr="00310B4D" w:rsidRDefault="00683EB5" w:rsidP="00F15C09">
            <w:r w:rsidRPr="00310B4D">
              <w:t>3</w:t>
            </w:r>
          </w:p>
        </w:tc>
        <w:tc>
          <w:tcPr>
            <w:tcW w:w="3518" w:type="pct"/>
          </w:tcPr>
          <w:p w14:paraId="2937AEDA" w14:textId="6122403D" w:rsidR="00625A33" w:rsidRPr="00310B4D" w:rsidRDefault="00683EB5" w:rsidP="00F15C09">
            <w:r w:rsidRPr="00310B4D">
              <w:t>Collaboration avec le système des Nations Unies et avec d'autres processus intergouvernementaux internationaux, y compris en ce qui concerne la normalisation</w:t>
            </w:r>
          </w:p>
        </w:tc>
        <w:tc>
          <w:tcPr>
            <w:tcW w:w="1299" w:type="pct"/>
          </w:tcPr>
          <w:p w14:paraId="583B97AB" w14:textId="2D7D536C" w:rsidR="00625A33" w:rsidRPr="00310B4D" w:rsidRDefault="00B542B3" w:rsidP="00F15C09">
            <w:pPr>
              <w:jc w:val="center"/>
              <w:rPr>
                <w:szCs w:val="24"/>
              </w:rPr>
            </w:pPr>
            <w:hyperlink r:id="rId13" w:history="1">
              <w:r w:rsidR="00683EB5" w:rsidRPr="00310B4D">
                <w:rPr>
                  <w:rStyle w:val="Hyperlink"/>
                  <w:szCs w:val="24"/>
                </w:rPr>
                <w:t>C23/49</w:t>
              </w:r>
            </w:hyperlink>
            <w:r w:rsidR="00683EB5" w:rsidRPr="00310B4D">
              <w:rPr>
                <w:szCs w:val="24"/>
              </w:rPr>
              <w:t xml:space="preserve">, </w:t>
            </w:r>
            <w:hyperlink r:id="rId14" w:history="1">
              <w:r w:rsidR="00683EB5" w:rsidRPr="00310B4D">
                <w:rPr>
                  <w:rStyle w:val="Hyperlink"/>
                  <w:szCs w:val="24"/>
                </w:rPr>
                <w:t>C23/74+Corr.1</w:t>
              </w:r>
            </w:hyperlink>
          </w:p>
        </w:tc>
      </w:tr>
      <w:tr w:rsidR="00625A33" w:rsidRPr="00310B4D" w14:paraId="584E98AE" w14:textId="77777777">
        <w:tc>
          <w:tcPr>
            <w:tcW w:w="183" w:type="pct"/>
          </w:tcPr>
          <w:p w14:paraId="1CB3CF8D" w14:textId="77777777" w:rsidR="00625A33" w:rsidRPr="00310B4D" w:rsidRDefault="00683EB5" w:rsidP="00F15C09">
            <w:r w:rsidRPr="00310B4D">
              <w:t>4</w:t>
            </w:r>
          </w:p>
        </w:tc>
        <w:tc>
          <w:tcPr>
            <w:tcW w:w="3518" w:type="pct"/>
          </w:tcPr>
          <w:p w14:paraId="392E0B12" w14:textId="2034B436" w:rsidR="00625A33" w:rsidRPr="00310B4D" w:rsidRDefault="00683EB5" w:rsidP="00F15C09">
            <w:r w:rsidRPr="00310B4D">
              <w:t>Rapport sur le rôle de l'UIT dans la mise en œuvre des résultats du SMSI et du Programme de développement durable à l'horizon 2030, ainsi que dans les processus de suivi et d'examen associés</w:t>
            </w:r>
          </w:p>
        </w:tc>
        <w:tc>
          <w:tcPr>
            <w:tcW w:w="1299" w:type="pct"/>
          </w:tcPr>
          <w:p w14:paraId="366B9562" w14:textId="369CE45A" w:rsidR="00625A33" w:rsidRPr="00310B4D" w:rsidRDefault="00B542B3" w:rsidP="00F15C09">
            <w:pPr>
              <w:jc w:val="center"/>
              <w:rPr>
                <w:szCs w:val="24"/>
              </w:rPr>
            </w:pPr>
            <w:hyperlink r:id="rId15" w:history="1">
              <w:r w:rsidR="00683EB5" w:rsidRPr="00310B4D">
                <w:rPr>
                  <w:rStyle w:val="Hyperlink"/>
                  <w:szCs w:val="24"/>
                </w:rPr>
                <w:t>C23/61</w:t>
              </w:r>
            </w:hyperlink>
            <w:r w:rsidR="00683EB5" w:rsidRPr="00310B4D">
              <w:rPr>
                <w:szCs w:val="24"/>
              </w:rPr>
              <w:t xml:space="preserve">, </w:t>
            </w:r>
            <w:hyperlink r:id="rId16" w:history="1">
              <w:r w:rsidR="00683EB5" w:rsidRPr="00310B4D">
                <w:rPr>
                  <w:rStyle w:val="Hyperlink"/>
                  <w:szCs w:val="24"/>
                </w:rPr>
                <w:t>C23/71+Corr.1</w:t>
              </w:r>
            </w:hyperlink>
            <w:r w:rsidR="00683EB5" w:rsidRPr="00310B4D">
              <w:rPr>
                <w:szCs w:val="24"/>
              </w:rPr>
              <w:t xml:space="preserve">, </w:t>
            </w:r>
            <w:hyperlink r:id="rId17" w:history="1">
              <w:r w:rsidR="00683EB5" w:rsidRPr="00310B4D">
                <w:rPr>
                  <w:rStyle w:val="Hyperlink"/>
                  <w:szCs w:val="24"/>
                </w:rPr>
                <w:t>C23/81</w:t>
              </w:r>
            </w:hyperlink>
            <w:r w:rsidR="00683EB5" w:rsidRPr="00310B4D">
              <w:rPr>
                <w:szCs w:val="24"/>
              </w:rPr>
              <w:t xml:space="preserve">, </w:t>
            </w:r>
            <w:hyperlink r:id="rId18" w:history="1">
              <w:r w:rsidR="00683EB5" w:rsidRPr="00310B4D">
                <w:rPr>
                  <w:rStyle w:val="Hyperlink"/>
                  <w:szCs w:val="24"/>
                </w:rPr>
                <w:t>C23/83</w:t>
              </w:r>
            </w:hyperlink>
            <w:r w:rsidR="00683EB5" w:rsidRPr="00310B4D">
              <w:rPr>
                <w:szCs w:val="24"/>
              </w:rPr>
              <w:t xml:space="preserve">, </w:t>
            </w:r>
            <w:hyperlink r:id="rId19" w:history="1">
              <w:r w:rsidR="00683EB5" w:rsidRPr="00310B4D">
                <w:rPr>
                  <w:rStyle w:val="Hyperlink"/>
                  <w:szCs w:val="24"/>
                </w:rPr>
                <w:t>C23/85+Corr.1 et 2</w:t>
              </w:r>
            </w:hyperlink>
            <w:r w:rsidR="00683EB5" w:rsidRPr="00310B4D">
              <w:rPr>
                <w:szCs w:val="24"/>
              </w:rPr>
              <w:t xml:space="preserve">, </w:t>
            </w:r>
            <w:hyperlink r:id="rId20" w:history="1">
              <w:r w:rsidR="00683EB5" w:rsidRPr="00310B4D">
                <w:rPr>
                  <w:rStyle w:val="Hyperlink"/>
                  <w:szCs w:val="24"/>
                </w:rPr>
                <w:t>C23/96</w:t>
              </w:r>
            </w:hyperlink>
            <w:r w:rsidR="00683EB5" w:rsidRPr="00310B4D">
              <w:rPr>
                <w:szCs w:val="24"/>
              </w:rPr>
              <w:t xml:space="preserve">, </w:t>
            </w:r>
            <w:hyperlink r:id="rId21" w:history="1">
              <w:r w:rsidR="00683EB5" w:rsidRPr="00310B4D">
                <w:rPr>
                  <w:rStyle w:val="Hyperlink"/>
                  <w:szCs w:val="24"/>
                </w:rPr>
                <w:t>C23/100(Rév.1)</w:t>
              </w:r>
            </w:hyperlink>
          </w:p>
        </w:tc>
      </w:tr>
    </w:tbl>
    <w:p w14:paraId="3B7150AC" w14:textId="77777777" w:rsidR="00625A33" w:rsidRPr="00310B4D" w:rsidRDefault="00683EB5" w:rsidP="00F15C09">
      <w:pPr>
        <w:tabs>
          <w:tab w:val="clear" w:pos="567"/>
          <w:tab w:val="clear" w:pos="1134"/>
          <w:tab w:val="clear" w:pos="1701"/>
          <w:tab w:val="clear" w:pos="2268"/>
          <w:tab w:val="clear" w:pos="2835"/>
        </w:tabs>
        <w:overflowPunct/>
        <w:autoSpaceDE/>
        <w:autoSpaceDN/>
        <w:adjustRightInd/>
        <w:spacing w:before="0"/>
        <w:textAlignment w:val="auto"/>
      </w:pPr>
      <w:r w:rsidRPr="00310B4D">
        <w:br w:type="page"/>
      </w:r>
    </w:p>
    <w:p w14:paraId="05309BCC" w14:textId="0F486222" w:rsidR="00625A33" w:rsidRPr="00310B4D" w:rsidRDefault="00683EB5" w:rsidP="00F15C09">
      <w:pPr>
        <w:pStyle w:val="Heading1"/>
        <w:rPr>
          <w:rFonts w:asciiTheme="minorHAnsi" w:hAnsiTheme="minorHAnsi" w:cstheme="minorHAnsi"/>
          <w:bCs/>
          <w:szCs w:val="24"/>
        </w:rPr>
      </w:pPr>
      <w:r w:rsidRPr="00310B4D">
        <w:lastRenderedPageBreak/>
        <w:t>1</w:t>
      </w:r>
      <w:r w:rsidR="00FD65DF" w:rsidRPr="00310B4D">
        <w:tab/>
      </w:r>
      <w:r w:rsidRPr="00310B4D">
        <w:t>Rapport sur la vingt-et-unième Conférence de plénipotentiaires (Bucarest, 2022)</w:t>
      </w:r>
      <w:r w:rsidRPr="00310B4D">
        <w:rPr>
          <w:bCs/>
          <w:szCs w:val="24"/>
        </w:rPr>
        <w:t xml:space="preserve"> (Documents </w:t>
      </w:r>
      <w:hyperlink r:id="rId22" w:history="1">
        <w:r w:rsidRPr="00310B4D">
          <w:rPr>
            <w:rStyle w:val="Hyperlink"/>
            <w:bCs/>
            <w:szCs w:val="24"/>
          </w:rPr>
          <w:t>C23/4</w:t>
        </w:r>
      </w:hyperlink>
      <w:r w:rsidRPr="00310B4D">
        <w:rPr>
          <w:bCs/>
          <w:szCs w:val="24"/>
        </w:rPr>
        <w:t xml:space="preserve"> et </w:t>
      </w:r>
      <w:hyperlink r:id="rId23" w:history="1">
        <w:r w:rsidRPr="00310B4D">
          <w:rPr>
            <w:rStyle w:val="Hyperlink"/>
            <w:bCs/>
            <w:szCs w:val="24"/>
          </w:rPr>
          <w:t>C23/84</w:t>
        </w:r>
      </w:hyperlink>
      <w:r w:rsidRPr="00310B4D">
        <w:rPr>
          <w:bCs/>
          <w:szCs w:val="24"/>
        </w:rPr>
        <w:t>)</w:t>
      </w:r>
    </w:p>
    <w:p w14:paraId="6B91A8E6" w14:textId="24F9B069" w:rsidR="00625A33" w:rsidRPr="00310B4D" w:rsidRDefault="00683EB5" w:rsidP="00F15C09">
      <w:r w:rsidRPr="00310B4D">
        <w:t>1.1</w:t>
      </w:r>
      <w:r w:rsidR="00FD65DF" w:rsidRPr="00310B4D">
        <w:tab/>
      </w:r>
      <w:r w:rsidRPr="00310B4D">
        <w:t>L</w:t>
      </w:r>
      <w:r w:rsidR="00F15C09" w:rsidRPr="00310B4D">
        <w:t xml:space="preserve">a </w:t>
      </w:r>
      <w:r w:rsidRPr="00310B4D">
        <w:t>secrétaire de la plénière présente le rapport sur l</w:t>
      </w:r>
      <w:r w:rsidR="00F15C09" w:rsidRPr="00310B4D">
        <w:t>a</w:t>
      </w:r>
      <w:r w:rsidRPr="00310B4D">
        <w:t xml:space="preserve"> </w:t>
      </w:r>
      <w:r w:rsidR="00F15C09" w:rsidRPr="00310B4D">
        <w:t>vingt-et-unième</w:t>
      </w:r>
      <w:r w:rsidRPr="00310B4D">
        <w:t xml:space="preserve"> </w:t>
      </w:r>
      <w:r w:rsidR="00F15C09" w:rsidRPr="00310B4D">
        <w:t>C</w:t>
      </w:r>
      <w:r w:rsidRPr="00310B4D">
        <w:t>onférence de plénipotentiaires (Bucarest, 2022) (PP</w:t>
      </w:r>
      <w:r w:rsidR="00F15C09" w:rsidRPr="00310B4D">
        <w:t>-22), qui figure dans le Document C23/4. L</w:t>
      </w:r>
      <w:r w:rsidRPr="00310B4D">
        <w:t xml:space="preserve">e rapport </w:t>
      </w:r>
      <w:r w:rsidR="00F15C09" w:rsidRPr="00310B4D">
        <w:t>rend compte d</w:t>
      </w:r>
      <w:r w:rsidRPr="00310B4D">
        <w:t xml:space="preserve">es préparatifs, </w:t>
      </w:r>
      <w:r w:rsidR="00F15C09" w:rsidRPr="00310B4D">
        <w:t>du</w:t>
      </w:r>
      <w:r w:rsidRPr="00310B4D">
        <w:t xml:space="preserve"> déroulement, </w:t>
      </w:r>
      <w:r w:rsidR="00F15C09" w:rsidRPr="00310B4D">
        <w:t>d</w:t>
      </w:r>
      <w:r w:rsidRPr="00310B4D">
        <w:t xml:space="preserve">es décisions et </w:t>
      </w:r>
      <w:r w:rsidR="00F15C09" w:rsidRPr="00310B4D">
        <w:t>d</w:t>
      </w:r>
      <w:r w:rsidRPr="00310B4D">
        <w:t>es résultats de la conférence</w:t>
      </w:r>
      <w:r w:rsidR="00F15C09" w:rsidRPr="00310B4D">
        <w:t xml:space="preserve"> et contient notamment</w:t>
      </w:r>
      <w:r w:rsidRPr="00310B4D">
        <w:t xml:space="preserve"> les propositions du secrétariat visant à renforcer le processus préparatoire interrégional, à </w:t>
      </w:r>
      <w:r w:rsidR="00F15C09" w:rsidRPr="00310B4D">
        <w:t>favoriser une</w:t>
      </w:r>
      <w:r w:rsidRPr="00310B4D">
        <w:t xml:space="preserve"> préparation </w:t>
      </w:r>
      <w:r w:rsidR="00F15C09" w:rsidRPr="00310B4D">
        <w:t xml:space="preserve">plus efficace </w:t>
      </w:r>
      <w:r w:rsidRPr="00310B4D">
        <w:t xml:space="preserve">des délégués, notamment par la formation, à rendre la conférence plus écologique et à organiser une conférence </w:t>
      </w:r>
      <w:r w:rsidR="00F15C09" w:rsidRPr="00310B4D">
        <w:t>qui intègre pleinement le principe de l'égalité hommes-femmes et qui soit inclusive</w:t>
      </w:r>
      <w:r w:rsidRPr="00310B4D">
        <w:t>.</w:t>
      </w:r>
    </w:p>
    <w:p w14:paraId="4E097352" w14:textId="063E8B86" w:rsidR="00625A33" w:rsidRPr="00310B4D" w:rsidRDefault="00683EB5" w:rsidP="00F15C09">
      <w:r w:rsidRPr="00310B4D">
        <w:t>1.2</w:t>
      </w:r>
      <w:r w:rsidR="00FC2DD3" w:rsidRPr="00310B4D">
        <w:tab/>
      </w:r>
      <w:r w:rsidRPr="00310B4D">
        <w:t xml:space="preserve">Elle </w:t>
      </w:r>
      <w:r w:rsidR="00F15C09" w:rsidRPr="00310B4D">
        <w:t>remercie</w:t>
      </w:r>
      <w:r w:rsidRPr="00310B4D">
        <w:t xml:space="preserve"> le gouvernement </w:t>
      </w:r>
      <w:r w:rsidR="0097605D" w:rsidRPr="00310B4D">
        <w:t>de la Roumanie</w:t>
      </w:r>
      <w:r w:rsidRPr="00310B4D">
        <w:t xml:space="preserve"> pour l'accueil </w:t>
      </w:r>
      <w:r w:rsidR="00F15C09" w:rsidRPr="00310B4D">
        <w:t>qui a été réservé</w:t>
      </w:r>
      <w:r w:rsidRPr="00310B4D">
        <w:t xml:space="preserve"> aux participants et pour </w:t>
      </w:r>
      <w:r w:rsidR="00F15C09" w:rsidRPr="00310B4D">
        <w:t xml:space="preserve">son </w:t>
      </w:r>
      <w:r w:rsidRPr="00310B4D">
        <w:t>organisation efficace de la conférence</w:t>
      </w:r>
      <w:r w:rsidR="00F15C09" w:rsidRPr="00310B4D">
        <w:t xml:space="preserve">, </w:t>
      </w:r>
      <w:r w:rsidRPr="00310B4D">
        <w:t xml:space="preserve">sous la présidence dynamique de M. Sabin Sărmaș. Elle </w:t>
      </w:r>
      <w:r w:rsidR="00F15C09" w:rsidRPr="00310B4D">
        <w:t xml:space="preserve">remercie </w:t>
      </w:r>
      <w:r w:rsidRPr="00310B4D">
        <w:t>également le gouvernement australien d'avoir financé la formation de plus de 100 déléguées.</w:t>
      </w:r>
    </w:p>
    <w:p w14:paraId="5B99DCB1" w14:textId="4200140C" w:rsidR="00625A33" w:rsidRPr="00310B4D" w:rsidRDefault="00683EB5" w:rsidP="00DB00E7">
      <w:r w:rsidRPr="00310B4D">
        <w:t>1.3</w:t>
      </w:r>
      <w:r w:rsidR="00FC2DD3" w:rsidRPr="00310B4D">
        <w:tab/>
      </w:r>
      <w:r w:rsidRPr="00310B4D">
        <w:t xml:space="preserve">La conseillère de la Roumanie </w:t>
      </w:r>
      <w:r w:rsidR="00F15C09" w:rsidRPr="00310B4D">
        <w:t>déclare</w:t>
      </w:r>
      <w:r w:rsidRPr="00310B4D">
        <w:t xml:space="preserve"> que ce fut un honneur d'accueillir la PP-22. Elle </w:t>
      </w:r>
      <w:r w:rsidR="00F15C09" w:rsidRPr="00310B4D">
        <w:t>remercie</w:t>
      </w:r>
      <w:r w:rsidRPr="00310B4D">
        <w:t xml:space="preserve"> le secrétariat pour </w:t>
      </w:r>
      <w:r w:rsidR="00DB00E7" w:rsidRPr="00310B4D">
        <w:t>son excellent</w:t>
      </w:r>
      <w:r w:rsidR="00B91FB8" w:rsidRPr="00310B4D">
        <w:t>e</w:t>
      </w:r>
      <w:r w:rsidR="00DB00E7" w:rsidRPr="00310B4D">
        <w:t xml:space="preserve"> </w:t>
      </w:r>
      <w:r w:rsidR="00B91FB8" w:rsidRPr="00310B4D">
        <w:t xml:space="preserve">assistance </w:t>
      </w:r>
      <w:r w:rsidR="00DB00E7" w:rsidRPr="00310B4D">
        <w:t>ainsi que</w:t>
      </w:r>
      <w:r w:rsidRPr="00310B4D">
        <w:t xml:space="preserve"> les délégations pour l'esprit </w:t>
      </w:r>
      <w:r w:rsidR="00DB00E7" w:rsidRPr="00310B4D">
        <w:t>constructif</w:t>
      </w:r>
      <w:r w:rsidRPr="00310B4D">
        <w:t xml:space="preserve"> dans lequel les réunions se sont déroulées. Forte de son expérience en tant que pays hôte, la Roumanie </w:t>
      </w:r>
      <w:r w:rsidR="00DB00E7" w:rsidRPr="00310B4D">
        <w:t xml:space="preserve">a soumis </w:t>
      </w:r>
      <w:r w:rsidRPr="00310B4D">
        <w:t xml:space="preserve">des propositions d'améliorations supplémentaires, qui figurent dans le </w:t>
      </w:r>
      <w:r w:rsidR="00FC2DD3" w:rsidRPr="00310B4D">
        <w:t>D</w:t>
      </w:r>
      <w:r w:rsidRPr="00310B4D">
        <w:t xml:space="preserve">ocument C23/84 et les documents connexes, </w:t>
      </w:r>
      <w:r w:rsidR="00DB00E7" w:rsidRPr="00310B4D">
        <w:t>concernant notamment le processus préparatoire interrégional et consistant à améliorer le contenu et à permettre une participation efficace, en renforçant la participation des femmes et des jeunes et en formant les délégués au processus de la conférence, ainsi que les aspects logistiques tels que l'accord de pays hôte et l'empreinte écologique</w:t>
      </w:r>
      <w:r w:rsidRPr="00310B4D">
        <w:t xml:space="preserve"> de la conférence.</w:t>
      </w:r>
    </w:p>
    <w:p w14:paraId="38B44C37" w14:textId="661E37E2" w:rsidR="00625A33" w:rsidRPr="00310B4D" w:rsidRDefault="00683EB5" w:rsidP="00F15C09">
      <w:r w:rsidRPr="00310B4D">
        <w:t>1.4</w:t>
      </w:r>
      <w:r w:rsidR="00FC2DD3" w:rsidRPr="00310B4D">
        <w:tab/>
      </w:r>
      <w:r w:rsidRPr="00310B4D">
        <w:t xml:space="preserve">De nombreux conseillers </w:t>
      </w:r>
      <w:r w:rsidR="00F15C09" w:rsidRPr="00310B4D">
        <w:t>se félicitent</w:t>
      </w:r>
      <w:r w:rsidRPr="00310B4D">
        <w:t xml:space="preserve"> des propositions présentées par la Roumanie et de l'hospitalité chaleureuse dont ils ont bénéficié lors de la conférence </w:t>
      </w:r>
      <w:r w:rsidR="00F0151B" w:rsidRPr="00310B4D">
        <w:t xml:space="preserve">brillamment </w:t>
      </w:r>
      <w:r w:rsidRPr="00310B4D">
        <w:t xml:space="preserve">organisée à Bucarest. Sur le fond, ils </w:t>
      </w:r>
      <w:r w:rsidR="00DB00E7" w:rsidRPr="00310B4D">
        <w:t>se disent favorables</w:t>
      </w:r>
      <w:r w:rsidRPr="00310B4D">
        <w:t xml:space="preserve"> à l'amélioration des réunions interrégionales, au renforcement de la </w:t>
      </w:r>
      <w:r w:rsidR="00DB00E7" w:rsidRPr="00310B4D">
        <w:t>participation</w:t>
      </w:r>
      <w:r w:rsidRPr="00310B4D">
        <w:t xml:space="preserve"> des femmes et à la formation des délégués. Un conseiller </w:t>
      </w:r>
      <w:r w:rsidR="0097605D" w:rsidRPr="00310B4D">
        <w:t>se</w:t>
      </w:r>
      <w:r w:rsidRPr="00310B4D">
        <w:t xml:space="preserve"> dit préoccupé par le fait que la suggestion relative aux contributions pourrait </w:t>
      </w:r>
      <w:r w:rsidR="00F0151B" w:rsidRPr="00310B4D">
        <w:t>avoir une incidence sur les</w:t>
      </w:r>
      <w:r w:rsidRPr="00310B4D">
        <w:t xml:space="preserve"> droits des États </w:t>
      </w:r>
      <w:r w:rsidR="00DB00E7" w:rsidRPr="00310B4D">
        <w:t>M</w:t>
      </w:r>
      <w:r w:rsidRPr="00310B4D">
        <w:t xml:space="preserve">embres. Les consultations proposées </w:t>
      </w:r>
      <w:r w:rsidR="00F0151B" w:rsidRPr="00310B4D">
        <w:t xml:space="preserve">auprès de </w:t>
      </w:r>
      <w:r w:rsidRPr="00310B4D">
        <w:t xml:space="preserve">l'ensemble des États membres </w:t>
      </w:r>
      <w:r w:rsidR="00DB00E7" w:rsidRPr="00310B4D">
        <w:t>permettront de recueillir des informations à cet égard</w:t>
      </w:r>
      <w:r w:rsidRPr="00310B4D">
        <w:t>.</w:t>
      </w:r>
    </w:p>
    <w:p w14:paraId="77DCB29E" w14:textId="716AE4EA" w:rsidR="00625A33" w:rsidRPr="00310B4D" w:rsidRDefault="00683EB5" w:rsidP="00F15C09">
      <w:r w:rsidRPr="00310B4D">
        <w:t>1.5</w:t>
      </w:r>
      <w:r w:rsidR="00FC2DD3" w:rsidRPr="00310B4D">
        <w:tab/>
      </w:r>
      <w:r w:rsidRPr="00310B4D">
        <w:t xml:space="preserve">Les conseillers </w:t>
      </w:r>
      <w:r w:rsidR="00DB00E7" w:rsidRPr="00310B4D">
        <w:t xml:space="preserve">font observer </w:t>
      </w:r>
      <w:r w:rsidRPr="00310B4D">
        <w:t xml:space="preserve">que le succès de la conférence </w:t>
      </w:r>
      <w:r w:rsidR="00DB00E7" w:rsidRPr="00310B4D">
        <w:t xml:space="preserve">tient aux </w:t>
      </w:r>
      <w:r w:rsidRPr="00310B4D">
        <w:t xml:space="preserve">pratiques de travail judicieuses, </w:t>
      </w:r>
      <w:r w:rsidR="00DB00E7" w:rsidRPr="00310B4D">
        <w:t>à l'excellente</w:t>
      </w:r>
      <w:r w:rsidRPr="00310B4D">
        <w:t xml:space="preserve"> préparation et à </w:t>
      </w:r>
      <w:r w:rsidR="00DB00E7" w:rsidRPr="00310B4D">
        <w:t>l'</w:t>
      </w:r>
      <w:r w:rsidRPr="00310B4D">
        <w:t>esprit de</w:t>
      </w:r>
      <w:r w:rsidR="00DB00E7" w:rsidRPr="00310B4D">
        <w:t xml:space="preserve"> </w:t>
      </w:r>
      <w:r w:rsidRPr="00310B4D">
        <w:t xml:space="preserve">collaboration. </w:t>
      </w:r>
      <w:r w:rsidR="00C42BF9" w:rsidRPr="00310B4D">
        <w:t xml:space="preserve">Tout a été mis en œuvre durant la conférence </w:t>
      </w:r>
      <w:r w:rsidRPr="00310B4D">
        <w:t xml:space="preserve">pour garantir l'égalité </w:t>
      </w:r>
      <w:r w:rsidR="00C42BF9" w:rsidRPr="00310B4D">
        <w:t>hommes-femmes</w:t>
      </w:r>
      <w:r w:rsidRPr="00310B4D">
        <w:t xml:space="preserve">, la participation des jeunes et la durabilité. </w:t>
      </w:r>
      <w:r w:rsidR="00C42BF9" w:rsidRPr="00310B4D">
        <w:t xml:space="preserve">Le renforcement de la </w:t>
      </w:r>
      <w:r w:rsidRPr="00310B4D">
        <w:t xml:space="preserve">participation des femmes et les activités visant à </w:t>
      </w:r>
      <w:r w:rsidR="00C42BF9" w:rsidRPr="00310B4D">
        <w:t xml:space="preserve">accroître leur mobilisation </w:t>
      </w:r>
      <w:r w:rsidRPr="00310B4D">
        <w:t>ont été très apprécié</w:t>
      </w:r>
      <w:r w:rsidR="00C42BF9" w:rsidRPr="00310B4D">
        <w:t>s</w:t>
      </w:r>
      <w:r w:rsidRPr="00310B4D">
        <w:t xml:space="preserve">, mais </w:t>
      </w:r>
      <w:r w:rsidR="0097605D" w:rsidRPr="00310B4D">
        <w:t>l'</w:t>
      </w:r>
      <w:r w:rsidR="00C42BF9" w:rsidRPr="00310B4D">
        <w:t>on pourrait en faire plus</w:t>
      </w:r>
      <w:r w:rsidRPr="00310B4D">
        <w:t xml:space="preserve"> pour </w:t>
      </w:r>
      <w:r w:rsidR="009770A1" w:rsidRPr="00310B4D">
        <w:t>que davantage de</w:t>
      </w:r>
      <w:r w:rsidRPr="00310B4D">
        <w:t xml:space="preserve"> femmes occup</w:t>
      </w:r>
      <w:r w:rsidR="009770A1" w:rsidRPr="00310B4D">
        <w:t>e</w:t>
      </w:r>
      <w:r w:rsidRPr="00310B4D">
        <w:t xml:space="preserve">nt des postes de direction. Les conseillers </w:t>
      </w:r>
      <w:r w:rsidR="00F15C09" w:rsidRPr="00310B4D">
        <w:t>soulignent</w:t>
      </w:r>
      <w:r w:rsidRPr="00310B4D">
        <w:t xml:space="preserve"> l'importance d'organiser des séances d'information et de formation sur les processus de la conférence, en particulier pour les nouveaux délégués et les jeunes participants, et de recevoir les documents le plus tôt possible.</w:t>
      </w:r>
    </w:p>
    <w:p w14:paraId="68BD5307" w14:textId="3207324B" w:rsidR="00625A33" w:rsidRPr="00310B4D" w:rsidRDefault="00683EB5" w:rsidP="00F15C09">
      <w:r w:rsidRPr="00310B4D">
        <w:t>1.6</w:t>
      </w:r>
      <w:r w:rsidR="00FC2DD3" w:rsidRPr="00310B4D">
        <w:tab/>
      </w:r>
      <w:r w:rsidRPr="00310B4D">
        <w:t xml:space="preserve">Un conseiller </w:t>
      </w:r>
      <w:r w:rsidR="00F15C09" w:rsidRPr="00310B4D">
        <w:t>demande</w:t>
      </w:r>
      <w:r w:rsidRPr="00310B4D">
        <w:t xml:space="preserve"> que </w:t>
      </w:r>
      <w:r w:rsidR="00C42BF9" w:rsidRPr="00310B4D">
        <w:t xml:space="preserve">l'on s'attache à ménager davantage de souplesse dans </w:t>
      </w:r>
      <w:r w:rsidRPr="00310B4D">
        <w:t xml:space="preserve">l'accord avec le pays hôte. En ce qui concerne la structure de la conférence, il </w:t>
      </w:r>
      <w:r w:rsidR="00C42BF9" w:rsidRPr="00310B4D">
        <w:t xml:space="preserve">importe </w:t>
      </w:r>
      <w:r w:rsidRPr="00310B4D">
        <w:t xml:space="preserve">de noter que les petites délégations des pays en développement ne sont pas toujours en mesure de suivre les points de l'ordre du jour lorsque </w:t>
      </w:r>
      <w:r w:rsidR="00C42BF9" w:rsidRPr="00310B4D">
        <w:t>plusieurs</w:t>
      </w:r>
      <w:r w:rsidRPr="00310B4D">
        <w:t xml:space="preserve"> réunions se déroulent en parallèle.</w:t>
      </w:r>
    </w:p>
    <w:p w14:paraId="422728A8" w14:textId="22AB6E1C" w:rsidR="00625A33" w:rsidRPr="00310B4D" w:rsidRDefault="00683EB5" w:rsidP="00F15C09">
      <w:r w:rsidRPr="00310B4D">
        <w:lastRenderedPageBreak/>
        <w:t>1.7</w:t>
      </w:r>
      <w:r w:rsidR="00614267" w:rsidRPr="00310B4D">
        <w:tab/>
      </w:r>
      <w:r w:rsidRPr="00310B4D">
        <w:t>L</w:t>
      </w:r>
      <w:r w:rsidR="00C42BF9" w:rsidRPr="00310B4D">
        <w:t>a</w:t>
      </w:r>
      <w:r w:rsidRPr="00310B4D">
        <w:t xml:space="preserve"> conseill</w:t>
      </w:r>
      <w:r w:rsidR="00C42BF9" w:rsidRPr="00310B4D">
        <w:t>ère de la R</w:t>
      </w:r>
      <w:r w:rsidRPr="00310B4D">
        <w:t>ouma</w:t>
      </w:r>
      <w:r w:rsidR="00C42BF9" w:rsidRPr="00310B4D">
        <w:t xml:space="preserve">nie </w:t>
      </w:r>
      <w:r w:rsidR="00F15C09" w:rsidRPr="00310B4D">
        <w:t>remercie</w:t>
      </w:r>
      <w:r w:rsidRPr="00310B4D">
        <w:t xml:space="preserve"> les conseillers pour leurs </w:t>
      </w:r>
      <w:r w:rsidR="00C42BF9" w:rsidRPr="00310B4D">
        <w:t xml:space="preserve">propos </w:t>
      </w:r>
      <w:r w:rsidRPr="00310B4D">
        <w:t xml:space="preserve">aimables et fait remarquer qu'il </w:t>
      </w:r>
      <w:r w:rsidR="0097605D" w:rsidRPr="00310B4D">
        <w:t>a</w:t>
      </w:r>
      <w:r w:rsidRPr="00310B4D">
        <w:t xml:space="preserve"> été particulièrement difficile de préparer la conférence pendant la </w:t>
      </w:r>
      <w:r w:rsidR="00C42BF9" w:rsidRPr="00310B4D">
        <w:t>pandémie de</w:t>
      </w:r>
      <w:r w:rsidRPr="00310B4D">
        <w:t xml:space="preserve"> COVID</w:t>
      </w:r>
      <w:r w:rsidRPr="00310B4D">
        <w:noBreakHyphen/>
        <w:t xml:space="preserve">19. Elle </w:t>
      </w:r>
      <w:r w:rsidR="009770A1" w:rsidRPr="00310B4D">
        <w:t>exprime de sincères remerciements</w:t>
      </w:r>
      <w:r w:rsidRPr="00310B4D">
        <w:t xml:space="preserve"> </w:t>
      </w:r>
      <w:r w:rsidR="009770A1" w:rsidRPr="00310B4D">
        <w:t xml:space="preserve">au nom du </w:t>
      </w:r>
      <w:r w:rsidRPr="00310B4D">
        <w:t xml:space="preserve">président de la conférence, qui a souligné l'expérience précieuse qu'il </w:t>
      </w:r>
      <w:r w:rsidR="0097605D" w:rsidRPr="00310B4D">
        <w:t>a</w:t>
      </w:r>
      <w:r w:rsidRPr="00310B4D">
        <w:t xml:space="preserve"> acquise en assistant à une </w:t>
      </w:r>
      <w:r w:rsidR="00C42BF9" w:rsidRPr="00310B4D">
        <w:t>c</w:t>
      </w:r>
      <w:r w:rsidRPr="00310B4D">
        <w:t xml:space="preserve">onférence de plénipotentiaires avant d'assumer lui-même les responsabilités de président. Elle </w:t>
      </w:r>
      <w:r w:rsidR="009770A1" w:rsidRPr="00310B4D">
        <w:t xml:space="preserve">caresse </w:t>
      </w:r>
      <w:r w:rsidRPr="00310B4D">
        <w:t xml:space="preserve">l'espoir que, pour la première fois, une femme </w:t>
      </w:r>
      <w:r w:rsidR="00C42BF9" w:rsidRPr="00310B4D">
        <w:t>soit</w:t>
      </w:r>
      <w:r w:rsidRPr="00310B4D">
        <w:t xml:space="preserve"> élue à la présidence de la 22ème </w:t>
      </w:r>
      <w:r w:rsidR="00C42BF9" w:rsidRPr="00310B4D">
        <w:t>C</w:t>
      </w:r>
      <w:r w:rsidRPr="00310B4D">
        <w:t>onférence de plénipotentiaires.</w:t>
      </w:r>
    </w:p>
    <w:p w14:paraId="734F8B32" w14:textId="59F6A7DF" w:rsidR="00625A33" w:rsidRPr="00310B4D" w:rsidRDefault="00683EB5" w:rsidP="00F15C09">
      <w:r w:rsidRPr="00310B4D">
        <w:t>1.8</w:t>
      </w:r>
      <w:r w:rsidR="00614267" w:rsidRPr="00310B4D">
        <w:tab/>
      </w:r>
      <w:r w:rsidRPr="00310B4D">
        <w:t>L</w:t>
      </w:r>
      <w:r w:rsidR="00C42BF9" w:rsidRPr="00310B4D">
        <w:t>a</w:t>
      </w:r>
      <w:r w:rsidRPr="00310B4D">
        <w:t xml:space="preserve"> </w:t>
      </w:r>
      <w:r w:rsidR="00C42BF9" w:rsidRPr="00310B4D">
        <w:t>S</w:t>
      </w:r>
      <w:r w:rsidRPr="00310B4D">
        <w:t>ecrétaire général</w:t>
      </w:r>
      <w:r w:rsidR="00C42BF9" w:rsidRPr="00310B4D">
        <w:t>e</w:t>
      </w:r>
      <w:r w:rsidRPr="00310B4D">
        <w:t xml:space="preserve"> </w:t>
      </w:r>
      <w:r w:rsidR="00F15C09" w:rsidRPr="00310B4D">
        <w:t>remercie</w:t>
      </w:r>
      <w:r w:rsidRPr="00310B4D">
        <w:t xml:space="preserve"> la Roumanie d'avoir accueilli la conférence à l'issue d'un excellent processus préparatoire. Le bon déroulement de la conférence, </w:t>
      </w:r>
      <w:r w:rsidR="00C42BF9" w:rsidRPr="00310B4D">
        <w:t>la contribution</w:t>
      </w:r>
      <w:r w:rsidRPr="00310B4D">
        <w:t xml:space="preserve"> du président, l'a</w:t>
      </w:r>
      <w:r w:rsidR="00C42BF9" w:rsidRPr="00310B4D">
        <w:t xml:space="preserve">ttention particulière qui a été portée à </w:t>
      </w:r>
      <w:r w:rsidRPr="00310B4D">
        <w:t xml:space="preserve">l'inclusion, en particulier </w:t>
      </w:r>
      <w:r w:rsidR="00C42BF9" w:rsidRPr="00310B4D">
        <w:t>des</w:t>
      </w:r>
      <w:r w:rsidRPr="00310B4D">
        <w:t xml:space="preserve"> jeunes, et l'environnement encourageant et </w:t>
      </w:r>
      <w:r w:rsidR="00C42BF9" w:rsidRPr="00310B4D">
        <w:t xml:space="preserve">propice qui a été mis en place </w:t>
      </w:r>
      <w:r w:rsidRPr="00310B4D">
        <w:t xml:space="preserve">pour les femmes ont été très appréciés. La conférence a </w:t>
      </w:r>
      <w:r w:rsidR="00C42BF9" w:rsidRPr="00310B4D">
        <w:t>donné lieu à des résultats majeurs sur les plans de</w:t>
      </w:r>
      <w:r w:rsidRPr="00310B4D">
        <w:t xml:space="preserve"> la connectivité universelle et </w:t>
      </w:r>
      <w:r w:rsidR="00C42BF9" w:rsidRPr="00310B4D">
        <w:t xml:space="preserve">de </w:t>
      </w:r>
      <w:r w:rsidRPr="00310B4D">
        <w:t>la transformation numérique durable.</w:t>
      </w:r>
    </w:p>
    <w:p w14:paraId="0439011B" w14:textId="3851F477" w:rsidR="00625A33" w:rsidRPr="00310B4D" w:rsidRDefault="00683EB5" w:rsidP="00F15C09">
      <w:r w:rsidRPr="00310B4D">
        <w:t>1.9</w:t>
      </w:r>
      <w:r w:rsidR="00614267" w:rsidRPr="00310B4D">
        <w:tab/>
      </w:r>
      <w:r w:rsidRPr="00310B4D">
        <w:t xml:space="preserve">Le Conseil </w:t>
      </w:r>
      <w:r w:rsidR="00C42BF9" w:rsidRPr="00310B4D">
        <w:rPr>
          <w:b/>
          <w:bCs/>
        </w:rPr>
        <w:t xml:space="preserve">prend note </w:t>
      </w:r>
      <w:r w:rsidR="00C42BF9" w:rsidRPr="00310B4D">
        <w:t xml:space="preserve">du </w:t>
      </w:r>
      <w:r w:rsidRPr="00310B4D">
        <w:t xml:space="preserve">rapport </w:t>
      </w:r>
      <w:r w:rsidR="00C42BF9" w:rsidRPr="00310B4D">
        <w:t>figurant</w:t>
      </w:r>
      <w:r w:rsidRPr="00310B4D">
        <w:t xml:space="preserve"> dans le </w:t>
      </w:r>
      <w:r w:rsidR="00614267" w:rsidRPr="00310B4D">
        <w:t>D</w:t>
      </w:r>
      <w:r w:rsidRPr="00310B4D">
        <w:t xml:space="preserve">ocument C23/4, et </w:t>
      </w:r>
      <w:r w:rsidRPr="00310B4D">
        <w:rPr>
          <w:b/>
          <w:bCs/>
        </w:rPr>
        <w:t>demande</w:t>
      </w:r>
      <w:r w:rsidRPr="00310B4D">
        <w:t xml:space="preserve"> </w:t>
      </w:r>
      <w:r w:rsidR="00C42BF9" w:rsidRPr="00310B4D">
        <w:t xml:space="preserve">au </w:t>
      </w:r>
      <w:r w:rsidRPr="00310B4D">
        <w:t xml:space="preserve">secrétariat </w:t>
      </w:r>
      <w:r w:rsidR="00C42BF9" w:rsidRPr="00310B4D">
        <w:t>d'</w:t>
      </w:r>
      <w:r w:rsidRPr="00310B4D">
        <w:t xml:space="preserve">examiner les propositions faites par la Roumanie </w:t>
      </w:r>
      <w:r w:rsidR="00C42BF9" w:rsidRPr="00310B4D">
        <w:t>en vue d'</w:t>
      </w:r>
      <w:r w:rsidRPr="00310B4D">
        <w:t xml:space="preserve">améliorer le déroulement de la conférence, </w:t>
      </w:r>
      <w:r w:rsidR="00C42BF9" w:rsidRPr="00310B4D">
        <w:t>de</w:t>
      </w:r>
      <w:r w:rsidRPr="00310B4D">
        <w:t xml:space="preserve"> consulter les États </w:t>
      </w:r>
      <w:r w:rsidR="00C42BF9" w:rsidRPr="00310B4D">
        <w:t>M</w:t>
      </w:r>
      <w:r w:rsidRPr="00310B4D">
        <w:t xml:space="preserve">embres sur les améliorations </w:t>
      </w:r>
      <w:r w:rsidR="00C42BF9" w:rsidRPr="00310B4D">
        <w:t>qui pourraient être apportées à</w:t>
      </w:r>
      <w:r w:rsidRPr="00310B4D">
        <w:t xml:space="preserve"> la PP, </w:t>
      </w:r>
      <w:r w:rsidR="00C42BF9" w:rsidRPr="00310B4D">
        <w:t>notamment</w:t>
      </w:r>
      <w:r w:rsidRPr="00310B4D">
        <w:t xml:space="preserve"> </w:t>
      </w:r>
      <w:r w:rsidR="00C42BF9" w:rsidRPr="00310B4D">
        <w:t>en ce qui concerne l</w:t>
      </w:r>
      <w:r w:rsidRPr="00310B4D">
        <w:t xml:space="preserve">a révision des procédures d'élection et des lignes directrices en matière d'éthique, et </w:t>
      </w:r>
      <w:r w:rsidR="009B4431" w:rsidRPr="00310B4D">
        <w:t xml:space="preserve">de </w:t>
      </w:r>
      <w:r w:rsidRPr="00310B4D">
        <w:t>présenter les résultats au Conseil</w:t>
      </w:r>
      <w:r w:rsidR="00C42BF9" w:rsidRPr="00310B4D">
        <w:t xml:space="preserve"> à sa session de 2024</w:t>
      </w:r>
      <w:r w:rsidRPr="00310B4D">
        <w:t>.</w:t>
      </w:r>
    </w:p>
    <w:p w14:paraId="33CFC4E8" w14:textId="1BB87C98" w:rsidR="00625A33" w:rsidRPr="00310B4D" w:rsidRDefault="00683EB5" w:rsidP="00F15C09">
      <w:pPr>
        <w:pStyle w:val="Heading1"/>
        <w:rPr>
          <w:rFonts w:asciiTheme="minorHAnsi" w:hAnsiTheme="minorHAnsi" w:cstheme="minorHAnsi"/>
          <w:bCs/>
          <w:color w:val="000000"/>
          <w:szCs w:val="24"/>
        </w:rPr>
      </w:pPr>
      <w:r w:rsidRPr="00310B4D">
        <w:t>2</w:t>
      </w:r>
      <w:r w:rsidR="00614267" w:rsidRPr="00310B4D">
        <w:tab/>
      </w:r>
      <w:r w:rsidRPr="00310B4D">
        <w:t>Examen périodique du Règlement des télécommunications internationales</w:t>
      </w:r>
      <w:r w:rsidRPr="00310B4D">
        <w:rPr>
          <w:rFonts w:asciiTheme="minorHAnsi" w:hAnsiTheme="minorHAnsi" w:cstheme="minorHAnsi"/>
          <w:bCs/>
          <w:color w:val="000000"/>
          <w:szCs w:val="24"/>
        </w:rPr>
        <w:t xml:space="preserve"> </w:t>
      </w:r>
      <w:r w:rsidRPr="00310B4D">
        <w:rPr>
          <w:bCs/>
          <w:szCs w:val="24"/>
        </w:rPr>
        <w:t>(Documents</w:t>
      </w:r>
      <w:r w:rsidR="00106D68" w:rsidRPr="00310B4D">
        <w:rPr>
          <w:bCs/>
          <w:szCs w:val="24"/>
        </w:rPr>
        <w:t xml:space="preserve"> </w:t>
      </w:r>
      <w:hyperlink r:id="rId24" w:history="1">
        <w:r w:rsidRPr="00310B4D">
          <w:rPr>
            <w:rStyle w:val="Hyperlink"/>
            <w:bCs/>
            <w:szCs w:val="24"/>
          </w:rPr>
          <w:t>C23/12</w:t>
        </w:r>
      </w:hyperlink>
      <w:r w:rsidRPr="00310B4D">
        <w:rPr>
          <w:bCs/>
          <w:szCs w:val="24"/>
        </w:rPr>
        <w:t>,</w:t>
      </w:r>
      <w:r w:rsidRPr="00310B4D">
        <w:rPr>
          <w:rFonts w:cs="Calibri"/>
          <w:bCs/>
          <w:szCs w:val="24"/>
        </w:rPr>
        <w:t xml:space="preserve"> </w:t>
      </w:r>
      <w:hyperlink r:id="rId25" w:history="1">
        <w:r w:rsidRPr="00310B4D">
          <w:rPr>
            <w:rStyle w:val="Hyperlink"/>
            <w:rFonts w:cs="Calibri"/>
            <w:bCs/>
            <w:szCs w:val="24"/>
          </w:rPr>
          <w:t>C23/66</w:t>
        </w:r>
      </w:hyperlink>
      <w:r w:rsidRPr="00310B4D">
        <w:rPr>
          <w:rFonts w:cs="Calibri"/>
          <w:bCs/>
          <w:szCs w:val="24"/>
        </w:rPr>
        <w:t xml:space="preserve">, </w:t>
      </w:r>
      <w:hyperlink r:id="rId26" w:history="1">
        <w:r w:rsidRPr="00310B4D">
          <w:rPr>
            <w:rStyle w:val="Hyperlink"/>
            <w:rFonts w:cs="Calibri"/>
            <w:bCs/>
            <w:szCs w:val="24"/>
          </w:rPr>
          <w:t>C23/73</w:t>
        </w:r>
      </w:hyperlink>
      <w:r w:rsidRPr="00310B4D">
        <w:rPr>
          <w:rFonts w:cs="Calibri"/>
          <w:bCs/>
          <w:szCs w:val="24"/>
        </w:rPr>
        <w:t xml:space="preserve">, </w:t>
      </w:r>
      <w:hyperlink r:id="rId27" w:history="1">
        <w:r w:rsidRPr="00310B4D">
          <w:rPr>
            <w:rStyle w:val="Hyperlink"/>
            <w:rFonts w:cs="Calibri"/>
            <w:bCs/>
            <w:szCs w:val="24"/>
          </w:rPr>
          <w:t>C23/77+Corr.1</w:t>
        </w:r>
      </w:hyperlink>
      <w:r w:rsidRPr="00310B4D">
        <w:rPr>
          <w:rFonts w:cs="Calibri"/>
          <w:bCs/>
          <w:szCs w:val="24"/>
        </w:rPr>
        <w:t xml:space="preserve">, </w:t>
      </w:r>
      <w:hyperlink r:id="rId28" w:history="1">
        <w:r w:rsidRPr="00310B4D">
          <w:rPr>
            <w:rStyle w:val="Hyperlink"/>
            <w:rFonts w:cs="Calibri"/>
            <w:bCs/>
            <w:szCs w:val="24"/>
          </w:rPr>
          <w:t>C23/88+Corr.1 et 2</w:t>
        </w:r>
      </w:hyperlink>
      <w:r w:rsidRPr="00310B4D">
        <w:rPr>
          <w:bCs/>
          <w:szCs w:val="24"/>
        </w:rPr>
        <w:t>)</w:t>
      </w:r>
    </w:p>
    <w:p w14:paraId="626D20E2" w14:textId="6588A393" w:rsidR="00625A33" w:rsidRPr="00310B4D" w:rsidRDefault="00683EB5" w:rsidP="00F15C09">
      <w:r w:rsidRPr="00310B4D">
        <w:t>2.1</w:t>
      </w:r>
      <w:r w:rsidR="00614267" w:rsidRPr="00310B4D">
        <w:tab/>
      </w:r>
      <w:r w:rsidRPr="00310B4D">
        <w:t xml:space="preserve">Un représentant du Secrétariat général </w:t>
      </w:r>
      <w:r w:rsidR="00F15C09" w:rsidRPr="00310B4D">
        <w:t>indique</w:t>
      </w:r>
      <w:r w:rsidRPr="00310B4D">
        <w:t xml:space="preserve"> que le Document C23/12 donn</w:t>
      </w:r>
      <w:r w:rsidR="00C42BF9" w:rsidRPr="00310B4D">
        <w:t>e</w:t>
      </w:r>
      <w:r w:rsidRPr="00310B4D">
        <w:t xml:space="preserve"> un aperçu du Règlement des télécommunications internationales (RTI) et </w:t>
      </w:r>
      <w:r w:rsidR="00C42BF9" w:rsidRPr="00310B4D">
        <w:t>met en évidence</w:t>
      </w:r>
      <w:r w:rsidRPr="00310B4D">
        <w:t xml:space="preserve"> les instructions relatives à son examen périodique </w:t>
      </w:r>
      <w:r w:rsidR="00EC31C1" w:rsidRPr="00310B4D">
        <w:t>qui ont été données au Secrétaire général</w:t>
      </w:r>
      <w:r w:rsidRPr="00310B4D">
        <w:t xml:space="preserve"> par la PP-22 dans la Résolution 146 (Rév. Bucarest, 2022)</w:t>
      </w:r>
      <w:r w:rsidR="00EC31C1" w:rsidRPr="00310B4D">
        <w:t xml:space="preserve">, en vue de </w:t>
      </w:r>
      <w:r w:rsidRPr="00310B4D">
        <w:t xml:space="preserve">convoquer à nouveau le </w:t>
      </w:r>
      <w:r w:rsidR="00EC31C1" w:rsidRPr="00310B4D">
        <w:t>G</w:t>
      </w:r>
      <w:r w:rsidRPr="00310B4D">
        <w:t>roupe d'experts sur le RTI (EG-ITR)</w:t>
      </w:r>
      <w:r w:rsidR="00EC31C1" w:rsidRPr="00310B4D">
        <w:t xml:space="preserve">, dont le </w:t>
      </w:r>
      <w:r w:rsidRPr="00310B4D">
        <w:t xml:space="preserve">mandat et </w:t>
      </w:r>
      <w:r w:rsidR="00EC31C1" w:rsidRPr="00310B4D">
        <w:t>l</w:t>
      </w:r>
      <w:r w:rsidRPr="00310B4D">
        <w:t xml:space="preserve">es méthodes de travail </w:t>
      </w:r>
      <w:r w:rsidR="00EC31C1" w:rsidRPr="00310B4D">
        <w:t xml:space="preserve">seraient </w:t>
      </w:r>
      <w:r w:rsidRPr="00310B4D">
        <w:t>établis par le Conseil</w:t>
      </w:r>
      <w:r w:rsidR="00C42BF9" w:rsidRPr="00310B4D">
        <w:t xml:space="preserve"> à sa session de 20</w:t>
      </w:r>
      <w:r w:rsidRPr="00310B4D">
        <w:t xml:space="preserve">23. </w:t>
      </w:r>
    </w:p>
    <w:p w14:paraId="0F936C53" w14:textId="6F526D1E" w:rsidR="00625A33" w:rsidRPr="00310B4D" w:rsidRDefault="00683EB5" w:rsidP="00F15C09">
      <w:r w:rsidRPr="00310B4D">
        <w:t>2.2</w:t>
      </w:r>
      <w:r w:rsidR="00614267" w:rsidRPr="00310B4D">
        <w:tab/>
      </w:r>
      <w:r w:rsidRPr="00310B4D">
        <w:t xml:space="preserve">Le conseiller du Canada </w:t>
      </w:r>
      <w:r w:rsidR="00F15C09" w:rsidRPr="00310B4D">
        <w:t>présente</w:t>
      </w:r>
      <w:r w:rsidRPr="00310B4D">
        <w:t xml:space="preserve"> une contribution </w:t>
      </w:r>
      <w:r w:rsidR="00C42BF9" w:rsidRPr="00310B4D">
        <w:t>soumise par plusieurs pays,</w:t>
      </w:r>
      <w:r w:rsidRPr="00310B4D">
        <w:t xml:space="preserve"> au nom de l'Australie, du Canada et des </w:t>
      </w:r>
      <w:r w:rsidR="00614267" w:rsidRPr="00310B4D">
        <w:t>É</w:t>
      </w:r>
      <w:r w:rsidRPr="00310B4D">
        <w:t xml:space="preserve">tats-Unis </w:t>
      </w:r>
      <w:r w:rsidR="00C42BF9" w:rsidRPr="00310B4D">
        <w:t>(D</w:t>
      </w:r>
      <w:r w:rsidRPr="00310B4D">
        <w:t>ocument C23/66</w:t>
      </w:r>
      <w:r w:rsidR="00C42BF9" w:rsidRPr="00310B4D">
        <w:t>)</w:t>
      </w:r>
      <w:r w:rsidRPr="00310B4D">
        <w:t xml:space="preserve">, qui </w:t>
      </w:r>
      <w:r w:rsidR="00EC31C1" w:rsidRPr="00310B4D">
        <w:t>contient</w:t>
      </w:r>
      <w:r w:rsidRPr="00310B4D">
        <w:t xml:space="preserve"> un nouveau projet de mandat pour le Groupe </w:t>
      </w:r>
      <w:r w:rsidR="00EC31C1" w:rsidRPr="00310B4D">
        <w:t>EG-RTI, dans la droite ligne de la Résolution 146 (Rév.</w:t>
      </w:r>
      <w:r w:rsidR="00614267" w:rsidRPr="00310B4D">
        <w:t> </w:t>
      </w:r>
      <w:r w:rsidR="00EC31C1" w:rsidRPr="00310B4D">
        <w:t xml:space="preserve">Bucarest, 2022). </w:t>
      </w:r>
      <w:r w:rsidR="009B4431" w:rsidRPr="00310B4D">
        <w:t xml:space="preserve">Les intéressés </w:t>
      </w:r>
      <w:r w:rsidR="00EC31C1" w:rsidRPr="00310B4D">
        <w:t xml:space="preserve">préconisent un examen global du RTI, mais pas sa révision. </w:t>
      </w:r>
      <w:r w:rsidRPr="00310B4D">
        <w:t>L'objectif</w:t>
      </w:r>
      <w:r w:rsidR="00EC31C1" w:rsidRPr="00310B4D">
        <w:t xml:space="preserve">, à terme, est de </w:t>
      </w:r>
      <w:r w:rsidRPr="00310B4D">
        <w:t xml:space="preserve">produire une série de rapports </w:t>
      </w:r>
      <w:r w:rsidR="00EC31C1" w:rsidRPr="00310B4D">
        <w:t xml:space="preserve">d'activité </w:t>
      </w:r>
      <w:r w:rsidRPr="00310B4D">
        <w:t xml:space="preserve">au Conseil, </w:t>
      </w:r>
      <w:r w:rsidR="00EC31C1" w:rsidRPr="00310B4D">
        <w:t xml:space="preserve">ainsi qu'un rapport final </w:t>
      </w:r>
      <w:r w:rsidRPr="00310B4D">
        <w:t xml:space="preserve">à soumettre </w:t>
      </w:r>
      <w:r w:rsidR="009B4431" w:rsidRPr="00310B4D">
        <w:t xml:space="preserve">à ce dernier </w:t>
      </w:r>
      <w:r w:rsidR="00EC31C1" w:rsidRPr="00310B4D">
        <w:t>à sa session de 20</w:t>
      </w:r>
      <w:r w:rsidRPr="00310B4D">
        <w:t xml:space="preserve">26 et à la PP-26. </w:t>
      </w:r>
    </w:p>
    <w:p w14:paraId="25AF670C" w14:textId="1D683B5A" w:rsidR="00625A33" w:rsidRPr="00310B4D" w:rsidRDefault="00683EB5" w:rsidP="00F15C09">
      <w:r w:rsidRPr="00310B4D">
        <w:t>2.3</w:t>
      </w:r>
      <w:r w:rsidR="00614267" w:rsidRPr="00310B4D">
        <w:tab/>
      </w:r>
      <w:r w:rsidRPr="00310B4D">
        <w:t xml:space="preserve">Le conseiller de la République tchèque </w:t>
      </w:r>
      <w:r w:rsidR="00F15C09" w:rsidRPr="00310B4D">
        <w:t>présente</w:t>
      </w:r>
      <w:r w:rsidRPr="00310B4D">
        <w:t xml:space="preserve"> une contribution </w:t>
      </w:r>
      <w:r w:rsidR="00EC31C1" w:rsidRPr="00310B4D">
        <w:t xml:space="preserve">soumise par plusieurs pays dont sept </w:t>
      </w:r>
      <w:r w:rsidRPr="00310B4D">
        <w:t xml:space="preserve">États </w:t>
      </w:r>
      <w:r w:rsidR="00EC31C1" w:rsidRPr="00310B4D">
        <w:t>M</w:t>
      </w:r>
      <w:r w:rsidRPr="00310B4D">
        <w:t>embres</w:t>
      </w:r>
      <w:r w:rsidR="00EC31C1" w:rsidRPr="00310B4D">
        <w:t xml:space="preserve"> se sont portés coauteurs (D</w:t>
      </w:r>
      <w:r w:rsidRPr="00310B4D">
        <w:t>ocument C23/73</w:t>
      </w:r>
      <w:r w:rsidR="00EC31C1" w:rsidRPr="00310B4D">
        <w:t>)</w:t>
      </w:r>
      <w:r w:rsidRPr="00310B4D">
        <w:t>,</w:t>
      </w:r>
      <w:r w:rsidR="00EC31C1" w:rsidRPr="00310B4D">
        <w:t xml:space="preserve"> dans laquelle figure un </w:t>
      </w:r>
      <w:r w:rsidRPr="00310B4D">
        <w:t xml:space="preserve">projet </w:t>
      </w:r>
      <w:r w:rsidR="00EC31C1" w:rsidRPr="00310B4D">
        <w:t xml:space="preserve">de modification de la résolution du Conseil </w:t>
      </w:r>
      <w:r w:rsidRPr="00310B4D">
        <w:t xml:space="preserve">et un projet de mandat pour le </w:t>
      </w:r>
      <w:r w:rsidR="00EC31C1" w:rsidRPr="00310B4D">
        <w:t>Groupe EG</w:t>
      </w:r>
      <w:r w:rsidRPr="00310B4D">
        <w:t>-</w:t>
      </w:r>
      <w:r w:rsidR="00EC31C1" w:rsidRPr="00310B4D">
        <w:t>RTI</w:t>
      </w:r>
      <w:r w:rsidRPr="00310B4D">
        <w:t xml:space="preserve">, </w:t>
      </w:r>
      <w:r w:rsidR="00EC31C1" w:rsidRPr="00310B4D">
        <w:t>prévoyant</w:t>
      </w:r>
      <w:r w:rsidRPr="00310B4D">
        <w:t xml:space="preserve"> la présentation d'un rapport final pour examen par le Conseil et la Conférence de plénipotentiaires en 2026. </w:t>
      </w:r>
      <w:r w:rsidR="00EC31C1" w:rsidRPr="00310B4D">
        <w:t>La proposition prévoit la convocation du Groupe EG-RTI dès l</w:t>
      </w:r>
      <w:r w:rsidRPr="00310B4D">
        <w:t>'approbation d</w:t>
      </w:r>
      <w:r w:rsidR="00EC31C1" w:rsidRPr="00310B4D">
        <w:t xml:space="preserve">e son </w:t>
      </w:r>
      <w:r w:rsidRPr="00310B4D">
        <w:t xml:space="preserve">mandat, afin de </w:t>
      </w:r>
      <w:r w:rsidR="00EC31C1" w:rsidRPr="00310B4D">
        <w:t>ménager suffisamment de temps pour les travaux préparatoires et la résolution</w:t>
      </w:r>
      <w:r w:rsidRPr="00310B4D">
        <w:t xml:space="preserve"> d</w:t>
      </w:r>
      <w:r w:rsidR="00EC31C1" w:rsidRPr="00310B4D">
        <w:t xml:space="preserve">es </w:t>
      </w:r>
      <w:r w:rsidRPr="00310B4D">
        <w:t>éventuelles divergences de vues avant l</w:t>
      </w:r>
      <w:r w:rsidR="00EC31C1" w:rsidRPr="00310B4D">
        <w:t>a session de 20</w:t>
      </w:r>
      <w:r w:rsidRPr="00310B4D">
        <w:t>24</w:t>
      </w:r>
      <w:r w:rsidR="00EC31C1" w:rsidRPr="00310B4D">
        <w:t xml:space="preserve"> du Conseil</w:t>
      </w:r>
      <w:r w:rsidRPr="00310B4D">
        <w:t xml:space="preserve">. Des efforts doivent être faits pour éviter de consacrer de l'énergie et des ressources à </w:t>
      </w:r>
      <w:r w:rsidR="00EC31C1" w:rsidRPr="00310B4D">
        <w:t>cette question récurrente</w:t>
      </w:r>
      <w:r w:rsidRPr="00310B4D">
        <w:t xml:space="preserve">. </w:t>
      </w:r>
    </w:p>
    <w:p w14:paraId="5511085B" w14:textId="3DD08E50" w:rsidR="00625A33" w:rsidRPr="00310B4D" w:rsidRDefault="00683EB5" w:rsidP="00614267">
      <w:r w:rsidRPr="00310B4D">
        <w:lastRenderedPageBreak/>
        <w:t>2.4</w:t>
      </w:r>
      <w:r w:rsidR="00614267" w:rsidRPr="00310B4D">
        <w:tab/>
      </w:r>
      <w:r w:rsidRPr="00310B4D">
        <w:t xml:space="preserve">Le conseiller </w:t>
      </w:r>
      <w:r w:rsidR="00EC31C1" w:rsidRPr="00310B4D">
        <w:t>de la République sudafricaine</w:t>
      </w:r>
      <w:r w:rsidRPr="00310B4D">
        <w:t xml:space="preserve"> </w:t>
      </w:r>
      <w:r w:rsidR="00F15C09" w:rsidRPr="00310B4D">
        <w:t>présente</w:t>
      </w:r>
      <w:r w:rsidRPr="00310B4D">
        <w:t xml:space="preserve"> une contribution </w:t>
      </w:r>
      <w:r w:rsidR="003D56DB" w:rsidRPr="00310B4D">
        <w:t xml:space="preserve">soumise par plusieurs pays dont </w:t>
      </w:r>
      <w:r w:rsidRPr="00310B4D">
        <w:t>13</w:t>
      </w:r>
      <w:r w:rsidR="00EC31C1" w:rsidRPr="00310B4D">
        <w:t xml:space="preserve"> É</w:t>
      </w:r>
      <w:r w:rsidRPr="00310B4D">
        <w:t>tats Membres</w:t>
      </w:r>
      <w:r w:rsidR="003D56DB" w:rsidRPr="00310B4D">
        <w:t xml:space="preserve"> se sont portés coauteurs</w:t>
      </w:r>
      <w:r w:rsidRPr="00310B4D">
        <w:t>, figurant dans le Document</w:t>
      </w:r>
      <w:r w:rsidR="00A6552B" w:rsidRPr="00310B4D">
        <w:t> </w:t>
      </w:r>
      <w:r w:rsidRPr="00310B4D">
        <w:t xml:space="preserve">C23/77+Corr.1. </w:t>
      </w:r>
      <w:r w:rsidR="003D56DB" w:rsidRPr="00310B4D">
        <w:t>Dans la mesure où le RTI adopté</w:t>
      </w:r>
      <w:r w:rsidRPr="00310B4D">
        <w:t xml:space="preserve"> en 1988 et la version révisée de</w:t>
      </w:r>
      <w:r w:rsidR="00A6552B" w:rsidRPr="00310B4D">
        <w:t> </w:t>
      </w:r>
      <w:r w:rsidRPr="00310B4D">
        <w:t xml:space="preserve">2012 sont dépassés et qu'un nouvel </w:t>
      </w:r>
      <w:r w:rsidR="003D56DB" w:rsidRPr="00310B4D">
        <w:t xml:space="preserve">instrument </w:t>
      </w:r>
      <w:r w:rsidRPr="00310B4D">
        <w:t xml:space="preserve">est nécessaire, il est proposé que le </w:t>
      </w:r>
      <w:r w:rsidR="003D56DB" w:rsidRPr="00310B4D">
        <w:t>Groupe EG-RTI</w:t>
      </w:r>
      <w:r w:rsidRPr="00310B4D">
        <w:t xml:space="preserve"> analyse l'environnement actuel des télécommunications, en mettant l'accent sur les nouvelles tendances et les technologies émergentes, afin de définir des principes de haut niveau applicables aux </w:t>
      </w:r>
      <w:r w:rsidR="003D56DB" w:rsidRPr="00310B4D">
        <w:t>Me</w:t>
      </w:r>
      <w:r w:rsidRPr="00310B4D">
        <w:t xml:space="preserve">mbres de l'UIT et d'élaborer un nouveau projet de traité. Il faudrait veiller à ne créer qu'un seul groupe d'experts chargé de faire rapport à la Conférence de plénipotentiaires et à convenir d'un mandat qui permette au Conseil </w:t>
      </w:r>
      <w:r w:rsidR="003D56DB" w:rsidRPr="00310B4D">
        <w:t>d'aller de l'avant et de s'exprimer</w:t>
      </w:r>
      <w:r w:rsidRPr="00310B4D">
        <w:t xml:space="preserve"> d'une seule voix. </w:t>
      </w:r>
      <w:r w:rsidR="00A6552B" w:rsidRPr="00310B4D">
        <w:t>À</w:t>
      </w:r>
      <w:r w:rsidRPr="00310B4D">
        <w:t xml:space="preserve"> la PP-22, les </w:t>
      </w:r>
      <w:r w:rsidR="003D56DB" w:rsidRPr="00310B4D">
        <w:t>É</w:t>
      </w:r>
      <w:r w:rsidRPr="00310B4D">
        <w:t xml:space="preserve">tats Membres ont montré qu'ils étaient capables de trouver un terrain d'entente dans l'intérêt de l'Union et des personnes </w:t>
      </w:r>
      <w:r w:rsidR="003D56DB" w:rsidRPr="00310B4D">
        <w:t>qui bénéficient de ses travaux</w:t>
      </w:r>
      <w:r w:rsidRPr="00310B4D">
        <w:t xml:space="preserve">; </w:t>
      </w:r>
      <w:r w:rsidR="00041C99" w:rsidRPr="00310B4D">
        <w:t xml:space="preserve">il </w:t>
      </w:r>
      <w:r w:rsidR="003D56DB" w:rsidRPr="00310B4D">
        <w:t>est à espérer</w:t>
      </w:r>
      <w:r w:rsidRPr="00310B4D">
        <w:t xml:space="preserve"> que des progrès similaires seront accomplis dans le cas présent.</w:t>
      </w:r>
    </w:p>
    <w:p w14:paraId="097A7277" w14:textId="6AA6BF4B" w:rsidR="00625A33" w:rsidRPr="00310B4D" w:rsidRDefault="00683EB5" w:rsidP="00F15C09">
      <w:r w:rsidRPr="00310B4D">
        <w:t>2.5</w:t>
      </w:r>
      <w:r w:rsidR="00A6552B" w:rsidRPr="00310B4D">
        <w:tab/>
      </w:r>
      <w:r w:rsidRPr="00310B4D">
        <w:t xml:space="preserve">L'observateur de la Fédération de Russie </w:t>
      </w:r>
      <w:r w:rsidR="00F15C09" w:rsidRPr="00310B4D">
        <w:t>présente</w:t>
      </w:r>
      <w:r w:rsidRPr="00310B4D">
        <w:t xml:space="preserve"> une contribution </w:t>
      </w:r>
      <w:r w:rsidR="00A3727F" w:rsidRPr="00310B4D">
        <w:t>soumise par plusieurs pays dont</w:t>
      </w:r>
      <w:r w:rsidRPr="00310B4D">
        <w:t xml:space="preserve"> cinq </w:t>
      </w:r>
      <w:r w:rsidR="00A3727F" w:rsidRPr="00310B4D">
        <w:t>É</w:t>
      </w:r>
      <w:r w:rsidRPr="00310B4D">
        <w:t xml:space="preserve">tats </w:t>
      </w:r>
      <w:r w:rsidR="00A3727F" w:rsidRPr="00310B4D">
        <w:t>M</w:t>
      </w:r>
      <w:r w:rsidRPr="00310B4D">
        <w:t>embres</w:t>
      </w:r>
      <w:r w:rsidR="00A3727F" w:rsidRPr="00310B4D">
        <w:t xml:space="preserve"> se sont portés coauteurs (D</w:t>
      </w:r>
      <w:r w:rsidRPr="00310B4D">
        <w:t>ocuments</w:t>
      </w:r>
      <w:r w:rsidR="00A6552B" w:rsidRPr="00310B4D">
        <w:t> </w:t>
      </w:r>
      <w:r w:rsidRPr="00310B4D">
        <w:t>C23/88+Corr.1 et 2</w:t>
      </w:r>
      <w:r w:rsidR="00A3727F" w:rsidRPr="00310B4D">
        <w:t>)</w:t>
      </w:r>
      <w:r w:rsidRPr="00310B4D">
        <w:t xml:space="preserve">, </w:t>
      </w:r>
      <w:r w:rsidR="00A3727F" w:rsidRPr="00310B4D">
        <w:t>contenant</w:t>
      </w:r>
      <w:r w:rsidRPr="00310B4D">
        <w:t xml:space="preserve"> un projet de révision de la Résolution 1379 (C16, </w:t>
      </w:r>
      <w:r w:rsidR="00A3727F" w:rsidRPr="00310B4D">
        <w:t>dernière mod.</w:t>
      </w:r>
      <w:r w:rsidRPr="00310B4D">
        <w:t xml:space="preserve"> C19) </w:t>
      </w:r>
      <w:r w:rsidR="00A3727F" w:rsidRPr="00310B4D">
        <w:t>relative au Groupe EG-RTI</w:t>
      </w:r>
      <w:r w:rsidRPr="00310B4D">
        <w:t xml:space="preserve">. Cette proposition vise à moderniser et à rationaliser les méthodes de travail du groupe d'experts et à procéder à un examen approfondi </w:t>
      </w:r>
      <w:r w:rsidR="00A3727F" w:rsidRPr="00310B4D">
        <w:t>du RTI</w:t>
      </w:r>
      <w:r w:rsidRPr="00310B4D">
        <w:t xml:space="preserve">, </w:t>
      </w:r>
      <w:r w:rsidR="00A3727F" w:rsidRPr="00310B4D">
        <w:t>compte tenu</w:t>
      </w:r>
      <w:r w:rsidRPr="00310B4D">
        <w:t xml:space="preserve"> des résultats des deux précédents </w:t>
      </w:r>
      <w:r w:rsidR="00A3727F" w:rsidRPr="00310B4D">
        <w:t>Groupes EG</w:t>
      </w:r>
      <w:r w:rsidRPr="00310B4D">
        <w:t>-</w:t>
      </w:r>
      <w:r w:rsidR="00A3727F" w:rsidRPr="00310B4D">
        <w:t>RTI</w:t>
      </w:r>
      <w:r w:rsidRPr="00310B4D">
        <w:t xml:space="preserve"> et dans le but d'élaborer un texte unifié. </w:t>
      </w:r>
      <w:r w:rsidR="00310B4D" w:rsidRPr="00310B4D">
        <w:t>Étant</w:t>
      </w:r>
      <w:r w:rsidRPr="00310B4D">
        <w:t xml:space="preserve"> donné les divergences de vues </w:t>
      </w:r>
      <w:r w:rsidR="00A3727F" w:rsidRPr="00310B4D">
        <w:t>concernant</w:t>
      </w:r>
      <w:r w:rsidRPr="00310B4D">
        <w:t xml:space="preserve"> l'examen </w:t>
      </w:r>
      <w:r w:rsidR="00A3727F" w:rsidRPr="00310B4D">
        <w:t>du</w:t>
      </w:r>
      <w:r w:rsidRPr="00310B4D">
        <w:t xml:space="preserve"> RT</w:t>
      </w:r>
      <w:r w:rsidR="003D56DB" w:rsidRPr="00310B4D">
        <w:t>I</w:t>
      </w:r>
      <w:r w:rsidRPr="00310B4D">
        <w:t xml:space="preserve">, il est important que toute décision prise par le groupe d'experts le soit sur la base d'un consensus. </w:t>
      </w:r>
      <w:r w:rsidR="00A3727F" w:rsidRPr="00310B4D">
        <w:t>Les éventuelles</w:t>
      </w:r>
      <w:r w:rsidRPr="00310B4D">
        <w:t xml:space="preserve"> question</w:t>
      </w:r>
      <w:r w:rsidR="00A3727F" w:rsidRPr="00310B4D">
        <w:t>s</w:t>
      </w:r>
      <w:r w:rsidRPr="00310B4D">
        <w:t xml:space="preserve"> sur l</w:t>
      </w:r>
      <w:r w:rsidR="00A3727F" w:rsidRPr="00310B4D">
        <w:t>es</w:t>
      </w:r>
      <w:r w:rsidRPr="00310B4D">
        <w:t>quelle</w:t>
      </w:r>
      <w:r w:rsidR="00A3727F" w:rsidRPr="00310B4D">
        <w:t>s</w:t>
      </w:r>
      <w:r w:rsidRPr="00310B4D">
        <w:t xml:space="preserve"> le groupe d'experts ne </w:t>
      </w:r>
      <w:r w:rsidR="00A3727F" w:rsidRPr="00310B4D">
        <w:t xml:space="preserve">serait pas en mesure de parvenir à un accord devraient être soumises au </w:t>
      </w:r>
      <w:r w:rsidRPr="00310B4D">
        <w:t>Conseil pour avis.</w:t>
      </w:r>
    </w:p>
    <w:p w14:paraId="3985E5D2" w14:textId="60769E1D" w:rsidR="00625A33" w:rsidRPr="00310B4D" w:rsidRDefault="00683EB5" w:rsidP="00F15C09">
      <w:r w:rsidRPr="00310B4D">
        <w:t>2.6</w:t>
      </w:r>
      <w:r w:rsidR="00A6552B" w:rsidRPr="00310B4D">
        <w:tab/>
      </w:r>
      <w:r w:rsidRPr="00310B4D">
        <w:t xml:space="preserve">Certains conseillers </w:t>
      </w:r>
      <w:r w:rsidR="00F15C09" w:rsidRPr="00310B4D">
        <w:t>indiquent</w:t>
      </w:r>
      <w:r w:rsidRPr="00310B4D">
        <w:t xml:space="preserve"> que beaucoup de temps </w:t>
      </w:r>
      <w:r w:rsidR="00D37E62" w:rsidRPr="00310B4D">
        <w:t>a</w:t>
      </w:r>
      <w:r w:rsidRPr="00310B4D">
        <w:t xml:space="preserve"> déjà été consacré à l'examen d</w:t>
      </w:r>
      <w:r w:rsidR="00D37E62" w:rsidRPr="00310B4D">
        <w:t>u</w:t>
      </w:r>
      <w:r w:rsidRPr="00310B4D">
        <w:t xml:space="preserve"> R</w:t>
      </w:r>
      <w:r w:rsidR="00D37E62" w:rsidRPr="00310B4D">
        <w:t>TI</w:t>
      </w:r>
      <w:r w:rsidRPr="00310B4D">
        <w:t xml:space="preserve">. Ils </w:t>
      </w:r>
      <w:r w:rsidR="00F15C09" w:rsidRPr="00310B4D">
        <w:t>soulignent</w:t>
      </w:r>
      <w:r w:rsidRPr="00310B4D">
        <w:t xml:space="preserve"> la nécessité de rationaliser les travaux et d'éviter les doubles emplois en s'appuyant sur les efforts </w:t>
      </w:r>
      <w:r w:rsidR="00D37E62" w:rsidRPr="00310B4D">
        <w:t>déployés précédemment</w:t>
      </w:r>
      <w:r w:rsidRPr="00310B4D">
        <w:t xml:space="preserve">. </w:t>
      </w:r>
      <w:r w:rsidR="0004583F" w:rsidRPr="00310B4D">
        <w:t>Dans cet esprit</w:t>
      </w:r>
      <w:r w:rsidRPr="00310B4D">
        <w:t xml:space="preserve">, un conseiller </w:t>
      </w:r>
      <w:r w:rsidR="00D37E62" w:rsidRPr="00310B4D">
        <w:t>se dit favorable</w:t>
      </w:r>
      <w:r w:rsidRPr="00310B4D">
        <w:t xml:space="preserve"> à l'approche adoptée dans les </w:t>
      </w:r>
      <w:r w:rsidR="00A6552B" w:rsidRPr="00310B4D">
        <w:t>D</w:t>
      </w:r>
      <w:r w:rsidRPr="00310B4D">
        <w:t xml:space="preserve">ocuments C23/66 et C23/73, tandis que deux autres </w:t>
      </w:r>
      <w:r w:rsidR="007F6E04" w:rsidRPr="00310B4D">
        <w:t>expriment leur appui en faveur du</w:t>
      </w:r>
      <w:r w:rsidRPr="00310B4D">
        <w:t xml:space="preserve"> </w:t>
      </w:r>
      <w:r w:rsidR="00A6552B" w:rsidRPr="00310B4D">
        <w:t>D</w:t>
      </w:r>
      <w:r w:rsidRPr="00310B4D">
        <w:t>ocument C23/66</w:t>
      </w:r>
      <w:r w:rsidR="007F6E04" w:rsidRPr="00310B4D">
        <w:t>, a</w:t>
      </w:r>
      <w:r w:rsidRPr="00310B4D">
        <w:t xml:space="preserve">u motif qu'il </w:t>
      </w:r>
      <w:r w:rsidR="007F6E04" w:rsidRPr="00310B4D">
        <w:t>favoriserait</w:t>
      </w:r>
      <w:r w:rsidRPr="00310B4D">
        <w:t xml:space="preserve"> au mieux l</w:t>
      </w:r>
      <w:r w:rsidR="007F6E04" w:rsidRPr="00310B4D">
        <w:t>'obtention d'un</w:t>
      </w:r>
      <w:r w:rsidRPr="00310B4D">
        <w:t xml:space="preserve"> consensus sur les résultats escomptés.</w:t>
      </w:r>
    </w:p>
    <w:p w14:paraId="60CE71AB" w14:textId="5BC219B0" w:rsidR="00625A33" w:rsidRPr="00310B4D" w:rsidRDefault="00683EB5" w:rsidP="00F15C09">
      <w:r w:rsidRPr="00310B4D">
        <w:t>2.7</w:t>
      </w:r>
      <w:r w:rsidR="00A6552B" w:rsidRPr="00310B4D">
        <w:tab/>
      </w:r>
      <w:r w:rsidRPr="00310B4D">
        <w:t xml:space="preserve">Certains conseillers </w:t>
      </w:r>
      <w:r w:rsidR="00F15C09" w:rsidRPr="00310B4D">
        <w:t>soulignent</w:t>
      </w:r>
      <w:r w:rsidRPr="00310B4D">
        <w:t xml:space="preserve"> le rôle unique </w:t>
      </w:r>
      <w:r w:rsidR="007F6E04" w:rsidRPr="00310B4D">
        <w:t xml:space="preserve">que joue le RTI </w:t>
      </w:r>
      <w:r w:rsidRPr="00310B4D">
        <w:t xml:space="preserve">dans la promotion de la coopération internationale et de l'harmonisation mondiale des réseaux et des services, ainsi que </w:t>
      </w:r>
      <w:r w:rsidR="000D1C29" w:rsidRPr="00310B4D">
        <w:t>son</w:t>
      </w:r>
      <w:r w:rsidRPr="00310B4D">
        <w:t xml:space="preserve"> utilité pour les pays en développement. L</w:t>
      </w:r>
      <w:r w:rsidR="000D1C29" w:rsidRPr="00310B4D">
        <w:t>a version de</w:t>
      </w:r>
      <w:r w:rsidRPr="00310B4D">
        <w:t xml:space="preserve"> 1998 </w:t>
      </w:r>
      <w:r w:rsidR="000D1C29" w:rsidRPr="00310B4D">
        <w:t xml:space="preserve">du Règlement </w:t>
      </w:r>
      <w:r w:rsidRPr="00310B4D">
        <w:t xml:space="preserve">étant obsolète et </w:t>
      </w:r>
      <w:r w:rsidR="000D1C29" w:rsidRPr="00310B4D">
        <w:t>inapplicable</w:t>
      </w:r>
      <w:r w:rsidRPr="00310B4D">
        <w:t xml:space="preserve">, il conviendrait d'adopter une nouvelle approche pour </w:t>
      </w:r>
      <w:r w:rsidR="000D1C29" w:rsidRPr="00310B4D">
        <w:t>l'</w:t>
      </w:r>
      <w:r w:rsidRPr="00310B4D">
        <w:t>examen</w:t>
      </w:r>
      <w:r w:rsidR="000D1C29" w:rsidRPr="00310B4D">
        <w:t>, sans reprendre du début</w:t>
      </w:r>
      <w:r w:rsidRPr="00310B4D">
        <w:t xml:space="preserve"> </w:t>
      </w:r>
      <w:r w:rsidR="000D1C29" w:rsidRPr="00310B4D">
        <w:t xml:space="preserve">les </w:t>
      </w:r>
      <w:r w:rsidRPr="00310B4D">
        <w:t xml:space="preserve">discussions </w:t>
      </w:r>
      <w:r w:rsidR="000D1C29" w:rsidRPr="00310B4D">
        <w:t>menées par l</w:t>
      </w:r>
      <w:r w:rsidRPr="00310B4D">
        <w:t xml:space="preserve">es deux groupes d'experts précédents. Certains conseillers </w:t>
      </w:r>
      <w:r w:rsidR="000D1C29" w:rsidRPr="00310B4D">
        <w:t xml:space="preserve">conviennent </w:t>
      </w:r>
      <w:r w:rsidRPr="00310B4D">
        <w:t>que, compte tenu de l'évolution rapide des technologies, y compris l'intelligence artificielle, le RT</w:t>
      </w:r>
      <w:r w:rsidR="007F6E04" w:rsidRPr="00310B4D">
        <w:t>I</w:t>
      </w:r>
      <w:r w:rsidRPr="00310B4D">
        <w:t xml:space="preserve"> devr</w:t>
      </w:r>
      <w:r w:rsidR="000D1C29" w:rsidRPr="00310B4D">
        <w:t>ai</w:t>
      </w:r>
      <w:r w:rsidRPr="00310B4D">
        <w:t>t être modernisé</w:t>
      </w:r>
      <w:r w:rsidR="000D1C29" w:rsidRPr="00310B4D">
        <w:t xml:space="preserve"> </w:t>
      </w:r>
      <w:r w:rsidRPr="00310B4D">
        <w:t>et adapté</w:t>
      </w:r>
      <w:r w:rsidR="000D1C29" w:rsidRPr="00310B4D">
        <w:t xml:space="preserve"> </w:t>
      </w:r>
      <w:r w:rsidRPr="00310B4D">
        <w:t xml:space="preserve">pour permettre aux pays de </w:t>
      </w:r>
      <w:r w:rsidR="000D1C29" w:rsidRPr="00310B4D">
        <w:t>l'</w:t>
      </w:r>
      <w:r w:rsidRPr="00310B4D">
        <w:t xml:space="preserve">utiliser avec plus de souplesse; </w:t>
      </w:r>
      <w:r w:rsidR="0004583F" w:rsidRPr="00310B4D">
        <w:t>c</w:t>
      </w:r>
      <w:r w:rsidR="00C75EAE" w:rsidRPr="00310B4D">
        <w:t>'</w:t>
      </w:r>
      <w:r w:rsidR="0004583F" w:rsidRPr="00310B4D">
        <w:t>est à ce titre qu</w:t>
      </w:r>
      <w:r w:rsidR="00C75EAE" w:rsidRPr="00310B4D">
        <w:t>'</w:t>
      </w:r>
      <w:r w:rsidRPr="00310B4D">
        <w:t xml:space="preserve">ils </w:t>
      </w:r>
      <w:r w:rsidR="000D1C29" w:rsidRPr="00310B4D">
        <w:t xml:space="preserve">souscrivent au </w:t>
      </w:r>
      <w:r w:rsidR="007604A0" w:rsidRPr="00310B4D">
        <w:t>D</w:t>
      </w:r>
      <w:r w:rsidRPr="00310B4D">
        <w:t>ocument</w:t>
      </w:r>
      <w:r w:rsidR="007604A0" w:rsidRPr="00310B4D">
        <w:t> </w:t>
      </w:r>
      <w:r w:rsidRPr="00310B4D">
        <w:t>C23/77.</w:t>
      </w:r>
    </w:p>
    <w:p w14:paraId="6AEB98CA" w14:textId="3827C1E9" w:rsidR="00625A33" w:rsidRPr="00310B4D" w:rsidRDefault="00683EB5" w:rsidP="00F15C09">
      <w:r w:rsidRPr="00310B4D">
        <w:t>2.8</w:t>
      </w:r>
      <w:r w:rsidR="007604A0" w:rsidRPr="00310B4D">
        <w:tab/>
      </w:r>
      <w:r w:rsidRPr="00310B4D">
        <w:t>En l'absence de consensus, le Président propos</w:t>
      </w:r>
      <w:r w:rsidR="000D1C29" w:rsidRPr="00310B4D">
        <w:t>e</w:t>
      </w:r>
      <w:r w:rsidRPr="00310B4D">
        <w:t xml:space="preserve"> que des consultations informelles soient organisées, </w:t>
      </w:r>
      <w:r w:rsidR="000D1C29" w:rsidRPr="00310B4D">
        <w:t>sous la coordination du</w:t>
      </w:r>
      <w:r w:rsidRPr="00310B4D">
        <w:t xml:space="preserve"> conseiller des Bahamas, et que les résultats soient communiqués lors d'une prochaine réunion plénière. </w:t>
      </w:r>
    </w:p>
    <w:p w14:paraId="6B517E42" w14:textId="028740C0" w:rsidR="00625A33" w:rsidRPr="00310B4D" w:rsidRDefault="00683EB5" w:rsidP="00F15C09">
      <w:r w:rsidRPr="00310B4D">
        <w:t>2.9</w:t>
      </w:r>
      <w:r w:rsidR="007604A0" w:rsidRPr="00310B4D">
        <w:tab/>
      </w:r>
      <w:r w:rsidR="000D1C29" w:rsidRPr="00310B4D">
        <w:t xml:space="preserve">Il en est ainsi </w:t>
      </w:r>
      <w:r w:rsidR="000D1C29" w:rsidRPr="00310B4D">
        <w:rPr>
          <w:b/>
          <w:bCs/>
        </w:rPr>
        <w:t>décidé</w:t>
      </w:r>
      <w:r w:rsidRPr="00310B4D">
        <w:t>.</w:t>
      </w:r>
    </w:p>
    <w:p w14:paraId="02C6B00D" w14:textId="1AB8A7EA" w:rsidR="00625A33" w:rsidRPr="00310B4D" w:rsidRDefault="00683EB5" w:rsidP="00F15C09">
      <w:pPr>
        <w:pStyle w:val="Heading1"/>
        <w:rPr>
          <w:rFonts w:cstheme="minorHAnsi"/>
          <w:bCs/>
          <w:szCs w:val="24"/>
        </w:rPr>
      </w:pPr>
      <w:r w:rsidRPr="00310B4D">
        <w:lastRenderedPageBreak/>
        <w:t>3</w:t>
      </w:r>
      <w:r w:rsidR="007604A0" w:rsidRPr="00310B4D">
        <w:tab/>
      </w:r>
      <w:r w:rsidRPr="00310B4D">
        <w:t>Collaboration avec le système des Nations Unies et avec d'autres processus intergouvernementaux internationaux, y compris en ce qui concerne la normalisation</w:t>
      </w:r>
      <w:r w:rsidRPr="00310B4D">
        <w:rPr>
          <w:rFonts w:asciiTheme="minorHAnsi" w:hAnsiTheme="minorHAnsi" w:cstheme="minorHAnsi"/>
          <w:bCs/>
          <w:color w:val="000000"/>
          <w:szCs w:val="24"/>
        </w:rPr>
        <w:t xml:space="preserve"> </w:t>
      </w:r>
      <w:r w:rsidRPr="00310B4D">
        <w:rPr>
          <w:rFonts w:cstheme="minorHAnsi"/>
          <w:bCs/>
          <w:szCs w:val="24"/>
        </w:rPr>
        <w:t>(Documents</w:t>
      </w:r>
      <w:r w:rsidR="007604A0" w:rsidRPr="00310B4D">
        <w:rPr>
          <w:rFonts w:cstheme="minorHAnsi"/>
          <w:bCs/>
          <w:szCs w:val="24"/>
        </w:rPr>
        <w:t xml:space="preserve"> </w:t>
      </w:r>
      <w:hyperlink r:id="rId29" w:history="1">
        <w:r w:rsidRPr="00310B4D">
          <w:rPr>
            <w:rStyle w:val="Hyperlink"/>
            <w:rFonts w:cstheme="minorHAnsi"/>
            <w:bCs/>
            <w:szCs w:val="24"/>
          </w:rPr>
          <w:t>C23/49</w:t>
        </w:r>
      </w:hyperlink>
      <w:r w:rsidRPr="00310B4D">
        <w:rPr>
          <w:rFonts w:cstheme="minorHAnsi"/>
          <w:bCs/>
          <w:szCs w:val="24"/>
        </w:rPr>
        <w:t xml:space="preserve"> et </w:t>
      </w:r>
      <w:hyperlink r:id="rId30" w:history="1">
        <w:r w:rsidRPr="00310B4D">
          <w:rPr>
            <w:rStyle w:val="Hyperlink"/>
            <w:rFonts w:cstheme="minorHAnsi"/>
            <w:bCs/>
            <w:szCs w:val="24"/>
          </w:rPr>
          <w:t>C23/74+Corr.1</w:t>
        </w:r>
      </w:hyperlink>
      <w:r w:rsidRPr="00310B4D">
        <w:rPr>
          <w:rFonts w:cstheme="minorHAnsi"/>
          <w:bCs/>
          <w:szCs w:val="24"/>
        </w:rPr>
        <w:t>)</w:t>
      </w:r>
    </w:p>
    <w:p w14:paraId="7BF06CE7" w14:textId="34AE0D58" w:rsidR="00625A33" w:rsidRPr="00310B4D" w:rsidRDefault="00683EB5" w:rsidP="00F15C09">
      <w:r w:rsidRPr="00310B4D">
        <w:t>3.1</w:t>
      </w:r>
      <w:r w:rsidR="007604A0" w:rsidRPr="00310B4D">
        <w:tab/>
      </w:r>
      <w:r w:rsidRPr="00310B4D">
        <w:t xml:space="preserve">Un représentant du Secrétariat général </w:t>
      </w:r>
      <w:r w:rsidR="00F15C09" w:rsidRPr="00310B4D">
        <w:t>présente</w:t>
      </w:r>
      <w:r w:rsidRPr="00310B4D">
        <w:t xml:space="preserve"> le Document C23/49, qui expose les contributions récentes de l'UIT à diverses conférences</w:t>
      </w:r>
      <w:r w:rsidR="000D1C29" w:rsidRPr="00310B4D">
        <w:t xml:space="preserve"> et divers </w:t>
      </w:r>
      <w:r w:rsidRPr="00310B4D">
        <w:t xml:space="preserve">processus et </w:t>
      </w:r>
      <w:r w:rsidR="000D1C29" w:rsidRPr="00310B4D">
        <w:t>travaux</w:t>
      </w:r>
      <w:r w:rsidRPr="00310B4D">
        <w:t xml:space="preserve"> des Nations Unies sur </w:t>
      </w:r>
      <w:r w:rsidR="000D1C29" w:rsidRPr="00310B4D">
        <w:t>des</w:t>
      </w:r>
      <w:r w:rsidRPr="00310B4D">
        <w:t xml:space="preserve"> thèmes </w:t>
      </w:r>
      <w:r w:rsidR="000D1C29" w:rsidRPr="00310B4D">
        <w:t xml:space="preserve">liés au </w:t>
      </w:r>
      <w:r w:rsidRPr="00310B4D">
        <w:t xml:space="preserve">numérique. L'UIT a mis en évidence le rôle essentiel </w:t>
      </w:r>
      <w:r w:rsidR="000D1C29" w:rsidRPr="00310B4D">
        <w:t>que jouent les</w:t>
      </w:r>
      <w:r w:rsidRPr="00310B4D">
        <w:t xml:space="preserve"> TIC </w:t>
      </w:r>
      <w:r w:rsidR="000D1C29" w:rsidRPr="00310B4D">
        <w:t>pour favoriser le</w:t>
      </w:r>
      <w:r w:rsidRPr="00310B4D">
        <w:t xml:space="preserve"> développement durable </w:t>
      </w:r>
      <w:r w:rsidR="000A5918" w:rsidRPr="00310B4D">
        <w:t xml:space="preserve">et en même temps </w:t>
      </w:r>
      <w:r w:rsidR="000D1C29" w:rsidRPr="00310B4D">
        <w:t>limit</w:t>
      </w:r>
      <w:r w:rsidR="000A5918" w:rsidRPr="00310B4D">
        <w:t>er</w:t>
      </w:r>
      <w:r w:rsidR="000D1C29" w:rsidRPr="00310B4D">
        <w:t xml:space="preserve"> au maximum</w:t>
      </w:r>
      <w:r w:rsidRPr="00310B4D">
        <w:t xml:space="preserve"> les risques. Il </w:t>
      </w:r>
      <w:r w:rsidR="000D1C29" w:rsidRPr="00310B4D">
        <w:t xml:space="preserve">souligne qu'à ce jour, </w:t>
      </w:r>
      <w:r w:rsidRPr="00310B4D">
        <w:t xml:space="preserve">l'UIT </w:t>
      </w:r>
      <w:r w:rsidR="000D1C29" w:rsidRPr="00310B4D">
        <w:t>a</w:t>
      </w:r>
      <w:r w:rsidRPr="00310B4D">
        <w:t xml:space="preserve"> reçu l'équivalent de 30,6 milliards USD d</w:t>
      </w:r>
      <w:r w:rsidR="000D1C29" w:rsidRPr="00310B4D">
        <w:t>'engagements dans le cadre de la Coalition pour le</w:t>
      </w:r>
      <w:r w:rsidRPr="00310B4D">
        <w:t xml:space="preserve"> numérique Partner2Connect et qu'elle </w:t>
      </w:r>
      <w:r w:rsidR="000D1C29" w:rsidRPr="00310B4D">
        <w:t>espère</w:t>
      </w:r>
      <w:r w:rsidRPr="00310B4D">
        <w:t xml:space="preserve"> mobiliser </w:t>
      </w:r>
      <w:r w:rsidR="000D1C29" w:rsidRPr="00310B4D">
        <w:t xml:space="preserve">des engagements à hauteur de </w:t>
      </w:r>
      <w:r w:rsidRPr="00310B4D">
        <w:t>100 milliards USD d'ici à 2026.</w:t>
      </w:r>
    </w:p>
    <w:p w14:paraId="518ED40D" w14:textId="5F56FEB1" w:rsidR="00625A33" w:rsidRPr="00310B4D" w:rsidRDefault="00683EB5" w:rsidP="00F15C09">
      <w:r w:rsidRPr="00310B4D">
        <w:t>3.2</w:t>
      </w:r>
      <w:r w:rsidR="007604A0" w:rsidRPr="00310B4D">
        <w:tab/>
      </w:r>
      <w:r w:rsidRPr="00310B4D">
        <w:t xml:space="preserve">Un autre représentant du Secrétariat général </w:t>
      </w:r>
      <w:r w:rsidR="00C50526" w:rsidRPr="00310B4D">
        <w:t>donne</w:t>
      </w:r>
      <w:r w:rsidRPr="00310B4D">
        <w:t xml:space="preserve"> un aperçu des mesures prises pour promouvoir l'importance des droits de l'homme dans l'élaboration des normes depuis la publication du Document C23/49. Lors d'une récente réunion du Groupe consultatif de la normalisation des télécommunications, le Secrétariat général a communiqué des documents élaborés par le Haut</w:t>
      </w:r>
      <w:r w:rsidR="00C50526" w:rsidRPr="00310B4D">
        <w:t>-</w:t>
      </w:r>
      <w:r w:rsidRPr="00310B4D">
        <w:t xml:space="preserve">Commissariat des Nations Unies aux droits de l'homme (HCDH) et, au cours de la dernière session du Conseil des droits de l'homme, le HCDH </w:t>
      </w:r>
      <w:r w:rsidR="00981BD6" w:rsidRPr="00310B4D">
        <w:t>a présenté</w:t>
      </w:r>
      <w:r w:rsidRPr="00310B4D">
        <w:t xml:space="preserve"> un exposé sur les mesures prises au sein de l'UIT pour </w:t>
      </w:r>
      <w:r w:rsidR="00981BD6" w:rsidRPr="00310B4D">
        <w:t>se mettre en conformité avec</w:t>
      </w:r>
      <w:r w:rsidRPr="00310B4D">
        <w:t xml:space="preserve"> la Résolution</w:t>
      </w:r>
      <w:r w:rsidR="007604A0" w:rsidRPr="00310B4D">
        <w:t> </w:t>
      </w:r>
      <w:r w:rsidRPr="00310B4D">
        <w:t>47/23 du Conseil des droits de l'homme. L'UIT a adopté une approche multi</w:t>
      </w:r>
      <w:r w:rsidR="007604A0" w:rsidRPr="00310B4D">
        <w:noBreakHyphen/>
      </w:r>
      <w:r w:rsidRPr="00310B4D">
        <w:t>parti</w:t>
      </w:r>
      <w:r w:rsidR="00981BD6" w:rsidRPr="00310B4D">
        <w:t>es prenantes de la normalisation</w:t>
      </w:r>
      <w:r w:rsidRPr="00310B4D">
        <w:t xml:space="preserve">, </w:t>
      </w:r>
      <w:r w:rsidR="00981BD6" w:rsidRPr="00310B4D">
        <w:t>dont</w:t>
      </w:r>
      <w:r w:rsidRPr="00310B4D">
        <w:t xml:space="preserve"> la participation </w:t>
      </w:r>
      <w:r w:rsidR="00981BD6" w:rsidRPr="00310B4D">
        <w:t xml:space="preserve">est ouverte aux </w:t>
      </w:r>
      <w:r w:rsidRPr="00310B4D">
        <w:t xml:space="preserve">représentants des </w:t>
      </w:r>
      <w:r w:rsidR="00981BD6" w:rsidRPr="00310B4D">
        <w:t>pouvoirs publics</w:t>
      </w:r>
      <w:r w:rsidRPr="00310B4D">
        <w:t xml:space="preserve">, du secteur privé, des </w:t>
      </w:r>
      <w:r w:rsidR="00981BD6" w:rsidRPr="00310B4D">
        <w:t>établissements universitaires</w:t>
      </w:r>
      <w:r w:rsidRPr="00310B4D">
        <w:t xml:space="preserve"> et de la société civile, ainsi qu</w:t>
      </w:r>
      <w:r w:rsidR="00981BD6" w:rsidRPr="00310B4D">
        <w:t xml:space="preserve">'aux </w:t>
      </w:r>
      <w:r w:rsidRPr="00310B4D">
        <w:t xml:space="preserve">experts invités par </w:t>
      </w:r>
      <w:r w:rsidR="00310B4D" w:rsidRPr="00310B4D">
        <w:t>les</w:t>
      </w:r>
      <w:r w:rsidRPr="00310B4D">
        <w:t xml:space="preserve"> </w:t>
      </w:r>
      <w:r w:rsidR="00981BD6" w:rsidRPr="00310B4D">
        <w:t>É</w:t>
      </w:r>
      <w:r w:rsidRPr="00310B4D">
        <w:t>tats Membres et les commissions d'études de l'UIT.</w:t>
      </w:r>
    </w:p>
    <w:p w14:paraId="6F69D38E" w14:textId="7C671C3B" w:rsidR="00625A33" w:rsidRPr="00310B4D" w:rsidRDefault="00683EB5" w:rsidP="00F15C09">
      <w:r w:rsidRPr="00310B4D">
        <w:t>3.3</w:t>
      </w:r>
      <w:r w:rsidR="007604A0" w:rsidRPr="00310B4D">
        <w:tab/>
      </w:r>
      <w:r w:rsidRPr="00310B4D">
        <w:t>Le conseiller de la République tchèque</w:t>
      </w:r>
      <w:r w:rsidR="000C3531" w:rsidRPr="00310B4D">
        <w:t xml:space="preserve"> </w:t>
      </w:r>
      <w:r w:rsidR="00F15C09" w:rsidRPr="00310B4D">
        <w:t>présente</w:t>
      </w:r>
      <w:r w:rsidRPr="00310B4D">
        <w:t xml:space="preserve"> le </w:t>
      </w:r>
      <w:r w:rsidR="007604A0" w:rsidRPr="00310B4D">
        <w:t>D</w:t>
      </w:r>
      <w:r w:rsidRPr="00310B4D">
        <w:t>ocument C23/74+Corr.1</w:t>
      </w:r>
      <w:r w:rsidR="000C3531" w:rsidRPr="00310B4D">
        <w:t xml:space="preserve"> au nom de 43 États Membres. Ce document</w:t>
      </w:r>
      <w:r w:rsidRPr="00310B4D">
        <w:t xml:space="preserve"> contient une contribution </w:t>
      </w:r>
      <w:r w:rsidR="000C3531" w:rsidRPr="00310B4D">
        <w:t xml:space="preserve">soumise par plusieurs pays, </w:t>
      </w:r>
      <w:r w:rsidRPr="00310B4D">
        <w:t xml:space="preserve">dans laquelle l'UIT est encouragée à </w:t>
      </w:r>
      <w:r w:rsidR="000C3531" w:rsidRPr="00310B4D">
        <w:t>élaborer</w:t>
      </w:r>
      <w:r w:rsidRPr="00310B4D">
        <w:t xml:space="preserve"> des méthodes de travail pour s'assurer que les considérations relatives aux droits de l'homme sont prises en compte </w:t>
      </w:r>
      <w:r w:rsidR="000C3531" w:rsidRPr="00310B4D">
        <w:t>dans le cadre des activités de normalisation et d'</w:t>
      </w:r>
      <w:r w:rsidRPr="00310B4D">
        <w:t xml:space="preserve">élaboration des politiques sur les questions </w:t>
      </w:r>
      <w:r w:rsidR="000C3531" w:rsidRPr="00310B4D">
        <w:t>relatives au n</w:t>
      </w:r>
      <w:r w:rsidRPr="00310B4D">
        <w:t>umérique.</w:t>
      </w:r>
    </w:p>
    <w:p w14:paraId="49E5F0D0" w14:textId="59ABF96B" w:rsidR="00625A33" w:rsidRPr="00310B4D" w:rsidRDefault="00683EB5" w:rsidP="00F15C09">
      <w:r w:rsidRPr="00310B4D">
        <w:t>3.4</w:t>
      </w:r>
      <w:r w:rsidR="007604A0" w:rsidRPr="00310B4D">
        <w:tab/>
      </w:r>
      <w:r w:rsidRPr="00310B4D">
        <w:t xml:space="preserve">Le conseiller du Japon </w:t>
      </w:r>
      <w:r w:rsidR="00F15C09" w:rsidRPr="00310B4D">
        <w:t>présente</w:t>
      </w:r>
      <w:r w:rsidRPr="00310B4D">
        <w:t xml:space="preserve"> un résumé de la réunion des </w:t>
      </w:r>
      <w:r w:rsidR="000C3531" w:rsidRPr="00310B4D">
        <w:t>M</w:t>
      </w:r>
      <w:r w:rsidRPr="00310B4D">
        <w:t xml:space="preserve">inistres du numérique et de la technologie du Groupe des Sept qui s'est tenue à Takasaki en avril 2023. La réunion s'est conclue par une déclaration ministérielle sur les questions relatives à l'économie numérique, notamment le développement d'une infrastructure numérique sûre et résiliente et la promotion d'un Internet libre et ouvert, </w:t>
      </w:r>
      <w:r w:rsidR="00C77EE7" w:rsidRPr="00310B4D">
        <w:t xml:space="preserve">déclaration </w:t>
      </w:r>
      <w:r w:rsidRPr="00310B4D">
        <w:t xml:space="preserve">dans laquelle les États participants ont reconnu la nécessité de collaborer avec des entités </w:t>
      </w:r>
      <w:r w:rsidR="00A833C6" w:rsidRPr="00310B4D">
        <w:t xml:space="preserve">du secteur </w:t>
      </w:r>
      <w:r w:rsidRPr="00310B4D">
        <w:t>privé</w:t>
      </w:r>
      <w:r w:rsidR="00A833C6" w:rsidRPr="00310B4D">
        <w:t xml:space="preserve"> </w:t>
      </w:r>
      <w:r w:rsidRPr="00310B4D">
        <w:t xml:space="preserve">et des organisations internationales, y compris l'UIT, pour soutenir les pays en développement. </w:t>
      </w:r>
    </w:p>
    <w:p w14:paraId="155429B7" w14:textId="00103B5C" w:rsidR="00625A33" w:rsidRPr="00310B4D" w:rsidRDefault="00683EB5" w:rsidP="00F15C09">
      <w:r w:rsidRPr="00310B4D">
        <w:t>3.5</w:t>
      </w:r>
      <w:r w:rsidR="007604A0" w:rsidRPr="00310B4D">
        <w:tab/>
      </w:r>
      <w:r w:rsidRPr="00310B4D">
        <w:t xml:space="preserve">Le conseiller de l'Inde </w:t>
      </w:r>
      <w:r w:rsidR="00F15C09" w:rsidRPr="00310B4D">
        <w:t>présente</w:t>
      </w:r>
      <w:r w:rsidRPr="00310B4D">
        <w:t xml:space="preserve"> </w:t>
      </w:r>
      <w:r w:rsidR="00A947CE" w:rsidRPr="00310B4D">
        <w:t>des informations mises</w:t>
      </w:r>
      <w:r w:rsidRPr="00310B4D">
        <w:t xml:space="preserve"> à jour </w:t>
      </w:r>
      <w:r w:rsidR="00A947CE" w:rsidRPr="00310B4D">
        <w:t>sur le</w:t>
      </w:r>
      <w:r w:rsidRPr="00310B4D">
        <w:t>s discussions</w:t>
      </w:r>
      <w:r w:rsidR="00A947CE" w:rsidRPr="00310B4D">
        <w:t xml:space="preserve"> qui se sont tenues</w:t>
      </w:r>
      <w:r w:rsidRPr="00310B4D">
        <w:t xml:space="preserve"> au sein du Groupe des 20 sous la présidence de son pays. L</w:t>
      </w:r>
      <w:r w:rsidR="00A947CE" w:rsidRPr="00310B4D">
        <w:t>es</w:t>
      </w:r>
      <w:r w:rsidRPr="00310B4D">
        <w:t xml:space="preserve"> technologie</w:t>
      </w:r>
      <w:r w:rsidR="00A947CE" w:rsidRPr="00310B4D">
        <w:t>s</w:t>
      </w:r>
      <w:r w:rsidRPr="00310B4D">
        <w:t xml:space="preserve"> numérique</w:t>
      </w:r>
      <w:r w:rsidR="00A947CE" w:rsidRPr="00310B4D">
        <w:t>s ont constitué</w:t>
      </w:r>
      <w:r w:rsidRPr="00310B4D">
        <w:t xml:space="preserve"> un thème transversal des discussions; l'UIT a </w:t>
      </w:r>
      <w:r w:rsidR="00A947CE" w:rsidRPr="00310B4D">
        <w:t>fourni</w:t>
      </w:r>
      <w:r w:rsidRPr="00310B4D">
        <w:t xml:space="preserve"> des contributions en participant à des réunions de haut niveau et en jouant le rôle de partenaire international </w:t>
      </w:r>
      <w:r w:rsidR="00A947CE" w:rsidRPr="00310B4D">
        <w:t>pour le partage de connaissance auprès</w:t>
      </w:r>
      <w:r w:rsidRPr="00310B4D">
        <w:t xml:space="preserve"> de nombreux groupes de travail. </w:t>
      </w:r>
      <w:r w:rsidR="00A947CE" w:rsidRPr="00310B4D">
        <w:t xml:space="preserve">Dans le cadre de sa </w:t>
      </w:r>
      <w:r w:rsidRPr="00310B4D">
        <w:t>présidence</w:t>
      </w:r>
      <w:r w:rsidR="00A947CE" w:rsidRPr="00310B4D">
        <w:t>, l'Inde œuvre à</w:t>
      </w:r>
      <w:r w:rsidRPr="00310B4D">
        <w:t xml:space="preserve"> assurer le succès du Groupe de travail sur l'économie numérique, qui a été chargé de tirer parti des discussions antérieures sur la sécurité et les compétences numériques et d'examiner le nouveau thème de l'infrastructure publique numérique, en s'attachant à répondre aux besoins de chaque </w:t>
      </w:r>
      <w:r w:rsidR="007604A0" w:rsidRPr="00310B4D">
        <w:t>É</w:t>
      </w:r>
      <w:r w:rsidRPr="00310B4D">
        <w:t xml:space="preserve">tat et à mettre au point des mécanismes de financement pour aider les pays à revenu faible et intermédiaire. </w:t>
      </w:r>
      <w:r w:rsidRPr="00310B4D">
        <w:lastRenderedPageBreak/>
        <w:t xml:space="preserve">Un kit </w:t>
      </w:r>
      <w:r w:rsidR="00A947CE" w:rsidRPr="00310B4D">
        <w:t xml:space="preserve">pratique de sensibilisation à la cybersécurité destiné aux </w:t>
      </w:r>
      <w:r w:rsidRPr="00310B4D">
        <w:t xml:space="preserve">enfants et </w:t>
      </w:r>
      <w:r w:rsidR="00A947CE" w:rsidRPr="00310B4D">
        <w:t xml:space="preserve">aux </w:t>
      </w:r>
      <w:r w:rsidRPr="00310B4D">
        <w:t>jeunes et un recueil de stratégies d'amélioration des compétences numériques et de reconversion sont également en cours d'élaboration.</w:t>
      </w:r>
    </w:p>
    <w:p w14:paraId="58D11643" w14:textId="6C9E0997" w:rsidR="00625A33" w:rsidRPr="00310B4D" w:rsidRDefault="00683EB5" w:rsidP="00F15C09">
      <w:r w:rsidRPr="00310B4D">
        <w:t>3.6</w:t>
      </w:r>
      <w:r w:rsidR="007604A0" w:rsidRPr="00310B4D">
        <w:tab/>
      </w:r>
      <w:r w:rsidRPr="00310B4D">
        <w:t xml:space="preserve">Plusieurs conseillers </w:t>
      </w:r>
      <w:r w:rsidR="00B957D9" w:rsidRPr="00310B4D">
        <w:t>félicitent</w:t>
      </w:r>
      <w:r w:rsidRPr="00310B4D">
        <w:t xml:space="preserve"> l'UIT pour sa collaboration avec le système des Nations Unies et d'autres processus intergouvernementaux et </w:t>
      </w:r>
      <w:r w:rsidR="00B957D9" w:rsidRPr="00310B4D">
        <w:t>l'encouragent,</w:t>
      </w:r>
      <w:r w:rsidRPr="00310B4D">
        <w:t xml:space="preserve"> en tant qu'institution spécialisée </w:t>
      </w:r>
      <w:r w:rsidR="00B957D9" w:rsidRPr="00310B4D">
        <w:t>pour les</w:t>
      </w:r>
      <w:r w:rsidRPr="00310B4D">
        <w:t xml:space="preserve"> TIC, à jouer un rôle plus important à cet égard.</w:t>
      </w:r>
    </w:p>
    <w:p w14:paraId="684FFECD" w14:textId="6CF79356" w:rsidR="00625A33" w:rsidRPr="00310B4D" w:rsidRDefault="00683EB5" w:rsidP="00F15C09">
      <w:r w:rsidRPr="00310B4D">
        <w:t>3.7</w:t>
      </w:r>
      <w:r w:rsidR="007604A0" w:rsidRPr="00310B4D">
        <w:tab/>
      </w:r>
      <w:r w:rsidRPr="00310B4D">
        <w:t xml:space="preserve">Un conseiller </w:t>
      </w:r>
      <w:r w:rsidR="00B957D9" w:rsidRPr="00310B4D">
        <w:t>encourage</w:t>
      </w:r>
      <w:r w:rsidRPr="00310B4D">
        <w:t xml:space="preserve"> l'UIT à continuer d'appuyer les activités en faveur des pays en développement sans littoral (PDSL). </w:t>
      </w:r>
      <w:r w:rsidR="00B957D9" w:rsidRPr="00310B4D">
        <w:t>En juillet 2023, l</w:t>
      </w:r>
      <w:r w:rsidRPr="00310B4D">
        <w:t xml:space="preserve">e Paraguay accueillera la Réunion régionale latino-américaine de haut niveau chargée de réviser le Programme d'action de Vienne pour les PDSL, dont les résultats alimenteront les préparatifs de la troisième Conférence des Nations Unies sur </w:t>
      </w:r>
      <w:r w:rsidR="00C77EE7" w:rsidRPr="00310B4D">
        <w:t>ces pays</w:t>
      </w:r>
      <w:r w:rsidRPr="00310B4D">
        <w:t>.</w:t>
      </w:r>
    </w:p>
    <w:p w14:paraId="5FEEDEFB" w14:textId="4E742556" w:rsidR="00625A33" w:rsidRPr="00310B4D" w:rsidRDefault="00683EB5" w:rsidP="00F15C09">
      <w:r w:rsidRPr="00310B4D">
        <w:t>3.8</w:t>
      </w:r>
      <w:r w:rsidR="007604A0" w:rsidRPr="00310B4D">
        <w:tab/>
      </w:r>
      <w:r w:rsidRPr="00310B4D">
        <w:t>Un</w:t>
      </w:r>
      <w:r w:rsidR="00202152" w:rsidRPr="00310B4D">
        <w:t>e</w:t>
      </w:r>
      <w:r w:rsidRPr="00310B4D">
        <w:t xml:space="preserve"> conseill</w:t>
      </w:r>
      <w:r w:rsidR="00202152" w:rsidRPr="00310B4D">
        <w:t>ère</w:t>
      </w:r>
      <w:r w:rsidRPr="00310B4D">
        <w:t xml:space="preserve"> </w:t>
      </w:r>
      <w:r w:rsidR="007C7528" w:rsidRPr="00310B4D">
        <w:t>souligne</w:t>
      </w:r>
      <w:r w:rsidRPr="00310B4D">
        <w:t xml:space="preserve"> que, </w:t>
      </w:r>
      <w:r w:rsidR="007C7528" w:rsidRPr="00310B4D">
        <w:t xml:space="preserve">dans la mesure où </w:t>
      </w:r>
      <w:r w:rsidRPr="00310B4D">
        <w:t xml:space="preserve">les TIC </w:t>
      </w:r>
      <w:r w:rsidR="007C7528" w:rsidRPr="00310B4D">
        <w:t xml:space="preserve">jouent un rôle </w:t>
      </w:r>
      <w:r w:rsidRPr="00310B4D">
        <w:t>essentiel</w:t>
      </w:r>
      <w:r w:rsidR="007C7528" w:rsidRPr="00310B4D">
        <w:t xml:space="preserve"> au service du </w:t>
      </w:r>
      <w:r w:rsidRPr="00310B4D">
        <w:t xml:space="preserve">développement, la fracture numérique </w:t>
      </w:r>
      <w:r w:rsidR="007C7528" w:rsidRPr="00310B4D">
        <w:t>demeure</w:t>
      </w:r>
      <w:r w:rsidRPr="00310B4D">
        <w:t xml:space="preserve"> un obstacle majeur à la réalisation des Objectifs de développement durable (ODD). Des mesures doivent donc être prises pour surmonter les</w:t>
      </w:r>
      <w:r w:rsidR="007C7528" w:rsidRPr="00310B4D">
        <w:t xml:space="preserve"> difficultés qui font</w:t>
      </w:r>
      <w:r w:rsidRPr="00310B4D">
        <w:t xml:space="preserve"> obstacle</w:t>
      </w:r>
      <w:r w:rsidR="007C7528" w:rsidRPr="00310B4D">
        <w:t xml:space="preserve"> </w:t>
      </w:r>
      <w:r w:rsidRPr="00310B4D">
        <w:t xml:space="preserve">au développement des TIC et faire en sorte que </w:t>
      </w:r>
      <w:r w:rsidR="009378F5" w:rsidRPr="00310B4D">
        <w:t xml:space="preserve">ces technologies </w:t>
      </w:r>
      <w:r w:rsidRPr="00310B4D">
        <w:t>soient utilisées au service du développement humain pour tous. Un autre conseiller soulign</w:t>
      </w:r>
      <w:r w:rsidR="007C7528" w:rsidRPr="00310B4D">
        <w:t>e</w:t>
      </w:r>
      <w:r w:rsidRPr="00310B4D">
        <w:t xml:space="preserve"> que l'UIT devait soutenir les efforts déployés par les </w:t>
      </w:r>
      <w:r w:rsidR="007C7528" w:rsidRPr="00310B4D">
        <w:t>É</w:t>
      </w:r>
      <w:r w:rsidRPr="00310B4D">
        <w:t xml:space="preserve">tats pour exploiter pleinement le potentiel </w:t>
      </w:r>
      <w:r w:rsidR="00A8677E" w:rsidRPr="00310B4D">
        <w:t xml:space="preserve">offert par l'intelligence artificielle </w:t>
      </w:r>
      <w:r w:rsidRPr="00310B4D">
        <w:t xml:space="preserve">dans leur </w:t>
      </w:r>
      <w:r w:rsidR="00FD3324" w:rsidRPr="00310B4D">
        <w:t>volonté de</w:t>
      </w:r>
      <w:r w:rsidR="00A8677E" w:rsidRPr="00310B4D">
        <w:t xml:space="preserve"> parvenir à </w:t>
      </w:r>
      <w:r w:rsidRPr="00310B4D">
        <w:t>une connectivité universelle. En outre,</w:t>
      </w:r>
      <w:r w:rsidR="00A8677E" w:rsidRPr="00310B4D">
        <w:t xml:space="preserve"> dans la mesure où</w:t>
      </w:r>
      <w:r w:rsidRPr="00310B4D">
        <w:t xml:space="preserve"> les technologies émergentes </w:t>
      </w:r>
      <w:r w:rsidR="00A8677E" w:rsidRPr="00310B4D">
        <w:t>ont des retombées qui vont au-del</w:t>
      </w:r>
      <w:r w:rsidRPr="00310B4D">
        <w:t xml:space="preserve">à des droits de l'homme et dans des domaines tels que l'emploi et la cybersécurité, il serait peu judicieux de se concentrer uniquement sur les droits de l'homme. Un autre conseiller </w:t>
      </w:r>
      <w:r w:rsidR="00A8677E" w:rsidRPr="00310B4D">
        <w:t xml:space="preserve">met </w:t>
      </w:r>
      <w:r w:rsidRPr="00310B4D">
        <w:t xml:space="preserve">en garde contre </w:t>
      </w:r>
      <w:r w:rsidR="00A8677E" w:rsidRPr="00310B4D">
        <w:t xml:space="preserve">tout </w:t>
      </w:r>
      <w:r w:rsidRPr="00310B4D">
        <w:t>changement</w:t>
      </w:r>
      <w:r w:rsidR="00A8677E" w:rsidRPr="00310B4D">
        <w:t xml:space="preserve"> </w:t>
      </w:r>
      <w:r w:rsidRPr="00310B4D">
        <w:t xml:space="preserve">qui </w:t>
      </w:r>
      <w:r w:rsidR="00A8677E" w:rsidRPr="00310B4D">
        <w:t xml:space="preserve">aurait une incidence sur </w:t>
      </w:r>
      <w:r w:rsidRPr="00310B4D">
        <w:t>les processus et les structures de normalisation existants.</w:t>
      </w:r>
    </w:p>
    <w:p w14:paraId="69ED1B39" w14:textId="2B07893A" w:rsidR="00625A33" w:rsidRPr="00310B4D" w:rsidRDefault="00683EB5" w:rsidP="00F15C09">
      <w:r w:rsidRPr="00310B4D">
        <w:t>3.9</w:t>
      </w:r>
      <w:r w:rsidR="007604A0" w:rsidRPr="00310B4D">
        <w:tab/>
      </w:r>
      <w:r w:rsidRPr="00310B4D">
        <w:t xml:space="preserve">Un conseiller </w:t>
      </w:r>
      <w:r w:rsidR="00A8677E" w:rsidRPr="00310B4D">
        <w:t>se dit favorable</w:t>
      </w:r>
      <w:r w:rsidRPr="00310B4D">
        <w:t xml:space="preserve"> à la proposition contenue dans le </w:t>
      </w:r>
      <w:r w:rsidR="007604A0" w:rsidRPr="00310B4D">
        <w:t>D</w:t>
      </w:r>
      <w:r w:rsidRPr="00310B4D">
        <w:t>ocument C23/74 et soulign</w:t>
      </w:r>
      <w:r w:rsidR="00A8677E" w:rsidRPr="00310B4D">
        <w:t>e</w:t>
      </w:r>
      <w:r w:rsidRPr="00310B4D">
        <w:t xml:space="preserve"> la nécessité d</w:t>
      </w:r>
      <w:r w:rsidR="00A8677E" w:rsidRPr="00310B4D">
        <w:t xml:space="preserve">e disposer de </w:t>
      </w:r>
      <w:r w:rsidRPr="00310B4D">
        <w:t>politique</w:t>
      </w:r>
      <w:r w:rsidR="00A8677E" w:rsidRPr="00310B4D">
        <w:t>s mondiales</w:t>
      </w:r>
      <w:r w:rsidRPr="00310B4D">
        <w:t xml:space="preserve"> éthique</w:t>
      </w:r>
      <w:r w:rsidR="00A8677E" w:rsidRPr="00310B4D">
        <w:t xml:space="preserve">s dans le domaine des </w:t>
      </w:r>
      <w:r w:rsidRPr="00310B4D">
        <w:t>technologies numériques émergentes</w:t>
      </w:r>
      <w:r w:rsidR="00A8677E" w:rsidRPr="00310B4D">
        <w:t xml:space="preserve">, </w:t>
      </w:r>
      <w:r w:rsidRPr="00310B4D">
        <w:t>afin de garantir un développement durable</w:t>
      </w:r>
      <w:r w:rsidR="00FD3324" w:rsidRPr="00310B4D">
        <w:t>,</w:t>
      </w:r>
      <w:r w:rsidRPr="00310B4D">
        <w:t xml:space="preserve"> </w:t>
      </w:r>
      <w:r w:rsidR="00FD3324" w:rsidRPr="00310B4D">
        <w:t>dans le respect des</w:t>
      </w:r>
      <w:r w:rsidRPr="00310B4D">
        <w:t xml:space="preserve"> droits de l'homme. Un</w:t>
      </w:r>
      <w:r w:rsidR="00202152" w:rsidRPr="00310B4D">
        <w:t>e</w:t>
      </w:r>
      <w:r w:rsidRPr="00310B4D">
        <w:t xml:space="preserve"> autre conseill</w:t>
      </w:r>
      <w:r w:rsidR="00202152" w:rsidRPr="00310B4D">
        <w:t>ère</w:t>
      </w:r>
      <w:r w:rsidRPr="00310B4D">
        <w:t xml:space="preserve"> </w:t>
      </w:r>
      <w:r w:rsidR="00A8677E" w:rsidRPr="00310B4D">
        <w:t xml:space="preserve">souligne que l'adoption d'une </w:t>
      </w:r>
      <w:r w:rsidRPr="00310B4D">
        <w:t>approche fondée sur l</w:t>
      </w:r>
      <w:r w:rsidR="00FD3324" w:rsidRPr="00310B4D">
        <w:t>e respect d</w:t>
      </w:r>
      <w:r w:rsidRPr="00310B4D">
        <w:t xml:space="preserve">es droits de l'homme </w:t>
      </w:r>
      <w:r w:rsidR="00A8677E" w:rsidRPr="00310B4D">
        <w:t xml:space="preserve">en matière de normalisation n'est </w:t>
      </w:r>
      <w:r w:rsidRPr="00310B4D">
        <w:t xml:space="preserve">pas incompatible avec les efforts déployés pour parvenir à une connectivité universelle et réduire la fracture numérique. </w:t>
      </w:r>
    </w:p>
    <w:p w14:paraId="483A43F5" w14:textId="34A28E69" w:rsidR="00625A33" w:rsidRPr="00310B4D" w:rsidRDefault="00683EB5" w:rsidP="00F15C09">
      <w:r w:rsidRPr="00310B4D">
        <w:t>3.10</w:t>
      </w:r>
      <w:r w:rsidR="007604A0" w:rsidRPr="00310B4D">
        <w:tab/>
      </w:r>
      <w:r w:rsidRPr="00310B4D">
        <w:t xml:space="preserve">Le conseiller des Émirats arabes unis </w:t>
      </w:r>
      <w:r w:rsidR="00A8677E" w:rsidRPr="00310B4D">
        <w:t xml:space="preserve">donne </w:t>
      </w:r>
      <w:r w:rsidRPr="00310B4D">
        <w:t>un aperçu des progrès réalisés par son pays dans la mise en œuvre de</w:t>
      </w:r>
      <w:r w:rsidR="00A8677E" w:rsidRPr="00310B4D">
        <w:t>s</w:t>
      </w:r>
      <w:r w:rsidRPr="00310B4D">
        <w:t xml:space="preserve"> engagements </w:t>
      </w:r>
      <w:r w:rsidR="00A8677E" w:rsidRPr="00310B4D">
        <w:t xml:space="preserve">qu'il a pris dans </w:t>
      </w:r>
      <w:r w:rsidRPr="00310B4D">
        <w:t xml:space="preserve">le cadre de la </w:t>
      </w:r>
      <w:r w:rsidR="00A8677E" w:rsidRPr="00310B4D">
        <w:t>C</w:t>
      </w:r>
      <w:r w:rsidRPr="00310B4D">
        <w:t xml:space="preserve">oalition </w:t>
      </w:r>
      <w:r w:rsidR="00A8677E" w:rsidRPr="00310B4D">
        <w:t xml:space="preserve">pour le </w:t>
      </w:r>
      <w:r w:rsidRPr="00310B4D">
        <w:t>numérique Partner2Connect. Les Émirats arabes unis sont prêts à partager leur</w:t>
      </w:r>
      <w:r w:rsidR="00A8677E" w:rsidRPr="00310B4D">
        <w:t>s données d'</w:t>
      </w:r>
      <w:r w:rsidRPr="00310B4D">
        <w:t xml:space="preserve">expérience et leurs connaissances avec d'autres États </w:t>
      </w:r>
      <w:r w:rsidR="00A8677E" w:rsidRPr="00310B4D">
        <w:t>M</w:t>
      </w:r>
      <w:r w:rsidRPr="00310B4D">
        <w:t>embres.</w:t>
      </w:r>
    </w:p>
    <w:p w14:paraId="750A3B2E" w14:textId="5086E035" w:rsidR="00625A33" w:rsidRPr="00310B4D" w:rsidRDefault="00683EB5" w:rsidP="00F15C09">
      <w:r w:rsidRPr="00310B4D">
        <w:t>3.11</w:t>
      </w:r>
      <w:r w:rsidR="007604A0" w:rsidRPr="00310B4D">
        <w:tab/>
      </w:r>
      <w:r w:rsidRPr="00310B4D">
        <w:t xml:space="preserve">Le Conseil </w:t>
      </w:r>
      <w:r w:rsidR="00A8677E" w:rsidRPr="00310B4D">
        <w:rPr>
          <w:b/>
          <w:bCs/>
        </w:rPr>
        <w:t>prend note</w:t>
      </w:r>
      <w:r w:rsidRPr="00310B4D">
        <w:t xml:space="preserve"> </w:t>
      </w:r>
      <w:r w:rsidR="00A8677E" w:rsidRPr="00310B4D">
        <w:t xml:space="preserve">des </w:t>
      </w:r>
      <w:r w:rsidR="007604A0" w:rsidRPr="00310B4D">
        <w:t>D</w:t>
      </w:r>
      <w:r w:rsidRPr="00310B4D">
        <w:t>ocuments C23/49 et C23/74.</w:t>
      </w:r>
    </w:p>
    <w:p w14:paraId="7FF2EDF5" w14:textId="259FCB6A" w:rsidR="007604A0" w:rsidRPr="00310B4D" w:rsidRDefault="007604A0">
      <w:pPr>
        <w:tabs>
          <w:tab w:val="clear" w:pos="567"/>
          <w:tab w:val="clear" w:pos="1134"/>
          <w:tab w:val="clear" w:pos="1701"/>
          <w:tab w:val="clear" w:pos="2268"/>
          <w:tab w:val="clear" w:pos="2835"/>
        </w:tabs>
        <w:overflowPunct/>
        <w:autoSpaceDE/>
        <w:autoSpaceDN/>
        <w:adjustRightInd/>
        <w:spacing w:before="0"/>
        <w:textAlignment w:val="auto"/>
      </w:pPr>
      <w:r w:rsidRPr="00310B4D">
        <w:br w:type="page"/>
      </w:r>
    </w:p>
    <w:p w14:paraId="51355006" w14:textId="753A3B5C" w:rsidR="00625A33" w:rsidRPr="00310B4D" w:rsidRDefault="00683EB5" w:rsidP="00F15C09">
      <w:pPr>
        <w:pStyle w:val="Heading1"/>
        <w:rPr>
          <w:rFonts w:asciiTheme="minorHAnsi" w:hAnsiTheme="minorHAnsi" w:cstheme="minorHAnsi"/>
          <w:bCs/>
          <w:color w:val="000000"/>
          <w:szCs w:val="24"/>
        </w:rPr>
      </w:pPr>
      <w:r w:rsidRPr="00310B4D">
        <w:lastRenderedPageBreak/>
        <w:t>4</w:t>
      </w:r>
      <w:r w:rsidR="00A8677E" w:rsidRPr="00310B4D">
        <w:tab/>
      </w:r>
      <w:r w:rsidRPr="00310B4D">
        <w:t>Rapport sur le rôle de l'UIT dans la mise en œuvre des résultats du SMSI et du Programme de développement durable à l'horizon 2030, ainsi que dans les processus de suivi et d'examen associés</w:t>
      </w:r>
      <w:r w:rsidRPr="00310B4D">
        <w:rPr>
          <w:rFonts w:asciiTheme="minorHAnsi" w:hAnsiTheme="minorHAnsi" w:cstheme="minorHAnsi"/>
          <w:bCs/>
          <w:color w:val="000000"/>
          <w:szCs w:val="24"/>
        </w:rPr>
        <w:t xml:space="preserve"> </w:t>
      </w:r>
      <w:r w:rsidRPr="00310B4D">
        <w:rPr>
          <w:rFonts w:cstheme="minorHAnsi"/>
          <w:bCs/>
          <w:szCs w:val="24"/>
        </w:rPr>
        <w:t xml:space="preserve">(Documents </w:t>
      </w:r>
      <w:hyperlink r:id="rId31" w:history="1">
        <w:r w:rsidRPr="00310B4D">
          <w:rPr>
            <w:rStyle w:val="Hyperlink"/>
            <w:rFonts w:cstheme="minorHAnsi"/>
            <w:bCs/>
            <w:szCs w:val="24"/>
          </w:rPr>
          <w:t>C23/61</w:t>
        </w:r>
      </w:hyperlink>
      <w:r w:rsidRPr="00310B4D">
        <w:rPr>
          <w:rFonts w:cstheme="minorHAnsi"/>
          <w:bCs/>
          <w:szCs w:val="24"/>
        </w:rPr>
        <w:t xml:space="preserve">, </w:t>
      </w:r>
      <w:hyperlink r:id="rId32" w:history="1">
        <w:r w:rsidRPr="00310B4D">
          <w:rPr>
            <w:rStyle w:val="Hyperlink"/>
            <w:rFonts w:cstheme="minorHAnsi"/>
            <w:bCs/>
            <w:szCs w:val="24"/>
          </w:rPr>
          <w:t>C23/71+Corr.1</w:t>
        </w:r>
      </w:hyperlink>
      <w:r w:rsidRPr="00310B4D">
        <w:rPr>
          <w:rFonts w:cstheme="minorHAnsi"/>
          <w:bCs/>
          <w:szCs w:val="24"/>
        </w:rPr>
        <w:t xml:space="preserve">, </w:t>
      </w:r>
      <w:hyperlink r:id="rId33" w:history="1">
        <w:r w:rsidRPr="00310B4D">
          <w:rPr>
            <w:rStyle w:val="Hyperlink"/>
            <w:rFonts w:cstheme="minorHAnsi"/>
            <w:bCs/>
            <w:szCs w:val="24"/>
          </w:rPr>
          <w:t>C23/81</w:t>
        </w:r>
      </w:hyperlink>
      <w:r w:rsidRPr="00310B4D">
        <w:rPr>
          <w:rFonts w:cstheme="minorHAnsi"/>
          <w:bCs/>
          <w:szCs w:val="24"/>
        </w:rPr>
        <w:t xml:space="preserve">, </w:t>
      </w:r>
      <w:hyperlink r:id="rId34" w:history="1">
        <w:r w:rsidRPr="00310B4D">
          <w:rPr>
            <w:rStyle w:val="Hyperlink"/>
            <w:rFonts w:cstheme="minorHAnsi"/>
            <w:bCs/>
            <w:szCs w:val="24"/>
          </w:rPr>
          <w:t>C23/83</w:t>
        </w:r>
      </w:hyperlink>
      <w:r w:rsidRPr="00310B4D">
        <w:rPr>
          <w:rFonts w:cstheme="minorHAnsi"/>
          <w:bCs/>
          <w:szCs w:val="24"/>
        </w:rPr>
        <w:t xml:space="preserve">, </w:t>
      </w:r>
      <w:hyperlink r:id="rId35" w:history="1">
        <w:r w:rsidRPr="00310B4D">
          <w:rPr>
            <w:rStyle w:val="Hyperlink"/>
            <w:rFonts w:cstheme="minorHAnsi"/>
            <w:bCs/>
            <w:szCs w:val="24"/>
          </w:rPr>
          <w:t>C23/85+Corr.1 et 2</w:t>
        </w:r>
      </w:hyperlink>
      <w:r w:rsidRPr="00310B4D">
        <w:rPr>
          <w:rFonts w:cstheme="minorHAnsi"/>
          <w:bCs/>
          <w:szCs w:val="24"/>
        </w:rPr>
        <w:t xml:space="preserve">, </w:t>
      </w:r>
      <w:hyperlink r:id="rId36" w:history="1">
        <w:r w:rsidRPr="00310B4D">
          <w:rPr>
            <w:rStyle w:val="Hyperlink"/>
            <w:rFonts w:cstheme="minorHAnsi"/>
            <w:bCs/>
            <w:szCs w:val="24"/>
          </w:rPr>
          <w:t>C23/96</w:t>
        </w:r>
      </w:hyperlink>
      <w:r w:rsidRPr="00310B4D">
        <w:rPr>
          <w:rFonts w:cstheme="minorHAnsi"/>
          <w:bCs/>
          <w:szCs w:val="24"/>
        </w:rPr>
        <w:t>)</w:t>
      </w:r>
    </w:p>
    <w:p w14:paraId="0A1966FC" w14:textId="0B7B746E" w:rsidR="00625A33" w:rsidRPr="00310B4D" w:rsidRDefault="00683EB5" w:rsidP="00F15C09">
      <w:r w:rsidRPr="00310B4D">
        <w:t>4.1</w:t>
      </w:r>
      <w:r w:rsidR="007604A0" w:rsidRPr="00310B4D">
        <w:tab/>
      </w:r>
      <w:r w:rsidRPr="00310B4D">
        <w:t>Un</w:t>
      </w:r>
      <w:r w:rsidR="00657B4D" w:rsidRPr="00310B4D">
        <w:t>e</w:t>
      </w:r>
      <w:r w:rsidRPr="00310B4D">
        <w:t xml:space="preserve"> représentant</w:t>
      </w:r>
      <w:r w:rsidR="00657B4D" w:rsidRPr="00310B4D">
        <w:t>e</w:t>
      </w:r>
      <w:r w:rsidRPr="00310B4D">
        <w:t xml:space="preserve"> du Secrétariat général </w:t>
      </w:r>
      <w:r w:rsidR="00F15C09" w:rsidRPr="00310B4D">
        <w:t>présente</w:t>
      </w:r>
      <w:r w:rsidRPr="00310B4D">
        <w:t xml:space="preserve"> le Document C23/61, qui donne un aperçu des activités de l'UIT à l'appui de la mise en œuvre des résultats du SMSI et du Programme </w:t>
      </w:r>
      <w:r w:rsidR="00590DCC" w:rsidRPr="00310B4D">
        <w:t xml:space="preserve">de </w:t>
      </w:r>
      <w:r w:rsidRPr="00310B4D">
        <w:t>développement durable</w:t>
      </w:r>
      <w:r w:rsidR="00590DCC" w:rsidRPr="00310B4D">
        <w:t xml:space="preserve"> à l'horizon 2030</w:t>
      </w:r>
      <w:r w:rsidRPr="00310B4D">
        <w:t>. Des discussions sont en cours, notamment avec les États Membres, sur le rôle de l'UIT dans le processus d'examen du SMSI+20. En outre, l'UIT collabore avec les parties prenantes pour éviter les doubles emplois avec les processus multi</w:t>
      </w:r>
      <w:r w:rsidR="00590DCC" w:rsidRPr="00310B4D">
        <w:t>-</w:t>
      </w:r>
      <w:r w:rsidRPr="00310B4D">
        <w:t>parti</w:t>
      </w:r>
      <w:r w:rsidR="00590DCC" w:rsidRPr="00310B4D">
        <w:t>es prenan</w:t>
      </w:r>
      <w:r w:rsidRPr="00310B4D">
        <w:t xml:space="preserve">tes existants </w:t>
      </w:r>
      <w:r w:rsidR="00590DCC" w:rsidRPr="00310B4D">
        <w:t>visant à mettre</w:t>
      </w:r>
      <w:r w:rsidRPr="00310B4D">
        <w:t xml:space="preserve"> en œuvre les ODD</w:t>
      </w:r>
      <w:r w:rsidR="00590DCC" w:rsidRPr="00310B4D">
        <w:t xml:space="preserve">, </w:t>
      </w:r>
      <w:r w:rsidR="00423A3C" w:rsidRPr="00310B4D">
        <w:t xml:space="preserve">et </w:t>
      </w:r>
      <w:r w:rsidRPr="00310B4D">
        <w:t>promouvoir</w:t>
      </w:r>
      <w:r w:rsidR="00590DCC" w:rsidRPr="00310B4D">
        <w:t xml:space="preserve"> les synergies entre le processus du SMSI+20 et les préparatifs du Sommet de l'avenir et du Pacte numérique mondial.</w:t>
      </w:r>
    </w:p>
    <w:p w14:paraId="0B909330" w14:textId="18CED54C" w:rsidR="00625A33" w:rsidRPr="00310B4D" w:rsidRDefault="00683EB5" w:rsidP="00F15C09">
      <w:r w:rsidRPr="00310B4D">
        <w:t>4.2</w:t>
      </w:r>
      <w:r w:rsidR="007604A0" w:rsidRPr="00310B4D">
        <w:tab/>
      </w:r>
      <w:r w:rsidRPr="00310B4D">
        <w:t xml:space="preserve">La conseillère de la Chine </w:t>
      </w:r>
      <w:r w:rsidR="00F15C09" w:rsidRPr="00310B4D">
        <w:t>présente</w:t>
      </w:r>
      <w:r w:rsidRPr="00310B4D">
        <w:t xml:space="preserve"> le Document C23/81, dans lequel son pays propose que l'UIT consulte les États Membres sur toutes les activités liées </w:t>
      </w:r>
      <w:r w:rsidR="00F923F3" w:rsidRPr="00310B4D">
        <w:t xml:space="preserve">au Programme </w:t>
      </w:r>
      <w:r w:rsidRPr="00310B4D">
        <w:t xml:space="preserve">2030 et au Pacte numérique </w:t>
      </w:r>
      <w:r w:rsidR="00F923F3" w:rsidRPr="00310B4D">
        <w:t xml:space="preserve">mondial </w:t>
      </w:r>
      <w:r w:rsidRPr="00310B4D">
        <w:t>et qu'elle établisse un rapport sur ces activités</w:t>
      </w:r>
      <w:r w:rsidR="00F923F3" w:rsidRPr="00310B4D">
        <w:t>,</w:t>
      </w:r>
      <w:r w:rsidRPr="00310B4D">
        <w:t xml:space="preserve"> pour examen par le Groupe de travail du Conseil sur le SMSI et les ODD (</w:t>
      </w:r>
      <w:r w:rsidR="00F923F3" w:rsidRPr="00310B4D">
        <w:t>GTC</w:t>
      </w:r>
      <w:r w:rsidRPr="00310B4D">
        <w:t>-</w:t>
      </w:r>
      <w:r w:rsidR="00F923F3" w:rsidRPr="00310B4D">
        <w:t>SMSI</w:t>
      </w:r>
      <w:r w:rsidRPr="00310B4D">
        <w:t>&amp;ODD).</w:t>
      </w:r>
    </w:p>
    <w:p w14:paraId="446B5069" w14:textId="2FBECC4F" w:rsidR="00625A33" w:rsidRPr="00310B4D" w:rsidRDefault="00683EB5" w:rsidP="00F15C09">
      <w:r w:rsidRPr="00310B4D">
        <w:t>4.3</w:t>
      </w:r>
      <w:r w:rsidR="007604A0" w:rsidRPr="00310B4D">
        <w:tab/>
      </w:r>
      <w:r w:rsidRPr="00310B4D">
        <w:t xml:space="preserve">Le conseiller des </w:t>
      </w:r>
      <w:r w:rsidR="007604A0" w:rsidRPr="00310B4D">
        <w:t>É</w:t>
      </w:r>
      <w:r w:rsidRPr="00310B4D">
        <w:t xml:space="preserve">mirats arabes unis </w:t>
      </w:r>
      <w:r w:rsidR="00F15C09" w:rsidRPr="00310B4D">
        <w:t>présente</w:t>
      </w:r>
      <w:r w:rsidRPr="00310B4D">
        <w:t xml:space="preserve"> </w:t>
      </w:r>
      <w:r w:rsidR="00F923F3" w:rsidRPr="00310B4D">
        <w:t xml:space="preserve">une </w:t>
      </w:r>
      <w:r w:rsidRPr="00310B4D">
        <w:t xml:space="preserve">contribution </w:t>
      </w:r>
      <w:r w:rsidR="00F923F3" w:rsidRPr="00310B4D">
        <w:t xml:space="preserve">soumise par plusieurs pays dont </w:t>
      </w:r>
      <w:r w:rsidRPr="00310B4D">
        <w:t xml:space="preserve">huit </w:t>
      </w:r>
      <w:r w:rsidR="00C75EAE" w:rsidRPr="00310B4D">
        <w:t>É</w:t>
      </w:r>
      <w:r w:rsidRPr="00310B4D">
        <w:t>tats Membres</w:t>
      </w:r>
      <w:r w:rsidR="00F923F3" w:rsidRPr="00310B4D">
        <w:t xml:space="preserve"> se sont portés coauteurs (</w:t>
      </w:r>
      <w:r w:rsidRPr="00310B4D">
        <w:t>Document C23/96</w:t>
      </w:r>
      <w:r w:rsidR="00F923F3" w:rsidRPr="00310B4D">
        <w:t>),</w:t>
      </w:r>
      <w:r w:rsidRPr="00310B4D">
        <w:t xml:space="preserve"> dans laquelle l'UIT est encouragée à participer aux préparatifs du Pacte numérique </w:t>
      </w:r>
      <w:r w:rsidR="00423A3C" w:rsidRPr="00310B4D">
        <w:t xml:space="preserve">mondial </w:t>
      </w:r>
      <w:r w:rsidRPr="00310B4D">
        <w:t xml:space="preserve">en vue de l'aligner sur les résultats du SMSI. L'UIT est également encouragée à participer activement aux préparatifs du Sommet </w:t>
      </w:r>
      <w:r w:rsidR="00423A3C" w:rsidRPr="00310B4D">
        <w:t>de l</w:t>
      </w:r>
      <w:r w:rsidR="00C75EAE" w:rsidRPr="00310B4D">
        <w:t>'</w:t>
      </w:r>
      <w:r w:rsidR="00423A3C" w:rsidRPr="00310B4D">
        <w:t>avenir</w:t>
      </w:r>
      <w:r w:rsidRPr="00310B4D">
        <w:t xml:space="preserve">, étant entendu qu'il importe d'éviter les doubles emplois et de ne pas surcharger les </w:t>
      </w:r>
      <w:r w:rsidR="00F923F3" w:rsidRPr="00310B4D">
        <w:t>É</w:t>
      </w:r>
      <w:r w:rsidRPr="00310B4D">
        <w:t>tats Membres</w:t>
      </w:r>
      <w:r w:rsidR="00F923F3" w:rsidRPr="00310B4D">
        <w:t>,</w:t>
      </w:r>
      <w:r w:rsidRPr="00310B4D">
        <w:t xml:space="preserve"> en alignant et en coordonnant efficacement le processus d'examen du SMSI+20 avec le processus du Pacte </w:t>
      </w:r>
      <w:r w:rsidR="00F923F3" w:rsidRPr="00310B4D">
        <w:t xml:space="preserve">numérique </w:t>
      </w:r>
      <w:r w:rsidRPr="00310B4D">
        <w:t xml:space="preserve">mondial. L'UIT est invitée à </w:t>
      </w:r>
      <w:r w:rsidR="00F923F3" w:rsidRPr="00310B4D">
        <w:t>mener à bien</w:t>
      </w:r>
      <w:r w:rsidRPr="00310B4D">
        <w:t xml:space="preserve"> une étude sur </w:t>
      </w:r>
      <w:r w:rsidR="00F923F3" w:rsidRPr="00310B4D">
        <w:t>les incidences</w:t>
      </w:r>
      <w:r w:rsidRPr="00310B4D">
        <w:t xml:space="preserve"> du processus du Sommet </w:t>
      </w:r>
      <w:r w:rsidR="00423A3C" w:rsidRPr="00310B4D">
        <w:t>de l</w:t>
      </w:r>
      <w:r w:rsidR="00C75EAE" w:rsidRPr="00310B4D">
        <w:t>'</w:t>
      </w:r>
      <w:r w:rsidR="00423A3C" w:rsidRPr="00310B4D">
        <w:t>avenir</w:t>
      </w:r>
      <w:r w:rsidRPr="00310B4D">
        <w:t xml:space="preserve"> sur le SMSI, sur les possibilités de coopération et sur le rôle que l'UIT pourrait jouer, et à la présenter au </w:t>
      </w:r>
      <w:r w:rsidR="00F923F3" w:rsidRPr="00310B4D">
        <w:t>GTC</w:t>
      </w:r>
      <w:r w:rsidRPr="00310B4D">
        <w:t>-SMSI&amp;</w:t>
      </w:r>
      <w:r w:rsidR="00F923F3" w:rsidRPr="00310B4D">
        <w:t>ODD</w:t>
      </w:r>
      <w:r w:rsidRPr="00310B4D">
        <w:t xml:space="preserve">. Deux conseillers </w:t>
      </w:r>
      <w:r w:rsidR="00F923F3" w:rsidRPr="00310B4D">
        <w:t xml:space="preserve">souscrivent </w:t>
      </w:r>
      <w:r w:rsidRPr="00310B4D">
        <w:t>à cette proposition.</w:t>
      </w:r>
    </w:p>
    <w:p w14:paraId="63F899EB" w14:textId="671414B3" w:rsidR="00625A33" w:rsidRPr="00310B4D" w:rsidRDefault="00683EB5" w:rsidP="00F15C09">
      <w:r w:rsidRPr="00310B4D">
        <w:t>4.4</w:t>
      </w:r>
      <w:r w:rsidR="007604A0" w:rsidRPr="00310B4D">
        <w:tab/>
      </w:r>
      <w:r w:rsidRPr="00310B4D">
        <w:t xml:space="preserve">Le conseiller des </w:t>
      </w:r>
      <w:r w:rsidR="007604A0" w:rsidRPr="00310B4D">
        <w:t>É</w:t>
      </w:r>
      <w:r w:rsidRPr="00310B4D">
        <w:t xml:space="preserve">tats-Unis </w:t>
      </w:r>
      <w:r w:rsidR="00F15C09" w:rsidRPr="00310B4D">
        <w:t>présente</w:t>
      </w:r>
      <w:r w:rsidRPr="00310B4D">
        <w:t xml:space="preserve"> le </w:t>
      </w:r>
      <w:r w:rsidR="00C75EAE" w:rsidRPr="00310B4D">
        <w:t>D</w:t>
      </w:r>
      <w:r w:rsidRPr="00310B4D">
        <w:t xml:space="preserve">ocument C23/83, qui contient une proposition du Canada et des </w:t>
      </w:r>
      <w:r w:rsidR="007604A0" w:rsidRPr="00310B4D">
        <w:t>É</w:t>
      </w:r>
      <w:r w:rsidRPr="00310B4D">
        <w:t xml:space="preserve">tats-Unis visant à mettre à jour la </w:t>
      </w:r>
      <w:r w:rsidR="00F923F3" w:rsidRPr="00310B4D">
        <w:t>R</w:t>
      </w:r>
      <w:r w:rsidRPr="00310B4D">
        <w:t>ésolution 1332 du Conseil (</w:t>
      </w:r>
      <w:r w:rsidR="00F923F3" w:rsidRPr="00310B4D">
        <w:t xml:space="preserve">C11, dernière mod. C19) compte tenu de la Résolution 140 (Rév. Bucarest, 2022) de la PP. </w:t>
      </w:r>
      <w:r w:rsidRPr="00310B4D">
        <w:t xml:space="preserve">Il souligne que l'UIT a un rôle crucial à jouer dans la coopération numérique internationale, notamment dans l'élaboration du Pacte numérique mondial, dans le processus d'examen du SMSI+20 et dans la participation active au processus préparatoire de l'examen d'ensemble de l'Assemblée générale des Nations Unies. Un autre conseiller </w:t>
      </w:r>
      <w:r w:rsidR="00F923F3" w:rsidRPr="00310B4D">
        <w:t>souscrit</w:t>
      </w:r>
      <w:r w:rsidRPr="00310B4D">
        <w:t xml:space="preserve"> à cette proposition.</w:t>
      </w:r>
    </w:p>
    <w:p w14:paraId="5335BB0A" w14:textId="010D571C" w:rsidR="00625A33" w:rsidRPr="00310B4D" w:rsidRDefault="00683EB5" w:rsidP="00F15C09">
      <w:r w:rsidRPr="00310B4D">
        <w:t>4.5</w:t>
      </w:r>
      <w:r w:rsidR="007604A0" w:rsidRPr="00310B4D">
        <w:tab/>
      </w:r>
      <w:r w:rsidRPr="00310B4D">
        <w:t>L</w:t>
      </w:r>
      <w:r w:rsidR="00657B4D" w:rsidRPr="00310B4D">
        <w:t>a</w:t>
      </w:r>
      <w:r w:rsidRPr="00310B4D">
        <w:t xml:space="preserve"> conseill</w:t>
      </w:r>
      <w:r w:rsidR="00657B4D" w:rsidRPr="00310B4D">
        <w:t>ère</w:t>
      </w:r>
      <w:r w:rsidRPr="00310B4D">
        <w:t xml:space="preserve"> </w:t>
      </w:r>
      <w:r w:rsidR="00F923F3" w:rsidRPr="00310B4D">
        <w:t>de la République sudafricaine</w:t>
      </w:r>
      <w:r w:rsidRPr="00310B4D">
        <w:t xml:space="preserve"> </w:t>
      </w:r>
      <w:r w:rsidR="00F15C09" w:rsidRPr="00310B4D">
        <w:t>présente</w:t>
      </w:r>
      <w:r w:rsidRPr="00310B4D">
        <w:t xml:space="preserve"> le Document C23/71+Corr.1. Cette contribution </w:t>
      </w:r>
      <w:r w:rsidR="00F923F3" w:rsidRPr="00310B4D">
        <w:t>soumise par</w:t>
      </w:r>
      <w:r w:rsidRPr="00310B4D">
        <w:t xml:space="preserve"> 13 </w:t>
      </w:r>
      <w:r w:rsidR="00C75EAE" w:rsidRPr="00310B4D">
        <w:t>É</w:t>
      </w:r>
      <w:r w:rsidRPr="00310B4D">
        <w:t xml:space="preserve">tats Membres contient un projet de nouvelle résolution du Conseil </w:t>
      </w:r>
      <w:r w:rsidR="00F923F3" w:rsidRPr="00310B4D">
        <w:t>visant à inviter</w:t>
      </w:r>
      <w:r w:rsidRPr="00310B4D">
        <w:t xml:space="preserve"> l'UIT </w:t>
      </w:r>
      <w:r w:rsidR="00F923F3" w:rsidRPr="00310B4D">
        <w:t xml:space="preserve">à </w:t>
      </w:r>
      <w:r w:rsidRPr="00310B4D">
        <w:t xml:space="preserve">collaborer avec les institutions des Nations Unies pour jouer un rôle de premier plan dans l'examen de la mise en œuvre des résultats du SMSI, des ODD et du Pacte </w:t>
      </w:r>
      <w:r w:rsidR="00F923F3" w:rsidRPr="00310B4D">
        <w:t>numérique mondial</w:t>
      </w:r>
      <w:r w:rsidRPr="00310B4D">
        <w:t xml:space="preserve">. Il </w:t>
      </w:r>
      <w:r w:rsidR="00CC50AC" w:rsidRPr="00310B4D">
        <w:t xml:space="preserve">est </w:t>
      </w:r>
      <w:r w:rsidRPr="00310B4D">
        <w:t xml:space="preserve">également </w:t>
      </w:r>
      <w:r w:rsidR="00CC50AC" w:rsidRPr="00310B4D">
        <w:t xml:space="preserve">demandé </w:t>
      </w:r>
      <w:r w:rsidRPr="00310B4D">
        <w:t>à l'UIT de conserver sa position de chef de file pour l'examen du SMSI et le SMSI au-delà de 2025. Un</w:t>
      </w:r>
      <w:r w:rsidR="00657B4D" w:rsidRPr="00310B4D">
        <w:t>e</w:t>
      </w:r>
      <w:r w:rsidRPr="00310B4D">
        <w:t xml:space="preserve"> autre conseill</w:t>
      </w:r>
      <w:r w:rsidR="00657B4D" w:rsidRPr="00310B4D">
        <w:t>ère</w:t>
      </w:r>
      <w:r w:rsidRPr="00310B4D">
        <w:t xml:space="preserve"> </w:t>
      </w:r>
      <w:r w:rsidR="00C071E0" w:rsidRPr="00310B4D">
        <w:t>se dit favorable</w:t>
      </w:r>
      <w:r w:rsidRPr="00310B4D">
        <w:t xml:space="preserve"> à ce projet de résolution.</w:t>
      </w:r>
    </w:p>
    <w:p w14:paraId="4F555356" w14:textId="2A0E2288" w:rsidR="00625A33" w:rsidRPr="00310B4D" w:rsidRDefault="00683EB5" w:rsidP="00F15C09">
      <w:r w:rsidRPr="00310B4D">
        <w:t>4.6</w:t>
      </w:r>
      <w:r w:rsidR="007604A0" w:rsidRPr="00310B4D">
        <w:tab/>
      </w:r>
      <w:r w:rsidRPr="00310B4D">
        <w:t xml:space="preserve">L'observateur de la Fédération de Russie </w:t>
      </w:r>
      <w:r w:rsidR="00F15C09" w:rsidRPr="00310B4D">
        <w:t>présente</w:t>
      </w:r>
      <w:r w:rsidRPr="00310B4D">
        <w:t xml:space="preserve"> le </w:t>
      </w:r>
      <w:r w:rsidR="00C75EAE" w:rsidRPr="00310B4D">
        <w:t>D</w:t>
      </w:r>
      <w:r w:rsidRPr="00310B4D">
        <w:t>ocument C23/85+Corr.1 et 2</w:t>
      </w:r>
      <w:r w:rsidR="00C071E0" w:rsidRPr="00310B4D">
        <w:t xml:space="preserve">. Cette </w:t>
      </w:r>
      <w:r w:rsidRPr="00310B4D">
        <w:t xml:space="preserve">contribution </w:t>
      </w:r>
      <w:r w:rsidR="00C071E0" w:rsidRPr="00310B4D">
        <w:t>soumise par</w:t>
      </w:r>
      <w:r w:rsidRPr="00310B4D">
        <w:t xml:space="preserve"> cinq </w:t>
      </w:r>
      <w:r w:rsidR="007604A0" w:rsidRPr="00310B4D">
        <w:t>É</w:t>
      </w:r>
      <w:r w:rsidRPr="00310B4D">
        <w:t xml:space="preserve">tats Membres </w:t>
      </w:r>
      <w:r w:rsidR="00C071E0" w:rsidRPr="00310B4D">
        <w:t xml:space="preserve">contient </w:t>
      </w:r>
      <w:r w:rsidRPr="00310B4D">
        <w:t xml:space="preserve">un projet de nouvelle résolution du Conseil </w:t>
      </w:r>
      <w:r w:rsidR="00C071E0" w:rsidRPr="00310B4D">
        <w:t>invitant</w:t>
      </w:r>
      <w:r w:rsidRPr="00310B4D">
        <w:t xml:space="preserve"> l'UIT </w:t>
      </w:r>
      <w:r w:rsidR="00C071E0" w:rsidRPr="00310B4D">
        <w:t xml:space="preserve">à </w:t>
      </w:r>
      <w:r w:rsidRPr="00310B4D">
        <w:t xml:space="preserve">procéder à une analyse des actions requises pour </w:t>
      </w:r>
      <w:r w:rsidRPr="00310B4D">
        <w:lastRenderedPageBreak/>
        <w:t xml:space="preserve">déterminer les tâches et les actions que </w:t>
      </w:r>
      <w:r w:rsidR="00CC50AC" w:rsidRPr="00310B4D">
        <w:t xml:space="preserve">l'Union </w:t>
      </w:r>
      <w:r w:rsidRPr="00310B4D">
        <w:t xml:space="preserve">doit entreprendre en vue de l'examen global des résultats du SMSI </w:t>
      </w:r>
      <w:r w:rsidR="00C071E0" w:rsidRPr="00310B4D">
        <w:t>pour</w:t>
      </w:r>
      <w:r w:rsidRPr="00310B4D">
        <w:t xml:space="preserve"> 2025 et au-delà, du Sommet sur les objectifs de développement durable </w:t>
      </w:r>
      <w:r w:rsidR="00C071E0" w:rsidRPr="00310B4D">
        <w:t>de</w:t>
      </w:r>
      <w:r w:rsidRPr="00310B4D">
        <w:t xml:space="preserve"> 2023 et du Sommet </w:t>
      </w:r>
      <w:r w:rsidR="00CC50AC" w:rsidRPr="00310B4D">
        <w:t>de l</w:t>
      </w:r>
      <w:r w:rsidR="00C75EAE" w:rsidRPr="00310B4D">
        <w:t>'</w:t>
      </w:r>
      <w:r w:rsidR="00CC50AC" w:rsidRPr="00310B4D">
        <w:t xml:space="preserve">avenir </w:t>
      </w:r>
      <w:r w:rsidR="00C071E0" w:rsidRPr="00310B4D">
        <w:t>de</w:t>
      </w:r>
      <w:r w:rsidRPr="00310B4D">
        <w:t xml:space="preserve"> 2024. Un</w:t>
      </w:r>
      <w:r w:rsidR="00657B4D" w:rsidRPr="00310B4D">
        <w:t>e</w:t>
      </w:r>
      <w:r w:rsidRPr="00310B4D">
        <w:t xml:space="preserve"> conseill</w:t>
      </w:r>
      <w:r w:rsidR="00657B4D" w:rsidRPr="00310B4D">
        <w:t>ère</w:t>
      </w:r>
      <w:r w:rsidRPr="00310B4D">
        <w:t xml:space="preserve"> </w:t>
      </w:r>
      <w:r w:rsidR="00F15C09" w:rsidRPr="00310B4D">
        <w:t>exprime</w:t>
      </w:r>
      <w:r w:rsidRPr="00310B4D">
        <w:t xml:space="preserve"> son soutien à ce projet de résolution.</w:t>
      </w:r>
    </w:p>
    <w:p w14:paraId="176AE8E1" w14:textId="7E2A9648" w:rsidR="00625A33" w:rsidRPr="00310B4D" w:rsidRDefault="00683EB5" w:rsidP="00F15C09">
      <w:r w:rsidRPr="00310B4D">
        <w:t>4.7</w:t>
      </w:r>
      <w:r w:rsidR="007604A0" w:rsidRPr="00310B4D">
        <w:tab/>
      </w:r>
      <w:r w:rsidRPr="00310B4D">
        <w:t xml:space="preserve">Un conseiller </w:t>
      </w:r>
      <w:r w:rsidR="00C071E0" w:rsidRPr="00310B4D">
        <w:t>f</w:t>
      </w:r>
      <w:r w:rsidRPr="00310B4D">
        <w:t xml:space="preserve">ait observer que, si l'UIT </w:t>
      </w:r>
      <w:r w:rsidR="00C071E0" w:rsidRPr="00310B4D">
        <w:t>a</w:t>
      </w:r>
      <w:r w:rsidRPr="00310B4D">
        <w:t xml:space="preserve"> effectivement un rôle important à jouer dans la mise en œuvre des résultats du SMSI, il </w:t>
      </w:r>
      <w:r w:rsidR="00C071E0" w:rsidRPr="00310B4D">
        <w:t>faut</w:t>
      </w:r>
      <w:r w:rsidRPr="00310B4D">
        <w:t xml:space="preserve"> veiller à ne pas imposer trop de tâches supplémentaires au secrétariat. L'UIT devrait se concentrer sur les tâches et les responsabilités qui lui ont été confiées par la Conférence de plénipotentiaires. D'autres conseillers </w:t>
      </w:r>
      <w:r w:rsidR="00C071E0" w:rsidRPr="00310B4D">
        <w:t>encouragent</w:t>
      </w:r>
      <w:r w:rsidRPr="00310B4D">
        <w:t xml:space="preserve"> l'UIT à </w:t>
      </w:r>
      <w:r w:rsidR="00C071E0" w:rsidRPr="00310B4D">
        <w:t>participer</w:t>
      </w:r>
      <w:r w:rsidRPr="00310B4D">
        <w:t xml:space="preserve"> davantage </w:t>
      </w:r>
      <w:r w:rsidR="00C071E0" w:rsidRPr="00310B4D">
        <w:t xml:space="preserve">aux </w:t>
      </w:r>
      <w:r w:rsidRPr="00310B4D">
        <w:t>préparatifs en vue de l'adoption du Pacte numérique</w:t>
      </w:r>
      <w:r w:rsidR="00C071E0" w:rsidRPr="00310B4D">
        <w:t xml:space="preserve"> mondial</w:t>
      </w:r>
      <w:r w:rsidRPr="00310B4D">
        <w:t xml:space="preserve">, notamment </w:t>
      </w:r>
      <w:r w:rsidR="00CC50AC" w:rsidRPr="00310B4D">
        <w:t>par la recherche</w:t>
      </w:r>
      <w:r w:rsidR="00C071E0" w:rsidRPr="00310B4D">
        <w:t xml:space="preserve"> de</w:t>
      </w:r>
      <w:r w:rsidRPr="00310B4D">
        <w:t xml:space="preserve"> synergies avec le processus du SMSI. Un</w:t>
      </w:r>
      <w:r w:rsidR="00657B4D" w:rsidRPr="00310B4D">
        <w:t>e</w:t>
      </w:r>
      <w:r w:rsidRPr="00310B4D">
        <w:t xml:space="preserve"> conseill</w:t>
      </w:r>
      <w:r w:rsidR="00657B4D" w:rsidRPr="00310B4D">
        <w:t>ère</w:t>
      </w:r>
      <w:r w:rsidRPr="00310B4D">
        <w:t xml:space="preserve"> </w:t>
      </w:r>
      <w:r w:rsidR="00F15C09" w:rsidRPr="00310B4D">
        <w:t>demande</w:t>
      </w:r>
      <w:r w:rsidRPr="00310B4D">
        <w:t xml:space="preserve"> à l'UIT de consulter les </w:t>
      </w:r>
      <w:r w:rsidR="00C071E0" w:rsidRPr="00310B4D">
        <w:t>É</w:t>
      </w:r>
      <w:r w:rsidRPr="00310B4D">
        <w:t xml:space="preserve">tats Membres tout au long de ces </w:t>
      </w:r>
      <w:r w:rsidR="00CC50AC" w:rsidRPr="00310B4D">
        <w:t>opérations</w:t>
      </w:r>
      <w:r w:rsidRPr="00310B4D">
        <w:t>.</w:t>
      </w:r>
    </w:p>
    <w:p w14:paraId="7B74C305" w14:textId="647B8815" w:rsidR="00625A33" w:rsidRPr="00310B4D" w:rsidRDefault="00683EB5" w:rsidP="00F15C09">
      <w:r w:rsidRPr="00310B4D">
        <w:t>4.8</w:t>
      </w:r>
      <w:r w:rsidR="007604A0" w:rsidRPr="00310B4D">
        <w:tab/>
      </w:r>
      <w:r w:rsidRPr="00310B4D">
        <w:t xml:space="preserve">Le conseiller </w:t>
      </w:r>
      <w:r w:rsidR="00C071E0" w:rsidRPr="00310B4D">
        <w:t>de la Suisse</w:t>
      </w:r>
      <w:r w:rsidRPr="00310B4D">
        <w:t xml:space="preserve"> </w:t>
      </w:r>
      <w:r w:rsidR="00F15C09" w:rsidRPr="00310B4D">
        <w:t>déclare</w:t>
      </w:r>
      <w:r w:rsidRPr="00310B4D">
        <w:t xml:space="preserve"> que </w:t>
      </w:r>
      <w:r w:rsidR="00C071E0" w:rsidRPr="00310B4D">
        <w:t>la manifestation de</w:t>
      </w:r>
      <w:r w:rsidRPr="00310B4D">
        <w:t xml:space="preserve"> haut niveau du Forum </w:t>
      </w:r>
      <w:r w:rsidR="00C071E0" w:rsidRPr="00310B4D">
        <w:t xml:space="preserve">du </w:t>
      </w:r>
      <w:r w:rsidRPr="00310B4D">
        <w:t xml:space="preserve">SMSI+20, qui sera </w:t>
      </w:r>
      <w:r w:rsidR="00C071E0" w:rsidRPr="00310B4D">
        <w:t>accueillie</w:t>
      </w:r>
      <w:r w:rsidRPr="00310B4D">
        <w:t xml:space="preserve"> par </w:t>
      </w:r>
      <w:r w:rsidR="00CC50AC" w:rsidRPr="00310B4D">
        <w:t xml:space="preserve">son pays </w:t>
      </w:r>
      <w:r w:rsidRPr="00310B4D">
        <w:t xml:space="preserve">en 2024, servira de plate-forme pour examiner les progrès accomplis et trouver des </w:t>
      </w:r>
      <w:r w:rsidR="00C071E0" w:rsidRPr="00310B4D">
        <w:t>possibilités</w:t>
      </w:r>
      <w:r w:rsidRPr="00310B4D">
        <w:t xml:space="preserve"> en vue </w:t>
      </w:r>
      <w:r w:rsidR="00C071E0" w:rsidRPr="00310B4D">
        <w:t>de recenser</w:t>
      </w:r>
      <w:r w:rsidRPr="00310B4D">
        <w:t xml:space="preserve"> des actions tangibles pour le SMSI au-delà de 2025. La Suisse </w:t>
      </w:r>
      <w:r w:rsidR="00C071E0" w:rsidRPr="00310B4D">
        <w:t xml:space="preserve">se dit heureuse </w:t>
      </w:r>
      <w:r w:rsidRPr="00310B4D">
        <w:t xml:space="preserve">de prendre la tête du processus préparatoire du SMSI+20 et </w:t>
      </w:r>
      <w:r w:rsidR="00C071E0" w:rsidRPr="00310B4D">
        <w:t>appuie</w:t>
      </w:r>
      <w:r w:rsidRPr="00310B4D">
        <w:t xml:space="preserve"> la création d'un groupe d</w:t>
      </w:r>
      <w:r w:rsidR="00C071E0" w:rsidRPr="00310B4D">
        <w:t>es "A</w:t>
      </w:r>
      <w:r w:rsidRPr="00310B4D">
        <w:t>mis du SMSI</w:t>
      </w:r>
      <w:r w:rsidR="00C071E0" w:rsidRPr="00310B4D">
        <w:t>"</w:t>
      </w:r>
      <w:r w:rsidRPr="00310B4D">
        <w:t>.</w:t>
      </w:r>
    </w:p>
    <w:p w14:paraId="496A9B5D" w14:textId="61A10795" w:rsidR="00625A33" w:rsidRPr="00310B4D" w:rsidRDefault="00683EB5" w:rsidP="00F15C09">
      <w:r w:rsidRPr="00310B4D">
        <w:t>4.9</w:t>
      </w:r>
      <w:r w:rsidR="007604A0" w:rsidRPr="00310B4D">
        <w:tab/>
      </w:r>
      <w:r w:rsidRPr="00310B4D">
        <w:t>L</w:t>
      </w:r>
      <w:r w:rsidR="00C071E0" w:rsidRPr="00310B4D">
        <w:t>a</w:t>
      </w:r>
      <w:r w:rsidRPr="00310B4D">
        <w:t xml:space="preserve"> Secrétaire général</w:t>
      </w:r>
      <w:r w:rsidR="00C071E0" w:rsidRPr="00310B4D">
        <w:t>e</w:t>
      </w:r>
      <w:r w:rsidRPr="00310B4D">
        <w:t xml:space="preserve"> </w:t>
      </w:r>
      <w:r w:rsidR="00F15C09" w:rsidRPr="00310B4D">
        <w:t>indique</w:t>
      </w:r>
      <w:r w:rsidRPr="00310B4D">
        <w:t xml:space="preserve"> que le secrétariat </w:t>
      </w:r>
      <w:r w:rsidR="00C071E0" w:rsidRPr="00310B4D">
        <w:t>a</w:t>
      </w:r>
      <w:r w:rsidRPr="00310B4D">
        <w:t xml:space="preserve"> déjà </w:t>
      </w:r>
      <w:r w:rsidR="00C071E0" w:rsidRPr="00310B4D">
        <w:t xml:space="preserve">effectué une mise en </w:t>
      </w:r>
      <w:r w:rsidRPr="00310B4D">
        <w:t>correspondance s</w:t>
      </w:r>
      <w:r w:rsidR="00C071E0" w:rsidRPr="00310B4D">
        <w:t>ys</w:t>
      </w:r>
      <w:r w:rsidRPr="00310B4D">
        <w:t xml:space="preserve">tématique </w:t>
      </w:r>
      <w:r w:rsidR="00C071E0" w:rsidRPr="00310B4D">
        <w:t xml:space="preserve">des </w:t>
      </w:r>
      <w:r w:rsidRPr="00310B4D">
        <w:t xml:space="preserve">grandes orientations du SMSI </w:t>
      </w:r>
      <w:r w:rsidR="00CC50AC" w:rsidRPr="00310B4D">
        <w:t xml:space="preserve">avec </w:t>
      </w:r>
      <w:r w:rsidRPr="00310B4D">
        <w:t xml:space="preserve">les </w:t>
      </w:r>
      <w:r w:rsidR="00C071E0" w:rsidRPr="00310B4D">
        <w:t xml:space="preserve">ODD </w:t>
      </w:r>
      <w:r w:rsidRPr="00310B4D">
        <w:t xml:space="preserve">et qu'il </w:t>
      </w:r>
      <w:r w:rsidR="00C071E0" w:rsidRPr="00310B4D">
        <w:t>examine actuellement</w:t>
      </w:r>
      <w:r w:rsidRPr="00310B4D">
        <w:t xml:space="preserve"> les liens entre le cadre du SMSI et le Pacte </w:t>
      </w:r>
      <w:r w:rsidR="00CC50AC" w:rsidRPr="00310B4D">
        <w:t xml:space="preserve">numérique </w:t>
      </w:r>
      <w:r w:rsidRPr="00310B4D">
        <w:t>mondial. L'UIT collabore activement et à un niveau élevé avec les Nations Unies, notamment avec l'Envoyé du Secrétaire général pour l</w:t>
      </w:r>
      <w:r w:rsidR="00C071E0" w:rsidRPr="00310B4D">
        <w:t>es</w:t>
      </w:r>
      <w:r w:rsidRPr="00310B4D">
        <w:t xml:space="preserve"> technologie</w:t>
      </w:r>
      <w:r w:rsidR="00C071E0" w:rsidRPr="00310B4D">
        <w:t>s</w:t>
      </w:r>
      <w:r w:rsidRPr="00310B4D">
        <w:t xml:space="preserve">, sur les questions </w:t>
      </w:r>
      <w:r w:rsidR="00C071E0" w:rsidRPr="00310B4D">
        <w:t>relatives au numérique et</w:t>
      </w:r>
      <w:r w:rsidRPr="00310B4D">
        <w:t xml:space="preserve"> l'élaboration du Pacte. Les Ambassadeurs de la Suède et du Rwanda à New York ont pris la tête des discussions sur le rôle de l'UIT dans ce dernier domaine.</w:t>
      </w:r>
    </w:p>
    <w:p w14:paraId="19D72511" w14:textId="5DCA0D92" w:rsidR="00625A33" w:rsidRPr="00310B4D" w:rsidRDefault="00683EB5" w:rsidP="00F15C09">
      <w:r w:rsidRPr="00310B4D">
        <w:t>4.10</w:t>
      </w:r>
      <w:r w:rsidR="007604A0" w:rsidRPr="00310B4D">
        <w:tab/>
      </w:r>
      <w:r w:rsidRPr="00310B4D">
        <w:t xml:space="preserve">Le Conseil </w:t>
      </w:r>
      <w:r w:rsidR="00C071E0" w:rsidRPr="00310B4D">
        <w:rPr>
          <w:b/>
          <w:bCs/>
        </w:rPr>
        <w:t>prend note</w:t>
      </w:r>
      <w:r w:rsidRPr="00310B4D">
        <w:t xml:space="preserve"> du </w:t>
      </w:r>
      <w:r w:rsidR="007604A0" w:rsidRPr="00310B4D">
        <w:t>D</w:t>
      </w:r>
      <w:r w:rsidRPr="00310B4D">
        <w:t>ocument C23/61.</w:t>
      </w:r>
    </w:p>
    <w:p w14:paraId="6DB5AE54" w14:textId="1BC1A60D" w:rsidR="00625A33" w:rsidRPr="00310B4D" w:rsidRDefault="00683EB5" w:rsidP="00F15C09">
      <w:r w:rsidRPr="00310B4D">
        <w:t>4.11</w:t>
      </w:r>
      <w:r w:rsidR="007604A0" w:rsidRPr="00310B4D">
        <w:tab/>
      </w:r>
      <w:r w:rsidRPr="00310B4D">
        <w:t xml:space="preserve">Le président </w:t>
      </w:r>
      <w:r w:rsidR="00C071E0" w:rsidRPr="00310B4D">
        <w:t>propose</w:t>
      </w:r>
      <w:r w:rsidRPr="00310B4D">
        <w:t xml:space="preserve"> qu'un groupe ad hoc, présidé par l'Arabie saoudite, soit créé pour poursuivre l</w:t>
      </w:r>
      <w:r w:rsidR="00F3080C" w:rsidRPr="00310B4D">
        <w:t>es</w:t>
      </w:r>
      <w:r w:rsidRPr="00310B4D">
        <w:t xml:space="preserve"> discussion</w:t>
      </w:r>
      <w:r w:rsidR="00F3080C" w:rsidRPr="00310B4D">
        <w:t>s</w:t>
      </w:r>
      <w:r w:rsidRPr="00310B4D">
        <w:t xml:space="preserve"> sur les contributions présentées.</w:t>
      </w:r>
    </w:p>
    <w:p w14:paraId="1EF98493" w14:textId="3AB22289" w:rsidR="00625A33" w:rsidRPr="00310B4D" w:rsidRDefault="00683EB5" w:rsidP="00F15C09">
      <w:r w:rsidRPr="00310B4D">
        <w:t>4.12</w:t>
      </w:r>
      <w:r w:rsidR="007604A0" w:rsidRPr="00310B4D">
        <w:tab/>
      </w:r>
      <w:r w:rsidR="00C071E0" w:rsidRPr="00310B4D">
        <w:t xml:space="preserve">Il en est ainsi </w:t>
      </w:r>
      <w:r w:rsidR="00C071E0" w:rsidRPr="00310B4D">
        <w:rPr>
          <w:b/>
          <w:bCs/>
        </w:rPr>
        <w:t>décidé</w:t>
      </w:r>
      <w:r w:rsidRPr="00310B4D">
        <w:t>.</w:t>
      </w:r>
    </w:p>
    <w:p w14:paraId="153D2F5D" w14:textId="12CF2FAA" w:rsidR="00625A33" w:rsidRDefault="00683EB5" w:rsidP="00F15C09">
      <w:pPr>
        <w:tabs>
          <w:tab w:val="clear" w:pos="567"/>
          <w:tab w:val="clear" w:pos="1134"/>
          <w:tab w:val="clear" w:pos="1701"/>
          <w:tab w:val="clear" w:pos="2268"/>
          <w:tab w:val="clear" w:pos="2835"/>
          <w:tab w:val="left" w:pos="7088"/>
        </w:tabs>
        <w:spacing w:before="840"/>
      </w:pPr>
      <w:r w:rsidRPr="00310B4D">
        <w:t xml:space="preserve">La Secrétaire générale </w:t>
      </w:r>
      <w:r w:rsidR="00C071E0" w:rsidRPr="00310B4D">
        <w:tab/>
      </w:r>
      <w:r w:rsidRPr="00310B4D">
        <w:t>Le Président</w:t>
      </w:r>
      <w:r w:rsidRPr="00310B4D">
        <w:br/>
        <w:t xml:space="preserve">D. BOGDAN MARTIN </w:t>
      </w:r>
      <w:r w:rsidR="00C071E0" w:rsidRPr="00310B4D">
        <w:tab/>
      </w:r>
      <w:r w:rsidRPr="00310B4D">
        <w:t>C. MARTINEZ</w:t>
      </w:r>
    </w:p>
    <w:p w14:paraId="4CCB1F3A" w14:textId="79D88675" w:rsidR="007C0E10" w:rsidRPr="00310B4D" w:rsidRDefault="007C0E10" w:rsidP="007C0E10">
      <w:pPr>
        <w:tabs>
          <w:tab w:val="clear" w:pos="567"/>
          <w:tab w:val="clear" w:pos="1134"/>
          <w:tab w:val="clear" w:pos="1701"/>
          <w:tab w:val="clear" w:pos="2268"/>
          <w:tab w:val="clear" w:pos="2835"/>
          <w:tab w:val="left" w:pos="7088"/>
        </w:tabs>
        <w:spacing w:before="840"/>
        <w:jc w:val="center"/>
      </w:pPr>
      <w:r>
        <w:t>______________________</w:t>
      </w:r>
    </w:p>
    <w:sectPr w:rsidR="007C0E10" w:rsidRPr="00310B4D">
      <w:headerReference w:type="even" r:id="rId37"/>
      <w:footerReference w:type="even" r:id="rId38"/>
      <w:footerReference w:type="default" r:id="rId39"/>
      <w:headerReference w:type="first" r:id="rId40"/>
      <w:footerReference w:type="first" r:id="rId4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BB6E8" w14:textId="77777777" w:rsidR="008A0E57" w:rsidRDefault="008A0E57">
      <w:r>
        <w:separator/>
      </w:r>
    </w:p>
  </w:endnote>
  <w:endnote w:type="continuationSeparator" w:id="0">
    <w:p w14:paraId="62A3429F" w14:textId="77777777" w:rsidR="008A0E57" w:rsidRDefault="008A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192D57BF" w:rsidR="00625A33" w:rsidRDefault="00310B4D">
    <w:pPr>
      <w:pStyle w:val="Footer"/>
    </w:pPr>
    <w:fldSimple w:instr=" FILENAME \p \* MERGEFORMAT ">
      <w:r w:rsidR="00683EB5">
        <w:t>P:\TRAD\F\SG\CONSEIL\C23\100\107FMontage.docx</w:t>
      </w:r>
    </w:fldSimple>
    <w:r w:rsidR="00683EB5">
      <w:t xml:space="preserve"> </w:t>
    </w:r>
    <w:r w:rsidR="00683EB5">
      <w:fldChar w:fldCharType="begin"/>
    </w:r>
    <w:r w:rsidR="00683EB5">
      <w:instrText xml:space="preserve"> savedate \@ dd.MM.yy </w:instrText>
    </w:r>
    <w:r w:rsidR="00683EB5">
      <w:fldChar w:fldCharType="separate"/>
    </w:r>
    <w:r w:rsidR="006A3B0D">
      <w:rPr>
        <w:noProof/>
      </w:rPr>
      <w:t>23.08.23</w:t>
    </w:r>
    <w:r w:rsidR="00683EB5">
      <w:fldChar w:fldCharType="end"/>
    </w:r>
    <w:r w:rsidR="00683EB5">
      <w:t xml:space="preserve"> </w:t>
    </w:r>
    <w:r w:rsidR="00683EB5">
      <w:fldChar w:fldCharType="begin"/>
    </w:r>
    <w:r w:rsidR="00683EB5">
      <w:instrText xml:space="preserve"> printdate \@ dd.MM.yy </w:instrText>
    </w:r>
    <w:r w:rsidR="00683EB5">
      <w:fldChar w:fldCharType="separate"/>
    </w:r>
    <w:r w:rsidR="00683EB5">
      <w:t>18.07.00</w:t>
    </w:r>
    <w:r w:rsidR="00683EB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00C4" w14:paraId="4C87AA90" w14:textId="77777777" w:rsidTr="003200C4">
      <w:trPr>
        <w:jc w:val="center"/>
      </w:trPr>
      <w:tc>
        <w:tcPr>
          <w:tcW w:w="1803" w:type="dxa"/>
          <w:vAlign w:val="center"/>
        </w:tcPr>
        <w:p w14:paraId="2C2E77A4" w14:textId="205754CA" w:rsidR="003200C4" w:rsidRDefault="003200C4" w:rsidP="003200C4">
          <w:pPr>
            <w:pStyle w:val="Header"/>
            <w:jc w:val="left"/>
          </w:pPr>
          <w:r>
            <w:t>DPS 526724</w:t>
          </w:r>
        </w:p>
      </w:tc>
      <w:tc>
        <w:tcPr>
          <w:tcW w:w="8261" w:type="dxa"/>
        </w:tcPr>
        <w:p w14:paraId="242235DC" w14:textId="131D2590" w:rsidR="003200C4" w:rsidRDefault="003200C4" w:rsidP="003200C4">
          <w:pPr>
            <w:pStyle w:val="Header"/>
            <w:tabs>
              <w:tab w:val="left" w:pos="7070"/>
              <w:tab w:val="right" w:pos="8505"/>
              <w:tab w:val="right" w:pos="9639"/>
            </w:tabs>
            <w:jc w:val="left"/>
            <w:rPr>
              <w:bCs/>
            </w:rPr>
          </w:pPr>
          <w:r>
            <w:rPr>
              <w:bCs/>
            </w:rPr>
            <w:tab/>
          </w:r>
          <w:r w:rsidRPr="00623AE3">
            <w:rPr>
              <w:bCs/>
            </w:rPr>
            <w:t>C</w:t>
          </w:r>
          <w:r>
            <w:rPr>
              <w:bCs/>
            </w:rPr>
            <w:t>23</w:t>
          </w:r>
          <w:r w:rsidRPr="00623AE3">
            <w:rPr>
              <w:bCs/>
            </w:rPr>
            <w:t>/</w:t>
          </w:r>
          <w:r w:rsidR="00DE17E7">
            <w:rPr>
              <w:bCs/>
            </w:rPr>
            <w:t>107</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0BA722AB" w14:textId="296E184E" w:rsidR="00625A33" w:rsidRPr="007C0E10" w:rsidRDefault="00625A33">
    <w:pPr>
      <w:pStyle w:val="Footer"/>
      <w:spacing w:before="120"/>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00C4" w14:paraId="5C9C0095" w14:textId="77777777" w:rsidTr="003200C4">
      <w:trPr>
        <w:jc w:val="center"/>
      </w:trPr>
      <w:tc>
        <w:tcPr>
          <w:tcW w:w="1803" w:type="dxa"/>
          <w:vAlign w:val="center"/>
        </w:tcPr>
        <w:p w14:paraId="5151DAA0" w14:textId="77777777" w:rsidR="003200C4" w:rsidRDefault="00B542B3" w:rsidP="003200C4">
          <w:pPr>
            <w:pStyle w:val="Header"/>
            <w:jc w:val="left"/>
          </w:pPr>
          <w:hyperlink r:id="rId1" w:history="1">
            <w:r w:rsidR="003200C4">
              <w:rPr>
                <w:rStyle w:val="Hyperlink"/>
                <w:szCs w:val="14"/>
              </w:rPr>
              <w:t>www.itu.int/council</w:t>
            </w:r>
          </w:hyperlink>
        </w:p>
      </w:tc>
      <w:tc>
        <w:tcPr>
          <w:tcW w:w="8261" w:type="dxa"/>
        </w:tcPr>
        <w:p w14:paraId="26622EBE" w14:textId="1171CDE1" w:rsidR="003200C4" w:rsidRDefault="003200C4" w:rsidP="003200C4">
          <w:pPr>
            <w:pStyle w:val="Header"/>
            <w:tabs>
              <w:tab w:val="left" w:pos="7070"/>
              <w:tab w:val="right" w:pos="8505"/>
              <w:tab w:val="right" w:pos="9639"/>
            </w:tabs>
            <w:jc w:val="left"/>
            <w:rPr>
              <w:bCs/>
            </w:rPr>
          </w:pPr>
          <w:r>
            <w:rPr>
              <w:bCs/>
            </w:rPr>
            <w:tab/>
          </w:r>
          <w:r w:rsidRPr="00623AE3">
            <w:rPr>
              <w:bCs/>
            </w:rPr>
            <w:t>C</w:t>
          </w:r>
          <w:r>
            <w:rPr>
              <w:bCs/>
            </w:rPr>
            <w:t>23</w:t>
          </w:r>
          <w:r w:rsidRPr="00623AE3">
            <w:rPr>
              <w:bCs/>
            </w:rPr>
            <w:t>/</w:t>
          </w:r>
          <w:r w:rsidR="00DE17E7">
            <w:rPr>
              <w:bCs/>
            </w:rPr>
            <w:t>107</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67CF33E3" w14:textId="2391BF8C" w:rsidR="00625A33" w:rsidRPr="007C0E10" w:rsidRDefault="00625A33">
    <w:pPr>
      <w:pStyle w:val="Footer"/>
      <w:spacing w:before="120"/>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8A48" w14:textId="77777777" w:rsidR="008A0E57" w:rsidRDefault="008A0E57">
      <w:r>
        <w:t>____________________</w:t>
      </w:r>
    </w:p>
  </w:footnote>
  <w:footnote w:type="continuationSeparator" w:id="0">
    <w:p w14:paraId="38F4974C" w14:textId="77777777" w:rsidR="008A0E57" w:rsidRDefault="008A0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625A33" w:rsidRDefault="00683EB5">
    <w:pPr>
      <w:pStyle w:val="Header"/>
    </w:pPr>
    <w:r>
      <w:t xml:space="preserve">- </w:t>
    </w:r>
    <w:r>
      <w:fldChar w:fldCharType="begin"/>
    </w:r>
    <w:r>
      <w:instrText>PAGE</w:instrText>
    </w:r>
    <w:r>
      <w:fldChar w:fldCharType="separate"/>
    </w:r>
    <w:r>
      <w:t>2</w:t>
    </w:r>
    <w:r>
      <w:fldChar w:fldCharType="end"/>
    </w:r>
    <w:r>
      <w:t xml:space="preserve"> -</w:t>
    </w:r>
  </w:p>
  <w:p w14:paraId="40E3D5AC" w14:textId="77777777" w:rsidR="00625A33" w:rsidRDefault="00683EB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625A33" w14:paraId="33F25067" w14:textId="77777777">
      <w:trPr>
        <w:trHeight w:val="1104"/>
        <w:jc w:val="center"/>
      </w:trPr>
      <w:tc>
        <w:tcPr>
          <w:tcW w:w="4390" w:type="dxa"/>
          <w:vAlign w:val="center"/>
        </w:tcPr>
        <w:p w14:paraId="113CB22E" w14:textId="77777777" w:rsidR="00625A33" w:rsidRDefault="00683EB5">
          <w:pPr>
            <w:pStyle w:val="Header"/>
            <w:jc w:val="left"/>
            <w:rPr>
              <w:rFonts w:ascii="Arial" w:hAnsi="Arial" w:cs="Arial"/>
              <w:b/>
              <w:bCs/>
              <w:color w:val="009CD6"/>
              <w:sz w:val="36"/>
              <w:szCs w:val="36"/>
            </w:rPr>
          </w:pPr>
          <w:r>
            <w:rPr>
              <w:noProof/>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625A33" w:rsidRDefault="00625A33">
          <w:pPr>
            <w:pStyle w:val="Header"/>
            <w:jc w:val="right"/>
            <w:rPr>
              <w:rFonts w:ascii="Arial" w:hAnsi="Arial" w:cs="Arial"/>
              <w:b/>
              <w:bCs/>
              <w:color w:val="009CD6"/>
              <w:szCs w:val="18"/>
            </w:rPr>
          </w:pPr>
        </w:p>
        <w:p w14:paraId="7F7AE11D" w14:textId="77777777" w:rsidR="00625A33" w:rsidRDefault="00625A33">
          <w:pPr>
            <w:pStyle w:val="Header"/>
            <w:jc w:val="right"/>
            <w:rPr>
              <w:rFonts w:ascii="Arial" w:hAnsi="Arial" w:cs="Arial"/>
              <w:b/>
              <w:bCs/>
              <w:color w:val="009CD6"/>
              <w:szCs w:val="18"/>
            </w:rPr>
          </w:pPr>
        </w:p>
        <w:p w14:paraId="281B21F4" w14:textId="77777777" w:rsidR="00625A33" w:rsidRDefault="00683EB5">
          <w:pPr>
            <w:pStyle w:val="Header"/>
            <w:jc w:val="right"/>
            <w:rPr>
              <w:rFonts w:ascii="Arial" w:hAnsi="Arial" w:cs="Arial"/>
              <w:color w:val="009CD6"/>
              <w:szCs w:val="18"/>
            </w:rPr>
          </w:pPr>
          <w:r>
            <w:rPr>
              <w:rFonts w:ascii="Arial" w:hAnsi="Arial" w:cs="Arial"/>
              <w:b/>
              <w:bCs/>
              <w:color w:val="009CD6"/>
              <w:szCs w:val="18"/>
            </w:rPr>
            <w:t xml:space="preserve"> </w:t>
          </w:r>
        </w:p>
      </w:tc>
    </w:tr>
  </w:tbl>
  <w:p w14:paraId="7203532F" w14:textId="77777777" w:rsidR="00625A33" w:rsidRDefault="00683EB5">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33"/>
    <w:rsid w:val="00041C99"/>
    <w:rsid w:val="0004583F"/>
    <w:rsid w:val="000A5918"/>
    <w:rsid w:val="000C3531"/>
    <w:rsid w:val="000D1C29"/>
    <w:rsid w:val="00106D68"/>
    <w:rsid w:val="00202152"/>
    <w:rsid w:val="00310B4D"/>
    <w:rsid w:val="003200C4"/>
    <w:rsid w:val="003D56DB"/>
    <w:rsid w:val="00423A3C"/>
    <w:rsid w:val="004F046C"/>
    <w:rsid w:val="00590DCC"/>
    <w:rsid w:val="005C1194"/>
    <w:rsid w:val="00614267"/>
    <w:rsid w:val="00625A33"/>
    <w:rsid w:val="00657B4D"/>
    <w:rsid w:val="00683EB5"/>
    <w:rsid w:val="006A3B0D"/>
    <w:rsid w:val="007604A0"/>
    <w:rsid w:val="007C0E10"/>
    <w:rsid w:val="007C7528"/>
    <w:rsid w:val="007E16E4"/>
    <w:rsid w:val="007F6E04"/>
    <w:rsid w:val="00832D78"/>
    <w:rsid w:val="008A0E57"/>
    <w:rsid w:val="009378F5"/>
    <w:rsid w:val="0097605D"/>
    <w:rsid w:val="009770A1"/>
    <w:rsid w:val="00981BD6"/>
    <w:rsid w:val="009B4431"/>
    <w:rsid w:val="00A17B6A"/>
    <w:rsid w:val="00A3727F"/>
    <w:rsid w:val="00A6552B"/>
    <w:rsid w:val="00A833C6"/>
    <w:rsid w:val="00A8677E"/>
    <w:rsid w:val="00A947CE"/>
    <w:rsid w:val="00AB65CF"/>
    <w:rsid w:val="00B542B3"/>
    <w:rsid w:val="00B91FB8"/>
    <w:rsid w:val="00B957D9"/>
    <w:rsid w:val="00C071E0"/>
    <w:rsid w:val="00C42BF9"/>
    <w:rsid w:val="00C50526"/>
    <w:rsid w:val="00C75EAE"/>
    <w:rsid w:val="00C77EE7"/>
    <w:rsid w:val="00CC50AC"/>
    <w:rsid w:val="00D37E62"/>
    <w:rsid w:val="00DB00E7"/>
    <w:rsid w:val="00DE17E7"/>
    <w:rsid w:val="00EC31C1"/>
    <w:rsid w:val="00F0151B"/>
    <w:rsid w:val="00F15C09"/>
    <w:rsid w:val="00F3080C"/>
    <w:rsid w:val="00F923F3"/>
    <w:rsid w:val="00FB6B2E"/>
    <w:rsid w:val="00FC2DD3"/>
    <w:rsid w:val="00FD3324"/>
    <w:rsid w:val="00FD65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Pr>
      <w:rFonts w:ascii="Calibri" w:hAnsi="Calibri"/>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pPr>
      <w:spacing w:before="240"/>
    </w:p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pPr>
      <w:tabs>
        <w:tab w:val="left" w:pos="1276"/>
      </w:tabs>
      <w:spacing w:before="199"/>
      <w:ind w:left="1701" w:hanging="1701"/>
    </w:pPr>
    <w:rPr>
      <w:caps/>
    </w:rPr>
  </w:style>
  <w:style w:type="paragraph" w:customStyle="1" w:styleId="Reasons">
    <w:name w:val="Reasons"/>
    <w:basedOn w:val="Normal"/>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left" w:pos="709"/>
      </w:tabs>
      <w:spacing w:before="0"/>
      <w:ind w:left="709" w:hanging="709"/>
    </w:pPr>
  </w:style>
  <w:style w:type="paragraph" w:customStyle="1" w:styleId="Source">
    <w:name w:val="Source"/>
    <w:basedOn w:val="Normal"/>
    <w:next w:val="Title1"/>
    <w:pPr>
      <w:spacing w:before="840"/>
      <w:jc w:val="center"/>
    </w:pPr>
    <w:rPr>
      <w:b/>
      <w:sz w:val="28"/>
    </w:rPr>
  </w:style>
  <w:style w:type="paragraph" w:customStyle="1" w:styleId="Object">
    <w:name w:val="Object"/>
    <w:basedOn w:val="Subject"/>
    <w:next w:val="Subject"/>
  </w:style>
  <w:style w:type="paragraph" w:customStyle="1" w:styleId="Data">
    <w:name w:val="Data"/>
    <w:basedOn w:val="Subject"/>
    <w:next w:val="Subject"/>
  </w:style>
  <w:style w:type="paragraph" w:customStyle="1" w:styleId="Headingb">
    <w:name w:val="Heading_b"/>
    <w:basedOn w:val="Heading3"/>
    <w:next w:val="Normal"/>
    <w:pPr>
      <w:spacing w:before="160"/>
      <w:outlineLvl w:val="0"/>
    </w:pPr>
  </w:style>
  <w:style w:type="paragraph" w:customStyle="1" w:styleId="Title1">
    <w:name w:val="Title 1"/>
    <w:basedOn w:val="Source"/>
    <w:next w:val="Title2"/>
    <w:pPr>
      <w:spacing w:before="240"/>
    </w:pPr>
    <w:rPr>
      <w:b w:val="0"/>
      <w:caps/>
    </w:rPr>
  </w:style>
  <w:style w:type="paragraph" w:customStyle="1" w:styleId="dnum">
    <w:name w:val="dnum"/>
    <w:basedOn w:val="Normal"/>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Pr>
      <w:caps w:val="0"/>
    </w:rPr>
  </w:style>
  <w:style w:type="paragraph" w:customStyle="1" w:styleId="Note">
    <w:name w:val="Note"/>
    <w:basedOn w:val="Normal"/>
    <w:pPr>
      <w:spacing w:before="80"/>
    </w:pPr>
  </w:style>
  <w:style w:type="paragraph" w:styleId="TOC9">
    <w:name w:val="toc 9"/>
    <w:basedOn w:val="Normal"/>
    <w:next w:val="Normal"/>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rPr>
      <w:sz w:val="28"/>
    </w:r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Equationlegend">
    <w:name w:val="Equation_legend"/>
    <w:basedOn w:val="NormalIndent"/>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legend">
    <w:name w:val="Figure_legend"/>
    <w:basedOn w:val="Normal"/>
    <w:pPr>
      <w:spacing w:before="20" w:after="20"/>
    </w:pPr>
    <w:rPr>
      <w:sz w:val="18"/>
    </w:rPr>
  </w:style>
  <w:style w:type="paragraph" w:customStyle="1" w:styleId="TableNo">
    <w:name w:val="Table_No"/>
    <w:basedOn w:val="Normal"/>
    <w:next w:val="Tabletitle"/>
    <w:pPr>
      <w:keepNext/>
      <w:spacing w:before="560" w:after="120"/>
      <w:jc w:val="center"/>
    </w:pPr>
    <w:rPr>
      <w:caps/>
    </w:r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pPr>
      <w:spacing w:before="240" w:after="480"/>
    </w:p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ref">
    <w:name w:val="Res_ref"/>
    <w:basedOn w:val="Recref"/>
    <w:next w:val="Resdate"/>
  </w:style>
  <w:style w:type="paragraph" w:customStyle="1" w:styleId="Restitle">
    <w:name w:val="Res_title"/>
    <w:basedOn w:val="Annextitle"/>
    <w:next w:val="Normal"/>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FigureNo">
    <w:name w:val="Figure_No"/>
    <w:basedOn w:val="Normal"/>
    <w:next w:val="Figuretitle"/>
    <w:pPr>
      <w:keepNext/>
      <w:keepLines/>
      <w:spacing w:before="240" w:after="120"/>
      <w:jc w:val="center"/>
    </w:pPr>
    <w:rPr>
      <w:caps/>
    </w:rPr>
  </w:style>
  <w:style w:type="paragraph" w:customStyle="1" w:styleId="firstfooter0">
    <w:name w:val="firstfooter"/>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Pr>
      <w:rFonts w:ascii="Calibri" w:hAnsi="Calibri"/>
      <w:sz w:val="18"/>
      <w:lang w:val="fr-FR" w:eastAsia="en-US"/>
    </w:rPr>
  </w:style>
  <w:style w:type="table" w:styleId="TableGrid">
    <w:name w:val="Table Grid"/>
    <w:basedOn w:val="TableNormal"/>
    <w:uiPriority w:val="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hAnsi="Calibri"/>
      <w:sz w:val="24"/>
      <w:lang w:val="fr-FR" w:eastAsia="en-US"/>
    </w:rPr>
  </w:style>
  <w:style w:type="character"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semiHidden/>
    <w:unhideWhenUsed/>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4812">
      <w:bodyDiv w:val="1"/>
      <w:marLeft w:val="0"/>
      <w:marRight w:val="0"/>
      <w:marTop w:val="0"/>
      <w:marBottom w:val="0"/>
      <w:divBdr>
        <w:top w:val="none" w:sz="0" w:space="0" w:color="auto"/>
        <w:left w:val="none" w:sz="0" w:space="0" w:color="auto"/>
        <w:bottom w:val="none" w:sz="0" w:space="0" w:color="auto"/>
        <w:right w:val="none" w:sz="0" w:space="0" w:color="auto"/>
      </w:divBdr>
    </w:div>
    <w:div w:id="36439770">
      <w:bodyDiv w:val="1"/>
      <w:marLeft w:val="0"/>
      <w:marRight w:val="0"/>
      <w:marTop w:val="0"/>
      <w:marBottom w:val="0"/>
      <w:divBdr>
        <w:top w:val="none" w:sz="0" w:space="0" w:color="auto"/>
        <w:left w:val="none" w:sz="0" w:space="0" w:color="auto"/>
        <w:bottom w:val="none" w:sz="0" w:space="0" w:color="auto"/>
        <w:right w:val="none" w:sz="0" w:space="0" w:color="auto"/>
      </w:divBdr>
    </w:div>
    <w:div w:id="343944373">
      <w:bodyDiv w:val="1"/>
      <w:marLeft w:val="0"/>
      <w:marRight w:val="0"/>
      <w:marTop w:val="0"/>
      <w:marBottom w:val="0"/>
      <w:divBdr>
        <w:top w:val="none" w:sz="0" w:space="0" w:color="auto"/>
        <w:left w:val="none" w:sz="0" w:space="0" w:color="auto"/>
        <w:bottom w:val="none" w:sz="0" w:space="0" w:color="auto"/>
        <w:right w:val="none" w:sz="0" w:space="0" w:color="auto"/>
      </w:divBdr>
    </w:div>
    <w:div w:id="737633253">
      <w:bodyDiv w:val="1"/>
      <w:marLeft w:val="0"/>
      <w:marRight w:val="0"/>
      <w:marTop w:val="0"/>
      <w:marBottom w:val="0"/>
      <w:divBdr>
        <w:top w:val="none" w:sz="0" w:space="0" w:color="auto"/>
        <w:left w:val="none" w:sz="0" w:space="0" w:color="auto"/>
        <w:bottom w:val="none" w:sz="0" w:space="0" w:color="auto"/>
        <w:right w:val="none" w:sz="0" w:space="0" w:color="auto"/>
      </w:divBdr>
    </w:div>
    <w:div w:id="839930602">
      <w:bodyDiv w:val="1"/>
      <w:marLeft w:val="0"/>
      <w:marRight w:val="0"/>
      <w:marTop w:val="0"/>
      <w:marBottom w:val="0"/>
      <w:divBdr>
        <w:top w:val="none" w:sz="0" w:space="0" w:color="auto"/>
        <w:left w:val="none" w:sz="0" w:space="0" w:color="auto"/>
        <w:bottom w:val="none" w:sz="0" w:space="0" w:color="auto"/>
        <w:right w:val="none" w:sz="0" w:space="0" w:color="auto"/>
      </w:divBdr>
    </w:div>
    <w:div w:id="1408917943">
      <w:bodyDiv w:val="1"/>
      <w:marLeft w:val="0"/>
      <w:marRight w:val="0"/>
      <w:marTop w:val="0"/>
      <w:marBottom w:val="0"/>
      <w:divBdr>
        <w:top w:val="none" w:sz="0" w:space="0" w:color="auto"/>
        <w:left w:val="none" w:sz="0" w:space="0" w:color="auto"/>
        <w:bottom w:val="none" w:sz="0" w:space="0" w:color="auto"/>
        <w:right w:val="none" w:sz="0" w:space="0" w:color="auto"/>
      </w:divBdr>
    </w:div>
    <w:div w:id="1626621609">
      <w:bodyDiv w:val="1"/>
      <w:marLeft w:val="0"/>
      <w:marRight w:val="0"/>
      <w:marTop w:val="0"/>
      <w:marBottom w:val="0"/>
      <w:divBdr>
        <w:top w:val="none" w:sz="0" w:space="0" w:color="auto"/>
        <w:left w:val="none" w:sz="0" w:space="0" w:color="auto"/>
        <w:bottom w:val="none" w:sz="0" w:space="0" w:color="auto"/>
        <w:right w:val="none" w:sz="0" w:space="0" w:color="auto"/>
      </w:divBdr>
    </w:div>
    <w:div w:id="1743210922">
      <w:bodyDiv w:val="1"/>
      <w:marLeft w:val="0"/>
      <w:marRight w:val="0"/>
      <w:marTop w:val="0"/>
      <w:marBottom w:val="0"/>
      <w:divBdr>
        <w:top w:val="none" w:sz="0" w:space="0" w:color="auto"/>
        <w:left w:val="none" w:sz="0" w:space="0" w:color="auto"/>
        <w:bottom w:val="none" w:sz="0" w:space="0" w:color="auto"/>
        <w:right w:val="none" w:sz="0" w:space="0" w:color="auto"/>
      </w:divBdr>
    </w:div>
    <w:div w:id="1844393073">
      <w:bodyDiv w:val="1"/>
      <w:marLeft w:val="0"/>
      <w:marRight w:val="0"/>
      <w:marTop w:val="0"/>
      <w:marBottom w:val="0"/>
      <w:divBdr>
        <w:top w:val="none" w:sz="0" w:space="0" w:color="auto"/>
        <w:left w:val="none" w:sz="0" w:space="0" w:color="auto"/>
        <w:bottom w:val="none" w:sz="0" w:space="0" w:color="auto"/>
        <w:right w:val="none" w:sz="0" w:space="0" w:color="auto"/>
      </w:divBdr>
    </w:div>
    <w:div w:id="20952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49/en" TargetMode="External"/><Relationship Id="rId18" Type="http://schemas.openxmlformats.org/officeDocument/2006/relationships/hyperlink" Target="https://www.itu.int/md/S23-CL-C-0083/en" TargetMode="External"/><Relationship Id="rId26" Type="http://schemas.openxmlformats.org/officeDocument/2006/relationships/hyperlink" Target="https://www.itu.int/md/S23-CL-C-0073/en" TargetMode="External"/><Relationship Id="rId39" Type="http://schemas.openxmlformats.org/officeDocument/2006/relationships/footer" Target="footer2.xml"/><Relationship Id="rId21" Type="http://schemas.openxmlformats.org/officeDocument/2006/relationships/hyperlink" Target="https://www.itu.int/md/S23-CL-C-0100/en" TargetMode="External"/><Relationship Id="rId34" Type="http://schemas.openxmlformats.org/officeDocument/2006/relationships/hyperlink" Target="https://www.itu.int/md/S23-CL-C-0083/en" TargetMode="External"/><Relationship Id="rId42" Type="http://schemas.openxmlformats.org/officeDocument/2006/relationships/fontTable" Target="fontTable.xml"/><Relationship Id="rId7" Type="http://schemas.openxmlformats.org/officeDocument/2006/relationships/hyperlink" Target="https://www.itu.int/md/S23-CL-C-0084/en" TargetMode="External"/><Relationship Id="rId2" Type="http://schemas.openxmlformats.org/officeDocument/2006/relationships/settings" Target="settings.xml"/><Relationship Id="rId16" Type="http://schemas.openxmlformats.org/officeDocument/2006/relationships/hyperlink" Target="https://www.itu.int/md/S23-CL-C-0071/en" TargetMode="External"/><Relationship Id="rId20" Type="http://schemas.openxmlformats.org/officeDocument/2006/relationships/hyperlink" Target="https://www.itu.int/md/S23-CL-C-0096/en" TargetMode="External"/><Relationship Id="rId29" Type="http://schemas.openxmlformats.org/officeDocument/2006/relationships/hyperlink" Target="https://www.itu.int/md/S23-CL-C-0049/en"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itu.int/md/S23-CL-C-0004/en" TargetMode="External"/><Relationship Id="rId11" Type="http://schemas.openxmlformats.org/officeDocument/2006/relationships/hyperlink" Target="https://www.itu.int/md/S23-CL-C-0077/en" TargetMode="External"/><Relationship Id="rId24" Type="http://schemas.openxmlformats.org/officeDocument/2006/relationships/hyperlink" Target="https://www.itu.int/md/S23-CL-C-0012/en" TargetMode="External"/><Relationship Id="rId32" Type="http://schemas.openxmlformats.org/officeDocument/2006/relationships/hyperlink" Target="https://www.itu.int/md/S23-CL-C-0071/en"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itu.int/md/S23-CL-C-0061/en" TargetMode="External"/><Relationship Id="rId23" Type="http://schemas.openxmlformats.org/officeDocument/2006/relationships/hyperlink" Target="https://www.itu.int/md/S23-CL-C-0084/en" TargetMode="External"/><Relationship Id="rId28" Type="http://schemas.openxmlformats.org/officeDocument/2006/relationships/hyperlink" Target="https://www.itu.int/md/S23-CL-C-0088/en" TargetMode="External"/><Relationship Id="rId36" Type="http://schemas.openxmlformats.org/officeDocument/2006/relationships/hyperlink" Target="https://www.itu.int/md/S23-CL-C-0096/en" TargetMode="External"/><Relationship Id="rId10" Type="http://schemas.openxmlformats.org/officeDocument/2006/relationships/hyperlink" Target="https://www.itu.int/md/S23-CL-C-0073/en" TargetMode="External"/><Relationship Id="rId19" Type="http://schemas.openxmlformats.org/officeDocument/2006/relationships/hyperlink" Target="https://www.itu.int/md/S23-CL-C-0085/en" TargetMode="External"/><Relationship Id="rId31" Type="http://schemas.openxmlformats.org/officeDocument/2006/relationships/hyperlink" Target="https://www.itu.int/md/S23-CL-C-0061/en" TargetMode="External"/><Relationship Id="rId4" Type="http://schemas.openxmlformats.org/officeDocument/2006/relationships/footnotes" Target="footnotes.xml"/><Relationship Id="rId9" Type="http://schemas.openxmlformats.org/officeDocument/2006/relationships/hyperlink" Target="https://www.itu.int/md/S23-CL-C-0066/en" TargetMode="External"/><Relationship Id="rId14" Type="http://schemas.openxmlformats.org/officeDocument/2006/relationships/hyperlink" Target="https://www.itu.int/md/S23-CL-C-0074/en" TargetMode="External"/><Relationship Id="rId22" Type="http://schemas.openxmlformats.org/officeDocument/2006/relationships/hyperlink" Target="https://www.itu.int/md/S23-CL-C-0004/en" TargetMode="External"/><Relationship Id="rId27" Type="http://schemas.openxmlformats.org/officeDocument/2006/relationships/hyperlink" Target="https://www.itu.int/md/S23-CL-C-0077/en" TargetMode="External"/><Relationship Id="rId30" Type="http://schemas.openxmlformats.org/officeDocument/2006/relationships/hyperlink" Target="https://www.itu.int/md/S23-CL-C-0074/en" TargetMode="External"/><Relationship Id="rId35" Type="http://schemas.openxmlformats.org/officeDocument/2006/relationships/hyperlink" Target="https://www.itu.int/md/S23-CL-C-0085/en" TargetMode="External"/><Relationship Id="rId43" Type="http://schemas.openxmlformats.org/officeDocument/2006/relationships/theme" Target="theme/theme1.xml"/><Relationship Id="rId8" Type="http://schemas.openxmlformats.org/officeDocument/2006/relationships/hyperlink" Target="https://www.itu.int/md/S23-CL-C-0012/en" TargetMode="External"/><Relationship Id="rId3" Type="http://schemas.openxmlformats.org/officeDocument/2006/relationships/webSettings" Target="webSettings.xml"/><Relationship Id="rId12" Type="http://schemas.openxmlformats.org/officeDocument/2006/relationships/hyperlink" Target="https://www.itu.int/md/S23-CL-C-0088/en" TargetMode="External"/><Relationship Id="rId17" Type="http://schemas.openxmlformats.org/officeDocument/2006/relationships/hyperlink" Target="https://www.itu.int/md/S23-CL-C-0081/en" TargetMode="External"/><Relationship Id="rId25" Type="http://schemas.openxmlformats.org/officeDocument/2006/relationships/hyperlink" Target="https://www.itu.int/md/S23-CL-C-0066/en" TargetMode="External"/><Relationship Id="rId33" Type="http://schemas.openxmlformats.org/officeDocument/2006/relationships/hyperlink" Target="https://www.itu.int/md/S23-CL-C-0081/en" TargetMode="External"/><Relationship Id="rId38"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3705</Words>
  <Characters>21962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25616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deuxième Séance plénière</dc:title>
  <dc:subject>Conseil 2023</dc:subject>
  <dc:creator>Xue, Kun</dc:creator>
  <cp:keywords>C2023, C23, Council-23</cp:keywords>
  <dc:description/>
  <cp:lastModifiedBy>Xue, Kun</cp:lastModifiedBy>
  <cp:revision>4</cp:revision>
  <cp:lastPrinted>2000-07-18T08:55:00Z</cp:lastPrinted>
  <dcterms:created xsi:type="dcterms:W3CDTF">2023-09-01T15:53:00Z</dcterms:created>
  <dcterms:modified xsi:type="dcterms:W3CDTF">2023-09-01T15:55:00Z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