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50930" w14:paraId="2592CC74" w14:textId="77777777" w:rsidTr="00D72F49">
        <w:trPr>
          <w:cantSplit/>
          <w:trHeight w:val="23"/>
        </w:trPr>
        <w:tc>
          <w:tcPr>
            <w:tcW w:w="3969" w:type="dxa"/>
            <w:vMerge w:val="restart"/>
            <w:tcMar>
              <w:left w:w="0" w:type="dxa"/>
            </w:tcMar>
          </w:tcPr>
          <w:p w14:paraId="27E56DEB" w14:textId="51A05439" w:rsidR="00D72F49" w:rsidRPr="00050930" w:rsidRDefault="00D72F49" w:rsidP="001B22E8">
            <w:pPr>
              <w:tabs>
                <w:tab w:val="left" w:pos="851"/>
              </w:tabs>
              <w:spacing w:before="0"/>
              <w:rPr>
                <w:b/>
              </w:rPr>
            </w:pPr>
          </w:p>
        </w:tc>
        <w:tc>
          <w:tcPr>
            <w:tcW w:w="5245" w:type="dxa"/>
          </w:tcPr>
          <w:p w14:paraId="27B6A98A" w14:textId="01D23FC7" w:rsidR="00D72F49" w:rsidRPr="00050930" w:rsidRDefault="00D72F49" w:rsidP="001B22E8">
            <w:pPr>
              <w:tabs>
                <w:tab w:val="left" w:pos="851"/>
              </w:tabs>
              <w:spacing w:before="0"/>
              <w:jc w:val="right"/>
              <w:rPr>
                <w:b/>
              </w:rPr>
            </w:pPr>
            <w:r w:rsidRPr="00050930">
              <w:rPr>
                <w:b/>
              </w:rPr>
              <w:t>Document C23/</w:t>
            </w:r>
            <w:r w:rsidR="003B7BDC" w:rsidRPr="00050930">
              <w:rPr>
                <w:b/>
              </w:rPr>
              <w:t>106</w:t>
            </w:r>
            <w:r w:rsidRPr="00050930">
              <w:rPr>
                <w:b/>
              </w:rPr>
              <w:t>-F</w:t>
            </w:r>
          </w:p>
        </w:tc>
      </w:tr>
      <w:tr w:rsidR="00D72F49" w:rsidRPr="00050930" w14:paraId="41096C77" w14:textId="77777777" w:rsidTr="00D72F49">
        <w:trPr>
          <w:cantSplit/>
        </w:trPr>
        <w:tc>
          <w:tcPr>
            <w:tcW w:w="3969" w:type="dxa"/>
            <w:vMerge/>
          </w:tcPr>
          <w:p w14:paraId="0BBA5643" w14:textId="77777777" w:rsidR="00D72F49" w:rsidRPr="00050930" w:rsidRDefault="00D72F49" w:rsidP="001B22E8">
            <w:pPr>
              <w:tabs>
                <w:tab w:val="left" w:pos="851"/>
              </w:tabs>
              <w:rPr>
                <w:b/>
              </w:rPr>
            </w:pPr>
          </w:p>
        </w:tc>
        <w:tc>
          <w:tcPr>
            <w:tcW w:w="5245" w:type="dxa"/>
          </w:tcPr>
          <w:p w14:paraId="068BECD5" w14:textId="4A362319" w:rsidR="00D72F49" w:rsidRPr="00050930" w:rsidRDefault="00B01F7B" w:rsidP="001B22E8">
            <w:pPr>
              <w:tabs>
                <w:tab w:val="left" w:pos="851"/>
              </w:tabs>
              <w:spacing w:before="0"/>
              <w:jc w:val="right"/>
              <w:rPr>
                <w:b/>
              </w:rPr>
            </w:pPr>
            <w:r w:rsidRPr="00B01F7B">
              <w:rPr>
                <w:b/>
              </w:rPr>
              <w:t>1 septembre 2023</w:t>
            </w:r>
          </w:p>
        </w:tc>
      </w:tr>
      <w:tr w:rsidR="00D72F49" w:rsidRPr="00050930" w14:paraId="17E5B988" w14:textId="77777777" w:rsidTr="00D72F49">
        <w:trPr>
          <w:cantSplit/>
          <w:trHeight w:val="23"/>
        </w:trPr>
        <w:tc>
          <w:tcPr>
            <w:tcW w:w="3969" w:type="dxa"/>
            <w:vMerge/>
          </w:tcPr>
          <w:p w14:paraId="2192D6D7" w14:textId="77777777" w:rsidR="00D72F49" w:rsidRPr="00050930" w:rsidRDefault="00D72F49" w:rsidP="001B22E8">
            <w:pPr>
              <w:tabs>
                <w:tab w:val="left" w:pos="851"/>
              </w:tabs>
              <w:rPr>
                <w:b/>
              </w:rPr>
            </w:pPr>
          </w:p>
        </w:tc>
        <w:tc>
          <w:tcPr>
            <w:tcW w:w="5245" w:type="dxa"/>
          </w:tcPr>
          <w:p w14:paraId="1948C622" w14:textId="77777777" w:rsidR="00D72F49" w:rsidRPr="00050930" w:rsidRDefault="00D72F49" w:rsidP="001B22E8">
            <w:pPr>
              <w:tabs>
                <w:tab w:val="left" w:pos="851"/>
              </w:tabs>
              <w:spacing w:before="0"/>
              <w:jc w:val="right"/>
              <w:rPr>
                <w:b/>
              </w:rPr>
            </w:pPr>
            <w:proofErr w:type="gramStart"/>
            <w:r w:rsidRPr="00050930">
              <w:rPr>
                <w:b/>
              </w:rPr>
              <w:t>Original:</w:t>
            </w:r>
            <w:proofErr w:type="gramEnd"/>
            <w:r w:rsidRPr="00050930">
              <w:rPr>
                <w:b/>
              </w:rPr>
              <w:t xml:space="preserve"> anglais</w:t>
            </w:r>
          </w:p>
        </w:tc>
      </w:tr>
      <w:tr w:rsidR="00D72F49" w:rsidRPr="00050930" w14:paraId="53623BEE" w14:textId="77777777" w:rsidTr="00D72F49">
        <w:trPr>
          <w:cantSplit/>
          <w:trHeight w:val="23"/>
        </w:trPr>
        <w:tc>
          <w:tcPr>
            <w:tcW w:w="3969" w:type="dxa"/>
          </w:tcPr>
          <w:p w14:paraId="630B4C34" w14:textId="77777777" w:rsidR="00D72F49" w:rsidRPr="00050930" w:rsidRDefault="00D72F49" w:rsidP="001B22E8">
            <w:pPr>
              <w:tabs>
                <w:tab w:val="left" w:pos="851"/>
              </w:tabs>
              <w:rPr>
                <w:b/>
              </w:rPr>
            </w:pPr>
          </w:p>
        </w:tc>
        <w:tc>
          <w:tcPr>
            <w:tcW w:w="5245" w:type="dxa"/>
          </w:tcPr>
          <w:p w14:paraId="437750C4" w14:textId="77777777" w:rsidR="00D72F49" w:rsidRPr="00050930" w:rsidRDefault="00D72F49" w:rsidP="001B22E8">
            <w:pPr>
              <w:tabs>
                <w:tab w:val="left" w:pos="851"/>
              </w:tabs>
              <w:spacing w:before="0"/>
              <w:jc w:val="right"/>
              <w:rPr>
                <w:b/>
              </w:rPr>
            </w:pPr>
          </w:p>
        </w:tc>
      </w:tr>
      <w:tr w:rsidR="00D72F49" w:rsidRPr="00050930" w14:paraId="31FFA2A5" w14:textId="77777777" w:rsidTr="00D72F49">
        <w:trPr>
          <w:cantSplit/>
        </w:trPr>
        <w:tc>
          <w:tcPr>
            <w:tcW w:w="9214" w:type="dxa"/>
            <w:gridSpan w:val="2"/>
            <w:tcMar>
              <w:left w:w="0" w:type="dxa"/>
            </w:tcMar>
          </w:tcPr>
          <w:p w14:paraId="4D9D9D7D" w14:textId="77777777" w:rsidR="003B7BDC" w:rsidRPr="00050930" w:rsidRDefault="003B7BDC" w:rsidP="001B22E8">
            <w:pPr>
              <w:pStyle w:val="Title1"/>
              <w:rPr>
                <w:rFonts w:eastAsia="MS Mincho"/>
              </w:rPr>
            </w:pPr>
            <w:r w:rsidRPr="00050930">
              <w:rPr>
                <w:rFonts w:eastAsia="MS Mincho"/>
              </w:rPr>
              <w:t>COMPTE RENDU</w:t>
            </w:r>
          </w:p>
          <w:p w14:paraId="32AFB614" w14:textId="77777777" w:rsidR="003B7BDC" w:rsidRPr="00050930" w:rsidRDefault="003B7BDC" w:rsidP="001B22E8">
            <w:pPr>
              <w:pStyle w:val="Title1"/>
              <w:rPr>
                <w:rFonts w:eastAsia="MS Mincho"/>
              </w:rPr>
            </w:pPr>
            <w:r w:rsidRPr="00050930">
              <w:rPr>
                <w:rFonts w:eastAsia="MS Mincho"/>
              </w:rPr>
              <w:t>DE LA</w:t>
            </w:r>
          </w:p>
          <w:p w14:paraId="7AA1F34C" w14:textId="19E8E5CD" w:rsidR="00D72F49" w:rsidRPr="00050930" w:rsidRDefault="003B7BDC" w:rsidP="001B22E8">
            <w:pPr>
              <w:pStyle w:val="Title1"/>
              <w:rPr>
                <w:sz w:val="34"/>
                <w:szCs w:val="34"/>
              </w:rPr>
            </w:pPr>
            <w:r w:rsidRPr="00050930">
              <w:rPr>
                <w:rFonts w:eastAsia="MS Mincho"/>
              </w:rPr>
              <w:t>PREMIÈRE SÉANCE PLÉNIÈRE</w:t>
            </w:r>
          </w:p>
        </w:tc>
      </w:tr>
      <w:tr w:rsidR="00D72F49" w:rsidRPr="00050930" w14:paraId="65E7E3D8" w14:textId="77777777" w:rsidTr="003B7BDC">
        <w:trPr>
          <w:cantSplit/>
        </w:trPr>
        <w:tc>
          <w:tcPr>
            <w:tcW w:w="9214" w:type="dxa"/>
            <w:gridSpan w:val="2"/>
            <w:tcMar>
              <w:left w:w="0" w:type="dxa"/>
            </w:tcMar>
          </w:tcPr>
          <w:p w14:paraId="370F6D7B" w14:textId="5DB387BF" w:rsidR="00D72F49" w:rsidRPr="00050930" w:rsidRDefault="003B7BDC" w:rsidP="001B22E8">
            <w:pPr>
              <w:pStyle w:val="Title1"/>
              <w:rPr>
                <w:sz w:val="24"/>
                <w:szCs w:val="24"/>
              </w:rPr>
            </w:pPr>
            <w:bookmarkStart w:id="0" w:name="lt_pId012"/>
            <w:r w:rsidRPr="00050930">
              <w:rPr>
                <w:sz w:val="24"/>
                <w:szCs w:val="24"/>
              </w:rPr>
              <w:t>M</w:t>
            </w:r>
            <w:r w:rsidRPr="00050930">
              <w:rPr>
                <w:caps w:val="0"/>
                <w:sz w:val="24"/>
                <w:szCs w:val="24"/>
              </w:rPr>
              <w:t xml:space="preserve">ercredi 12 juillet 2023, de 14 h 30 à 17 </w:t>
            </w:r>
            <w:bookmarkEnd w:id="0"/>
            <w:r w:rsidRPr="00050930">
              <w:rPr>
                <w:caps w:val="0"/>
                <w:sz w:val="24"/>
                <w:szCs w:val="24"/>
              </w:rPr>
              <w:t>h 35</w:t>
            </w:r>
          </w:p>
        </w:tc>
      </w:tr>
      <w:tr w:rsidR="003B7BDC" w:rsidRPr="00050930" w14:paraId="3E0DE484" w14:textId="77777777" w:rsidTr="003B7BDC">
        <w:trPr>
          <w:cantSplit/>
        </w:trPr>
        <w:tc>
          <w:tcPr>
            <w:tcW w:w="9214" w:type="dxa"/>
            <w:gridSpan w:val="2"/>
            <w:tcBorders>
              <w:bottom w:val="single" w:sz="4" w:space="0" w:color="auto"/>
            </w:tcBorders>
            <w:tcMar>
              <w:left w:w="0" w:type="dxa"/>
            </w:tcMar>
          </w:tcPr>
          <w:p w14:paraId="29BFCC50" w14:textId="09E28F20" w:rsidR="003B7BDC" w:rsidRPr="00050930" w:rsidRDefault="003B7BDC" w:rsidP="001B22E8">
            <w:pPr>
              <w:spacing w:after="120"/>
              <w:jc w:val="center"/>
            </w:pPr>
            <w:proofErr w:type="gramStart"/>
            <w:r w:rsidRPr="00050930">
              <w:rPr>
                <w:b/>
                <w:bCs/>
              </w:rPr>
              <w:t>Président</w:t>
            </w:r>
            <w:r w:rsidRPr="00050930">
              <w:rPr>
                <w:bCs/>
              </w:rPr>
              <w:t>:</w:t>
            </w:r>
            <w:proofErr w:type="gramEnd"/>
            <w:r w:rsidRPr="00050930">
              <w:rPr>
                <w:bCs/>
              </w:rPr>
              <w:t xml:space="preserve"> M. C. MARTINEZ (Paraguay)</w:t>
            </w:r>
          </w:p>
        </w:tc>
      </w:tr>
    </w:tbl>
    <w:p w14:paraId="10E850D2" w14:textId="77777777" w:rsidR="00A51849" w:rsidRPr="00050930" w:rsidRDefault="00A51849" w:rsidP="001B22E8"/>
    <w:tbl>
      <w:tblPr>
        <w:tblW w:w="5079" w:type="pct"/>
        <w:tblInd w:w="426" w:type="dxa"/>
        <w:tblLook w:val="0000" w:firstRow="0" w:lastRow="0" w:firstColumn="0" w:lastColumn="0" w:noHBand="0" w:noVBand="0"/>
      </w:tblPr>
      <w:tblGrid>
        <w:gridCol w:w="338"/>
        <w:gridCol w:w="6483"/>
        <w:gridCol w:w="2393"/>
      </w:tblGrid>
      <w:tr w:rsidR="00B811C7" w:rsidRPr="00050930" w14:paraId="493FCEBD" w14:textId="77777777" w:rsidTr="00B811C7">
        <w:tc>
          <w:tcPr>
            <w:tcW w:w="154" w:type="pct"/>
          </w:tcPr>
          <w:p w14:paraId="5984B50B" w14:textId="77777777" w:rsidR="003B7BDC" w:rsidRPr="00050930" w:rsidRDefault="003B7BDC" w:rsidP="001B22E8">
            <w:pPr>
              <w:rPr>
                <w:b/>
                <w:bCs/>
              </w:rPr>
            </w:pPr>
            <w:r w:rsidRPr="00050930">
              <w:rPr>
                <w:b/>
                <w:bCs/>
              </w:rPr>
              <w:br w:type="page"/>
            </w:r>
            <w:r w:rsidRPr="00050930">
              <w:rPr>
                <w:b/>
                <w:bCs/>
              </w:rPr>
              <w:br w:type="page"/>
            </w:r>
          </w:p>
        </w:tc>
        <w:tc>
          <w:tcPr>
            <w:tcW w:w="3547" w:type="pct"/>
          </w:tcPr>
          <w:p w14:paraId="53225AFC" w14:textId="77777777" w:rsidR="003B7BDC" w:rsidRPr="00050930" w:rsidRDefault="003B7BDC" w:rsidP="001B22E8">
            <w:pPr>
              <w:rPr>
                <w:b/>
                <w:bCs/>
              </w:rPr>
            </w:pPr>
            <w:r w:rsidRPr="00050930">
              <w:rPr>
                <w:b/>
                <w:bCs/>
              </w:rPr>
              <w:t>Sujets traités</w:t>
            </w:r>
          </w:p>
        </w:tc>
        <w:tc>
          <w:tcPr>
            <w:tcW w:w="1299" w:type="pct"/>
          </w:tcPr>
          <w:p w14:paraId="68095647" w14:textId="77777777" w:rsidR="003B7BDC" w:rsidRPr="00050930" w:rsidRDefault="003B7BDC" w:rsidP="001B22E8">
            <w:pPr>
              <w:jc w:val="center"/>
              <w:rPr>
                <w:b/>
                <w:bCs/>
              </w:rPr>
            </w:pPr>
            <w:r w:rsidRPr="00050930">
              <w:rPr>
                <w:b/>
                <w:bCs/>
              </w:rPr>
              <w:t>Documents</w:t>
            </w:r>
          </w:p>
        </w:tc>
      </w:tr>
      <w:tr w:rsidR="00B811C7" w:rsidRPr="00050930" w14:paraId="2151330D" w14:textId="77777777" w:rsidTr="00B811C7">
        <w:tc>
          <w:tcPr>
            <w:tcW w:w="154" w:type="pct"/>
          </w:tcPr>
          <w:p w14:paraId="2FEB068C" w14:textId="77777777" w:rsidR="003B7BDC" w:rsidRPr="00050930" w:rsidRDefault="003B7BDC" w:rsidP="001B22E8">
            <w:r w:rsidRPr="00050930">
              <w:t>1</w:t>
            </w:r>
          </w:p>
        </w:tc>
        <w:tc>
          <w:tcPr>
            <w:tcW w:w="3547" w:type="pct"/>
          </w:tcPr>
          <w:p w14:paraId="6666F330" w14:textId="0A8AC6EB" w:rsidR="003B7BDC" w:rsidRPr="00050930" w:rsidRDefault="003B7BDC" w:rsidP="001B22E8">
            <w:r w:rsidRPr="00050930">
              <w:t xml:space="preserve">Accélérer la mise en œuvre du </w:t>
            </w:r>
            <w:r w:rsidR="004D47CB" w:rsidRPr="00050930">
              <w:t>P</w:t>
            </w:r>
            <w:r w:rsidRPr="00050930">
              <w:t>lan stratégique de l'UIT pour la période 2024-2027</w:t>
            </w:r>
            <w:r w:rsidR="00445CBD" w:rsidRPr="00050930">
              <w:t xml:space="preserve"> et</w:t>
            </w:r>
            <w:r w:rsidRPr="00050930">
              <w:t xml:space="preserve"> feuille de route pour la transformation en vue d'atteindre l'excellence institutionnelle</w:t>
            </w:r>
            <w:r w:rsidR="00C06EBC" w:rsidRPr="00050930">
              <w:t xml:space="preserve"> (suite)</w:t>
            </w:r>
          </w:p>
        </w:tc>
        <w:tc>
          <w:tcPr>
            <w:tcW w:w="1299" w:type="pct"/>
          </w:tcPr>
          <w:p w14:paraId="168C5979" w14:textId="6B3BFC0D" w:rsidR="003B7BDC" w:rsidRPr="00050930" w:rsidRDefault="00000000" w:rsidP="001B22E8">
            <w:pPr>
              <w:jc w:val="center"/>
              <w:rPr>
                <w:szCs w:val="24"/>
              </w:rPr>
            </w:pPr>
            <w:hyperlink r:id="rId6" w:history="1">
              <w:r w:rsidR="003B7BDC" w:rsidRPr="00050930">
                <w:rPr>
                  <w:rStyle w:val="Hyperlink"/>
                  <w:szCs w:val="24"/>
                </w:rPr>
                <w:t>C23/36</w:t>
              </w:r>
            </w:hyperlink>
            <w:r w:rsidR="003B7BDC" w:rsidRPr="00050930">
              <w:rPr>
                <w:szCs w:val="24"/>
              </w:rPr>
              <w:t xml:space="preserve">, </w:t>
            </w:r>
            <w:hyperlink r:id="rId7" w:history="1">
              <w:r w:rsidR="003B7BDC" w:rsidRPr="00050930">
                <w:rPr>
                  <w:rStyle w:val="Hyperlink"/>
                  <w:szCs w:val="24"/>
                </w:rPr>
                <w:t>C23/52</w:t>
              </w:r>
            </w:hyperlink>
            <w:r w:rsidR="003B7BDC" w:rsidRPr="00050930">
              <w:rPr>
                <w:szCs w:val="24"/>
              </w:rPr>
              <w:t xml:space="preserve">, </w:t>
            </w:r>
            <w:hyperlink r:id="rId8" w:history="1">
              <w:r w:rsidR="003B7BDC" w:rsidRPr="00050930">
                <w:rPr>
                  <w:rStyle w:val="Hyperlink"/>
                  <w:szCs w:val="24"/>
                </w:rPr>
                <w:t>C23/72(Rév.1)+Corr.1</w:t>
              </w:r>
            </w:hyperlink>
            <w:r w:rsidR="003B7BDC" w:rsidRPr="00050930">
              <w:rPr>
                <w:szCs w:val="24"/>
              </w:rPr>
              <w:t xml:space="preserve">, </w:t>
            </w:r>
            <w:hyperlink r:id="rId9" w:history="1">
              <w:r w:rsidR="003B7BDC" w:rsidRPr="00050930">
                <w:rPr>
                  <w:rStyle w:val="Hyperlink"/>
                  <w:szCs w:val="24"/>
                </w:rPr>
                <w:t>C23/90</w:t>
              </w:r>
            </w:hyperlink>
          </w:p>
        </w:tc>
      </w:tr>
      <w:tr w:rsidR="00B811C7" w:rsidRPr="00050930" w14:paraId="634B5BC0" w14:textId="77777777" w:rsidTr="00B811C7">
        <w:tc>
          <w:tcPr>
            <w:tcW w:w="154" w:type="pct"/>
          </w:tcPr>
          <w:p w14:paraId="43204720" w14:textId="77777777" w:rsidR="003B7BDC" w:rsidRPr="00050930" w:rsidRDefault="003B7BDC" w:rsidP="001B22E8">
            <w:r w:rsidRPr="00050930">
              <w:t>2</w:t>
            </w:r>
          </w:p>
        </w:tc>
        <w:tc>
          <w:tcPr>
            <w:tcW w:w="3547" w:type="pct"/>
          </w:tcPr>
          <w:p w14:paraId="48556274" w14:textId="7DEDA4F5" w:rsidR="003B7BDC" w:rsidRPr="00050930" w:rsidRDefault="003B7BDC" w:rsidP="001B22E8">
            <w:r w:rsidRPr="00050930">
              <w:t>Lieu précis et dates exactes de l'</w:t>
            </w:r>
            <w:r w:rsidR="004D47CB" w:rsidRPr="00050930">
              <w:t>A</w:t>
            </w:r>
            <w:r w:rsidRPr="00050930">
              <w:t>ssemblée mondiale de normalisation des télécommunications de 2024 et point</w:t>
            </w:r>
            <w:r w:rsidR="00533E8F" w:rsidRPr="00050930">
              <w:t xml:space="preserve"> </w:t>
            </w:r>
            <w:r w:rsidRPr="00050930">
              <w:t>sur les travaux préparatoires</w:t>
            </w:r>
          </w:p>
        </w:tc>
        <w:tc>
          <w:tcPr>
            <w:tcW w:w="1299" w:type="pct"/>
          </w:tcPr>
          <w:p w14:paraId="0EAECF17" w14:textId="5AB3E78E" w:rsidR="003B7BDC" w:rsidRPr="00050930" w:rsidRDefault="00000000" w:rsidP="001B22E8">
            <w:pPr>
              <w:jc w:val="center"/>
              <w:rPr>
                <w:szCs w:val="24"/>
              </w:rPr>
            </w:pPr>
            <w:hyperlink r:id="rId10" w:history="1">
              <w:r w:rsidR="003B7BDC" w:rsidRPr="00050930">
                <w:rPr>
                  <w:rStyle w:val="Hyperlink"/>
                  <w:szCs w:val="24"/>
                </w:rPr>
                <w:t>C23/24</w:t>
              </w:r>
            </w:hyperlink>
          </w:p>
        </w:tc>
      </w:tr>
      <w:tr w:rsidR="00B811C7" w:rsidRPr="00050930" w14:paraId="013656FD" w14:textId="77777777" w:rsidTr="001B22E8">
        <w:tc>
          <w:tcPr>
            <w:tcW w:w="154" w:type="pct"/>
          </w:tcPr>
          <w:p w14:paraId="5D0BD001" w14:textId="77777777" w:rsidR="003B7BDC" w:rsidRPr="00050930" w:rsidRDefault="003B7BDC" w:rsidP="001B22E8">
            <w:r w:rsidRPr="00050930">
              <w:t>3</w:t>
            </w:r>
          </w:p>
        </w:tc>
        <w:tc>
          <w:tcPr>
            <w:tcW w:w="3547" w:type="pct"/>
          </w:tcPr>
          <w:p w14:paraId="2937AEDA" w14:textId="1E7A6D62" w:rsidR="003B7BDC" w:rsidRPr="00050930" w:rsidRDefault="00533E8F" w:rsidP="001B22E8">
            <w:r w:rsidRPr="00050930">
              <w:t>Travaux préparatoires en vue de l'Assemblée des radiocommunications de 2023 et de la Conférence mondiale des radiocommunications de 2023</w:t>
            </w:r>
          </w:p>
        </w:tc>
        <w:tc>
          <w:tcPr>
            <w:tcW w:w="1299" w:type="pct"/>
          </w:tcPr>
          <w:p w14:paraId="583B97AB" w14:textId="6C95BC57" w:rsidR="003B7BDC" w:rsidRPr="00050930" w:rsidRDefault="00000000" w:rsidP="001B22E8">
            <w:pPr>
              <w:jc w:val="center"/>
              <w:rPr>
                <w:szCs w:val="24"/>
              </w:rPr>
            </w:pPr>
            <w:hyperlink r:id="rId11" w:history="1">
              <w:r w:rsidR="003B7BDC" w:rsidRPr="00050930">
                <w:rPr>
                  <w:rStyle w:val="Hyperlink"/>
                  <w:szCs w:val="24"/>
                </w:rPr>
                <w:t>C23/31</w:t>
              </w:r>
            </w:hyperlink>
          </w:p>
        </w:tc>
      </w:tr>
      <w:tr w:rsidR="00B811C7" w:rsidRPr="00050930" w14:paraId="584E98AE" w14:textId="77777777" w:rsidTr="001B22E8">
        <w:tc>
          <w:tcPr>
            <w:tcW w:w="154" w:type="pct"/>
            <w:tcBorders>
              <w:bottom w:val="single" w:sz="4" w:space="0" w:color="auto"/>
            </w:tcBorders>
          </w:tcPr>
          <w:p w14:paraId="1CB3CF8D" w14:textId="77777777" w:rsidR="003B7BDC" w:rsidRPr="00050930" w:rsidRDefault="003B7BDC" w:rsidP="001B22E8">
            <w:r w:rsidRPr="00050930">
              <w:t>4</w:t>
            </w:r>
          </w:p>
        </w:tc>
        <w:tc>
          <w:tcPr>
            <w:tcW w:w="3547" w:type="pct"/>
            <w:tcBorders>
              <w:bottom w:val="single" w:sz="4" w:space="0" w:color="auto"/>
            </w:tcBorders>
          </w:tcPr>
          <w:p w14:paraId="392E0B12" w14:textId="30E8C1B1" w:rsidR="003B7BDC" w:rsidRPr="00050930" w:rsidRDefault="00533E8F" w:rsidP="001B22E8">
            <w:pPr>
              <w:spacing w:after="120"/>
            </w:pPr>
            <w:r w:rsidRPr="00050930">
              <w:t>Transfert du bureau de zone de Tegucigalpa à Panama</w:t>
            </w:r>
          </w:p>
        </w:tc>
        <w:tc>
          <w:tcPr>
            <w:tcW w:w="1299" w:type="pct"/>
            <w:tcBorders>
              <w:bottom w:val="single" w:sz="4" w:space="0" w:color="auto"/>
            </w:tcBorders>
          </w:tcPr>
          <w:p w14:paraId="366B9562" w14:textId="6056EEE9" w:rsidR="003B7BDC" w:rsidRPr="00050930" w:rsidRDefault="00000000" w:rsidP="001B22E8">
            <w:pPr>
              <w:jc w:val="center"/>
              <w:rPr>
                <w:szCs w:val="24"/>
              </w:rPr>
            </w:pPr>
            <w:hyperlink r:id="rId12" w:history="1">
              <w:r w:rsidR="003B7BDC" w:rsidRPr="00050930">
                <w:rPr>
                  <w:rStyle w:val="Hyperlink"/>
                  <w:szCs w:val="24"/>
                </w:rPr>
                <w:t>C23/64</w:t>
              </w:r>
            </w:hyperlink>
            <w:r w:rsidR="003B7BDC" w:rsidRPr="00050930">
              <w:rPr>
                <w:szCs w:val="24"/>
              </w:rPr>
              <w:t xml:space="preserve">, </w:t>
            </w:r>
            <w:hyperlink r:id="rId13" w:history="1">
              <w:r w:rsidR="003B7BDC" w:rsidRPr="00050930">
                <w:rPr>
                  <w:rStyle w:val="Hyperlink"/>
                  <w:szCs w:val="24"/>
                </w:rPr>
                <w:t>C23/65</w:t>
              </w:r>
            </w:hyperlink>
          </w:p>
        </w:tc>
      </w:tr>
    </w:tbl>
    <w:p w14:paraId="3B7150AC" w14:textId="77777777" w:rsidR="00A51849" w:rsidRPr="00050930" w:rsidRDefault="00A51849" w:rsidP="001B22E8">
      <w:pPr>
        <w:tabs>
          <w:tab w:val="clear" w:pos="567"/>
          <w:tab w:val="clear" w:pos="1134"/>
          <w:tab w:val="clear" w:pos="1701"/>
          <w:tab w:val="clear" w:pos="2268"/>
          <w:tab w:val="clear" w:pos="2835"/>
        </w:tabs>
        <w:overflowPunct/>
        <w:autoSpaceDE/>
        <w:autoSpaceDN/>
        <w:adjustRightInd/>
        <w:spacing w:before="0"/>
        <w:textAlignment w:val="auto"/>
      </w:pPr>
      <w:r w:rsidRPr="00050930">
        <w:br w:type="page"/>
      </w:r>
    </w:p>
    <w:p w14:paraId="05309BCC" w14:textId="061AFBCF" w:rsidR="00897553" w:rsidRPr="00050930" w:rsidRDefault="001C5CBC" w:rsidP="001B22E8">
      <w:pPr>
        <w:pStyle w:val="Heading1"/>
        <w:rPr>
          <w:rFonts w:asciiTheme="minorHAnsi" w:hAnsiTheme="minorHAnsi" w:cstheme="minorHAnsi"/>
          <w:bCs/>
          <w:szCs w:val="24"/>
        </w:rPr>
      </w:pPr>
      <w:r w:rsidRPr="00050930">
        <w:lastRenderedPageBreak/>
        <w:t>1</w:t>
      </w:r>
      <w:r w:rsidRPr="00050930">
        <w:tab/>
        <w:t>Accélérer la mise en œuvre du plan stratégique de l'UIT pour la période</w:t>
      </w:r>
      <w:r w:rsidR="0019491E" w:rsidRPr="00050930">
        <w:t> </w:t>
      </w:r>
      <w:r w:rsidRPr="00050930">
        <w:t>2024-2027</w:t>
      </w:r>
      <w:r w:rsidR="004D47CB" w:rsidRPr="00050930">
        <w:t xml:space="preserve"> et</w:t>
      </w:r>
      <w:r w:rsidR="00C06EBC" w:rsidRPr="00050930">
        <w:t xml:space="preserve"> </w:t>
      </w:r>
      <w:r w:rsidRPr="00050930">
        <w:t>feuille de route pour la transformation en vue d'atteindre l'excellence institutionnelle</w:t>
      </w:r>
      <w:r w:rsidR="002F3756" w:rsidRPr="00050930">
        <w:t xml:space="preserve"> </w:t>
      </w:r>
      <w:r w:rsidRPr="00050930">
        <w:rPr>
          <w:rFonts w:asciiTheme="minorHAnsi" w:hAnsiTheme="minorHAnsi" w:cstheme="minorHAnsi"/>
          <w:bCs/>
          <w:szCs w:val="24"/>
        </w:rPr>
        <w:t>(Documents </w:t>
      </w:r>
      <w:hyperlink r:id="rId14" w:history="1">
        <w:r w:rsidRPr="00050930">
          <w:rPr>
            <w:rStyle w:val="Hyperlink"/>
            <w:rFonts w:asciiTheme="minorHAnsi" w:hAnsiTheme="minorHAnsi" w:cstheme="minorHAnsi"/>
            <w:bCs/>
            <w:szCs w:val="24"/>
          </w:rPr>
          <w:t>C23/36</w:t>
        </w:r>
      </w:hyperlink>
      <w:r w:rsidRPr="00050930">
        <w:rPr>
          <w:rFonts w:asciiTheme="minorHAnsi" w:hAnsiTheme="minorHAnsi" w:cstheme="minorHAnsi"/>
          <w:bCs/>
          <w:szCs w:val="24"/>
        </w:rPr>
        <w:t xml:space="preserve">, </w:t>
      </w:r>
      <w:hyperlink r:id="rId15" w:history="1">
        <w:r w:rsidRPr="00050930">
          <w:rPr>
            <w:rStyle w:val="Hyperlink"/>
            <w:rFonts w:asciiTheme="minorHAnsi" w:hAnsiTheme="minorHAnsi" w:cstheme="minorHAnsi"/>
            <w:bCs/>
            <w:szCs w:val="24"/>
          </w:rPr>
          <w:t>C23/52</w:t>
        </w:r>
      </w:hyperlink>
      <w:r w:rsidRPr="00050930">
        <w:rPr>
          <w:rFonts w:asciiTheme="minorHAnsi" w:hAnsiTheme="minorHAnsi" w:cstheme="minorHAnsi"/>
          <w:bCs/>
          <w:szCs w:val="24"/>
        </w:rPr>
        <w:t xml:space="preserve">, </w:t>
      </w:r>
      <w:hyperlink r:id="rId16" w:history="1">
        <w:r w:rsidRPr="00050930">
          <w:rPr>
            <w:rStyle w:val="Hyperlink"/>
            <w:rFonts w:asciiTheme="minorHAnsi" w:hAnsiTheme="minorHAnsi" w:cstheme="minorHAnsi"/>
            <w:bCs/>
            <w:szCs w:val="24"/>
          </w:rPr>
          <w:t>C23/72(R</w:t>
        </w:r>
        <w:r w:rsidRPr="00050930">
          <w:rPr>
            <w:rStyle w:val="Hyperlink"/>
            <w:rFonts w:asciiTheme="minorHAnsi" w:hAnsiTheme="minorHAnsi" w:cstheme="minorHAnsi"/>
            <w:szCs w:val="24"/>
          </w:rPr>
          <w:t>é</w:t>
        </w:r>
        <w:r w:rsidRPr="00050930">
          <w:rPr>
            <w:rStyle w:val="Hyperlink"/>
            <w:rFonts w:asciiTheme="minorHAnsi" w:hAnsiTheme="minorHAnsi" w:cstheme="minorHAnsi"/>
            <w:bCs/>
            <w:szCs w:val="24"/>
          </w:rPr>
          <w:t>v.1)+Corr.1</w:t>
        </w:r>
      </w:hyperlink>
      <w:r w:rsidRPr="00050930">
        <w:rPr>
          <w:rFonts w:asciiTheme="minorHAnsi" w:hAnsiTheme="minorHAnsi" w:cstheme="minorHAnsi"/>
          <w:bCs/>
          <w:szCs w:val="24"/>
        </w:rPr>
        <w:t xml:space="preserve"> et </w:t>
      </w:r>
      <w:hyperlink r:id="rId17" w:history="1">
        <w:r w:rsidRPr="00050930">
          <w:rPr>
            <w:rStyle w:val="Hyperlink"/>
            <w:rFonts w:asciiTheme="minorHAnsi" w:hAnsiTheme="minorHAnsi" w:cstheme="minorHAnsi"/>
            <w:bCs/>
            <w:szCs w:val="24"/>
          </w:rPr>
          <w:t>C23/90</w:t>
        </w:r>
      </w:hyperlink>
      <w:r w:rsidRPr="00050930">
        <w:rPr>
          <w:rFonts w:asciiTheme="minorHAnsi" w:hAnsiTheme="minorHAnsi" w:cstheme="minorHAnsi"/>
          <w:bCs/>
          <w:szCs w:val="24"/>
        </w:rPr>
        <w:t>)</w:t>
      </w:r>
    </w:p>
    <w:p w14:paraId="0C9CAD53" w14:textId="765FDBA1" w:rsidR="001C5CBC" w:rsidRPr="00050930" w:rsidRDefault="001C5CBC" w:rsidP="001B22E8">
      <w:r w:rsidRPr="00050930">
        <w:t>1.1</w:t>
      </w:r>
      <w:r w:rsidRPr="00050930">
        <w:tab/>
      </w:r>
      <w:r w:rsidR="00747918" w:rsidRPr="00050930">
        <w:t>Plusieurs conseillers</w:t>
      </w:r>
      <w:r w:rsidR="003B53EF" w:rsidRPr="00050930">
        <w:t xml:space="preserve"> </w:t>
      </w:r>
      <w:r w:rsidR="00C815E2" w:rsidRPr="00050930">
        <w:t>accueillent</w:t>
      </w:r>
      <w:r w:rsidR="003B53EF" w:rsidRPr="00050930">
        <w:t xml:space="preserve"> favorablement la feuille de route pour la transformation proposée dans le</w:t>
      </w:r>
      <w:r w:rsidRPr="00050930">
        <w:t xml:space="preserve"> Document C23/52</w:t>
      </w:r>
      <w:r w:rsidR="003B53EF" w:rsidRPr="00050930">
        <w:t xml:space="preserve">, en ce qu'elle est opportune et importante, et </w:t>
      </w:r>
      <w:r w:rsidR="00D0045F" w:rsidRPr="00050930">
        <w:t>qu'elle apportera</w:t>
      </w:r>
      <w:r w:rsidR="00FF04BC" w:rsidRPr="00050930">
        <w:t xml:space="preserve"> d</w:t>
      </w:r>
      <w:r w:rsidR="00D0045F" w:rsidRPr="00050930">
        <w:t xml:space="preserve">es </w:t>
      </w:r>
      <w:r w:rsidR="003B53EF" w:rsidRPr="00050930">
        <w:t xml:space="preserve">avantages à long terme pour tous. </w:t>
      </w:r>
      <w:r w:rsidR="00FD2B19" w:rsidRPr="00050930">
        <w:t>En am</w:t>
      </w:r>
      <w:r w:rsidR="00DB4012" w:rsidRPr="00050930">
        <w:t>é</w:t>
      </w:r>
      <w:r w:rsidR="00FD2B19" w:rsidRPr="00050930">
        <w:t>liorant la transparence, l'efficacité, la responsabil</w:t>
      </w:r>
      <w:r w:rsidR="00DB4012" w:rsidRPr="00050930">
        <w:t xml:space="preserve">isation </w:t>
      </w:r>
      <w:r w:rsidR="00FD2B19" w:rsidRPr="00050930">
        <w:t>et la gestion</w:t>
      </w:r>
      <w:r w:rsidR="00FD59DE" w:rsidRPr="00050930">
        <w:t xml:space="preserve">, </w:t>
      </w:r>
      <w:r w:rsidR="00692DBF" w:rsidRPr="00050930">
        <w:t xml:space="preserve">y compris la gestion financière, </w:t>
      </w:r>
      <w:r w:rsidR="00FD59DE" w:rsidRPr="00050930">
        <w:t xml:space="preserve">il sera possible de mieux servir les intérêts des États Membres et de les aider à atteindre leurs objectifs. Les organisations doivent s'adapter pour </w:t>
      </w:r>
      <w:r w:rsidR="008A1BA4" w:rsidRPr="00050930">
        <w:t>garder leur</w:t>
      </w:r>
      <w:r w:rsidR="00FD59DE" w:rsidRPr="00050930">
        <w:t xml:space="preserve"> pertinence </w:t>
      </w:r>
      <w:r w:rsidR="007C2CA1" w:rsidRPr="00050930">
        <w:t xml:space="preserve">et </w:t>
      </w:r>
      <w:r w:rsidR="00F07241" w:rsidRPr="00050930">
        <w:t>résister</w:t>
      </w:r>
      <w:r w:rsidR="00A10C26" w:rsidRPr="00050930">
        <w:t xml:space="preserve"> à l'épreuve du temps</w:t>
      </w:r>
      <w:r w:rsidR="00FC66D5" w:rsidRPr="00050930">
        <w:t>; les États Membres doivent être associés à l'élaboration des adaptation</w:t>
      </w:r>
      <w:r w:rsidR="00C815E2" w:rsidRPr="00050930">
        <w:t>s</w:t>
      </w:r>
      <w:r w:rsidR="00FC66D5" w:rsidRPr="00050930">
        <w:t xml:space="preserve"> nécessaires, par </w:t>
      </w:r>
      <w:r w:rsidR="002B651F" w:rsidRPr="00050930">
        <w:t xml:space="preserve">des </w:t>
      </w:r>
      <w:r w:rsidR="00FC66D5" w:rsidRPr="00050930">
        <w:t xml:space="preserve">échanges avec la direction </w:t>
      </w:r>
      <w:r w:rsidR="00C815E2" w:rsidRPr="00050930">
        <w:t>dans le cadre</w:t>
      </w:r>
      <w:r w:rsidR="00FC66D5" w:rsidRPr="00050930">
        <w:t xml:space="preserve"> des Groupes de travail du Conseil.</w:t>
      </w:r>
    </w:p>
    <w:p w14:paraId="71B2064B" w14:textId="13D5BCED" w:rsidR="001C5CBC" w:rsidRPr="00050930" w:rsidRDefault="001C5CBC" w:rsidP="001B22E8">
      <w:r w:rsidRPr="00050930">
        <w:t>1.2</w:t>
      </w:r>
      <w:r w:rsidRPr="00050930">
        <w:tab/>
      </w:r>
      <w:r w:rsidR="0045506A" w:rsidRPr="00050930">
        <w:t xml:space="preserve">S'agissant du paragraphe 1 du document, un conseiller </w:t>
      </w:r>
      <w:r w:rsidR="00C815E2" w:rsidRPr="00050930">
        <w:t>déclare</w:t>
      </w:r>
      <w:r w:rsidR="0045506A" w:rsidRPr="00050930">
        <w:t xml:space="preserve"> </w:t>
      </w:r>
      <w:r w:rsidR="00C815E2" w:rsidRPr="00050930">
        <w:t xml:space="preserve">qu'il convient d'examiner </w:t>
      </w:r>
      <w:r w:rsidR="00F6007A" w:rsidRPr="00050930">
        <w:t>le projet de l'UIT sur la culture et les compétences</w:t>
      </w:r>
      <w:r w:rsidR="00075FAF" w:rsidRPr="00050930">
        <w:t xml:space="preserve"> à la lumière du rapport intérimaire du </w:t>
      </w:r>
      <w:r w:rsidR="008E01B4" w:rsidRPr="00050930">
        <w:t>V</w:t>
      </w:r>
      <w:r w:rsidR="00075FAF" w:rsidRPr="00050930">
        <w:t xml:space="preserve">érificateur extérieur des comptes. </w:t>
      </w:r>
      <w:r w:rsidR="00DD0070" w:rsidRPr="00050930">
        <w:t>En ce qui concerne le paragraphe 3</w:t>
      </w:r>
      <w:r w:rsidRPr="00050930">
        <w:t xml:space="preserve">, </w:t>
      </w:r>
      <w:r w:rsidR="00DD0070" w:rsidRPr="00050930">
        <w:t xml:space="preserve">le </w:t>
      </w:r>
      <w:r w:rsidRPr="00050930">
        <w:t>B</w:t>
      </w:r>
      <w:r w:rsidR="00C815E2" w:rsidRPr="00050930">
        <w:t>ureau de développement des télécommunications (BDT)</w:t>
      </w:r>
      <w:r w:rsidR="007D5B24" w:rsidRPr="00050930">
        <w:t xml:space="preserve"> est bien placé pour s'acquitter de la double responsabilité de l'UIT consistant à exécuter et à suivre des projets, en vertu de la Résolution </w:t>
      </w:r>
      <w:r w:rsidRPr="00050930">
        <w:t>157 (R</w:t>
      </w:r>
      <w:r w:rsidR="00377DCF" w:rsidRPr="00050930">
        <w:t>é</w:t>
      </w:r>
      <w:r w:rsidRPr="00050930">
        <w:t>v. Duba</w:t>
      </w:r>
      <w:r w:rsidR="00377DCF" w:rsidRPr="00050930">
        <w:t>ï</w:t>
      </w:r>
      <w:r w:rsidRPr="00050930">
        <w:t>, 2018)</w:t>
      </w:r>
      <w:r w:rsidR="00377DCF" w:rsidRPr="00050930">
        <w:t xml:space="preserve"> de la Conférence de </w:t>
      </w:r>
      <w:r w:rsidR="00C815E2" w:rsidRPr="00050930">
        <w:t>plénipotentiaires</w:t>
      </w:r>
      <w:r w:rsidR="00F40714" w:rsidRPr="00050930">
        <w:t>.</w:t>
      </w:r>
      <w:r w:rsidRPr="00050930">
        <w:t xml:space="preserve"> </w:t>
      </w:r>
      <w:r w:rsidR="00494198" w:rsidRPr="00050930">
        <w:t>Pour ce qui est du paragraphe</w:t>
      </w:r>
      <w:r w:rsidRPr="00050930">
        <w:t xml:space="preserve"> 6, </w:t>
      </w:r>
      <w:r w:rsidR="00B55E75" w:rsidRPr="00050930">
        <w:t xml:space="preserve">l'orateur </w:t>
      </w:r>
      <w:r w:rsidR="00C815E2" w:rsidRPr="00050930">
        <w:t>pose</w:t>
      </w:r>
      <w:r w:rsidR="00B55E75" w:rsidRPr="00050930">
        <w:t xml:space="preserve"> la question de savoir pourquoi l'UIT</w:t>
      </w:r>
      <w:r w:rsidR="00A35CBF" w:rsidRPr="00050930">
        <w:t xml:space="preserve"> n'a pas </w:t>
      </w:r>
      <w:r w:rsidR="008E01B4" w:rsidRPr="00050930">
        <w:t>fait appel à</w:t>
      </w:r>
      <w:r w:rsidR="00A35CBF" w:rsidRPr="00050930">
        <w:t xml:space="preserve"> des </w:t>
      </w:r>
      <w:r w:rsidR="008E01B4" w:rsidRPr="00050930">
        <w:t>entités</w:t>
      </w:r>
      <w:r w:rsidR="00A35CBF" w:rsidRPr="00050930">
        <w:t xml:space="preserve"> des Nations Unies, telles que le Centre international de calcul (CIC). </w:t>
      </w:r>
      <w:r w:rsidR="00A03C32" w:rsidRPr="00050930">
        <w:t>Il convien</w:t>
      </w:r>
      <w:r w:rsidR="008428B0" w:rsidRPr="00050930">
        <w:t>t</w:t>
      </w:r>
      <w:r w:rsidR="00A03C32" w:rsidRPr="00050930">
        <w:t xml:space="preserve"> de mettre sur pied un comité de gouvernance des TIC qui serait chargé de superviser le système de planification des ressources de l'entreprise (ERP) et de présenter des rapports à ce sujet</w:t>
      </w:r>
      <w:r w:rsidRPr="00050930">
        <w:t xml:space="preserve">, </w:t>
      </w:r>
      <w:r w:rsidR="00B856CE" w:rsidRPr="00050930">
        <w:t>et de créer un point permanent de l'ordre du jour du Conseil concernant le projet ERP et la gouvernance informatique</w:t>
      </w:r>
      <w:r w:rsidRPr="00050930">
        <w:t xml:space="preserve">. </w:t>
      </w:r>
      <w:r w:rsidR="00536FDA" w:rsidRPr="00050930">
        <w:t xml:space="preserve">En outre, le Secrétariat </w:t>
      </w:r>
      <w:r w:rsidR="00E46E4B" w:rsidRPr="00050930">
        <w:t>devra soumettre un rapport au Conseil sur la participation de l'UIT au Réseau technologi</w:t>
      </w:r>
      <w:r w:rsidR="0019491E" w:rsidRPr="00050930">
        <w:t>qu</w:t>
      </w:r>
      <w:r w:rsidR="00E46E4B" w:rsidRPr="00050930">
        <w:t xml:space="preserve">e et numérique relevant du </w:t>
      </w:r>
      <w:r w:rsidR="007B596A" w:rsidRPr="00050930">
        <w:t>Comité de haut niveau sur la gestion du Conseil des chefs de secrétariat des organismes des Nations</w:t>
      </w:r>
      <w:r w:rsidR="0019491E" w:rsidRPr="00050930">
        <w:t> </w:t>
      </w:r>
      <w:r w:rsidR="007B596A" w:rsidRPr="00050930">
        <w:t>Unies</w:t>
      </w:r>
      <w:r w:rsidRPr="00050930">
        <w:t>.</w:t>
      </w:r>
    </w:p>
    <w:p w14:paraId="55A84D7A" w14:textId="09BD86CD" w:rsidR="001C5CBC" w:rsidRPr="00050930" w:rsidRDefault="001C5CBC" w:rsidP="001B22E8">
      <w:r w:rsidRPr="00050930">
        <w:t>1.3</w:t>
      </w:r>
      <w:r w:rsidRPr="00050930">
        <w:tab/>
      </w:r>
      <w:r w:rsidR="008A265C" w:rsidRPr="00050930">
        <w:t>Plusieurs conseillers</w:t>
      </w:r>
      <w:r w:rsidR="00644DB6" w:rsidRPr="00050930">
        <w:t xml:space="preserve"> </w:t>
      </w:r>
      <w:r w:rsidR="008428B0" w:rsidRPr="00050930">
        <w:t>se déclarent</w:t>
      </w:r>
      <w:r w:rsidR="00644DB6" w:rsidRPr="00050930">
        <w:t xml:space="preserve"> favorables à la création d'un </w:t>
      </w:r>
      <w:r w:rsidR="00C80A20" w:rsidRPr="00050930">
        <w:t>B</w:t>
      </w:r>
      <w:r w:rsidR="00644DB6" w:rsidRPr="00050930">
        <w:t xml:space="preserve">ureau de la transformation </w:t>
      </w:r>
      <w:r w:rsidR="00C80A20" w:rsidRPr="00050930">
        <w:t xml:space="preserve">en vue </w:t>
      </w:r>
      <w:r w:rsidR="008A4DB2" w:rsidRPr="00050930">
        <w:t>d'appliquer</w:t>
      </w:r>
      <w:r w:rsidR="00C80A20" w:rsidRPr="00050930">
        <w:t xml:space="preserve"> les modifications proposées et d'accroître les retombées de l'Union. </w:t>
      </w:r>
      <w:r w:rsidR="009E69DD" w:rsidRPr="00050930">
        <w:t xml:space="preserve">D'autres </w:t>
      </w:r>
      <w:r w:rsidR="00C921A2" w:rsidRPr="00050930">
        <w:t>s'enquièrent</w:t>
      </w:r>
      <w:r w:rsidR="009E69DD" w:rsidRPr="00050930">
        <w:t xml:space="preserve"> des incidences financières de cette démarche, de la disponibilité des fonds et des effets sur la structure de l'UIT; </w:t>
      </w:r>
      <w:r w:rsidR="00E0585E" w:rsidRPr="00050930">
        <w:t xml:space="preserve">ils </w:t>
      </w:r>
      <w:r w:rsidR="00EB1D09" w:rsidRPr="00050930">
        <w:t>estiment</w:t>
      </w:r>
      <w:r w:rsidR="00E0585E" w:rsidRPr="00050930">
        <w:t xml:space="preserve"> qu'il fa</w:t>
      </w:r>
      <w:r w:rsidR="00BD64ED" w:rsidRPr="00050930">
        <w:t>ut</w:t>
      </w:r>
      <w:r w:rsidR="00E0585E" w:rsidRPr="00050930">
        <w:t xml:space="preserve"> </w:t>
      </w:r>
      <w:r w:rsidR="00B75837" w:rsidRPr="00050930">
        <w:t>davantage</w:t>
      </w:r>
      <w:r w:rsidR="00E0585E" w:rsidRPr="00050930">
        <w:t xml:space="preserve"> de temps et de renseignements avant d'approuver la proposition.</w:t>
      </w:r>
    </w:p>
    <w:p w14:paraId="34B12041" w14:textId="46E90A83" w:rsidR="001C5CBC" w:rsidRPr="00050930" w:rsidRDefault="001C5CBC" w:rsidP="001B22E8">
      <w:r w:rsidRPr="00050930">
        <w:t>1.4</w:t>
      </w:r>
      <w:r w:rsidRPr="00050930">
        <w:tab/>
      </w:r>
      <w:r w:rsidR="00EF0D18" w:rsidRPr="00050930">
        <w:t xml:space="preserve">Plusieurs conseillers se disent inquiets </w:t>
      </w:r>
      <w:r w:rsidR="00503AE0" w:rsidRPr="00050930">
        <w:t>des risques</w:t>
      </w:r>
      <w:r w:rsidR="0064320F" w:rsidRPr="00050930">
        <w:t xml:space="preserve"> de</w:t>
      </w:r>
      <w:r w:rsidR="00EF0D18" w:rsidRPr="00050930">
        <w:t xml:space="preserve"> chevauchement avec</w:t>
      </w:r>
      <w:r w:rsidR="0064320F" w:rsidRPr="00050930">
        <w:t xml:space="preserve"> des </w:t>
      </w:r>
      <w:r w:rsidR="00EF0D18" w:rsidRPr="00050930">
        <w:t xml:space="preserve">activités qui sont déjà en cours et demandent </w:t>
      </w:r>
      <w:r w:rsidR="00D7634D" w:rsidRPr="00050930">
        <w:t xml:space="preserve">comment les éventuels chevauchements seraient traités une fois que le projet aura démarré. </w:t>
      </w:r>
      <w:r w:rsidR="005A422A" w:rsidRPr="00050930">
        <w:t>Pour garantir une transformation efficace, il faudrait d'abord examiner et optimiser les structures et les mandats des départements existants de l'UIT.</w:t>
      </w:r>
    </w:p>
    <w:p w14:paraId="74E10BA6" w14:textId="77777777" w:rsidR="0019491E" w:rsidRPr="00050930" w:rsidRDefault="001C5CBC" w:rsidP="001B22E8">
      <w:r w:rsidRPr="00050930">
        <w:t>1.5</w:t>
      </w:r>
      <w:r w:rsidRPr="00050930">
        <w:tab/>
      </w:r>
      <w:r w:rsidR="00DF046C" w:rsidRPr="00050930">
        <w:t xml:space="preserve">Un conseiller fait observer, en ce qui concerne le </w:t>
      </w:r>
      <w:r w:rsidR="00D64951" w:rsidRPr="00050930">
        <w:t xml:space="preserve">Document </w:t>
      </w:r>
      <w:r w:rsidRPr="00050930">
        <w:t xml:space="preserve">C23/36, </w:t>
      </w:r>
      <w:r w:rsidR="005735B0" w:rsidRPr="00050930">
        <w:t xml:space="preserve">que </w:t>
      </w:r>
      <w:r w:rsidR="001A491B" w:rsidRPr="00050930">
        <w:t xml:space="preserve">les initiatives et manifestations phares </w:t>
      </w:r>
      <w:r w:rsidR="009063B4" w:rsidRPr="00050930">
        <w:t>portant sur des thèmes qui se font jour</w:t>
      </w:r>
      <w:r w:rsidR="002859E8" w:rsidRPr="00050930">
        <w:t>, parmi lesquelles</w:t>
      </w:r>
      <w:r w:rsidR="009063B4" w:rsidRPr="00050930">
        <w:t xml:space="preserve"> le Sommet </w:t>
      </w:r>
      <w:r w:rsidR="002B1C73" w:rsidRPr="00050930">
        <w:t xml:space="preserve">mondial </w:t>
      </w:r>
      <w:r w:rsidR="009063B4" w:rsidRPr="00050930">
        <w:t xml:space="preserve">sur l'intelligence artificielle au service du bien social, </w:t>
      </w:r>
      <w:r w:rsidR="00117D37" w:rsidRPr="00050930">
        <w:t>ont pour effet positif de mettre un coup</w:t>
      </w:r>
      <w:r w:rsidR="00461BEB" w:rsidRPr="00050930">
        <w:t xml:space="preserve"> de projecteur sur l'Union, lui assurent un soutien plus large et suscitent </w:t>
      </w:r>
      <w:r w:rsidR="0019491E" w:rsidRPr="00050930">
        <w:br w:type="page"/>
      </w:r>
    </w:p>
    <w:p w14:paraId="0A2F3CC7" w14:textId="79A61E30" w:rsidR="001C5CBC" w:rsidRPr="00050930" w:rsidRDefault="00461BEB" w:rsidP="001B22E8">
      <w:r w:rsidRPr="00050930">
        <w:lastRenderedPageBreak/>
        <w:t xml:space="preserve">un engagement politique. </w:t>
      </w:r>
      <w:r w:rsidR="005B2BBF" w:rsidRPr="00050930">
        <w:t xml:space="preserve">D'autres activités de ce type sont les bienvenues. Un autre conseiller ajoute que les États Membres devraient collaborer pour faire en sorte que le Plan stratégique de l'UIT pour la période 2024-2027 </w:t>
      </w:r>
      <w:r w:rsidR="005C4F8B" w:rsidRPr="00050930">
        <w:t>ait des retombées concrètes à l'échelle mondiale.</w:t>
      </w:r>
    </w:p>
    <w:p w14:paraId="513B45A1" w14:textId="63C4CEC1" w:rsidR="001C5CBC" w:rsidRPr="00050930" w:rsidRDefault="001C5CBC" w:rsidP="001B22E8">
      <w:r w:rsidRPr="00050930">
        <w:t>1.6</w:t>
      </w:r>
      <w:r w:rsidRPr="00050930">
        <w:tab/>
      </w:r>
      <w:r w:rsidR="005A4E9E" w:rsidRPr="00050930">
        <w:t>Une troisième conseillère</w:t>
      </w:r>
      <w:r w:rsidR="00C41B0E" w:rsidRPr="00050930">
        <w:t xml:space="preserve"> prend note de l'accent mis sur la transformation interne. </w:t>
      </w:r>
      <w:r w:rsidR="00E06282" w:rsidRPr="00050930">
        <w:t xml:space="preserve">Les projets et programmes conçus conjointement avec les pays et les bureaux régionaux </w:t>
      </w:r>
      <w:r w:rsidR="0035561E" w:rsidRPr="00050930">
        <w:t>permettront de garantir</w:t>
      </w:r>
      <w:r w:rsidR="004D3A8B" w:rsidRPr="00050930">
        <w:t xml:space="preserve"> </w:t>
      </w:r>
      <w:r w:rsidR="00DC3303" w:rsidRPr="00050930">
        <w:t>l</w:t>
      </w:r>
      <w:r w:rsidR="0019491E" w:rsidRPr="00050930">
        <w:t>'</w:t>
      </w:r>
      <w:r w:rsidR="00DC3303" w:rsidRPr="00050930">
        <w:t>intérêt qu</w:t>
      </w:r>
      <w:r w:rsidR="0019491E" w:rsidRPr="00050930">
        <w:t>'</w:t>
      </w:r>
      <w:r w:rsidR="00DC3303" w:rsidRPr="00050930">
        <w:t>ils présentent</w:t>
      </w:r>
      <w:r w:rsidR="004D3A8B" w:rsidRPr="00050930">
        <w:t xml:space="preserve"> pour les pays, </w:t>
      </w:r>
      <w:r w:rsidR="003A58F5" w:rsidRPr="00050930">
        <w:t>de renforcer le sentiment d'inclusion et de copropriété avec les parties prenantes</w:t>
      </w:r>
      <w:r w:rsidR="00CC7987" w:rsidRPr="00050930">
        <w:t xml:space="preserve">, de générer des avantages </w:t>
      </w:r>
      <w:r w:rsidR="002C23D5" w:rsidRPr="00050930">
        <w:t xml:space="preserve">s'agissant du partage des ressources et de mettre </w:t>
      </w:r>
      <w:r w:rsidR="00CC380E" w:rsidRPr="00050930">
        <w:t>le concept d'u</w:t>
      </w:r>
      <w:r w:rsidR="002C23D5" w:rsidRPr="00050930">
        <w:t xml:space="preserve">ne UIT unie dans l'action davantage à la portée des citoyens de chaque région. </w:t>
      </w:r>
      <w:r w:rsidR="004409FE" w:rsidRPr="00050930">
        <w:t>Plus qu'une simple organisation, l'UIT est une communauté à même de stimuler, de porter et de diriger la transformation numérique dans le monde.</w:t>
      </w:r>
    </w:p>
    <w:p w14:paraId="69EB1930" w14:textId="103CC11F" w:rsidR="001C5CBC" w:rsidRPr="00050930" w:rsidRDefault="001C5CBC" w:rsidP="001B22E8">
      <w:r w:rsidRPr="00050930">
        <w:t>1.7</w:t>
      </w:r>
      <w:r w:rsidRPr="00050930">
        <w:tab/>
      </w:r>
      <w:r w:rsidR="0064772E" w:rsidRPr="00050930">
        <w:t xml:space="preserve">Une autre conseillère fait observer que l'avènement de l'intelligence artificielle est </w:t>
      </w:r>
      <w:r w:rsidR="00581866" w:rsidRPr="00050930">
        <w:t xml:space="preserve">une </w:t>
      </w:r>
      <w:r w:rsidR="00997716" w:rsidRPr="00050930">
        <w:t>véritable r</w:t>
      </w:r>
      <w:r w:rsidR="00F65ACD" w:rsidRPr="00050930">
        <w:t>é</w:t>
      </w:r>
      <w:r w:rsidR="00997716" w:rsidRPr="00050930">
        <w:t>volution</w:t>
      </w:r>
      <w:r w:rsidR="00F65ACD" w:rsidRPr="00050930">
        <w:t xml:space="preserve"> </w:t>
      </w:r>
      <w:r w:rsidR="00D15DAA" w:rsidRPr="00050930">
        <w:t xml:space="preserve">qui </w:t>
      </w:r>
      <w:r w:rsidR="007136AD" w:rsidRPr="00050930">
        <w:t>entraînera</w:t>
      </w:r>
      <w:r w:rsidR="00A42DAF" w:rsidRPr="00050930">
        <w:t xml:space="preserve"> de profonds </w:t>
      </w:r>
      <w:r w:rsidR="00CF3101" w:rsidRPr="00050930">
        <w:t>bouleversements</w:t>
      </w:r>
      <w:r w:rsidR="00A42DAF" w:rsidRPr="00050930">
        <w:t xml:space="preserve"> au sein de la société</w:t>
      </w:r>
      <w:r w:rsidR="00F14944" w:rsidRPr="00050930">
        <w:t xml:space="preserve">; </w:t>
      </w:r>
      <w:r w:rsidR="00453F02" w:rsidRPr="00050930">
        <w:t xml:space="preserve">on attend beaucoup de l'UIT pour ce qui est de gérer les risques et de tirer parti des avantages qu'offrent les nouvelles technologies. </w:t>
      </w:r>
      <w:r w:rsidR="00494524" w:rsidRPr="00050930">
        <w:t>Une UIT plus souple et moins</w:t>
      </w:r>
      <w:r w:rsidR="003B47C8" w:rsidRPr="00050930">
        <w:t xml:space="preserve"> axée sur la bureaucratie</w:t>
      </w:r>
      <w:r w:rsidR="00494524" w:rsidRPr="00050930">
        <w:t xml:space="preserve"> </w:t>
      </w:r>
      <w:r w:rsidR="009D058A" w:rsidRPr="00050930">
        <w:t xml:space="preserve">serait mieux à même d'atteindre ses objectifs. </w:t>
      </w:r>
      <w:r w:rsidR="008630E2" w:rsidRPr="00050930">
        <w:t>L'Union fait face à des difficultés</w:t>
      </w:r>
      <w:r w:rsidR="003B47C8" w:rsidRPr="00050930">
        <w:t xml:space="preserve"> budgétaires et peine à </w:t>
      </w:r>
      <w:r w:rsidR="00242C47" w:rsidRPr="00050930">
        <w:t>satisfaire</w:t>
      </w:r>
      <w:r w:rsidR="003B47C8" w:rsidRPr="00050930">
        <w:t xml:space="preserve"> </w:t>
      </w:r>
      <w:r w:rsidR="005B4AD7" w:rsidRPr="00050930">
        <w:t>les</w:t>
      </w:r>
      <w:r w:rsidR="003B47C8" w:rsidRPr="00050930">
        <w:t xml:space="preserve"> besoins des États Membres en matière de connectivité</w:t>
      </w:r>
      <w:r w:rsidRPr="00050930">
        <w:t xml:space="preserve">; </w:t>
      </w:r>
      <w:r w:rsidR="00242C47" w:rsidRPr="00050930">
        <w:t xml:space="preserve">il est donc urgent de procéder à la transformation proposée pour </w:t>
      </w:r>
      <w:r w:rsidR="005B4AD7" w:rsidRPr="00050930">
        <w:t>lui permettre de relever les défis qui l'attendent</w:t>
      </w:r>
      <w:r w:rsidR="00242C47" w:rsidRPr="00050930">
        <w:t>.</w:t>
      </w:r>
    </w:p>
    <w:p w14:paraId="7B322F42" w14:textId="597B3CC8" w:rsidR="001C5CBC" w:rsidRPr="00050930" w:rsidRDefault="001C5CBC" w:rsidP="001B22E8">
      <w:r w:rsidRPr="00050930">
        <w:t>1.8</w:t>
      </w:r>
      <w:r w:rsidRPr="00050930">
        <w:tab/>
      </w:r>
      <w:r w:rsidR="000564D4" w:rsidRPr="00050930">
        <w:t xml:space="preserve">En ce qui concerne le pilier 1 de l'exercice de réflexion prospective effectué par la nouvelle équipe de direction, </w:t>
      </w:r>
      <w:r w:rsidR="00FE2BFB" w:rsidRPr="00050930">
        <w:t>un conseiller</w:t>
      </w:r>
      <w:r w:rsidR="009A3CD3" w:rsidRPr="00050930">
        <w:t xml:space="preserve"> espère que l'UIT ne se limitera pas à jouer un rôle de relais d'opinion</w:t>
      </w:r>
      <w:r w:rsidR="00EA48D5" w:rsidRPr="00050930">
        <w:t xml:space="preserve">, mais aidera les États Membres à faire du développement une réalité. </w:t>
      </w:r>
      <w:r w:rsidR="00B64D0F" w:rsidRPr="00050930">
        <w:t xml:space="preserve">L'orateur demande quelles sont les entités </w:t>
      </w:r>
      <w:r w:rsidR="007A29AC" w:rsidRPr="00050930">
        <w:t>qui participeront aux activités de l'observatoire proposé et fait observer que, en tant qu'organisation intergouvernementale, l'UIT doit solliciter l'avis des conseillers avant de faire appel à des entités extérieur</w:t>
      </w:r>
      <w:r w:rsidR="00880F48" w:rsidRPr="00050930">
        <w:t>e</w:t>
      </w:r>
      <w:r w:rsidR="007A29AC" w:rsidRPr="00050930">
        <w:t>s en vue de mobiliser des ressources.</w:t>
      </w:r>
    </w:p>
    <w:p w14:paraId="4F4BFB99" w14:textId="3BE8AD0B" w:rsidR="001C5CBC" w:rsidRPr="00050930" w:rsidRDefault="001C5CBC" w:rsidP="001B22E8">
      <w:r w:rsidRPr="00050930">
        <w:t>1.9</w:t>
      </w:r>
      <w:r w:rsidRPr="00050930">
        <w:tab/>
      </w:r>
      <w:r w:rsidR="0054381E" w:rsidRPr="00050930">
        <w:t xml:space="preserve">Deux conseillers soulignent que les coûts liés à la transformation doivent être </w:t>
      </w:r>
      <w:r w:rsidR="006025DC" w:rsidRPr="00050930">
        <w:t xml:space="preserve">maîtrisés et demandent des renseignements sur les coûts financiers de </w:t>
      </w:r>
      <w:r w:rsidR="004A0FFD" w:rsidRPr="00050930">
        <w:t xml:space="preserve">cette initiative </w:t>
      </w:r>
      <w:r w:rsidR="006025DC" w:rsidRPr="00050930">
        <w:t xml:space="preserve">et sur la manière dont les résultats seront mesurés. </w:t>
      </w:r>
      <w:r w:rsidR="00442791" w:rsidRPr="00050930">
        <w:t>La création d'un poste de grade D.1 et d'autres postes, tel</w:t>
      </w:r>
      <w:r w:rsidR="00D876E4" w:rsidRPr="00050930">
        <w:t xml:space="preserve">le </w:t>
      </w:r>
      <w:r w:rsidR="00A47571" w:rsidRPr="00050930">
        <w:t xml:space="preserve">que </w:t>
      </w:r>
      <w:r w:rsidR="00442791" w:rsidRPr="00050930">
        <w:t>proposé</w:t>
      </w:r>
      <w:r w:rsidR="00D876E4" w:rsidRPr="00050930">
        <w:t>e</w:t>
      </w:r>
      <w:r w:rsidR="00442791" w:rsidRPr="00050930">
        <w:t>, serait onéreuse.</w:t>
      </w:r>
    </w:p>
    <w:p w14:paraId="310009E7" w14:textId="67D7A3F7" w:rsidR="001C5CBC" w:rsidRPr="00050930" w:rsidRDefault="001C5CBC" w:rsidP="001B22E8">
      <w:r w:rsidRPr="00050930">
        <w:t>1.10</w:t>
      </w:r>
      <w:r w:rsidRPr="00050930">
        <w:tab/>
      </w:r>
      <w:r w:rsidR="001966E8" w:rsidRPr="00050930">
        <w:t xml:space="preserve">Un conseiller </w:t>
      </w:r>
      <w:r w:rsidR="00606D54" w:rsidRPr="00050930">
        <w:t>ajoute</w:t>
      </w:r>
      <w:r w:rsidR="001966E8" w:rsidRPr="00050930">
        <w:t xml:space="preserve"> que les principes consacrés dans la Constitution et la Convention de l'UIT doivent être mis en évidence dans le document.</w:t>
      </w:r>
    </w:p>
    <w:p w14:paraId="58A66AE2" w14:textId="77777777" w:rsidR="002C23B0" w:rsidRPr="00050930" w:rsidRDefault="001C5CBC" w:rsidP="001B22E8">
      <w:r w:rsidRPr="00050930">
        <w:t>1.11</w:t>
      </w:r>
      <w:r w:rsidRPr="00050930">
        <w:tab/>
      </w:r>
      <w:r w:rsidR="003F2FF6" w:rsidRPr="00050930">
        <w:t xml:space="preserve">Le Vice-Secrétaire général, en réponse aux questions posées, </w:t>
      </w:r>
      <w:r w:rsidR="00BD55DC" w:rsidRPr="00050930">
        <w:t>déclare que les modifications proposées et la création d'un Bureau de la transformation</w:t>
      </w:r>
      <w:r w:rsidR="00A769BB" w:rsidRPr="00050930">
        <w:t xml:space="preserve"> n'empiéteront </w:t>
      </w:r>
      <w:r w:rsidR="002076BE" w:rsidRPr="00050930">
        <w:t xml:space="preserve">ni n'auront d'incidence </w:t>
      </w:r>
      <w:r w:rsidR="00A769BB" w:rsidRPr="00050930">
        <w:t>sur la structure établie</w:t>
      </w:r>
      <w:r w:rsidR="002076BE" w:rsidRPr="00050930">
        <w:t xml:space="preserve"> conformément à la Constitution et la Convention de l'UIT</w:t>
      </w:r>
      <w:r w:rsidRPr="00050930">
        <w:t>.</w:t>
      </w:r>
      <w:r w:rsidR="00344056" w:rsidRPr="00050930">
        <w:t xml:space="preserve"> La Secrétaire générale </w:t>
      </w:r>
      <w:r w:rsidR="00414D22" w:rsidRPr="00050930">
        <w:t>assumera la responsabilité pleine et entière des initiatives de transformation</w:t>
      </w:r>
      <w:r w:rsidR="000C2584" w:rsidRPr="00050930">
        <w:t xml:space="preserve"> et de la réforme, mais </w:t>
      </w:r>
      <w:r w:rsidR="00DF479D" w:rsidRPr="00050930">
        <w:t xml:space="preserve">devra être épaulée pour veiller au bon déroulement </w:t>
      </w:r>
      <w:r w:rsidR="003355DE" w:rsidRPr="00050930">
        <w:t>du processus de</w:t>
      </w:r>
      <w:r w:rsidR="00DF479D" w:rsidRPr="00050930">
        <w:t xml:space="preserve"> transformation. </w:t>
      </w:r>
      <w:r w:rsidR="00A0555B" w:rsidRPr="00050930">
        <w:t xml:space="preserve">Afin d'éviter les doubles emplois, le Secrétariat </w:t>
      </w:r>
      <w:r w:rsidR="00C20FBD" w:rsidRPr="00050930">
        <w:t xml:space="preserve">a besoin d'un </w:t>
      </w:r>
      <w:r w:rsidR="008A3BFA" w:rsidRPr="00050930">
        <w:t>cadre</w:t>
      </w:r>
      <w:r w:rsidR="00C20FBD" w:rsidRPr="00050930">
        <w:t xml:space="preserve"> unique pour superviser toutes les activités;</w:t>
      </w:r>
      <w:r w:rsidR="00946804" w:rsidRPr="00050930">
        <w:t xml:space="preserve"> </w:t>
      </w:r>
      <w:r w:rsidR="009B21B7" w:rsidRPr="00050930">
        <w:t>sous sa responsabilité</w:t>
      </w:r>
      <w:r w:rsidR="00946804" w:rsidRPr="00050930">
        <w:t xml:space="preserve">, les départements seront </w:t>
      </w:r>
      <w:r w:rsidR="00A836EF" w:rsidRPr="00050930">
        <w:t>chargés de la mise en œuvre</w:t>
      </w:r>
      <w:r w:rsidR="00946804" w:rsidRPr="00050930">
        <w:t xml:space="preserve"> de leurs fonctions </w:t>
      </w:r>
      <w:r w:rsidR="009614EE" w:rsidRPr="00050930">
        <w:t xml:space="preserve">précises </w:t>
      </w:r>
      <w:r w:rsidR="00946804" w:rsidRPr="00050930">
        <w:t xml:space="preserve">respectives. </w:t>
      </w:r>
      <w:r w:rsidR="008E216C" w:rsidRPr="00050930">
        <w:t xml:space="preserve">Les coûts financiers liés à la création d'un Bureau de la transformation </w:t>
      </w:r>
      <w:r w:rsidR="002C23B0" w:rsidRPr="00050930">
        <w:br w:type="page"/>
      </w:r>
    </w:p>
    <w:p w14:paraId="6988BD47" w14:textId="3BF8F39C" w:rsidR="001C5CBC" w:rsidRPr="00050930" w:rsidRDefault="008E216C" w:rsidP="001B22E8">
      <w:r w:rsidRPr="00050930">
        <w:lastRenderedPageBreak/>
        <w:t xml:space="preserve">sont </w:t>
      </w:r>
      <w:r w:rsidR="00274B1D" w:rsidRPr="00050930">
        <w:t>indiqués</w:t>
      </w:r>
      <w:r w:rsidRPr="00050930">
        <w:t xml:space="preserve"> dans le Document </w:t>
      </w:r>
      <w:r w:rsidR="001C5CBC" w:rsidRPr="00050930">
        <w:t xml:space="preserve">C23/52 </w:t>
      </w:r>
      <w:r w:rsidR="005D1A71" w:rsidRPr="00050930">
        <w:t>à titre informatif.</w:t>
      </w:r>
      <w:r w:rsidR="009B21B7" w:rsidRPr="00050930">
        <w:t xml:space="preserve"> Des économies suffisantes </w:t>
      </w:r>
      <w:r w:rsidR="00A836EF" w:rsidRPr="00050930">
        <w:t>réalisées les années précédentes</w:t>
      </w:r>
      <w:r w:rsidR="004F3BDE" w:rsidRPr="00050930">
        <w:t xml:space="preserve"> sont disponibles</w:t>
      </w:r>
      <w:r w:rsidR="00A836EF" w:rsidRPr="00050930">
        <w:t xml:space="preserve"> pour financer ce projet; le budget proposé pour un an sera examiné pa</w:t>
      </w:r>
      <w:r w:rsidR="008A1075" w:rsidRPr="00050930">
        <w:t xml:space="preserve">r la Commission permanente de l'administration et de la gestion </w:t>
      </w:r>
      <w:r w:rsidR="001C5CBC" w:rsidRPr="00050930">
        <w:t xml:space="preserve">(ADM) </w:t>
      </w:r>
      <w:r w:rsidR="00466219" w:rsidRPr="00050930">
        <w:t>et</w:t>
      </w:r>
      <w:r w:rsidR="001C5CBC" w:rsidRPr="00050930">
        <w:t xml:space="preserve">, </w:t>
      </w:r>
      <w:r w:rsidR="0001708B" w:rsidRPr="00050930">
        <w:t>idéalement</w:t>
      </w:r>
      <w:r w:rsidR="00466219" w:rsidRPr="00050930">
        <w:t>, approuvé en plénière.</w:t>
      </w:r>
    </w:p>
    <w:p w14:paraId="3DD24F3E" w14:textId="7471432C" w:rsidR="001C5CBC" w:rsidRPr="00050930" w:rsidRDefault="001C5CBC" w:rsidP="001B22E8">
      <w:r w:rsidRPr="00050930">
        <w:t>1.12</w:t>
      </w:r>
      <w:r w:rsidRPr="00050930">
        <w:tab/>
      </w:r>
      <w:r w:rsidR="00581478" w:rsidRPr="00050930">
        <w:t>Les contributions des États Membres sur le rôle du Groupe de travail du Conseil sur les ressources financières et les ressources humaines (GTC</w:t>
      </w:r>
      <w:r w:rsidRPr="00050930">
        <w:t xml:space="preserve">-FHR) </w:t>
      </w:r>
      <w:r w:rsidR="00581478" w:rsidRPr="00050930">
        <w:t>s</w:t>
      </w:r>
      <w:r w:rsidR="00EE3B83" w:rsidRPr="00050930">
        <w:t>er</w:t>
      </w:r>
      <w:r w:rsidR="00581478" w:rsidRPr="00050930">
        <w:t xml:space="preserve">ont les bienvenues. </w:t>
      </w:r>
      <w:r w:rsidR="00EE3B83" w:rsidRPr="00050930">
        <w:t xml:space="preserve">Ce groupe de travail pourra contribuer </w:t>
      </w:r>
      <w:r w:rsidR="00BB73F5" w:rsidRPr="00050930">
        <w:t>à l'élaboration</w:t>
      </w:r>
      <w:r w:rsidR="00EE3B83" w:rsidRPr="00050930">
        <w:t xml:space="preserve"> des indicateurs fondamentaux de performance </w:t>
      </w:r>
      <w:r w:rsidR="00916C91" w:rsidRPr="00050930">
        <w:t xml:space="preserve">relatifs à l'excellence institutionnelle, </w:t>
      </w:r>
      <w:r w:rsidR="00611509" w:rsidRPr="00050930">
        <w:t xml:space="preserve">sur la base desquels le Secrétariat pourra soumettre un rapport au Conseil sur le suivi et la mise en œuvre du processus de transformation. </w:t>
      </w:r>
      <w:r w:rsidR="004D4A87" w:rsidRPr="00050930">
        <w:t xml:space="preserve">L'appui des États Membres en faveur du document permettra au Secrétariat </w:t>
      </w:r>
      <w:r w:rsidR="00594021" w:rsidRPr="00050930">
        <w:t>d'amorcer</w:t>
      </w:r>
      <w:r w:rsidR="004D4A87" w:rsidRPr="00050930">
        <w:t xml:space="preserve"> les initiatives de transformation</w:t>
      </w:r>
      <w:r w:rsidR="0092325D" w:rsidRPr="00050930">
        <w:t xml:space="preserve"> et de mettre à disposition les ressources requises pour mettre en œuvre les projets nécessaires </w:t>
      </w:r>
      <w:r w:rsidR="004A7387" w:rsidRPr="00050930">
        <w:t xml:space="preserve">en vue de </w:t>
      </w:r>
      <w:r w:rsidR="0092325D" w:rsidRPr="00050930">
        <w:t>garantir une transformation</w:t>
      </w:r>
      <w:r w:rsidR="00BF5403" w:rsidRPr="00050930">
        <w:t xml:space="preserve"> complète et</w:t>
      </w:r>
      <w:r w:rsidR="0092325D" w:rsidRPr="00050930">
        <w:t xml:space="preserve"> axée sur les projets</w:t>
      </w:r>
      <w:r w:rsidR="00677395" w:rsidRPr="00050930">
        <w:t xml:space="preserve">, </w:t>
      </w:r>
      <w:r w:rsidR="007B3D88" w:rsidRPr="00050930">
        <w:t>sans mettre en péril</w:t>
      </w:r>
      <w:r w:rsidR="00677395" w:rsidRPr="00050930">
        <w:t xml:space="preserve"> </w:t>
      </w:r>
      <w:r w:rsidR="009F4716" w:rsidRPr="00050930">
        <w:t>la</w:t>
      </w:r>
      <w:r w:rsidR="00677395" w:rsidRPr="00050930">
        <w:t xml:space="preserve"> stabilité financière.</w:t>
      </w:r>
    </w:p>
    <w:p w14:paraId="4836E06E" w14:textId="19B24E7F" w:rsidR="001C5CBC" w:rsidRPr="00050930" w:rsidRDefault="001C5CBC" w:rsidP="001B22E8">
      <w:r w:rsidRPr="00050930">
        <w:t>1.13</w:t>
      </w:r>
      <w:r w:rsidRPr="00050930">
        <w:tab/>
      </w:r>
      <w:r w:rsidR="00146B8E" w:rsidRPr="00050930">
        <w:t xml:space="preserve">Un conseiller précise que les États Membres du Conseil sont responsables de la gestion des ressources financières de l'Union et des contributions des pays </w:t>
      </w:r>
      <w:r w:rsidR="00593217" w:rsidRPr="00050930">
        <w:t>et</w:t>
      </w:r>
      <w:r w:rsidR="00CD5393" w:rsidRPr="00050930">
        <w:t xml:space="preserve"> que,</w:t>
      </w:r>
      <w:r w:rsidR="00593217" w:rsidRPr="00050930">
        <w:t xml:space="preserve"> compte tenu de la situation financière</w:t>
      </w:r>
      <w:r w:rsidR="00CD5393" w:rsidRPr="00050930">
        <w:t xml:space="preserve"> critique et d'autres exigences urgentes en matière de financement, y compris pour le projet de construction et les initiatives </w:t>
      </w:r>
      <w:r w:rsidR="00D822C7" w:rsidRPr="00050930">
        <w:t>régionales</w:t>
      </w:r>
      <w:r w:rsidR="00CD5393" w:rsidRPr="00050930">
        <w:t xml:space="preserve"> adoptées par la Conférence mondiale de développement des télécommunications (CMDT),</w:t>
      </w:r>
      <w:r w:rsidR="00593217" w:rsidRPr="00050930">
        <w:t xml:space="preserve"> </w:t>
      </w:r>
      <w:r w:rsidR="00E84EBE" w:rsidRPr="00050930">
        <w:t xml:space="preserve">ainsi que des besoins des États Membres, il serait raisonnable et </w:t>
      </w:r>
      <w:r w:rsidR="00F5696B" w:rsidRPr="00050930">
        <w:t xml:space="preserve">plus </w:t>
      </w:r>
      <w:r w:rsidR="00E84EBE" w:rsidRPr="00050930">
        <w:t xml:space="preserve">prudent, avant de prendre une décision qui engendrera des dépenses à hauteur d'un million CHF par an, de soumettre le document à la Commission </w:t>
      </w:r>
      <w:r w:rsidR="00D822C7" w:rsidRPr="00050930">
        <w:t xml:space="preserve">ADM </w:t>
      </w:r>
      <w:r w:rsidR="00E84EBE" w:rsidRPr="00050930">
        <w:t>et, de préférence, au GTC-FHR.</w:t>
      </w:r>
    </w:p>
    <w:p w14:paraId="7C4CACCE" w14:textId="5F3E579A" w:rsidR="001C5CBC" w:rsidRPr="00050930" w:rsidRDefault="001C5CBC" w:rsidP="001B22E8">
      <w:r w:rsidRPr="00050930">
        <w:t>1.14</w:t>
      </w:r>
      <w:r w:rsidRPr="00050930">
        <w:tab/>
      </w:r>
      <w:r w:rsidR="00F757D8" w:rsidRPr="00050930">
        <w:t>Plusieurs conseillers se disent favorables</w:t>
      </w:r>
      <w:r w:rsidR="00EB67C1" w:rsidRPr="00050930">
        <w:t xml:space="preserve"> à la proposition de soumettre </w:t>
      </w:r>
      <w:r w:rsidR="005F1971" w:rsidRPr="00050930">
        <w:t>ce</w:t>
      </w:r>
      <w:r w:rsidR="00580879" w:rsidRPr="00050930">
        <w:t>tte question</w:t>
      </w:r>
      <w:r w:rsidR="00EB67C1" w:rsidRPr="00050930">
        <w:t xml:space="preserve"> à la Commission ADM</w:t>
      </w:r>
      <w:r w:rsidR="0065649E" w:rsidRPr="00050930">
        <w:t xml:space="preserve">, en vue de procéder à un examen plus approfondi, d'apporter des éclaircissements et de prendre une décision, </w:t>
      </w:r>
      <w:r w:rsidR="009C56F0" w:rsidRPr="00050930">
        <w:t>tandis que d'autres proposent que</w:t>
      </w:r>
      <w:r w:rsidR="00D613EF" w:rsidRPr="00050930">
        <w:t xml:space="preserve"> </w:t>
      </w:r>
      <w:r w:rsidR="009C56F0" w:rsidRPr="00050930">
        <w:t xml:space="preserve">le GTC-FHR </w:t>
      </w:r>
      <w:r w:rsidR="002F3764" w:rsidRPr="00050930">
        <w:t>effectue</w:t>
      </w:r>
      <w:r w:rsidR="009C56F0" w:rsidRPr="00050930">
        <w:t xml:space="preserve"> une analyse </w:t>
      </w:r>
      <w:r w:rsidR="00D613EF" w:rsidRPr="00050930">
        <w:t xml:space="preserve">adéquate des incidences financières relatives à </w:t>
      </w:r>
      <w:r w:rsidR="00F5696B" w:rsidRPr="00050930">
        <w:t xml:space="preserve">cette </w:t>
      </w:r>
      <w:r w:rsidR="00D613EF" w:rsidRPr="00050930">
        <w:t xml:space="preserve">proposition et étudie les modalités de </w:t>
      </w:r>
      <w:r w:rsidR="00DD6927" w:rsidRPr="00050930">
        <w:t xml:space="preserve">sa </w:t>
      </w:r>
      <w:r w:rsidR="00D613EF" w:rsidRPr="00050930">
        <w:t>mise en œuvre conformément à la Constitution et la Convention de l'UIT.</w:t>
      </w:r>
    </w:p>
    <w:p w14:paraId="248E5AAA" w14:textId="440C12E5" w:rsidR="001C5CBC" w:rsidRPr="00050930" w:rsidRDefault="001C5CBC" w:rsidP="001B22E8">
      <w:r w:rsidRPr="00050930">
        <w:t>1.15</w:t>
      </w:r>
      <w:r w:rsidRPr="00050930">
        <w:tab/>
      </w:r>
      <w:r w:rsidR="002F3764" w:rsidRPr="00050930">
        <w:t xml:space="preserve">Le Président propose que le Conseil prenne note du Document </w:t>
      </w:r>
      <w:r w:rsidRPr="00050930">
        <w:t xml:space="preserve">C23/36 </w:t>
      </w:r>
      <w:r w:rsidR="006F2ADB" w:rsidRPr="00050930">
        <w:t xml:space="preserve">et soumette le Document C23/52 </w:t>
      </w:r>
      <w:r w:rsidR="00F5696B" w:rsidRPr="00050930">
        <w:t>à l</w:t>
      </w:r>
      <w:r w:rsidR="0019491E" w:rsidRPr="00050930">
        <w:t>'</w:t>
      </w:r>
      <w:r w:rsidR="006F2ADB" w:rsidRPr="00050930">
        <w:t xml:space="preserve">examen complémentaire </w:t>
      </w:r>
      <w:r w:rsidR="00F5696B" w:rsidRPr="00050930">
        <w:t xml:space="preserve">de </w:t>
      </w:r>
      <w:r w:rsidR="006F2ADB" w:rsidRPr="00050930">
        <w:t>la Commission ADM</w:t>
      </w:r>
      <w:r w:rsidRPr="00050930">
        <w:t>.</w:t>
      </w:r>
    </w:p>
    <w:p w14:paraId="0439011B" w14:textId="6B4A35EE" w:rsidR="001C5CBC" w:rsidRPr="00050930" w:rsidRDefault="001C5CBC" w:rsidP="001B22E8">
      <w:pPr>
        <w:rPr>
          <w:u w:val="single"/>
        </w:rPr>
      </w:pPr>
      <w:r w:rsidRPr="00050930">
        <w:t>1.16</w:t>
      </w:r>
      <w:r w:rsidRPr="00050930">
        <w:tab/>
      </w:r>
      <w:r w:rsidR="00C72EEA" w:rsidRPr="00050930">
        <w:t xml:space="preserve">Il en est ainsi </w:t>
      </w:r>
      <w:r w:rsidR="00C72EEA" w:rsidRPr="00050930">
        <w:rPr>
          <w:b/>
          <w:bCs/>
        </w:rPr>
        <w:t>décidé</w:t>
      </w:r>
      <w:r w:rsidRPr="00050930">
        <w:t>.</w:t>
      </w:r>
    </w:p>
    <w:p w14:paraId="33CFC4E8" w14:textId="52AB4195" w:rsidR="001C5CBC" w:rsidRPr="00050930" w:rsidRDefault="001C5CBC" w:rsidP="001B22E8">
      <w:pPr>
        <w:pStyle w:val="Heading1"/>
        <w:rPr>
          <w:rFonts w:asciiTheme="minorHAnsi" w:hAnsiTheme="minorHAnsi" w:cstheme="minorHAnsi"/>
          <w:bCs/>
          <w:color w:val="000000"/>
          <w:szCs w:val="24"/>
        </w:rPr>
      </w:pPr>
      <w:r w:rsidRPr="00050930">
        <w:t>2</w:t>
      </w:r>
      <w:r w:rsidRPr="00050930">
        <w:tab/>
        <w:t>Lieu précis et dates exactes de l'</w:t>
      </w:r>
      <w:r w:rsidR="00CB172C" w:rsidRPr="00050930">
        <w:t>A</w:t>
      </w:r>
      <w:r w:rsidRPr="00050930">
        <w:t xml:space="preserve">ssemblée mondiale de normalisation des télécommunications de 2024 et point sur les travaux préparatoires </w:t>
      </w:r>
      <w:r w:rsidRPr="00050930">
        <w:rPr>
          <w:rFonts w:asciiTheme="minorHAnsi" w:hAnsiTheme="minorHAnsi" w:cstheme="minorHAnsi"/>
          <w:bCs/>
          <w:color w:val="000000"/>
          <w:szCs w:val="24"/>
        </w:rPr>
        <w:t>(Document </w:t>
      </w:r>
      <w:hyperlink r:id="rId18" w:history="1">
        <w:r w:rsidRPr="00050930">
          <w:rPr>
            <w:rStyle w:val="Hyperlink"/>
            <w:rFonts w:asciiTheme="minorHAnsi" w:hAnsiTheme="minorHAnsi" w:cstheme="minorHAnsi"/>
            <w:bCs/>
            <w:szCs w:val="24"/>
          </w:rPr>
          <w:t>C23/24</w:t>
        </w:r>
      </w:hyperlink>
      <w:r w:rsidRPr="00050930">
        <w:rPr>
          <w:rFonts w:asciiTheme="minorHAnsi" w:hAnsiTheme="minorHAnsi" w:cstheme="minorHAnsi"/>
          <w:bCs/>
          <w:color w:val="000000"/>
          <w:szCs w:val="24"/>
        </w:rPr>
        <w:t>)</w:t>
      </w:r>
    </w:p>
    <w:p w14:paraId="16C899B8" w14:textId="5E9C60E9" w:rsidR="001C5CBC" w:rsidRPr="00050930" w:rsidRDefault="001C5CBC" w:rsidP="001B22E8">
      <w:r w:rsidRPr="00050930">
        <w:t>2.1</w:t>
      </w:r>
      <w:r w:rsidRPr="00050930">
        <w:tab/>
      </w:r>
      <w:r w:rsidR="005B70FC" w:rsidRPr="00050930">
        <w:t xml:space="preserve">Le </w:t>
      </w:r>
      <w:r w:rsidR="00805F19" w:rsidRPr="00050930">
        <w:t>Chef du Département des commissions d'études du</w:t>
      </w:r>
      <w:r w:rsidR="005B70FC" w:rsidRPr="00050930">
        <w:t xml:space="preserve"> Bureau de la normalisation des télécommunications (TSB) </w:t>
      </w:r>
      <w:r w:rsidR="00835692" w:rsidRPr="00050930">
        <w:t xml:space="preserve">présente le Document </w:t>
      </w:r>
      <w:r w:rsidRPr="00050930">
        <w:t xml:space="preserve">C23/24, </w:t>
      </w:r>
      <w:r w:rsidR="000B3AEF" w:rsidRPr="00050930">
        <w:t>qui vise à informer le Conseil du lieu précis et des dates exactes de l'Assemblée mondiale de normalisation des télécommunications de 2024 (AMNT-24) ainsi que des travaux préparatoires pertinents, et ajoute qu'une visite du lieu de la Conférence est prévue durant la première semaine d'octobre 2023.</w:t>
      </w:r>
    </w:p>
    <w:p w14:paraId="28BDD614" w14:textId="27215A3F" w:rsidR="001C5CBC" w:rsidRPr="00050930" w:rsidRDefault="001C5CBC" w:rsidP="001B22E8">
      <w:pPr>
        <w:rPr>
          <w:rFonts w:eastAsiaTheme="majorEastAsia"/>
        </w:rPr>
      </w:pPr>
      <w:r w:rsidRPr="00050930">
        <w:rPr>
          <w:rFonts w:eastAsiaTheme="majorEastAsia"/>
        </w:rPr>
        <w:t>2.2</w:t>
      </w:r>
      <w:r w:rsidRPr="00050930">
        <w:rPr>
          <w:rFonts w:eastAsiaTheme="majorEastAsia"/>
        </w:rPr>
        <w:tab/>
        <w:t>M</w:t>
      </w:r>
      <w:r w:rsidR="00901596" w:rsidRPr="00050930">
        <w:rPr>
          <w:rFonts w:eastAsiaTheme="majorEastAsia"/>
        </w:rPr>
        <w:t>.</w:t>
      </w:r>
      <w:r w:rsidRPr="00050930">
        <w:rPr>
          <w:rFonts w:eastAsiaTheme="majorEastAsia"/>
        </w:rPr>
        <w:t xml:space="preserve"> Rajaraman, </w:t>
      </w:r>
      <w:r w:rsidR="00CE074B" w:rsidRPr="00050930">
        <w:rPr>
          <w:rFonts w:eastAsiaTheme="majorEastAsia"/>
        </w:rPr>
        <w:t>Secrétaire du Département des télécommunications (DoT)</w:t>
      </w:r>
      <w:r w:rsidR="008A691B" w:rsidRPr="00050930">
        <w:rPr>
          <w:rFonts w:eastAsiaTheme="majorEastAsia"/>
        </w:rPr>
        <w:t xml:space="preserve"> auprès</w:t>
      </w:r>
      <w:r w:rsidR="00D878C7" w:rsidRPr="00050930">
        <w:rPr>
          <w:rFonts w:eastAsiaTheme="majorEastAsia"/>
        </w:rPr>
        <w:t xml:space="preserve"> </w:t>
      </w:r>
      <w:r w:rsidR="00901596" w:rsidRPr="00050930">
        <w:rPr>
          <w:rFonts w:eastAsiaTheme="majorEastAsia"/>
        </w:rPr>
        <w:t>du Ministère des communications (Inde)</w:t>
      </w:r>
      <w:r w:rsidR="003B0AF6" w:rsidRPr="00050930">
        <w:rPr>
          <w:rFonts w:eastAsiaTheme="majorEastAsia"/>
        </w:rPr>
        <w:t>, dit que son pays sera honoré d'accueillir l'AMNT-24, d'autant qu'il n'a pas été en mesure d'</w:t>
      </w:r>
      <w:r w:rsidR="00CB172C" w:rsidRPr="00050930">
        <w:rPr>
          <w:rFonts w:eastAsiaTheme="majorEastAsia"/>
        </w:rPr>
        <w:t>organiser</w:t>
      </w:r>
      <w:r w:rsidR="003B0AF6" w:rsidRPr="00050930">
        <w:rPr>
          <w:rFonts w:eastAsiaTheme="majorEastAsia"/>
        </w:rPr>
        <w:t xml:space="preserve"> l'AMNT-20 en raison de la pandémie </w:t>
      </w:r>
      <w:r w:rsidR="003B0AF6" w:rsidRPr="00050930">
        <w:rPr>
          <w:rFonts w:eastAsiaTheme="majorEastAsia"/>
        </w:rPr>
        <w:lastRenderedPageBreak/>
        <w:t>de</w:t>
      </w:r>
      <w:r w:rsidR="001B22E8" w:rsidRPr="00050930">
        <w:rPr>
          <w:rFonts w:eastAsiaTheme="majorEastAsia"/>
        </w:rPr>
        <w:t> </w:t>
      </w:r>
      <w:r w:rsidR="003B0AF6" w:rsidRPr="00050930">
        <w:rPr>
          <w:rFonts w:eastAsiaTheme="majorEastAsia"/>
        </w:rPr>
        <w:t xml:space="preserve">COVID-19. </w:t>
      </w:r>
      <w:r w:rsidR="00E43D6A" w:rsidRPr="00050930">
        <w:rPr>
          <w:rFonts w:eastAsiaTheme="majorEastAsia"/>
        </w:rPr>
        <w:t>Il est proposé d'organiser la manifestation au Centre international de congrès et d'expositions Pragati Maidan de New</w:t>
      </w:r>
      <w:r w:rsidR="002C23B0" w:rsidRPr="00050930">
        <w:rPr>
          <w:rFonts w:eastAsiaTheme="majorEastAsia"/>
        </w:rPr>
        <w:t> </w:t>
      </w:r>
      <w:r w:rsidR="00E43D6A" w:rsidRPr="00050930">
        <w:rPr>
          <w:rFonts w:eastAsiaTheme="majorEastAsia"/>
        </w:rPr>
        <w:t>Delhi, du 15 au 24 octobre 2024.</w:t>
      </w:r>
      <w:r w:rsidR="00A53339" w:rsidRPr="00050930">
        <w:rPr>
          <w:rFonts w:eastAsiaTheme="majorEastAsia"/>
        </w:rPr>
        <w:t xml:space="preserve"> L'édition de 2024 du Colloque mondial sur la normalisation </w:t>
      </w:r>
      <w:r w:rsidRPr="00050930">
        <w:rPr>
          <w:rFonts w:eastAsiaTheme="majorEastAsia"/>
        </w:rPr>
        <w:t xml:space="preserve">(GSS-24) </w:t>
      </w:r>
      <w:r w:rsidR="00A53339" w:rsidRPr="00050930">
        <w:rPr>
          <w:rFonts w:eastAsiaTheme="majorEastAsia"/>
        </w:rPr>
        <w:t xml:space="preserve">se déroulera au même endroit le 14 octobre 2024. </w:t>
      </w:r>
      <w:r w:rsidR="00BA2591" w:rsidRPr="00050930">
        <w:rPr>
          <w:rFonts w:eastAsiaTheme="majorEastAsia"/>
        </w:rPr>
        <w:t xml:space="preserve">Sa </w:t>
      </w:r>
      <w:r w:rsidR="00687680" w:rsidRPr="00050930">
        <w:rPr>
          <w:rFonts w:eastAsiaTheme="majorEastAsia"/>
        </w:rPr>
        <w:t>déclaration</w:t>
      </w:r>
      <w:r w:rsidR="00BA2591" w:rsidRPr="00050930">
        <w:rPr>
          <w:rFonts w:eastAsiaTheme="majorEastAsia"/>
        </w:rPr>
        <w:t xml:space="preserve"> est accompagnée de deux </w:t>
      </w:r>
      <w:r w:rsidR="005A2805" w:rsidRPr="00050930">
        <w:rPr>
          <w:rFonts w:eastAsiaTheme="majorEastAsia"/>
        </w:rPr>
        <w:t xml:space="preserve">courtes </w:t>
      </w:r>
      <w:r w:rsidR="00BA2591" w:rsidRPr="00050930">
        <w:rPr>
          <w:rFonts w:eastAsiaTheme="majorEastAsia"/>
        </w:rPr>
        <w:t xml:space="preserve">présentations vidéo, </w:t>
      </w:r>
      <w:r w:rsidR="00687680" w:rsidRPr="00050930">
        <w:rPr>
          <w:rFonts w:eastAsiaTheme="majorEastAsia"/>
        </w:rPr>
        <w:t xml:space="preserve">l'une </w:t>
      </w:r>
      <w:r w:rsidR="00AE556D" w:rsidRPr="00050930">
        <w:rPr>
          <w:rFonts w:eastAsiaTheme="majorEastAsia"/>
        </w:rPr>
        <w:t>dévoilant</w:t>
      </w:r>
      <w:r w:rsidR="00687680" w:rsidRPr="00050930">
        <w:rPr>
          <w:rFonts w:eastAsiaTheme="majorEastAsia"/>
        </w:rPr>
        <w:t xml:space="preserve"> le logo de l'AMNT-24, qui </w:t>
      </w:r>
      <w:r w:rsidR="00B91225" w:rsidRPr="00050930">
        <w:rPr>
          <w:rFonts w:eastAsiaTheme="majorEastAsia"/>
        </w:rPr>
        <w:t>a été conçu à partir de la</w:t>
      </w:r>
      <w:r w:rsidR="00687680" w:rsidRPr="00050930">
        <w:rPr>
          <w:rFonts w:eastAsiaTheme="majorEastAsia"/>
        </w:rPr>
        <w:t xml:space="preserve"> roue du temps, et l'autre </w:t>
      </w:r>
      <w:r w:rsidR="00D47D0E" w:rsidRPr="00050930">
        <w:rPr>
          <w:rFonts w:eastAsiaTheme="majorEastAsia"/>
        </w:rPr>
        <w:t>présentant</w:t>
      </w:r>
      <w:r w:rsidR="00687680" w:rsidRPr="00050930">
        <w:rPr>
          <w:rFonts w:eastAsiaTheme="majorEastAsia"/>
        </w:rPr>
        <w:t xml:space="preserve"> le lieu proposé pour la manifestation. </w:t>
      </w:r>
      <w:r w:rsidR="00B91225" w:rsidRPr="00050930">
        <w:rPr>
          <w:rFonts w:eastAsiaTheme="majorEastAsia"/>
        </w:rPr>
        <w:t xml:space="preserve">L'orateur </w:t>
      </w:r>
      <w:r w:rsidR="00687BA6" w:rsidRPr="00050930">
        <w:rPr>
          <w:rFonts w:eastAsiaTheme="majorEastAsia"/>
        </w:rPr>
        <w:t>présente en outre les</w:t>
      </w:r>
      <w:r w:rsidR="00B91225" w:rsidRPr="00050930">
        <w:rPr>
          <w:rFonts w:eastAsiaTheme="majorEastAsia"/>
        </w:rPr>
        <w:t xml:space="preserve"> travaux préparatoires menés par l'Inde en vue de l'AMNT-24 et </w:t>
      </w:r>
      <w:r w:rsidR="00370B41" w:rsidRPr="00050930">
        <w:rPr>
          <w:rFonts w:eastAsiaTheme="majorEastAsia"/>
        </w:rPr>
        <w:t>l</w:t>
      </w:r>
      <w:r w:rsidR="00B91225" w:rsidRPr="00050930">
        <w:rPr>
          <w:rFonts w:eastAsiaTheme="majorEastAsia"/>
        </w:rPr>
        <w:t>es aspects connexes.</w:t>
      </w:r>
    </w:p>
    <w:p w14:paraId="15CA7384" w14:textId="5EB02EFA" w:rsidR="001C5CBC" w:rsidRPr="00050930" w:rsidRDefault="001C5CBC" w:rsidP="001B22E8">
      <w:pPr>
        <w:rPr>
          <w:rFonts w:eastAsiaTheme="majorEastAsia"/>
        </w:rPr>
      </w:pPr>
      <w:r w:rsidRPr="00050930">
        <w:rPr>
          <w:rFonts w:eastAsiaTheme="majorEastAsia"/>
        </w:rPr>
        <w:t>2.3</w:t>
      </w:r>
      <w:r w:rsidRPr="00050930">
        <w:rPr>
          <w:rFonts w:eastAsiaTheme="majorEastAsia"/>
        </w:rPr>
        <w:tab/>
      </w:r>
      <w:r w:rsidR="00626099" w:rsidRPr="00050930">
        <w:rPr>
          <w:rFonts w:eastAsiaTheme="majorEastAsia"/>
        </w:rPr>
        <w:t xml:space="preserve">Les conseillers remercient l'Inde pour sa proposition d'accueillir l'AMNT-24 et un conseiller souligne qu'il est nécessaire </w:t>
      </w:r>
      <w:r w:rsidR="0092712A" w:rsidRPr="00050930">
        <w:rPr>
          <w:rFonts w:eastAsiaTheme="majorEastAsia"/>
        </w:rPr>
        <w:t xml:space="preserve">de simplifier la </w:t>
      </w:r>
      <w:r w:rsidR="00626099" w:rsidRPr="00050930">
        <w:rPr>
          <w:rFonts w:eastAsiaTheme="majorEastAsia"/>
        </w:rPr>
        <w:t>procédure</w:t>
      </w:r>
      <w:r w:rsidR="00E43DAF" w:rsidRPr="00050930">
        <w:rPr>
          <w:rFonts w:eastAsiaTheme="majorEastAsia"/>
        </w:rPr>
        <w:t xml:space="preserve"> </w:t>
      </w:r>
      <w:r w:rsidR="00626099" w:rsidRPr="00050930">
        <w:rPr>
          <w:rFonts w:eastAsiaTheme="majorEastAsia"/>
        </w:rPr>
        <w:t>d'octroi de visa</w:t>
      </w:r>
      <w:r w:rsidR="00F44F4A" w:rsidRPr="00050930">
        <w:rPr>
          <w:rFonts w:eastAsiaTheme="majorEastAsia"/>
        </w:rPr>
        <w:t>s</w:t>
      </w:r>
      <w:r w:rsidR="00626099" w:rsidRPr="00050930">
        <w:rPr>
          <w:rFonts w:eastAsiaTheme="majorEastAsia"/>
        </w:rPr>
        <w:t xml:space="preserve"> pour des manifestations de ce type.</w:t>
      </w:r>
    </w:p>
    <w:p w14:paraId="12BE55EA" w14:textId="0D6D8A20" w:rsidR="001C5CBC" w:rsidRPr="00050930" w:rsidRDefault="001C5CBC" w:rsidP="001B22E8">
      <w:pPr>
        <w:rPr>
          <w:rFonts w:eastAsiaTheme="majorEastAsia"/>
        </w:rPr>
      </w:pPr>
      <w:r w:rsidRPr="00050930">
        <w:rPr>
          <w:rFonts w:eastAsiaTheme="majorEastAsia"/>
        </w:rPr>
        <w:t>2.4</w:t>
      </w:r>
      <w:r w:rsidRPr="00050930">
        <w:rPr>
          <w:rFonts w:eastAsiaTheme="majorEastAsia"/>
        </w:rPr>
        <w:tab/>
      </w:r>
      <w:r w:rsidR="0014027B" w:rsidRPr="00050930">
        <w:rPr>
          <w:rFonts w:eastAsiaTheme="majorEastAsia"/>
        </w:rPr>
        <w:t xml:space="preserve">Le Conseil </w:t>
      </w:r>
      <w:r w:rsidR="0014027B" w:rsidRPr="00050930">
        <w:rPr>
          <w:rFonts w:eastAsiaTheme="majorEastAsia"/>
          <w:b/>
          <w:bCs/>
        </w:rPr>
        <w:t xml:space="preserve">prend note </w:t>
      </w:r>
      <w:r w:rsidR="0014027B" w:rsidRPr="00050930">
        <w:rPr>
          <w:rFonts w:eastAsiaTheme="majorEastAsia"/>
        </w:rPr>
        <w:t xml:space="preserve">du </w:t>
      </w:r>
      <w:r w:rsidRPr="00050930">
        <w:rPr>
          <w:rFonts w:eastAsiaTheme="majorEastAsia"/>
        </w:rPr>
        <w:t xml:space="preserve">Document C23/24 </w:t>
      </w:r>
      <w:r w:rsidR="0014027B" w:rsidRPr="00050930">
        <w:rPr>
          <w:rFonts w:eastAsiaTheme="majorEastAsia"/>
        </w:rPr>
        <w:t>et</w:t>
      </w:r>
      <w:r w:rsidRPr="00050930">
        <w:rPr>
          <w:rFonts w:eastAsiaTheme="majorEastAsia"/>
        </w:rPr>
        <w:t xml:space="preserve"> </w:t>
      </w:r>
      <w:r w:rsidRPr="00050930">
        <w:rPr>
          <w:rFonts w:eastAsiaTheme="majorEastAsia"/>
          <w:b/>
          <w:bCs/>
        </w:rPr>
        <w:t xml:space="preserve">adopte </w:t>
      </w:r>
      <w:r w:rsidR="0014027B" w:rsidRPr="00050930">
        <w:rPr>
          <w:rFonts w:eastAsiaTheme="majorEastAsia"/>
        </w:rPr>
        <w:t>le projet de d</w:t>
      </w:r>
      <w:r w:rsidR="00CA0DC6" w:rsidRPr="00050930">
        <w:rPr>
          <w:rFonts w:eastAsiaTheme="majorEastAsia"/>
        </w:rPr>
        <w:t>é</w:t>
      </w:r>
      <w:r w:rsidR="0014027B" w:rsidRPr="00050930">
        <w:rPr>
          <w:rFonts w:eastAsiaTheme="majorEastAsia"/>
        </w:rPr>
        <w:t>cision figurant dans l'Annexe 2 du document,</w:t>
      </w:r>
      <w:r w:rsidR="005D260D" w:rsidRPr="00050930">
        <w:rPr>
          <w:rFonts w:eastAsiaTheme="majorEastAsia"/>
        </w:rPr>
        <w:t xml:space="preserve"> en vertu </w:t>
      </w:r>
      <w:r w:rsidR="008527BC" w:rsidRPr="00050930">
        <w:rPr>
          <w:rFonts w:eastAsiaTheme="majorEastAsia"/>
        </w:rPr>
        <w:t>duquel</w:t>
      </w:r>
      <w:r w:rsidR="005D260D" w:rsidRPr="00050930">
        <w:rPr>
          <w:rFonts w:eastAsiaTheme="majorEastAsia"/>
        </w:rPr>
        <w:t xml:space="preserve"> la Secrétaire générale est chargée de procéder à une consultation de tous les États Membres concernant le lieu précis et les dates exactes de l'AMNT-24.</w:t>
      </w:r>
    </w:p>
    <w:p w14:paraId="2AF2A602" w14:textId="43DC748D" w:rsidR="001C5CBC" w:rsidRPr="00050930" w:rsidRDefault="001C5CBC" w:rsidP="001B22E8">
      <w:pPr>
        <w:rPr>
          <w:rFonts w:eastAsiaTheme="majorEastAsia"/>
        </w:rPr>
      </w:pPr>
      <w:r w:rsidRPr="00050930">
        <w:rPr>
          <w:rFonts w:eastAsiaTheme="majorEastAsia"/>
        </w:rPr>
        <w:t>2.5</w:t>
      </w:r>
      <w:r w:rsidRPr="00050930">
        <w:rPr>
          <w:rFonts w:eastAsiaTheme="majorEastAsia"/>
        </w:rPr>
        <w:tab/>
      </w:r>
      <w:r w:rsidR="00E632EC" w:rsidRPr="00050930">
        <w:rPr>
          <w:rFonts w:eastAsiaTheme="majorEastAsia"/>
        </w:rPr>
        <w:t>La Secrétaire générale remercie chaleureusement l'Inde pour sa proposition d'accueillir l'AMNT-24 qui sera, à n'en pas douter, couronnée de succès.</w:t>
      </w:r>
    </w:p>
    <w:p w14:paraId="02C6B00D" w14:textId="3060B586" w:rsidR="001C5CBC" w:rsidRPr="00050930" w:rsidRDefault="001C5CBC" w:rsidP="001B22E8">
      <w:pPr>
        <w:pStyle w:val="Heading1"/>
        <w:rPr>
          <w:rFonts w:asciiTheme="minorHAnsi" w:hAnsiTheme="minorHAnsi" w:cstheme="minorHAnsi"/>
          <w:bCs/>
          <w:color w:val="000000"/>
          <w:szCs w:val="24"/>
        </w:rPr>
      </w:pPr>
      <w:r w:rsidRPr="00050930">
        <w:t>3</w:t>
      </w:r>
      <w:r w:rsidRPr="00050930">
        <w:tab/>
        <w:t xml:space="preserve">Travaux préparatoires en vue de l'Assemblée des radiocommunications de 2023 et de la Conférence mondiale des radiocommunications de 2023 </w:t>
      </w:r>
      <w:r w:rsidRPr="00050930">
        <w:rPr>
          <w:rFonts w:asciiTheme="minorHAnsi" w:hAnsiTheme="minorHAnsi" w:cstheme="minorHAnsi"/>
          <w:bCs/>
          <w:color w:val="000000"/>
          <w:szCs w:val="24"/>
        </w:rPr>
        <w:t xml:space="preserve">(Document </w:t>
      </w:r>
      <w:hyperlink r:id="rId19" w:history="1">
        <w:r w:rsidRPr="00050930">
          <w:rPr>
            <w:rStyle w:val="Hyperlink"/>
            <w:rFonts w:asciiTheme="minorHAnsi" w:hAnsiTheme="minorHAnsi" w:cstheme="minorHAnsi"/>
            <w:bCs/>
            <w:szCs w:val="24"/>
          </w:rPr>
          <w:t>C23/31</w:t>
        </w:r>
      </w:hyperlink>
      <w:r w:rsidRPr="00050930">
        <w:rPr>
          <w:rFonts w:asciiTheme="minorHAnsi" w:hAnsiTheme="minorHAnsi" w:cstheme="minorHAnsi"/>
          <w:bCs/>
          <w:color w:val="000000"/>
          <w:szCs w:val="24"/>
        </w:rPr>
        <w:t>)</w:t>
      </w:r>
    </w:p>
    <w:p w14:paraId="3D018C26" w14:textId="2533C02A" w:rsidR="001C5CBC" w:rsidRPr="00050930" w:rsidRDefault="001C5CBC" w:rsidP="001B22E8">
      <w:r w:rsidRPr="00050930">
        <w:t>3.1</w:t>
      </w:r>
      <w:r w:rsidRPr="00050930">
        <w:tab/>
      </w:r>
      <w:r w:rsidR="00D06EAF" w:rsidRPr="00050930">
        <w:t>L</w:t>
      </w:r>
      <w:r w:rsidR="00834411" w:rsidRPr="00050930">
        <w:t xml:space="preserve">a </w:t>
      </w:r>
      <w:r w:rsidR="00D06EAF" w:rsidRPr="00050930">
        <w:t>Direct</w:t>
      </w:r>
      <w:r w:rsidR="00834411" w:rsidRPr="00050930">
        <w:t>rice</w:t>
      </w:r>
      <w:r w:rsidR="00D06EAF" w:rsidRPr="00050930">
        <w:t xml:space="preserve"> </w:t>
      </w:r>
      <w:r w:rsidR="00834411" w:rsidRPr="00050930">
        <w:t xml:space="preserve">adjointe </w:t>
      </w:r>
      <w:r w:rsidR="00D06EAF" w:rsidRPr="00050930">
        <w:t>du Bureau des radiocommunications (BR) présente le Document</w:t>
      </w:r>
      <w:r w:rsidR="006E2507" w:rsidRPr="00050930">
        <w:t> </w:t>
      </w:r>
      <w:r w:rsidRPr="00050930">
        <w:t xml:space="preserve">C23/31, </w:t>
      </w:r>
      <w:r w:rsidR="002B2F18" w:rsidRPr="00050930">
        <w:t xml:space="preserve">qui rend compte des travaux préparatoires en cours en vue de l'Assemblée des radiocommunications de 2023 </w:t>
      </w:r>
      <w:r w:rsidRPr="00050930">
        <w:t>(</w:t>
      </w:r>
      <w:r w:rsidR="002B2F18" w:rsidRPr="00050930">
        <w:t>AR</w:t>
      </w:r>
      <w:r w:rsidRPr="00050930">
        <w:t>-23),</w:t>
      </w:r>
      <w:r w:rsidR="002B2F18" w:rsidRPr="00050930">
        <w:t xml:space="preserve"> qui se tiendra à Dubaï (Émirats</w:t>
      </w:r>
      <w:r w:rsidR="006E2507" w:rsidRPr="00050930">
        <w:t> </w:t>
      </w:r>
      <w:r w:rsidR="002B2F18" w:rsidRPr="00050930">
        <w:t xml:space="preserve">arabes unis), du 13 au 17 novembre 2023, </w:t>
      </w:r>
      <w:r w:rsidR="009822DC" w:rsidRPr="00050930">
        <w:t>suivie de</w:t>
      </w:r>
      <w:r w:rsidR="002B2F18" w:rsidRPr="00050930">
        <w:t xml:space="preserve"> la Conférence mondiale des radiocommunications</w:t>
      </w:r>
      <w:r w:rsidR="00DD3EAE" w:rsidRPr="00050930">
        <w:t xml:space="preserve"> de 2023</w:t>
      </w:r>
      <w:r w:rsidR="002B2F18" w:rsidRPr="00050930">
        <w:t xml:space="preserve"> (CMR-23), qui se déroulera du 20 novembre au 15</w:t>
      </w:r>
      <w:r w:rsidR="00A84411" w:rsidRPr="00050930">
        <w:t> </w:t>
      </w:r>
      <w:r w:rsidR="002B2F18" w:rsidRPr="00050930">
        <w:t>décembre</w:t>
      </w:r>
      <w:r w:rsidR="00A84411" w:rsidRPr="00050930">
        <w:t> </w:t>
      </w:r>
      <w:r w:rsidR="002B2F18" w:rsidRPr="00050930">
        <w:t xml:space="preserve">2023, ainsi que </w:t>
      </w:r>
      <w:r w:rsidR="00B953E7" w:rsidRPr="00050930">
        <w:t xml:space="preserve">de </w:t>
      </w:r>
      <w:r w:rsidR="002B2F18" w:rsidRPr="00050930">
        <w:t xml:space="preserve">la première session de la Réunion de préparation à la Conférence en vue de la CMR-27. Depuis la Conférence de plénipotentiaires tenue à Bucarest </w:t>
      </w:r>
      <w:r w:rsidR="00485966" w:rsidRPr="00050930">
        <w:t xml:space="preserve">en </w:t>
      </w:r>
      <w:r w:rsidR="002B2F18" w:rsidRPr="00050930">
        <w:t>2022</w:t>
      </w:r>
      <w:r w:rsidR="00742E5A" w:rsidRPr="00050930">
        <w:t>, l'UIT a effectué deux visites à Dubaï pour coordonner la planification.</w:t>
      </w:r>
    </w:p>
    <w:p w14:paraId="7F6A5A87" w14:textId="02259F5A" w:rsidR="001C5CBC" w:rsidRPr="00050930" w:rsidRDefault="001C5CBC" w:rsidP="001B22E8">
      <w:r w:rsidRPr="00050930">
        <w:t>3.2</w:t>
      </w:r>
      <w:r w:rsidRPr="00050930">
        <w:tab/>
        <w:t>M</w:t>
      </w:r>
      <w:r w:rsidR="00EF6241" w:rsidRPr="00050930">
        <w:t>.</w:t>
      </w:r>
      <w:r w:rsidRPr="00050930">
        <w:t xml:space="preserve"> Majed Sultan Al Mesmar, </w:t>
      </w:r>
      <w:r w:rsidR="00EF6241" w:rsidRPr="00050930">
        <w:t xml:space="preserve">Directeur général de </w:t>
      </w:r>
      <w:r w:rsidR="00485966" w:rsidRPr="00050930">
        <w:t>l'Autorité de régulation des télécommunications et des services publics numériques</w:t>
      </w:r>
      <w:r w:rsidR="00997EF6" w:rsidRPr="00050930">
        <w:t xml:space="preserve"> des Émirats arabes unis</w:t>
      </w:r>
      <w:r w:rsidR="00485966" w:rsidRPr="00050930">
        <w:t xml:space="preserve"> (TDRA), prononce l'allocution disponible à l'adresse</w:t>
      </w:r>
      <w:r w:rsidR="001B22E8" w:rsidRPr="00050930">
        <w:t xml:space="preserve"> </w:t>
      </w:r>
      <w:hyperlink r:id="rId20" w:history="1">
        <w:r w:rsidR="001B22E8" w:rsidRPr="00050930">
          <w:rPr>
            <w:rStyle w:val="Hyperlink"/>
            <w:rFonts w:asciiTheme="minorHAnsi" w:hAnsiTheme="minorHAnsi" w:cstheme="minorHAnsi"/>
            <w:szCs w:val="24"/>
            <w:shd w:val="clear" w:color="auto" w:fill="FFFFFF"/>
          </w:rPr>
          <w:t>http://council.itu.int/2023/wp-content/uploads/sites/2/2023/08/Speech-Director-General-Majed-Sultan-Al-Mesmar-UAE.pdf</w:t>
        </w:r>
      </w:hyperlink>
      <w:r w:rsidRPr="00050930">
        <w:t xml:space="preserve">. </w:t>
      </w:r>
      <w:r w:rsidR="00FE26C2" w:rsidRPr="00050930">
        <w:t>Sa déclaration est accompagnée d'une vidéo de présentation du lieu</w:t>
      </w:r>
      <w:r w:rsidR="00421BE0" w:rsidRPr="00050930">
        <w:t xml:space="preserve"> de la manifestation</w:t>
      </w:r>
      <w:r w:rsidR="00FE26C2" w:rsidRPr="00050930">
        <w:t xml:space="preserve"> et des travaux préparatoires en vue de la CMR-23.</w:t>
      </w:r>
    </w:p>
    <w:p w14:paraId="2E1FF8B6" w14:textId="25879A03" w:rsidR="001C5CBC" w:rsidRPr="00050930" w:rsidRDefault="001C5CBC" w:rsidP="001B22E8">
      <w:r w:rsidRPr="00050930">
        <w:t>3.3</w:t>
      </w:r>
      <w:r w:rsidRPr="00050930">
        <w:tab/>
      </w:r>
      <w:r w:rsidR="0097245C" w:rsidRPr="00050930">
        <w:t xml:space="preserve">Plusieurs conseillers prennent la parole pour remercier le </w:t>
      </w:r>
      <w:r w:rsidR="007E37BF" w:rsidRPr="00050930">
        <w:t>g</w:t>
      </w:r>
      <w:r w:rsidR="0097245C" w:rsidRPr="00050930">
        <w:t>ouvernement des Émirats</w:t>
      </w:r>
      <w:r w:rsidR="006E2507" w:rsidRPr="00050930">
        <w:t> </w:t>
      </w:r>
      <w:r w:rsidR="0097245C" w:rsidRPr="00050930">
        <w:t xml:space="preserve">arabes unis pour </w:t>
      </w:r>
      <w:r w:rsidR="004351C2" w:rsidRPr="00050930">
        <w:t>ses préparatifs</w:t>
      </w:r>
      <w:r w:rsidR="0097245C" w:rsidRPr="00050930">
        <w:t xml:space="preserve"> et lui souhaiter plein succès dans l'organisation de la CMR-23. </w:t>
      </w:r>
      <w:r w:rsidR="00E12AE7" w:rsidRPr="00050930">
        <w:t>Un conseiller dit espérer que les présidents et vice-présidents des commissions de la CMR-23 seront élus compte tenu d'une répartition géographique équilibrée.</w:t>
      </w:r>
    </w:p>
    <w:p w14:paraId="1B9527C6" w14:textId="0C02417C" w:rsidR="001C5CBC" w:rsidRPr="00050930" w:rsidRDefault="001C5CBC" w:rsidP="001B22E8">
      <w:pPr>
        <w:rPr>
          <w:bCs/>
        </w:rPr>
      </w:pPr>
      <w:r w:rsidRPr="00050930">
        <w:t>3.4</w:t>
      </w:r>
      <w:r w:rsidRPr="00050930">
        <w:tab/>
      </w:r>
      <w:r w:rsidR="00CC70A8" w:rsidRPr="00050930">
        <w:t xml:space="preserve">Le Conseil </w:t>
      </w:r>
      <w:r w:rsidR="00CC70A8" w:rsidRPr="00050930">
        <w:rPr>
          <w:b/>
          <w:bCs/>
        </w:rPr>
        <w:t xml:space="preserve">prend note </w:t>
      </w:r>
      <w:r w:rsidR="00CC70A8" w:rsidRPr="00050930">
        <w:t>du Doc</w:t>
      </w:r>
      <w:r w:rsidRPr="00050930">
        <w:t>ument C23/31</w:t>
      </w:r>
      <w:r w:rsidR="00CC70A8" w:rsidRPr="00050930">
        <w:t xml:space="preserve"> et de l'état d'avancement des travaux préparatoires en vue de l'AR-23 et de la CMR-23.</w:t>
      </w:r>
    </w:p>
    <w:p w14:paraId="44239F9C" w14:textId="5E2C2C32" w:rsidR="001C5CBC" w:rsidRPr="00050930" w:rsidRDefault="001C5CBC" w:rsidP="001B22E8">
      <w:r w:rsidRPr="00050930">
        <w:t>3.5</w:t>
      </w:r>
      <w:r w:rsidRPr="00050930">
        <w:tab/>
      </w:r>
      <w:r w:rsidR="00B02CFF" w:rsidRPr="00050930">
        <w:t>Le Directeur du BR remercie les Émirats arabes unis pour les travaux préparatoires menés et précise que les installations de qualité contribueront au succès de la CMR-23.</w:t>
      </w:r>
    </w:p>
    <w:p w14:paraId="25AF04DB" w14:textId="1EC0C9E6" w:rsidR="001C5CBC" w:rsidRPr="00050930" w:rsidRDefault="001C5CBC" w:rsidP="001B22E8">
      <w:r w:rsidRPr="00050930">
        <w:lastRenderedPageBreak/>
        <w:t>3.6</w:t>
      </w:r>
      <w:r w:rsidRPr="00050930">
        <w:tab/>
      </w:r>
      <w:r w:rsidR="00226BF1" w:rsidRPr="00050930">
        <w:t>La Secrétaire générale remercie</w:t>
      </w:r>
      <w:r w:rsidR="00165C1E" w:rsidRPr="00050930">
        <w:t xml:space="preserve"> également les Émirats arabes unis. La CMR-23 est un rendez-vous d'importance majeure pour le secteur des technologies, qui se prépare depuis quatre ans</w:t>
      </w:r>
      <w:r w:rsidR="00B3653D" w:rsidRPr="00050930">
        <w:t>,</w:t>
      </w:r>
      <w:r w:rsidR="00165C1E" w:rsidRPr="00050930">
        <w:t xml:space="preserve"> et la réalisation des objectifs stratégiques de l'UIT dépendra des services de radiocommunication qui </w:t>
      </w:r>
      <w:r w:rsidR="00D97C8D" w:rsidRPr="00050930">
        <w:t>feront l'objet d'un examen</w:t>
      </w:r>
      <w:r w:rsidR="00165C1E" w:rsidRPr="00050930">
        <w:t xml:space="preserve"> </w:t>
      </w:r>
      <w:r w:rsidR="00B3653D" w:rsidRPr="00050930">
        <w:t>lors de cette manifestation</w:t>
      </w:r>
      <w:r w:rsidR="00165C1E" w:rsidRPr="00050930">
        <w:t>.</w:t>
      </w:r>
    </w:p>
    <w:p w14:paraId="51355006" w14:textId="790E2854" w:rsidR="001C5CBC" w:rsidRPr="00050930" w:rsidRDefault="001C5CBC" w:rsidP="001B22E8">
      <w:pPr>
        <w:pStyle w:val="Heading1"/>
        <w:rPr>
          <w:rFonts w:asciiTheme="minorHAnsi" w:hAnsiTheme="minorHAnsi" w:cstheme="minorHAnsi"/>
          <w:bCs/>
          <w:color w:val="000000"/>
          <w:szCs w:val="24"/>
        </w:rPr>
      </w:pPr>
      <w:r w:rsidRPr="00050930">
        <w:t>4</w:t>
      </w:r>
      <w:r w:rsidRPr="00050930">
        <w:tab/>
        <w:t xml:space="preserve">Transfert du bureau de zone de Tegucigalpa à Panama </w:t>
      </w:r>
      <w:r w:rsidRPr="00050930">
        <w:rPr>
          <w:rFonts w:asciiTheme="minorHAnsi" w:hAnsiTheme="minorHAnsi" w:cstheme="minorHAnsi"/>
          <w:bCs/>
          <w:color w:val="000000"/>
          <w:szCs w:val="24"/>
        </w:rPr>
        <w:t>(Documents </w:t>
      </w:r>
      <w:hyperlink r:id="rId21" w:history="1">
        <w:r w:rsidRPr="00050930">
          <w:rPr>
            <w:rStyle w:val="Hyperlink"/>
            <w:rFonts w:asciiTheme="minorHAnsi" w:hAnsiTheme="minorHAnsi" w:cstheme="minorHAnsi"/>
            <w:bCs/>
            <w:szCs w:val="24"/>
          </w:rPr>
          <w:t>C23/64</w:t>
        </w:r>
      </w:hyperlink>
      <w:r w:rsidRPr="00050930">
        <w:rPr>
          <w:rFonts w:asciiTheme="minorHAnsi" w:hAnsiTheme="minorHAnsi" w:cstheme="minorHAnsi"/>
          <w:bCs/>
          <w:color w:val="000000"/>
          <w:szCs w:val="24"/>
        </w:rPr>
        <w:t xml:space="preserve"> et </w:t>
      </w:r>
      <w:hyperlink r:id="rId22" w:history="1">
        <w:r w:rsidRPr="00050930">
          <w:rPr>
            <w:rStyle w:val="Hyperlink"/>
            <w:rFonts w:asciiTheme="minorHAnsi" w:hAnsiTheme="minorHAnsi" w:cstheme="minorHAnsi"/>
            <w:bCs/>
            <w:szCs w:val="24"/>
          </w:rPr>
          <w:t>C23/65</w:t>
        </w:r>
      </w:hyperlink>
      <w:r w:rsidRPr="00050930">
        <w:rPr>
          <w:rFonts w:asciiTheme="minorHAnsi" w:hAnsiTheme="minorHAnsi" w:cstheme="minorHAnsi"/>
          <w:bCs/>
          <w:color w:val="000000"/>
          <w:szCs w:val="24"/>
        </w:rPr>
        <w:t>)</w:t>
      </w:r>
    </w:p>
    <w:p w14:paraId="7385DC8F" w14:textId="3285B900" w:rsidR="001C5CBC" w:rsidRPr="00050930" w:rsidRDefault="001C5CBC" w:rsidP="001B22E8">
      <w:r w:rsidRPr="00050930">
        <w:t>4.1</w:t>
      </w:r>
      <w:r w:rsidRPr="00050930">
        <w:tab/>
      </w:r>
      <w:bookmarkStart w:id="1" w:name="_Hlk141113862"/>
      <w:r w:rsidRPr="00050930">
        <w:t>M</w:t>
      </w:r>
      <w:r w:rsidR="00FE1846" w:rsidRPr="00050930">
        <w:t>.</w:t>
      </w:r>
      <w:r w:rsidRPr="00050930">
        <w:t xml:space="preserve"> Hildeman Rangel, </w:t>
      </w:r>
      <w:r w:rsidR="00FE1846" w:rsidRPr="00050930">
        <w:t xml:space="preserve">Directeur national des télécommunications au sein de l'Autorité nationale des services collectifs (ASEP) de la République du Panama, </w:t>
      </w:r>
      <w:bookmarkEnd w:id="1"/>
      <w:r w:rsidR="00833271" w:rsidRPr="00050930">
        <w:t>présente le</w:t>
      </w:r>
      <w:r w:rsidRPr="00050930">
        <w:t xml:space="preserve"> Document</w:t>
      </w:r>
      <w:r w:rsidR="00050F63" w:rsidRPr="00050930">
        <w:t> </w:t>
      </w:r>
      <w:r w:rsidRPr="00050930">
        <w:t xml:space="preserve">C23/64, </w:t>
      </w:r>
      <w:r w:rsidR="00050F63" w:rsidRPr="00050930">
        <w:t xml:space="preserve">dans lequel </w:t>
      </w:r>
      <w:r w:rsidR="00146960" w:rsidRPr="00050930">
        <w:t>sont présentées en détail</w:t>
      </w:r>
      <w:r w:rsidR="00050F63" w:rsidRPr="00050930">
        <w:t xml:space="preserve"> les raisons pour les</w:t>
      </w:r>
      <w:r w:rsidR="00146960" w:rsidRPr="00050930">
        <w:t xml:space="preserve">quelles il </w:t>
      </w:r>
      <w:r w:rsidR="003A6D6B" w:rsidRPr="00050930">
        <w:t>serait</w:t>
      </w:r>
      <w:r w:rsidR="00146960" w:rsidRPr="00050930">
        <w:t xml:space="preserve"> opportun de transférer le bureau de zone de l'UIT de </w:t>
      </w:r>
      <w:r w:rsidRPr="00050930">
        <w:t xml:space="preserve">Tegucigalpa </w:t>
      </w:r>
      <w:r w:rsidR="00146960" w:rsidRPr="00050930">
        <w:t>(</w:t>
      </w:r>
      <w:r w:rsidRPr="00050930">
        <w:t>Honduras</w:t>
      </w:r>
      <w:r w:rsidR="00146960" w:rsidRPr="00050930">
        <w:t xml:space="preserve">) à la ville de Panama. </w:t>
      </w:r>
      <w:r w:rsidR="00DD03D7" w:rsidRPr="00050930">
        <w:t xml:space="preserve">L'orateur remercie tous les membres de la Commission interaméricaine des télécommunications (CITEL), en particulier le Honduras, </w:t>
      </w:r>
      <w:r w:rsidR="00CE7139" w:rsidRPr="00050930">
        <w:t xml:space="preserve">d'avoir appuyé cette initiative et ajoute que </w:t>
      </w:r>
      <w:r w:rsidR="00C20534" w:rsidRPr="00050930">
        <w:t>c</w:t>
      </w:r>
      <w:r w:rsidR="00CE7139" w:rsidRPr="00050930">
        <w:t xml:space="preserve">e transfert </w:t>
      </w:r>
      <w:r w:rsidR="00C20534" w:rsidRPr="00050930">
        <w:t xml:space="preserve">favorisera </w:t>
      </w:r>
      <w:r w:rsidR="00CE7139" w:rsidRPr="00050930">
        <w:t xml:space="preserve">le développement du secteur des télécommunications au Panama et dans les pays de la région. </w:t>
      </w:r>
      <w:r w:rsidR="004733E3" w:rsidRPr="00050930">
        <w:t xml:space="preserve">Il est reconnaissant au Honduras pour les travaux </w:t>
      </w:r>
      <w:r w:rsidR="00BD6B15" w:rsidRPr="00050930">
        <w:t>que le pays a menés jusqu'à présent en</w:t>
      </w:r>
      <w:r w:rsidR="004733E3" w:rsidRPr="00050930">
        <w:t xml:space="preserve"> tant que pôle régional des télécommunications. </w:t>
      </w:r>
      <w:r w:rsidR="005555FE" w:rsidRPr="00050930">
        <w:t>Sa déclaration est accompagnée d'une vidéo mettant en avant la beauté du Panama.</w:t>
      </w:r>
    </w:p>
    <w:p w14:paraId="716B61F1" w14:textId="5FA86276" w:rsidR="001C5CBC" w:rsidRPr="00050930" w:rsidRDefault="001C5CBC" w:rsidP="001B22E8">
      <w:r w:rsidRPr="00050930">
        <w:t>4.2</w:t>
      </w:r>
      <w:r w:rsidRPr="00050930">
        <w:tab/>
        <w:t>M</w:t>
      </w:r>
      <w:r w:rsidR="000543F8" w:rsidRPr="00050930">
        <w:t>me</w:t>
      </w:r>
      <w:r w:rsidRPr="00050930">
        <w:t xml:space="preserve"> Claudia Reyes</w:t>
      </w:r>
      <w:r w:rsidR="00163BE0" w:rsidRPr="00050930">
        <w:t>, Cheffe</w:t>
      </w:r>
      <w:r w:rsidR="001A71C9" w:rsidRPr="00050930">
        <w:t xml:space="preserve"> des relations international</w:t>
      </w:r>
      <w:r w:rsidR="00163BE0" w:rsidRPr="00050930">
        <w:t>e</w:t>
      </w:r>
      <w:r w:rsidR="001A71C9" w:rsidRPr="00050930">
        <w:t xml:space="preserve">s et interinstitutionnelles au sein </w:t>
      </w:r>
      <w:r w:rsidR="00163BE0" w:rsidRPr="00050930">
        <w:t>du Conseil national des télécommunications (</w:t>
      </w:r>
      <w:r w:rsidRPr="00050930">
        <w:t>CONATEL</w:t>
      </w:r>
      <w:r w:rsidR="00163BE0" w:rsidRPr="00050930">
        <w:t>)</w:t>
      </w:r>
      <w:r w:rsidR="00E046FB" w:rsidRPr="00050930">
        <w:t xml:space="preserve">, </w:t>
      </w:r>
      <w:r w:rsidR="00163BE0" w:rsidRPr="00050930">
        <w:t xml:space="preserve">Honduras, </w:t>
      </w:r>
      <w:r w:rsidR="00E046FB" w:rsidRPr="00050930">
        <w:t xml:space="preserve">présente le Document </w:t>
      </w:r>
      <w:r w:rsidRPr="00050930">
        <w:t xml:space="preserve">C23/65, </w:t>
      </w:r>
      <w:r w:rsidR="00887590" w:rsidRPr="00050930">
        <w:t>dans lequel le Conseil est invité à prendre note de l'accord de son pays vis-à-vis du transfert du burea</w:t>
      </w:r>
      <w:r w:rsidR="004539C8" w:rsidRPr="00050930">
        <w:t>u</w:t>
      </w:r>
      <w:r w:rsidR="00887590" w:rsidRPr="00050930">
        <w:t xml:space="preserve"> de zone de l'UIT de </w:t>
      </w:r>
      <w:r w:rsidRPr="00050930">
        <w:t xml:space="preserve">Tegucigalpa </w:t>
      </w:r>
      <w:r w:rsidR="004539C8" w:rsidRPr="00050930">
        <w:t>à la ville de Panama</w:t>
      </w:r>
      <w:r w:rsidRPr="00050930">
        <w:t>.</w:t>
      </w:r>
    </w:p>
    <w:p w14:paraId="3F994E77" w14:textId="59D64313" w:rsidR="001C5CBC" w:rsidRPr="00050930" w:rsidRDefault="001C5CBC" w:rsidP="001B22E8">
      <w:r w:rsidRPr="00050930">
        <w:t>4.3</w:t>
      </w:r>
      <w:r w:rsidRPr="00050930">
        <w:tab/>
      </w:r>
      <w:r w:rsidR="00C453F0" w:rsidRPr="00050930">
        <w:t>D</w:t>
      </w:r>
      <w:r w:rsidR="00D17050" w:rsidRPr="00050930">
        <w:t>es conseillers prennent la parole pour remercier le Honduras d'avoir accueilli le bureau de zone de l'UIT pendant de nombreuses années et se féliciter d</w:t>
      </w:r>
      <w:r w:rsidR="001916A0" w:rsidRPr="00050930">
        <w:t>e son</w:t>
      </w:r>
      <w:r w:rsidR="00D17050" w:rsidRPr="00050930">
        <w:t xml:space="preserve"> transfert à la ville de Panama. </w:t>
      </w:r>
      <w:r w:rsidR="00FC2A71" w:rsidRPr="00050930">
        <w:t>Plusieurs conseillers ajoutent que ce transfert renforcera davantage la présence de l'UIT dans la région Amériques et favorisera la mise en œuvre des initiatives régionales.</w:t>
      </w:r>
    </w:p>
    <w:p w14:paraId="77640511" w14:textId="18C4F0D2" w:rsidR="001C5CBC" w:rsidRPr="00050930" w:rsidRDefault="001C5CBC" w:rsidP="001B22E8">
      <w:r w:rsidRPr="00050930">
        <w:t>4.4</w:t>
      </w:r>
      <w:r w:rsidRPr="00050930">
        <w:tab/>
      </w:r>
      <w:r w:rsidR="003F2554" w:rsidRPr="00050930">
        <w:t xml:space="preserve">Le Conseil </w:t>
      </w:r>
      <w:r w:rsidR="006734AB" w:rsidRPr="00050930">
        <w:rPr>
          <w:b/>
          <w:bCs/>
        </w:rPr>
        <w:t>décide</w:t>
      </w:r>
      <w:r w:rsidR="003F2554" w:rsidRPr="00050930">
        <w:rPr>
          <w:b/>
          <w:bCs/>
        </w:rPr>
        <w:t xml:space="preserve"> </w:t>
      </w:r>
      <w:r w:rsidR="003F2554" w:rsidRPr="00050930">
        <w:t xml:space="preserve">de charger la Secrétaire générale de l'UIT de transférer le bureau de zone de </w:t>
      </w:r>
      <w:r w:rsidRPr="00050930">
        <w:t xml:space="preserve">Tegucigalpa </w:t>
      </w:r>
      <w:r w:rsidR="00CC658E" w:rsidRPr="00050930">
        <w:t>à</w:t>
      </w:r>
      <w:r w:rsidRPr="00050930">
        <w:t xml:space="preserve"> Panama.</w:t>
      </w:r>
    </w:p>
    <w:p w14:paraId="1EF98493" w14:textId="7B731EC0" w:rsidR="001C5CBC" w:rsidRPr="00050930" w:rsidRDefault="001C5CBC" w:rsidP="001B22E8">
      <w:r w:rsidRPr="00050930">
        <w:t>4.5</w:t>
      </w:r>
      <w:r w:rsidRPr="00050930">
        <w:tab/>
      </w:r>
      <w:r w:rsidR="006734AB" w:rsidRPr="00050930">
        <w:t xml:space="preserve">La Secrétaire générale </w:t>
      </w:r>
      <w:r w:rsidR="00E563DE" w:rsidRPr="00050930">
        <w:t>remercie le</w:t>
      </w:r>
      <w:r w:rsidR="006734AB" w:rsidRPr="00050930">
        <w:t xml:space="preserve"> Honduras d'avoir accueilli le bureau de zone</w:t>
      </w:r>
      <w:r w:rsidR="008D27C2" w:rsidRPr="00050930">
        <w:t xml:space="preserve"> et </w:t>
      </w:r>
      <w:r w:rsidR="00C22CE2" w:rsidRPr="00050930">
        <w:t xml:space="preserve">lui est reconnaissante </w:t>
      </w:r>
      <w:r w:rsidR="008D27C2" w:rsidRPr="00050930">
        <w:t xml:space="preserve">pour les travaux </w:t>
      </w:r>
      <w:r w:rsidR="00283D05" w:rsidRPr="00050930">
        <w:t>accomplis</w:t>
      </w:r>
      <w:r w:rsidR="008D27C2" w:rsidRPr="00050930">
        <w:t xml:space="preserve"> au fil des ans</w:t>
      </w:r>
      <w:r w:rsidR="00F81715" w:rsidRPr="00050930">
        <w:t xml:space="preserve">, </w:t>
      </w:r>
      <w:r w:rsidR="00280A30" w:rsidRPr="00050930">
        <w:t xml:space="preserve">et offre </w:t>
      </w:r>
      <w:r w:rsidR="00CA5BA3" w:rsidRPr="00050930">
        <w:t xml:space="preserve">en outre </w:t>
      </w:r>
      <w:r w:rsidR="00280A30" w:rsidRPr="00050930">
        <w:t>son concours</w:t>
      </w:r>
      <w:r w:rsidR="008D27C2" w:rsidRPr="00050930">
        <w:t xml:space="preserve"> au Panama. </w:t>
      </w:r>
      <w:r w:rsidR="00E563DE" w:rsidRPr="00050930">
        <w:t xml:space="preserve">Le nouveau bureau de zone </w:t>
      </w:r>
      <w:r w:rsidR="00E118C2" w:rsidRPr="00050930">
        <w:t>sera un véritable laboratoire d'idées nouvelles</w:t>
      </w:r>
      <w:r w:rsidR="00D81F18" w:rsidRPr="00050930">
        <w:t xml:space="preserve"> pour la région</w:t>
      </w:r>
      <w:r w:rsidR="00E118C2" w:rsidRPr="00050930">
        <w:t xml:space="preserve"> </w:t>
      </w:r>
      <w:r w:rsidR="00E563DE" w:rsidRPr="00050930">
        <w:t>et permettra de renforcer les interactions avec l'ensemble du système des Nations</w:t>
      </w:r>
      <w:r w:rsidR="006E2507" w:rsidRPr="00050930">
        <w:t> </w:t>
      </w:r>
      <w:r w:rsidR="00E563DE" w:rsidRPr="00050930">
        <w:t>Unies</w:t>
      </w:r>
      <w:r w:rsidRPr="00050930">
        <w:t xml:space="preserve">, </w:t>
      </w:r>
      <w:r w:rsidR="00E563DE" w:rsidRPr="00050930">
        <w:t>compte tenu du nombre d'institutions des Nations Unies ayant leur siège au Panama.</w:t>
      </w:r>
    </w:p>
    <w:p w14:paraId="153D2F5D" w14:textId="78A8E6DF" w:rsidR="001C5CBC" w:rsidRDefault="001C5CBC" w:rsidP="001B22E8">
      <w:pPr>
        <w:tabs>
          <w:tab w:val="clear" w:pos="567"/>
          <w:tab w:val="clear" w:pos="1134"/>
          <w:tab w:val="clear" w:pos="1701"/>
          <w:tab w:val="clear" w:pos="2268"/>
          <w:tab w:val="clear" w:pos="2835"/>
          <w:tab w:val="left" w:pos="7088"/>
        </w:tabs>
        <w:spacing w:before="840"/>
      </w:pPr>
      <w:r w:rsidRPr="00050930">
        <w:t>La Secrétaire générale</w:t>
      </w:r>
      <w:r w:rsidRPr="00050930">
        <w:tab/>
        <w:t>Le Président</w:t>
      </w:r>
      <w:r w:rsidRPr="00050930">
        <w:br/>
        <w:t>D. BOGDAN</w:t>
      </w:r>
      <w:r w:rsidR="006E2507" w:rsidRPr="00050930">
        <w:t>-</w:t>
      </w:r>
      <w:r w:rsidRPr="00050930">
        <w:t>MARTIN</w:t>
      </w:r>
      <w:r w:rsidR="002F3756" w:rsidRPr="00050930">
        <w:tab/>
        <w:t>C. MARTINEZ</w:t>
      </w:r>
    </w:p>
    <w:p w14:paraId="6C42E665" w14:textId="6B63DC1D" w:rsidR="00B01F7B" w:rsidRPr="00050930" w:rsidRDefault="00B01F7B" w:rsidP="00B01F7B">
      <w:pPr>
        <w:tabs>
          <w:tab w:val="clear" w:pos="567"/>
          <w:tab w:val="clear" w:pos="1134"/>
          <w:tab w:val="clear" w:pos="1701"/>
          <w:tab w:val="clear" w:pos="2268"/>
          <w:tab w:val="clear" w:pos="2835"/>
          <w:tab w:val="left" w:pos="7088"/>
        </w:tabs>
        <w:spacing w:before="840"/>
        <w:jc w:val="center"/>
      </w:pPr>
      <w:r>
        <w:t>________________</w:t>
      </w:r>
    </w:p>
    <w:sectPr w:rsidR="00B01F7B" w:rsidRPr="00050930" w:rsidSect="00D72F49">
      <w:headerReference w:type="even" r:id="rId23"/>
      <w:footerReference w:type="even" r:id="rId24"/>
      <w:footerReference w:type="default" r:id="rId25"/>
      <w:headerReference w:type="first" r:id="rId26"/>
      <w:footerReference w:type="first" r:id="rId2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8D92" w14:textId="77777777" w:rsidR="000B7AB9" w:rsidRDefault="000B7AB9">
      <w:r>
        <w:separator/>
      </w:r>
    </w:p>
  </w:endnote>
  <w:endnote w:type="continuationSeparator" w:id="0">
    <w:p w14:paraId="5DA4DEE5" w14:textId="77777777" w:rsidR="000B7AB9" w:rsidRDefault="000B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6FBE0A8" w:rsidR="00732045" w:rsidRPr="00805F19" w:rsidRDefault="00050930">
    <w:pPr>
      <w:pStyle w:val="Footer"/>
      <w:rPr>
        <w:lang w:val="it-IT"/>
      </w:rPr>
    </w:pPr>
    <w:r>
      <w:fldChar w:fldCharType="begin"/>
    </w:r>
    <w:r w:rsidRPr="00805F19">
      <w:rPr>
        <w:lang w:val="it-IT"/>
      </w:rPr>
      <w:instrText xml:space="preserve"> FILENAME \p \* MERGEFORMAT </w:instrText>
    </w:r>
    <w:r>
      <w:fldChar w:fldCharType="separate"/>
    </w:r>
    <w:r w:rsidR="001B22E8">
      <w:rPr>
        <w:lang w:val="it-IT"/>
      </w:rPr>
      <w:t>P:\FRA\SG\CONSEIL\C23\100\526723V2F.docx</w:t>
    </w:r>
    <w:r>
      <w:fldChar w:fldCharType="end"/>
    </w:r>
    <w:r w:rsidR="00732045" w:rsidRPr="00805F19">
      <w:rPr>
        <w:lang w:val="it-IT"/>
      </w:rPr>
      <w:tab/>
    </w:r>
    <w:r w:rsidR="002F1B76">
      <w:fldChar w:fldCharType="begin"/>
    </w:r>
    <w:r w:rsidR="00732045">
      <w:instrText xml:space="preserve"> savedate \@ dd.MM.yy </w:instrText>
    </w:r>
    <w:r w:rsidR="002F1B76">
      <w:fldChar w:fldCharType="separate"/>
    </w:r>
    <w:r w:rsidR="008A2A4C">
      <w:t>30.08.23</w:t>
    </w:r>
    <w:r w:rsidR="002F1B76">
      <w:fldChar w:fldCharType="end"/>
    </w:r>
    <w:r w:rsidR="00732045" w:rsidRPr="00805F19">
      <w:rPr>
        <w:lang w:val="it-IT"/>
      </w:rPr>
      <w:tab/>
    </w:r>
    <w:r w:rsidR="002F1B76">
      <w:fldChar w:fldCharType="begin"/>
    </w:r>
    <w:r w:rsidR="00732045">
      <w:instrText xml:space="preserve"> printdate \@ dd.MM.yy </w:instrText>
    </w:r>
    <w:r w:rsidR="002F1B76">
      <w:fldChar w:fldCharType="separate"/>
    </w:r>
    <w:r w:rsidR="001B22E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B2CF266" w:rsidR="00A51849" w:rsidRDefault="00A51849" w:rsidP="00A51849">
          <w:pPr>
            <w:pStyle w:val="Header"/>
            <w:jc w:val="left"/>
            <w:rPr>
              <w:noProof/>
            </w:rPr>
          </w:pPr>
          <w:r>
            <w:rPr>
              <w:noProof/>
            </w:rPr>
            <w:t xml:space="preserve">DPS </w:t>
          </w:r>
          <w:r w:rsidR="001C5CBC">
            <w:rPr>
              <w:noProof/>
            </w:rPr>
            <w:t>526723</w:t>
          </w:r>
        </w:p>
      </w:tc>
      <w:tc>
        <w:tcPr>
          <w:tcW w:w="8261" w:type="dxa"/>
        </w:tcPr>
        <w:p w14:paraId="0DB0A3C6" w14:textId="5143804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C5CBC">
            <w:rPr>
              <w:bCs/>
            </w:rPr>
            <w:t>106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28426DC" w:rsidR="00732045" w:rsidRPr="00805F19" w:rsidRDefault="00732045" w:rsidP="001C5CBC">
    <w:pPr>
      <w:pStyle w:val="Footer"/>
      <w:spacing w:before="120"/>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2DE7A02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33E8F">
            <w:rPr>
              <w:bCs/>
            </w:rPr>
            <w:t>106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9ED5FE2" w:rsidR="00732045" w:rsidRPr="00805F19" w:rsidRDefault="00732045" w:rsidP="001C5CBC">
    <w:pPr>
      <w:pStyle w:val="Footer"/>
      <w:spacing w:before="1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0C2" w14:textId="77777777" w:rsidR="000B7AB9" w:rsidRDefault="000B7AB9">
      <w:r>
        <w:t>____________________</w:t>
      </w:r>
    </w:p>
  </w:footnote>
  <w:footnote w:type="continuationSeparator" w:id="0">
    <w:p w14:paraId="42842EFE" w14:textId="77777777" w:rsidR="000B7AB9" w:rsidRDefault="000B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708B"/>
    <w:rsid w:val="00050930"/>
    <w:rsid w:val="00050F63"/>
    <w:rsid w:val="000543F8"/>
    <w:rsid w:val="000564D4"/>
    <w:rsid w:val="00063440"/>
    <w:rsid w:val="00075FAF"/>
    <w:rsid w:val="00076A2C"/>
    <w:rsid w:val="00093DA2"/>
    <w:rsid w:val="000A549E"/>
    <w:rsid w:val="000B3AEF"/>
    <w:rsid w:val="000B7AB9"/>
    <w:rsid w:val="000C2584"/>
    <w:rsid w:val="000C78D8"/>
    <w:rsid w:val="000D0D0A"/>
    <w:rsid w:val="00103163"/>
    <w:rsid w:val="001050F2"/>
    <w:rsid w:val="00106B19"/>
    <w:rsid w:val="00115D93"/>
    <w:rsid w:val="00117D37"/>
    <w:rsid w:val="001247A8"/>
    <w:rsid w:val="001378C0"/>
    <w:rsid w:val="0014027B"/>
    <w:rsid w:val="001445B2"/>
    <w:rsid w:val="00146960"/>
    <w:rsid w:val="00146B8E"/>
    <w:rsid w:val="00163BE0"/>
    <w:rsid w:val="00165C1E"/>
    <w:rsid w:val="0018694A"/>
    <w:rsid w:val="001916A0"/>
    <w:rsid w:val="0019491E"/>
    <w:rsid w:val="001966E8"/>
    <w:rsid w:val="001A3287"/>
    <w:rsid w:val="001A491B"/>
    <w:rsid w:val="001A6508"/>
    <w:rsid w:val="001A71C9"/>
    <w:rsid w:val="001B22E8"/>
    <w:rsid w:val="001C5CBC"/>
    <w:rsid w:val="001D4C31"/>
    <w:rsid w:val="001D77BD"/>
    <w:rsid w:val="001E4D21"/>
    <w:rsid w:val="002076BE"/>
    <w:rsid w:val="00207CD1"/>
    <w:rsid w:val="00226657"/>
    <w:rsid w:val="00226BF1"/>
    <w:rsid w:val="00232676"/>
    <w:rsid w:val="00242C47"/>
    <w:rsid w:val="002477A2"/>
    <w:rsid w:val="00263A51"/>
    <w:rsid w:val="00267E02"/>
    <w:rsid w:val="00274B1D"/>
    <w:rsid w:val="00280A30"/>
    <w:rsid w:val="00283D05"/>
    <w:rsid w:val="002859E8"/>
    <w:rsid w:val="002A5D44"/>
    <w:rsid w:val="002B1C73"/>
    <w:rsid w:val="002B2F18"/>
    <w:rsid w:val="002B651F"/>
    <w:rsid w:val="002C23B0"/>
    <w:rsid w:val="002C23D5"/>
    <w:rsid w:val="002D001C"/>
    <w:rsid w:val="002E0BC4"/>
    <w:rsid w:val="002F1B76"/>
    <w:rsid w:val="002F3756"/>
    <w:rsid w:val="002F3764"/>
    <w:rsid w:val="002F7E63"/>
    <w:rsid w:val="003355DE"/>
    <w:rsid w:val="0033568E"/>
    <w:rsid w:val="00344056"/>
    <w:rsid w:val="0035561E"/>
    <w:rsid w:val="00355FF5"/>
    <w:rsid w:val="00361350"/>
    <w:rsid w:val="00370B41"/>
    <w:rsid w:val="00377DCF"/>
    <w:rsid w:val="003A58F5"/>
    <w:rsid w:val="003A6D6B"/>
    <w:rsid w:val="003B0AF6"/>
    <w:rsid w:val="003B47C8"/>
    <w:rsid w:val="003B53EF"/>
    <w:rsid w:val="003B7BDC"/>
    <w:rsid w:val="003C3FAE"/>
    <w:rsid w:val="003F2554"/>
    <w:rsid w:val="003F2FF6"/>
    <w:rsid w:val="004038CB"/>
    <w:rsid w:val="0040546F"/>
    <w:rsid w:val="00414D22"/>
    <w:rsid w:val="00421BE0"/>
    <w:rsid w:val="0042404A"/>
    <w:rsid w:val="004351C2"/>
    <w:rsid w:val="004409FE"/>
    <w:rsid w:val="00442791"/>
    <w:rsid w:val="00445CBD"/>
    <w:rsid w:val="0044618F"/>
    <w:rsid w:val="004527FD"/>
    <w:rsid w:val="004539C8"/>
    <w:rsid w:val="00453F02"/>
    <w:rsid w:val="0045506A"/>
    <w:rsid w:val="00461BEB"/>
    <w:rsid w:val="00466219"/>
    <w:rsid w:val="0046769A"/>
    <w:rsid w:val="004733E3"/>
    <w:rsid w:val="00475FB3"/>
    <w:rsid w:val="00485966"/>
    <w:rsid w:val="00487C20"/>
    <w:rsid w:val="00494198"/>
    <w:rsid w:val="00494524"/>
    <w:rsid w:val="004A0FFD"/>
    <w:rsid w:val="004A7387"/>
    <w:rsid w:val="004C37A9"/>
    <w:rsid w:val="004D1D50"/>
    <w:rsid w:val="004D3A8B"/>
    <w:rsid w:val="004D47CB"/>
    <w:rsid w:val="004D4A87"/>
    <w:rsid w:val="004F259E"/>
    <w:rsid w:val="004F3BDE"/>
    <w:rsid w:val="00503AE0"/>
    <w:rsid w:val="00511F1D"/>
    <w:rsid w:val="00520F36"/>
    <w:rsid w:val="005271C1"/>
    <w:rsid w:val="00533E8F"/>
    <w:rsid w:val="00534E13"/>
    <w:rsid w:val="00536FDA"/>
    <w:rsid w:val="00540615"/>
    <w:rsid w:val="00540A6D"/>
    <w:rsid w:val="0054381E"/>
    <w:rsid w:val="005555FE"/>
    <w:rsid w:val="00566679"/>
    <w:rsid w:val="00566914"/>
    <w:rsid w:val="00571EEA"/>
    <w:rsid w:val="005735B0"/>
    <w:rsid w:val="00575417"/>
    <w:rsid w:val="005768E1"/>
    <w:rsid w:val="00580879"/>
    <w:rsid w:val="00581478"/>
    <w:rsid w:val="00581866"/>
    <w:rsid w:val="00593217"/>
    <w:rsid w:val="00594021"/>
    <w:rsid w:val="00597080"/>
    <w:rsid w:val="005A2805"/>
    <w:rsid w:val="005A422A"/>
    <w:rsid w:val="005A4E9E"/>
    <w:rsid w:val="005B1179"/>
    <w:rsid w:val="005B1938"/>
    <w:rsid w:val="005B2BBF"/>
    <w:rsid w:val="005B4AD7"/>
    <w:rsid w:val="005B70FC"/>
    <w:rsid w:val="005C3890"/>
    <w:rsid w:val="005C4F8B"/>
    <w:rsid w:val="005D1A71"/>
    <w:rsid w:val="005D260D"/>
    <w:rsid w:val="005F1971"/>
    <w:rsid w:val="005F7BFE"/>
    <w:rsid w:val="00600017"/>
    <w:rsid w:val="006025DC"/>
    <w:rsid w:val="00606D54"/>
    <w:rsid w:val="00611509"/>
    <w:rsid w:val="006235CA"/>
    <w:rsid w:val="00626099"/>
    <w:rsid w:val="0064320F"/>
    <w:rsid w:val="00644DB6"/>
    <w:rsid w:val="0064772E"/>
    <w:rsid w:val="0065649E"/>
    <w:rsid w:val="00660AF0"/>
    <w:rsid w:val="006643AB"/>
    <w:rsid w:val="006734AB"/>
    <w:rsid w:val="00677395"/>
    <w:rsid w:val="00687680"/>
    <w:rsid w:val="00687BA6"/>
    <w:rsid w:val="00692DBF"/>
    <w:rsid w:val="006A7B5C"/>
    <w:rsid w:val="006E2507"/>
    <w:rsid w:val="006F0A53"/>
    <w:rsid w:val="006F2ADB"/>
    <w:rsid w:val="007029C6"/>
    <w:rsid w:val="00704104"/>
    <w:rsid w:val="007136AD"/>
    <w:rsid w:val="0071497E"/>
    <w:rsid w:val="007210CD"/>
    <w:rsid w:val="00732045"/>
    <w:rsid w:val="007369DB"/>
    <w:rsid w:val="00741DCB"/>
    <w:rsid w:val="00742E5A"/>
    <w:rsid w:val="00745EBD"/>
    <w:rsid w:val="00747918"/>
    <w:rsid w:val="007956C2"/>
    <w:rsid w:val="007A187E"/>
    <w:rsid w:val="007A29AC"/>
    <w:rsid w:val="007B3D88"/>
    <w:rsid w:val="007B596A"/>
    <w:rsid w:val="007C2CA1"/>
    <w:rsid w:val="007C72C2"/>
    <w:rsid w:val="007D4436"/>
    <w:rsid w:val="007D4E36"/>
    <w:rsid w:val="007D5B24"/>
    <w:rsid w:val="007E37BF"/>
    <w:rsid w:val="007E6D6F"/>
    <w:rsid w:val="007F257A"/>
    <w:rsid w:val="007F3665"/>
    <w:rsid w:val="00800037"/>
    <w:rsid w:val="00805F19"/>
    <w:rsid w:val="00833271"/>
    <w:rsid w:val="0083391C"/>
    <w:rsid w:val="00834411"/>
    <w:rsid w:val="00835692"/>
    <w:rsid w:val="0084205F"/>
    <w:rsid w:val="008428B0"/>
    <w:rsid w:val="008527BC"/>
    <w:rsid w:val="00861D73"/>
    <w:rsid w:val="008630E2"/>
    <w:rsid w:val="00880F48"/>
    <w:rsid w:val="00882CFC"/>
    <w:rsid w:val="00885E68"/>
    <w:rsid w:val="00887254"/>
    <w:rsid w:val="00887590"/>
    <w:rsid w:val="00897553"/>
    <w:rsid w:val="008A0E00"/>
    <w:rsid w:val="008A1075"/>
    <w:rsid w:val="008A1BA4"/>
    <w:rsid w:val="008A265C"/>
    <w:rsid w:val="008A2A4C"/>
    <w:rsid w:val="008A3BFA"/>
    <w:rsid w:val="008A4DB2"/>
    <w:rsid w:val="008A4E87"/>
    <w:rsid w:val="008A691B"/>
    <w:rsid w:val="008D27C2"/>
    <w:rsid w:val="008D76E6"/>
    <w:rsid w:val="008E01B4"/>
    <w:rsid w:val="008E216C"/>
    <w:rsid w:val="009001AF"/>
    <w:rsid w:val="00901596"/>
    <w:rsid w:val="009059AD"/>
    <w:rsid w:val="009063B4"/>
    <w:rsid w:val="00916C91"/>
    <w:rsid w:val="0092325D"/>
    <w:rsid w:val="0092392D"/>
    <w:rsid w:val="00924F75"/>
    <w:rsid w:val="0092712A"/>
    <w:rsid w:val="0093234A"/>
    <w:rsid w:val="009408E2"/>
    <w:rsid w:val="00946804"/>
    <w:rsid w:val="009566F3"/>
    <w:rsid w:val="00956A78"/>
    <w:rsid w:val="009614EE"/>
    <w:rsid w:val="0097245C"/>
    <w:rsid w:val="0097363B"/>
    <w:rsid w:val="00973F53"/>
    <w:rsid w:val="009822DC"/>
    <w:rsid w:val="00997716"/>
    <w:rsid w:val="00997EF6"/>
    <w:rsid w:val="009A0FBE"/>
    <w:rsid w:val="009A3CD3"/>
    <w:rsid w:val="009B21B7"/>
    <w:rsid w:val="009C307F"/>
    <w:rsid w:val="009C353C"/>
    <w:rsid w:val="009C56F0"/>
    <w:rsid w:val="009D058A"/>
    <w:rsid w:val="009E69DD"/>
    <w:rsid w:val="009F4716"/>
    <w:rsid w:val="00A03C32"/>
    <w:rsid w:val="00A0555B"/>
    <w:rsid w:val="00A10C26"/>
    <w:rsid w:val="00A2113E"/>
    <w:rsid w:val="00A23A51"/>
    <w:rsid w:val="00A24607"/>
    <w:rsid w:val="00A25CD3"/>
    <w:rsid w:val="00A35CBF"/>
    <w:rsid w:val="00A42DAF"/>
    <w:rsid w:val="00A441D7"/>
    <w:rsid w:val="00A47571"/>
    <w:rsid w:val="00A51849"/>
    <w:rsid w:val="00A53339"/>
    <w:rsid w:val="00A548F3"/>
    <w:rsid w:val="00A5532D"/>
    <w:rsid w:val="00A709FE"/>
    <w:rsid w:val="00A73C60"/>
    <w:rsid w:val="00A769BB"/>
    <w:rsid w:val="00A82767"/>
    <w:rsid w:val="00A836EF"/>
    <w:rsid w:val="00A84411"/>
    <w:rsid w:val="00AA332F"/>
    <w:rsid w:val="00AA7BBB"/>
    <w:rsid w:val="00AB64A8"/>
    <w:rsid w:val="00AC0266"/>
    <w:rsid w:val="00AD24EC"/>
    <w:rsid w:val="00AE3875"/>
    <w:rsid w:val="00AE556D"/>
    <w:rsid w:val="00B01F7B"/>
    <w:rsid w:val="00B02CFF"/>
    <w:rsid w:val="00B04ED2"/>
    <w:rsid w:val="00B309F9"/>
    <w:rsid w:val="00B32B60"/>
    <w:rsid w:val="00B3653D"/>
    <w:rsid w:val="00B55E75"/>
    <w:rsid w:val="00B61619"/>
    <w:rsid w:val="00B64D0F"/>
    <w:rsid w:val="00B75837"/>
    <w:rsid w:val="00B811C7"/>
    <w:rsid w:val="00B856CE"/>
    <w:rsid w:val="00B91225"/>
    <w:rsid w:val="00B953E7"/>
    <w:rsid w:val="00B96842"/>
    <w:rsid w:val="00BA2591"/>
    <w:rsid w:val="00BA674C"/>
    <w:rsid w:val="00BB4545"/>
    <w:rsid w:val="00BB73F5"/>
    <w:rsid w:val="00BD55DC"/>
    <w:rsid w:val="00BD5873"/>
    <w:rsid w:val="00BD64ED"/>
    <w:rsid w:val="00BD6B15"/>
    <w:rsid w:val="00BE5AC0"/>
    <w:rsid w:val="00BF5403"/>
    <w:rsid w:val="00C01DF1"/>
    <w:rsid w:val="00C04BE3"/>
    <w:rsid w:val="00C06EBC"/>
    <w:rsid w:val="00C20534"/>
    <w:rsid w:val="00C20FBD"/>
    <w:rsid w:val="00C22CE2"/>
    <w:rsid w:val="00C25D29"/>
    <w:rsid w:val="00C272A3"/>
    <w:rsid w:val="00C27A7C"/>
    <w:rsid w:val="00C41B0E"/>
    <w:rsid w:val="00C42437"/>
    <w:rsid w:val="00C453F0"/>
    <w:rsid w:val="00C56345"/>
    <w:rsid w:val="00C72EEA"/>
    <w:rsid w:val="00C80A20"/>
    <w:rsid w:val="00C815E2"/>
    <w:rsid w:val="00C921A2"/>
    <w:rsid w:val="00CA08ED"/>
    <w:rsid w:val="00CA0DC6"/>
    <w:rsid w:val="00CA5BA3"/>
    <w:rsid w:val="00CB172C"/>
    <w:rsid w:val="00CC380E"/>
    <w:rsid w:val="00CC658E"/>
    <w:rsid w:val="00CC70A8"/>
    <w:rsid w:val="00CC7987"/>
    <w:rsid w:val="00CD5393"/>
    <w:rsid w:val="00CE074B"/>
    <w:rsid w:val="00CE7139"/>
    <w:rsid w:val="00CF183B"/>
    <w:rsid w:val="00CF3101"/>
    <w:rsid w:val="00D0045F"/>
    <w:rsid w:val="00D06EAF"/>
    <w:rsid w:val="00D15DAA"/>
    <w:rsid w:val="00D17050"/>
    <w:rsid w:val="00D375CD"/>
    <w:rsid w:val="00D47D0E"/>
    <w:rsid w:val="00D553A2"/>
    <w:rsid w:val="00D613EF"/>
    <w:rsid w:val="00D64951"/>
    <w:rsid w:val="00D72F49"/>
    <w:rsid w:val="00D7634D"/>
    <w:rsid w:val="00D774D3"/>
    <w:rsid w:val="00D81F18"/>
    <w:rsid w:val="00D822C7"/>
    <w:rsid w:val="00D876E4"/>
    <w:rsid w:val="00D878C7"/>
    <w:rsid w:val="00D904E8"/>
    <w:rsid w:val="00D91D66"/>
    <w:rsid w:val="00D97C8D"/>
    <w:rsid w:val="00DA08C3"/>
    <w:rsid w:val="00DA08FF"/>
    <w:rsid w:val="00DB4012"/>
    <w:rsid w:val="00DB5A3E"/>
    <w:rsid w:val="00DC22AA"/>
    <w:rsid w:val="00DC3303"/>
    <w:rsid w:val="00DD0070"/>
    <w:rsid w:val="00DD03D7"/>
    <w:rsid w:val="00DD3EAE"/>
    <w:rsid w:val="00DD6927"/>
    <w:rsid w:val="00DF046C"/>
    <w:rsid w:val="00DF479D"/>
    <w:rsid w:val="00DF74DD"/>
    <w:rsid w:val="00E021E5"/>
    <w:rsid w:val="00E046FB"/>
    <w:rsid w:val="00E0585E"/>
    <w:rsid w:val="00E06282"/>
    <w:rsid w:val="00E118C2"/>
    <w:rsid w:val="00E12AE7"/>
    <w:rsid w:val="00E133D1"/>
    <w:rsid w:val="00E25AD0"/>
    <w:rsid w:val="00E351EA"/>
    <w:rsid w:val="00E43D6A"/>
    <w:rsid w:val="00E43DAF"/>
    <w:rsid w:val="00E4428F"/>
    <w:rsid w:val="00E46E4B"/>
    <w:rsid w:val="00E563DE"/>
    <w:rsid w:val="00E632EC"/>
    <w:rsid w:val="00E84EBE"/>
    <w:rsid w:val="00E93668"/>
    <w:rsid w:val="00E95647"/>
    <w:rsid w:val="00EA48D5"/>
    <w:rsid w:val="00EB1D09"/>
    <w:rsid w:val="00EB6350"/>
    <w:rsid w:val="00EB67C1"/>
    <w:rsid w:val="00EE10BA"/>
    <w:rsid w:val="00EE3B83"/>
    <w:rsid w:val="00EF0D18"/>
    <w:rsid w:val="00EF6241"/>
    <w:rsid w:val="00F0391F"/>
    <w:rsid w:val="00F04EA0"/>
    <w:rsid w:val="00F07241"/>
    <w:rsid w:val="00F14944"/>
    <w:rsid w:val="00F15B57"/>
    <w:rsid w:val="00F35EF4"/>
    <w:rsid w:val="00F37FE5"/>
    <w:rsid w:val="00F40714"/>
    <w:rsid w:val="00F427DB"/>
    <w:rsid w:val="00F44F4A"/>
    <w:rsid w:val="00F5696B"/>
    <w:rsid w:val="00F6007A"/>
    <w:rsid w:val="00F65ACD"/>
    <w:rsid w:val="00F757D8"/>
    <w:rsid w:val="00F81715"/>
    <w:rsid w:val="00F9038D"/>
    <w:rsid w:val="00FA5EB1"/>
    <w:rsid w:val="00FA7439"/>
    <w:rsid w:val="00FC2A71"/>
    <w:rsid w:val="00FC4EC0"/>
    <w:rsid w:val="00FC66D5"/>
    <w:rsid w:val="00FC6C4F"/>
    <w:rsid w:val="00FD2B19"/>
    <w:rsid w:val="00FD59DE"/>
    <w:rsid w:val="00FE1846"/>
    <w:rsid w:val="00FE1BF6"/>
    <w:rsid w:val="00FE26C2"/>
    <w:rsid w:val="00FE2BFB"/>
    <w:rsid w:val="00FF0181"/>
    <w:rsid w:val="00FF04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3B7BDC"/>
    <w:rPr>
      <w:color w:val="605E5C"/>
      <w:shd w:val="clear" w:color="auto" w:fill="E1DFDD"/>
    </w:rPr>
  </w:style>
  <w:style w:type="paragraph" w:styleId="NormalWeb">
    <w:name w:val="Normal (Web)"/>
    <w:basedOn w:val="Normal"/>
    <w:semiHidden/>
    <w:unhideWhenUsed/>
    <w:rsid w:val="003B7BDC"/>
    <w:rPr>
      <w:rFonts w:ascii="Times New Roman" w:hAnsi="Times New Roman"/>
      <w:szCs w:val="24"/>
    </w:rPr>
  </w:style>
  <w:style w:type="character" w:styleId="CommentReference">
    <w:name w:val="annotation reference"/>
    <w:basedOn w:val="DefaultParagraphFont"/>
    <w:semiHidden/>
    <w:unhideWhenUsed/>
    <w:rsid w:val="00C272A3"/>
    <w:rPr>
      <w:sz w:val="16"/>
      <w:szCs w:val="16"/>
    </w:rPr>
  </w:style>
  <w:style w:type="paragraph" w:styleId="CommentText">
    <w:name w:val="annotation text"/>
    <w:basedOn w:val="Normal"/>
    <w:link w:val="CommentTextChar"/>
    <w:unhideWhenUsed/>
    <w:rsid w:val="00C272A3"/>
    <w:rPr>
      <w:sz w:val="20"/>
    </w:rPr>
  </w:style>
  <w:style w:type="character" w:customStyle="1" w:styleId="CommentTextChar">
    <w:name w:val="Comment Text Char"/>
    <w:basedOn w:val="DefaultParagraphFont"/>
    <w:link w:val="CommentText"/>
    <w:rsid w:val="00C272A3"/>
    <w:rPr>
      <w:rFonts w:ascii="Calibri" w:hAnsi="Calibri"/>
      <w:lang w:val="fr-FR" w:eastAsia="en-US"/>
    </w:rPr>
  </w:style>
  <w:style w:type="paragraph" w:styleId="CommentSubject">
    <w:name w:val="annotation subject"/>
    <w:basedOn w:val="CommentText"/>
    <w:next w:val="CommentText"/>
    <w:link w:val="CommentSubjectChar"/>
    <w:semiHidden/>
    <w:unhideWhenUsed/>
    <w:rsid w:val="00C272A3"/>
    <w:rPr>
      <w:b/>
      <w:bCs/>
    </w:rPr>
  </w:style>
  <w:style w:type="character" w:customStyle="1" w:styleId="CommentSubjectChar">
    <w:name w:val="Comment Subject Char"/>
    <w:basedOn w:val="CommentTextChar"/>
    <w:link w:val="CommentSubject"/>
    <w:semiHidden/>
    <w:rsid w:val="00C272A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770">
      <w:bodyDiv w:val="1"/>
      <w:marLeft w:val="0"/>
      <w:marRight w:val="0"/>
      <w:marTop w:val="0"/>
      <w:marBottom w:val="0"/>
      <w:divBdr>
        <w:top w:val="none" w:sz="0" w:space="0" w:color="auto"/>
        <w:left w:val="none" w:sz="0" w:space="0" w:color="auto"/>
        <w:bottom w:val="none" w:sz="0" w:space="0" w:color="auto"/>
        <w:right w:val="none" w:sz="0" w:space="0" w:color="auto"/>
      </w:divBdr>
    </w:div>
    <w:div w:id="606277618">
      <w:bodyDiv w:val="1"/>
      <w:marLeft w:val="0"/>
      <w:marRight w:val="0"/>
      <w:marTop w:val="0"/>
      <w:marBottom w:val="0"/>
      <w:divBdr>
        <w:top w:val="none" w:sz="0" w:space="0" w:color="auto"/>
        <w:left w:val="none" w:sz="0" w:space="0" w:color="auto"/>
        <w:bottom w:val="none" w:sz="0" w:space="0" w:color="auto"/>
        <w:right w:val="none" w:sz="0" w:space="0" w:color="auto"/>
      </w:divBdr>
    </w:div>
    <w:div w:id="737633253">
      <w:bodyDiv w:val="1"/>
      <w:marLeft w:val="0"/>
      <w:marRight w:val="0"/>
      <w:marTop w:val="0"/>
      <w:marBottom w:val="0"/>
      <w:divBdr>
        <w:top w:val="none" w:sz="0" w:space="0" w:color="auto"/>
        <w:left w:val="none" w:sz="0" w:space="0" w:color="auto"/>
        <w:bottom w:val="none" w:sz="0" w:space="0" w:color="auto"/>
        <w:right w:val="none" w:sz="0" w:space="0" w:color="auto"/>
      </w:divBdr>
    </w:div>
    <w:div w:id="839930602">
      <w:bodyDiv w:val="1"/>
      <w:marLeft w:val="0"/>
      <w:marRight w:val="0"/>
      <w:marTop w:val="0"/>
      <w:marBottom w:val="0"/>
      <w:divBdr>
        <w:top w:val="none" w:sz="0" w:space="0" w:color="auto"/>
        <w:left w:val="none" w:sz="0" w:space="0" w:color="auto"/>
        <w:bottom w:val="none" w:sz="0" w:space="0" w:color="auto"/>
        <w:right w:val="none" w:sz="0" w:space="0" w:color="auto"/>
      </w:divBdr>
    </w:div>
    <w:div w:id="915938620">
      <w:bodyDiv w:val="1"/>
      <w:marLeft w:val="0"/>
      <w:marRight w:val="0"/>
      <w:marTop w:val="0"/>
      <w:marBottom w:val="0"/>
      <w:divBdr>
        <w:top w:val="none" w:sz="0" w:space="0" w:color="auto"/>
        <w:left w:val="none" w:sz="0" w:space="0" w:color="auto"/>
        <w:bottom w:val="none" w:sz="0" w:space="0" w:color="auto"/>
        <w:right w:val="none" w:sz="0" w:space="0" w:color="auto"/>
      </w:divBdr>
    </w:div>
    <w:div w:id="1080254465">
      <w:bodyDiv w:val="1"/>
      <w:marLeft w:val="0"/>
      <w:marRight w:val="0"/>
      <w:marTop w:val="0"/>
      <w:marBottom w:val="0"/>
      <w:divBdr>
        <w:top w:val="none" w:sz="0" w:space="0" w:color="auto"/>
        <w:left w:val="none" w:sz="0" w:space="0" w:color="auto"/>
        <w:bottom w:val="none" w:sz="0" w:space="0" w:color="auto"/>
        <w:right w:val="none" w:sz="0" w:space="0" w:color="auto"/>
      </w:divBdr>
    </w:div>
    <w:div w:id="1137525053">
      <w:bodyDiv w:val="1"/>
      <w:marLeft w:val="0"/>
      <w:marRight w:val="0"/>
      <w:marTop w:val="0"/>
      <w:marBottom w:val="0"/>
      <w:divBdr>
        <w:top w:val="none" w:sz="0" w:space="0" w:color="auto"/>
        <w:left w:val="none" w:sz="0" w:space="0" w:color="auto"/>
        <w:bottom w:val="none" w:sz="0" w:space="0" w:color="auto"/>
        <w:right w:val="none" w:sz="0" w:space="0" w:color="auto"/>
      </w:divBdr>
    </w:div>
    <w:div w:id="1743210922">
      <w:bodyDiv w:val="1"/>
      <w:marLeft w:val="0"/>
      <w:marRight w:val="0"/>
      <w:marTop w:val="0"/>
      <w:marBottom w:val="0"/>
      <w:divBdr>
        <w:top w:val="none" w:sz="0" w:space="0" w:color="auto"/>
        <w:left w:val="none" w:sz="0" w:space="0" w:color="auto"/>
        <w:bottom w:val="none" w:sz="0" w:space="0" w:color="auto"/>
        <w:right w:val="none" w:sz="0" w:space="0" w:color="auto"/>
      </w:divBdr>
    </w:div>
    <w:div w:id="2095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72/en" TargetMode="External"/><Relationship Id="rId13" Type="http://schemas.openxmlformats.org/officeDocument/2006/relationships/hyperlink" Target="https://www.itu.int/md/S23-CL-C-0065/en" TargetMode="External"/><Relationship Id="rId18" Type="http://schemas.openxmlformats.org/officeDocument/2006/relationships/hyperlink" Target="https://www.itu.int/md/S23-CL-C-0024/en"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itu.int/md/S23-CL-C-0064/en" TargetMode="External"/><Relationship Id="rId7" Type="http://schemas.openxmlformats.org/officeDocument/2006/relationships/hyperlink" Target="https://www.itu.int/md/S23-CL-C-0052/en" TargetMode="External"/><Relationship Id="rId12" Type="http://schemas.openxmlformats.org/officeDocument/2006/relationships/hyperlink" Target="https://www.itu.int/md/S23-CL-C-0064/en" TargetMode="External"/><Relationship Id="rId17" Type="http://schemas.openxmlformats.org/officeDocument/2006/relationships/hyperlink" Target="https://www.itu.int/md/S23-CL-C-0090/en"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23-CL-C-0072/en" TargetMode="External"/><Relationship Id="rId20" Type="http://schemas.openxmlformats.org/officeDocument/2006/relationships/hyperlink" Target="http://council.itu.int/2023/wp-content/uploads/sites/2/2023/08/Speech-Director-General-Majed-Sultan-Al-Mesmar-UAE.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3-CL-C-0036/en" TargetMode="External"/><Relationship Id="rId11" Type="http://schemas.openxmlformats.org/officeDocument/2006/relationships/hyperlink" Target="https://www.itu.int/md/S23-CL-C-0031/en"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23-CL-C-0052/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S23-CL-C-0024/en" TargetMode="External"/><Relationship Id="rId19" Type="http://schemas.openxmlformats.org/officeDocument/2006/relationships/hyperlink" Target="https://www.itu.int/md/S23-CL-C-0031/en" TargetMode="External"/><Relationship Id="rId4" Type="http://schemas.openxmlformats.org/officeDocument/2006/relationships/footnotes" Target="footnotes.xml"/><Relationship Id="rId9" Type="http://schemas.openxmlformats.org/officeDocument/2006/relationships/hyperlink" Target="https://www.itu.int/md/S23-CL-C-0090/en" TargetMode="External"/><Relationship Id="rId14" Type="http://schemas.openxmlformats.org/officeDocument/2006/relationships/hyperlink" Target="https://www.itu.int/md/S23-CL-C-0036/en" TargetMode="External"/><Relationship Id="rId22" Type="http://schemas.openxmlformats.org/officeDocument/2006/relationships/hyperlink" Target="https://www.itu.int/md/S23-CL-C-0065/en"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17725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 plénière</dc:title>
  <dc:subject>Conseil 2023</dc:subject>
  <dc:creator>Xue, Kun</dc:creator>
  <cp:keywords>C2023, C23, Council-23</cp:keywords>
  <dc:description/>
  <cp:lastModifiedBy>Xue, Kun</cp:lastModifiedBy>
  <cp:revision>4</cp:revision>
  <cp:lastPrinted>2000-07-18T08:55:00Z</cp:lastPrinted>
  <dcterms:created xsi:type="dcterms:W3CDTF">2023-09-01T15:02:00Z</dcterms:created>
  <dcterms:modified xsi:type="dcterms:W3CDTF">2023-09-01T15:04:00Z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