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97A74" w14:paraId="209F724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15F89" w14:textId="2E10986F" w:rsidR="00796BD3" w:rsidRPr="00597A74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38AD879" w14:textId="250D3BE2" w:rsidR="00796BD3" w:rsidRPr="00597A7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97A74">
              <w:rPr>
                <w:b/>
                <w:lang w:val="ru-RU"/>
              </w:rPr>
              <w:t xml:space="preserve">Документ </w:t>
            </w:r>
            <w:r w:rsidR="00796BD3" w:rsidRPr="00597A74">
              <w:rPr>
                <w:b/>
                <w:lang w:val="ru-RU"/>
              </w:rPr>
              <w:t>C23/</w:t>
            </w:r>
            <w:r w:rsidR="001B4A41" w:rsidRPr="00597A74">
              <w:rPr>
                <w:b/>
                <w:lang w:val="ru-RU"/>
              </w:rPr>
              <w:t>10</w:t>
            </w:r>
            <w:r w:rsidR="00E147EF" w:rsidRPr="00597A74">
              <w:rPr>
                <w:b/>
                <w:lang w:val="ru-RU"/>
              </w:rPr>
              <w:t>5</w:t>
            </w:r>
            <w:r w:rsidR="00796BD3" w:rsidRPr="00597A74">
              <w:rPr>
                <w:b/>
                <w:lang w:val="ru-RU"/>
              </w:rPr>
              <w:t>-R</w:t>
            </w:r>
          </w:p>
        </w:tc>
      </w:tr>
      <w:tr w:rsidR="00796BD3" w:rsidRPr="00597A74" w14:paraId="4AEF9A87" w14:textId="77777777" w:rsidTr="00E31DCE">
        <w:trPr>
          <w:cantSplit/>
        </w:trPr>
        <w:tc>
          <w:tcPr>
            <w:tcW w:w="3969" w:type="dxa"/>
            <w:vMerge/>
          </w:tcPr>
          <w:p w14:paraId="1FF0AD5F" w14:textId="77777777" w:rsidR="00796BD3" w:rsidRPr="00597A7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7CE3B" w14:textId="0AC4C311" w:rsidR="00796BD3" w:rsidRPr="00597A74" w:rsidRDefault="005F57B5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97A74">
              <w:rPr>
                <w:b/>
                <w:lang w:val="ru-RU"/>
              </w:rPr>
              <w:t>13</w:t>
            </w:r>
            <w:r w:rsidR="001B4A41" w:rsidRPr="00597A74">
              <w:rPr>
                <w:b/>
                <w:lang w:val="ru-RU"/>
              </w:rPr>
              <w:t xml:space="preserve"> </w:t>
            </w:r>
            <w:r w:rsidRPr="00597A74">
              <w:rPr>
                <w:b/>
                <w:lang w:val="ru-RU"/>
              </w:rPr>
              <w:t>сентября</w:t>
            </w:r>
            <w:r w:rsidR="00796BD3" w:rsidRPr="00597A74">
              <w:rPr>
                <w:b/>
                <w:lang w:val="ru-RU"/>
              </w:rPr>
              <w:t xml:space="preserve"> 2023</w:t>
            </w:r>
            <w:r w:rsidR="001B4A41" w:rsidRPr="00597A74">
              <w:rPr>
                <w:b/>
                <w:lang w:val="ru-RU"/>
              </w:rPr>
              <w:t> года</w:t>
            </w:r>
          </w:p>
        </w:tc>
      </w:tr>
      <w:tr w:rsidR="00796BD3" w:rsidRPr="00597A74" w14:paraId="04D8141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50818DD" w14:textId="77777777" w:rsidR="00796BD3" w:rsidRPr="00597A7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2AEBEBD" w14:textId="77777777" w:rsidR="00796BD3" w:rsidRPr="00597A7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97A7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97A74" w14:paraId="3DC52236" w14:textId="77777777" w:rsidTr="00E31DCE">
        <w:trPr>
          <w:cantSplit/>
          <w:trHeight w:val="23"/>
        </w:trPr>
        <w:tc>
          <w:tcPr>
            <w:tcW w:w="3969" w:type="dxa"/>
          </w:tcPr>
          <w:p w14:paraId="70871EAE" w14:textId="77777777" w:rsidR="00796BD3" w:rsidRPr="00597A7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AB0DAC3" w14:textId="77777777" w:rsidR="00796BD3" w:rsidRPr="00597A7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97A74" w14:paraId="76B7A9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2959C75" w14:textId="77777777" w:rsidR="00561899" w:rsidRPr="00597A74" w:rsidRDefault="00561899" w:rsidP="0026650E">
            <w:pPr>
              <w:pStyle w:val="Title1"/>
              <w:rPr>
                <w:lang w:val="ru-RU"/>
              </w:rPr>
            </w:pPr>
            <w:bookmarkStart w:id="5" w:name="dsource" w:colFirst="0" w:colLast="0"/>
            <w:bookmarkEnd w:id="4"/>
            <w:r w:rsidRPr="00597A74">
              <w:rPr>
                <w:lang w:val="ru-RU"/>
              </w:rPr>
              <w:t>КРАТКИЙ ОТЧЕТ</w:t>
            </w:r>
          </w:p>
          <w:p w14:paraId="74DC7CF6" w14:textId="77777777" w:rsidR="00796BD3" w:rsidRPr="00597A74" w:rsidRDefault="00561899" w:rsidP="0026650E">
            <w:pPr>
              <w:pStyle w:val="Title1"/>
              <w:rPr>
                <w:lang w:val="ru-RU"/>
              </w:rPr>
            </w:pPr>
            <w:r w:rsidRPr="00597A74">
              <w:rPr>
                <w:lang w:val="ru-RU"/>
              </w:rPr>
              <w:t>О ПЛЕНАРНОМ ЗАСЕДАНИИ</w:t>
            </w:r>
            <w:r w:rsidR="0026650E" w:rsidRPr="00597A74">
              <w:rPr>
                <w:lang w:val="ru-RU"/>
              </w:rPr>
              <w:t>,</w:t>
            </w:r>
          </w:p>
          <w:p w14:paraId="4EBE545F" w14:textId="4A57C20F" w:rsidR="0026650E" w:rsidRPr="00597A74" w:rsidRDefault="0026650E" w:rsidP="0026650E">
            <w:pPr>
              <w:pStyle w:val="Title1"/>
              <w:rPr>
                <w:lang w:val="ru-RU"/>
              </w:rPr>
            </w:pPr>
            <w:r w:rsidRPr="00597A74">
              <w:rPr>
                <w:lang w:val="ru-RU"/>
              </w:rPr>
              <w:t>ПОСВЯЩЕННОМ ОТКРЫТИЮ СЕССИИ СОВЕТА</w:t>
            </w:r>
          </w:p>
        </w:tc>
      </w:tr>
      <w:tr w:rsidR="00796BD3" w:rsidRPr="00597A74" w14:paraId="40C0650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015E5E" w14:textId="4800FA51" w:rsidR="00796BD3" w:rsidRPr="00597A74" w:rsidRDefault="0026650E" w:rsidP="0026650E">
            <w:pPr>
              <w:pStyle w:val="Normalaftertitle"/>
              <w:jc w:val="center"/>
              <w:rPr>
                <w:lang w:val="ru-RU"/>
              </w:rPr>
            </w:pPr>
            <w:bookmarkStart w:id="6" w:name="_Hlk143178561"/>
            <w:bookmarkStart w:id="7" w:name="dtitle1" w:colFirst="0" w:colLast="0"/>
            <w:bookmarkEnd w:id="5"/>
            <w:r w:rsidRPr="00597A74">
              <w:rPr>
                <w:lang w:val="ru-RU"/>
              </w:rPr>
              <w:t xml:space="preserve">Вторник, 11 июля 2023 года, 09 час. 30 мин. − 10 час. 20 мин. </w:t>
            </w:r>
            <w:r w:rsidRPr="00597A74">
              <w:rPr>
                <w:lang w:val="ru-RU"/>
              </w:rPr>
              <w:br/>
            </w:r>
            <w:bookmarkEnd w:id="6"/>
            <w:r w:rsidRPr="00597A74">
              <w:rPr>
                <w:lang w:val="ru-RU"/>
              </w:rPr>
              <w:t>и среда, 12 июля 2023 года, 09 час. 35 мин. − 12 час. 40 мин.</w:t>
            </w:r>
          </w:p>
          <w:p w14:paraId="7EF965B9" w14:textId="091C7E6C" w:rsidR="001B4A41" w:rsidRPr="00597A74" w:rsidRDefault="003342E4" w:rsidP="003342E4">
            <w:pPr>
              <w:jc w:val="center"/>
              <w:rPr>
                <w:lang w:val="ru-RU"/>
              </w:rPr>
            </w:pPr>
            <w:r w:rsidRPr="00597A74">
              <w:rPr>
                <w:b/>
                <w:bCs/>
                <w:lang w:val="ru-RU"/>
              </w:rPr>
              <w:t>Председатель</w:t>
            </w:r>
            <w:r w:rsidRPr="00597A74">
              <w:rPr>
                <w:lang w:val="ru-RU"/>
              </w:rPr>
              <w:t xml:space="preserve">: </w:t>
            </w:r>
            <w:r w:rsidR="0026650E" w:rsidRPr="00597A74">
              <w:rPr>
                <w:lang w:val="ru-RU"/>
              </w:rPr>
              <w:t>г-н С. МАРТИНЕС (Парагвай)</w:t>
            </w:r>
          </w:p>
        </w:tc>
      </w:tr>
      <w:bookmarkEnd w:id="2"/>
      <w:bookmarkEnd w:id="7"/>
    </w:tbl>
    <w:p w14:paraId="359817CF" w14:textId="77777777" w:rsidR="00796BD3" w:rsidRPr="00597A74" w:rsidRDefault="00796BD3" w:rsidP="00796BD3">
      <w:pPr>
        <w:rPr>
          <w:lang w:val="ru-RU"/>
        </w:rPr>
      </w:pPr>
    </w:p>
    <w:p w14:paraId="7909BF21" w14:textId="77777777" w:rsidR="001B4A41" w:rsidRPr="00597A74" w:rsidRDefault="001B4A41" w:rsidP="001B4A41">
      <w:pPr>
        <w:rPr>
          <w:lang w:val="ru-RU"/>
        </w:rPr>
      </w:pPr>
    </w:p>
    <w:tbl>
      <w:tblPr>
        <w:tblW w:w="921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976"/>
      </w:tblGrid>
      <w:tr w:rsidR="001B4A41" w:rsidRPr="00597A74" w14:paraId="741145D0" w14:textId="77777777" w:rsidTr="00E147EF">
        <w:tc>
          <w:tcPr>
            <w:tcW w:w="308" w:type="pct"/>
          </w:tcPr>
          <w:p w14:paraId="44052E24" w14:textId="77777777" w:rsidR="001B4A41" w:rsidRPr="00597A74" w:rsidRDefault="001B4A41" w:rsidP="001B4A41">
            <w:pPr>
              <w:jc w:val="center"/>
              <w:rPr>
                <w:rFonts w:cs="Calibri"/>
                <w:b/>
                <w:bCs/>
                <w:szCs w:val="22"/>
                <w:lang w:val="ru-RU"/>
              </w:rPr>
            </w:pPr>
            <w:bookmarkStart w:id="8" w:name="_Hlk141438382"/>
            <w:r w:rsidRPr="00597A74">
              <w:rPr>
                <w:rFonts w:cs="Calibri"/>
                <w:b/>
                <w:bCs/>
                <w:szCs w:val="22"/>
                <w:lang w:val="ru-RU"/>
              </w:rPr>
              <w:br w:type="page"/>
            </w:r>
            <w:r w:rsidRPr="00597A74">
              <w:rPr>
                <w:rFonts w:cs="Calibri"/>
                <w:b/>
                <w:bCs/>
                <w:szCs w:val="22"/>
                <w:lang w:val="ru-RU"/>
              </w:rPr>
              <w:br w:type="page"/>
            </w:r>
          </w:p>
        </w:tc>
        <w:tc>
          <w:tcPr>
            <w:tcW w:w="3077" w:type="pct"/>
          </w:tcPr>
          <w:p w14:paraId="15C7E63C" w14:textId="0FB08128" w:rsidR="001B4A41" w:rsidRPr="00597A74" w:rsidRDefault="00561899" w:rsidP="001B4A41">
            <w:pPr>
              <w:rPr>
                <w:rFonts w:cs="Calibri"/>
                <w:b/>
                <w:bCs/>
                <w:szCs w:val="22"/>
                <w:lang w:val="ru-RU"/>
              </w:rPr>
            </w:pPr>
            <w:r w:rsidRPr="00597A74">
              <w:rPr>
                <w:rFonts w:cs="Calibri"/>
                <w:b/>
                <w:bCs/>
                <w:szCs w:val="22"/>
                <w:lang w:val="ru-RU"/>
              </w:rPr>
              <w:t>Обсуждаемые вопросы</w:t>
            </w:r>
          </w:p>
        </w:tc>
        <w:tc>
          <w:tcPr>
            <w:tcW w:w="1615" w:type="pct"/>
          </w:tcPr>
          <w:p w14:paraId="30D84664" w14:textId="7E9E26B2" w:rsidR="001B4A41" w:rsidRPr="00597A74" w:rsidRDefault="001B4A41" w:rsidP="001B4A41">
            <w:pPr>
              <w:jc w:val="center"/>
              <w:rPr>
                <w:rFonts w:cs="Calibri"/>
                <w:b/>
                <w:bCs/>
                <w:szCs w:val="22"/>
                <w:lang w:val="ru-RU"/>
              </w:rPr>
            </w:pPr>
            <w:r w:rsidRPr="00597A74">
              <w:rPr>
                <w:rFonts w:cs="Calibri"/>
                <w:b/>
                <w:bCs/>
                <w:szCs w:val="22"/>
                <w:lang w:val="ru-RU"/>
              </w:rPr>
              <w:t>Документы</w:t>
            </w:r>
          </w:p>
        </w:tc>
      </w:tr>
      <w:tr w:rsidR="0026650E" w:rsidRPr="00597A74" w14:paraId="098CC4ED" w14:textId="77777777" w:rsidTr="00E147EF">
        <w:trPr>
          <w:trHeight w:val="20"/>
        </w:trPr>
        <w:tc>
          <w:tcPr>
            <w:tcW w:w="308" w:type="pct"/>
          </w:tcPr>
          <w:p w14:paraId="55B03472" w14:textId="4D5347E1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1</w:t>
            </w:r>
          </w:p>
        </w:tc>
        <w:tc>
          <w:tcPr>
            <w:tcW w:w="3077" w:type="pct"/>
          </w:tcPr>
          <w:p w14:paraId="63D8EB3A" w14:textId="5D9DAA54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bookmarkStart w:id="9" w:name="_Hlk99116769"/>
            <w:r w:rsidRPr="00597A74">
              <w:rPr>
                <w:rFonts w:cs="Calibri"/>
                <w:szCs w:val="22"/>
                <w:lang w:val="ru-RU"/>
              </w:rPr>
              <w:t>Открытие сессии Совета 2023 года</w:t>
            </w:r>
            <w:bookmarkEnd w:id="9"/>
          </w:p>
        </w:tc>
        <w:tc>
          <w:tcPr>
            <w:tcW w:w="1615" w:type="pct"/>
          </w:tcPr>
          <w:p w14:paraId="13C50CE7" w14:textId="049C50B4" w:rsidR="0026650E" w:rsidRPr="00597A74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597A74" w14:paraId="7E5C8AE3" w14:textId="77777777" w:rsidTr="00E147EF">
        <w:trPr>
          <w:trHeight w:val="20"/>
        </w:trPr>
        <w:tc>
          <w:tcPr>
            <w:tcW w:w="308" w:type="pct"/>
          </w:tcPr>
          <w:p w14:paraId="786B64C0" w14:textId="17CF0940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2</w:t>
            </w:r>
          </w:p>
        </w:tc>
        <w:tc>
          <w:tcPr>
            <w:tcW w:w="3077" w:type="pct"/>
          </w:tcPr>
          <w:p w14:paraId="4B0523D8" w14:textId="7BD0CA5A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bCs/>
                <w:szCs w:val="22"/>
                <w:lang w:val="ru-RU"/>
              </w:rPr>
              <w:t>Видеообращение первого заместителя Генерального секретаря Организации Объединенных Наций</w:t>
            </w:r>
          </w:p>
        </w:tc>
        <w:tc>
          <w:tcPr>
            <w:tcW w:w="1615" w:type="pct"/>
          </w:tcPr>
          <w:p w14:paraId="1F3CE652" w14:textId="13EFCB0B" w:rsidR="0026650E" w:rsidRPr="00597A74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597A74" w14:paraId="3D8C9242" w14:textId="77777777" w:rsidTr="00C317A6">
        <w:trPr>
          <w:trHeight w:val="20"/>
        </w:trPr>
        <w:tc>
          <w:tcPr>
            <w:tcW w:w="308" w:type="pct"/>
          </w:tcPr>
          <w:p w14:paraId="3F492206" w14:textId="0DA50BE0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3</w:t>
            </w:r>
          </w:p>
        </w:tc>
        <w:tc>
          <w:tcPr>
            <w:tcW w:w="3077" w:type="pct"/>
          </w:tcPr>
          <w:p w14:paraId="73AB07E2" w14:textId="714D31A5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bCs/>
                <w:szCs w:val="22"/>
                <w:lang w:val="ru-RU"/>
              </w:rPr>
              <w:t>Отчет Генерального секретаря о положении дел в Союзе</w:t>
            </w:r>
          </w:p>
        </w:tc>
        <w:tc>
          <w:tcPr>
            <w:tcW w:w="1615" w:type="pct"/>
          </w:tcPr>
          <w:p w14:paraId="035A62CA" w14:textId="3976802D" w:rsidR="0026650E" w:rsidRPr="00597A74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597A74" w14:paraId="23A7FD5B" w14:textId="77777777" w:rsidTr="00E147EF">
        <w:trPr>
          <w:trHeight w:val="20"/>
        </w:trPr>
        <w:tc>
          <w:tcPr>
            <w:tcW w:w="308" w:type="pct"/>
          </w:tcPr>
          <w:p w14:paraId="54D3D4A1" w14:textId="0ABA7B03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4</w:t>
            </w:r>
          </w:p>
        </w:tc>
        <w:tc>
          <w:tcPr>
            <w:tcW w:w="3077" w:type="pct"/>
          </w:tcPr>
          <w:p w14:paraId="5D90F87B" w14:textId="1220144B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Утверждение проекта повестки дня сессии Совета 2023 года</w:t>
            </w:r>
          </w:p>
        </w:tc>
        <w:tc>
          <w:tcPr>
            <w:tcW w:w="1615" w:type="pct"/>
          </w:tcPr>
          <w:p w14:paraId="1D997847" w14:textId="73B741D5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7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C23/1(Rev.2)</w:t>
              </w:r>
            </w:hyperlink>
          </w:p>
        </w:tc>
      </w:tr>
      <w:tr w:rsidR="0026650E" w:rsidRPr="00597A74" w14:paraId="359CA100" w14:textId="77777777" w:rsidTr="00E147EF">
        <w:trPr>
          <w:trHeight w:val="20"/>
        </w:trPr>
        <w:tc>
          <w:tcPr>
            <w:tcW w:w="308" w:type="pct"/>
          </w:tcPr>
          <w:p w14:paraId="0D43155E" w14:textId="1910ECD4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5</w:t>
            </w:r>
          </w:p>
        </w:tc>
        <w:tc>
          <w:tcPr>
            <w:tcW w:w="3077" w:type="pct"/>
          </w:tcPr>
          <w:p w14:paraId="61976D05" w14:textId="5865783F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Распределение документов</w:t>
            </w:r>
          </w:p>
        </w:tc>
        <w:tc>
          <w:tcPr>
            <w:tcW w:w="1615" w:type="pct"/>
          </w:tcPr>
          <w:p w14:paraId="093E49A9" w14:textId="47C2EA12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8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C23/DT/1(Rev.1)</w:t>
              </w:r>
            </w:hyperlink>
          </w:p>
        </w:tc>
      </w:tr>
      <w:tr w:rsidR="0026650E" w:rsidRPr="00597A74" w14:paraId="63771C09" w14:textId="77777777" w:rsidTr="00E147EF">
        <w:trPr>
          <w:trHeight w:val="20"/>
        </w:trPr>
        <w:tc>
          <w:tcPr>
            <w:tcW w:w="308" w:type="pct"/>
          </w:tcPr>
          <w:p w14:paraId="2597105C" w14:textId="5BEFAFDB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6</w:t>
            </w:r>
          </w:p>
        </w:tc>
        <w:tc>
          <w:tcPr>
            <w:tcW w:w="3077" w:type="pct"/>
          </w:tcPr>
          <w:p w14:paraId="2F5B4DDF" w14:textId="1B9A7E92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bCs/>
                <w:szCs w:val="22"/>
                <w:lang w:val="ru-RU"/>
              </w:rPr>
              <w:t>Проект плана распределения времени</w:t>
            </w:r>
          </w:p>
        </w:tc>
        <w:tc>
          <w:tcPr>
            <w:tcW w:w="1615" w:type="pct"/>
          </w:tcPr>
          <w:p w14:paraId="5CC7438B" w14:textId="10F66C33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9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C23/DT/2(Rev.2)</w:t>
              </w:r>
            </w:hyperlink>
          </w:p>
        </w:tc>
      </w:tr>
      <w:tr w:rsidR="0026650E" w:rsidRPr="00597A74" w14:paraId="0938E31C" w14:textId="77777777" w:rsidTr="00E147EF">
        <w:trPr>
          <w:trHeight w:val="20"/>
        </w:trPr>
        <w:tc>
          <w:tcPr>
            <w:tcW w:w="308" w:type="pct"/>
          </w:tcPr>
          <w:p w14:paraId="75C42CC9" w14:textId="153A4D63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7</w:t>
            </w:r>
          </w:p>
        </w:tc>
        <w:tc>
          <w:tcPr>
            <w:tcW w:w="3077" w:type="pct"/>
          </w:tcPr>
          <w:p w14:paraId="01F71E26" w14:textId="58A1AD1A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Организационные вопросы</w:t>
            </w:r>
          </w:p>
        </w:tc>
        <w:tc>
          <w:tcPr>
            <w:tcW w:w="1615" w:type="pct"/>
          </w:tcPr>
          <w:p w14:paraId="004C467D" w14:textId="4D7AB0B6" w:rsidR="0026650E" w:rsidRPr="00597A74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−</w:t>
            </w:r>
          </w:p>
        </w:tc>
      </w:tr>
      <w:tr w:rsidR="0026650E" w:rsidRPr="00597A74" w14:paraId="049076F0" w14:textId="77777777" w:rsidTr="00E147EF">
        <w:trPr>
          <w:trHeight w:val="20"/>
        </w:trPr>
        <w:tc>
          <w:tcPr>
            <w:tcW w:w="308" w:type="pct"/>
          </w:tcPr>
          <w:p w14:paraId="007051CC" w14:textId="78B786DC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8</w:t>
            </w:r>
          </w:p>
        </w:tc>
        <w:tc>
          <w:tcPr>
            <w:tcW w:w="3077" w:type="pct"/>
          </w:tcPr>
          <w:p w14:paraId="6FFEAC97" w14:textId="034089FA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Отчет о выполнении Стратегического плана и о</w:t>
            </w:r>
            <w:r w:rsidR="00311B1E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деятельности Союза, июль 2022 года</w:t>
            </w:r>
            <w:r w:rsidR="00074CA2" w:rsidRPr="00597A74">
              <w:rPr>
                <w:rFonts w:cs="Calibri"/>
                <w:szCs w:val="22"/>
                <w:lang w:val="ru-RU"/>
              </w:rPr>
              <w:t> −</w:t>
            </w:r>
            <w:r w:rsidRPr="00597A74">
              <w:rPr>
                <w:rFonts w:cs="Calibri"/>
                <w:szCs w:val="22"/>
                <w:lang w:val="ru-RU"/>
              </w:rPr>
              <w:t xml:space="preserve"> апрель</w:t>
            </w:r>
            <w:r w:rsidR="00311B1E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2023 года</w:t>
            </w:r>
          </w:p>
        </w:tc>
        <w:tc>
          <w:tcPr>
            <w:tcW w:w="1615" w:type="pct"/>
          </w:tcPr>
          <w:p w14:paraId="18300084" w14:textId="26A5DB8C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10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C23/35</w:t>
              </w:r>
            </w:hyperlink>
          </w:p>
        </w:tc>
      </w:tr>
      <w:tr w:rsidR="0026650E" w:rsidRPr="00597A74" w14:paraId="7B7B21EE" w14:textId="77777777" w:rsidTr="00E147EF">
        <w:trPr>
          <w:trHeight w:val="20"/>
        </w:trPr>
        <w:tc>
          <w:tcPr>
            <w:tcW w:w="308" w:type="pct"/>
          </w:tcPr>
          <w:p w14:paraId="62FFDB5C" w14:textId="33BD9318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9</w:t>
            </w:r>
          </w:p>
        </w:tc>
        <w:tc>
          <w:tcPr>
            <w:tcW w:w="3077" w:type="pct"/>
          </w:tcPr>
          <w:p w14:paraId="0C8F5388" w14:textId="7FF184B4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Проект четырехгодичного скользящего Оперативного плана Союза на 2024</w:t>
            </w:r>
            <w:r w:rsidR="00074CA2" w:rsidRPr="00597A74">
              <w:rPr>
                <w:rFonts w:cs="Calibri"/>
                <w:szCs w:val="22"/>
                <w:lang w:val="ru-RU"/>
              </w:rPr>
              <w:t>−</w:t>
            </w:r>
            <w:r w:rsidRPr="00597A74">
              <w:rPr>
                <w:rFonts w:cs="Calibri"/>
                <w:szCs w:val="22"/>
                <w:lang w:val="ru-RU"/>
              </w:rPr>
              <w:t>2027</w:t>
            </w:r>
            <w:r w:rsidR="00074CA2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годы</w:t>
            </w:r>
          </w:p>
        </w:tc>
        <w:tc>
          <w:tcPr>
            <w:tcW w:w="1615" w:type="pct"/>
          </w:tcPr>
          <w:p w14:paraId="71844C97" w14:textId="2B252376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11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C23/28</w:t>
              </w:r>
            </w:hyperlink>
          </w:p>
        </w:tc>
      </w:tr>
      <w:tr w:rsidR="0026650E" w:rsidRPr="00597A74" w14:paraId="10B44D89" w14:textId="77777777" w:rsidTr="00E147EF">
        <w:trPr>
          <w:trHeight w:val="20"/>
        </w:trPr>
        <w:tc>
          <w:tcPr>
            <w:tcW w:w="308" w:type="pct"/>
          </w:tcPr>
          <w:p w14:paraId="29045F76" w14:textId="21676BA5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10</w:t>
            </w:r>
          </w:p>
        </w:tc>
        <w:tc>
          <w:tcPr>
            <w:tcW w:w="3077" w:type="pct"/>
          </w:tcPr>
          <w:p w14:paraId="27CF0B55" w14:textId="264F166B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Проект двухгодичного бюджета Союза на</w:t>
            </w:r>
            <w:r w:rsidR="00074CA2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2024−2025 годы</w:t>
            </w:r>
          </w:p>
        </w:tc>
        <w:tc>
          <w:tcPr>
            <w:tcW w:w="1615" w:type="pct"/>
          </w:tcPr>
          <w:p w14:paraId="4CF29112" w14:textId="622D39EE" w:rsidR="0026650E" w:rsidRPr="00597A74" w:rsidRDefault="008E1048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hyperlink r:id="rId12" w:history="1">
              <w:r w:rsidR="0026650E" w:rsidRPr="00597A74">
                <w:rPr>
                  <w:rStyle w:val="Hyperlink"/>
                  <w:rFonts w:cs="Calibri"/>
                  <w:szCs w:val="22"/>
                  <w:lang w:val="ru-RU"/>
                </w:rPr>
                <w:t>C23/60</w:t>
              </w:r>
            </w:hyperlink>
          </w:p>
        </w:tc>
      </w:tr>
      <w:tr w:rsidR="0026650E" w:rsidRPr="00597A74" w14:paraId="7CA8346A" w14:textId="77777777" w:rsidTr="00E147EF">
        <w:trPr>
          <w:trHeight w:val="20"/>
        </w:trPr>
        <w:tc>
          <w:tcPr>
            <w:tcW w:w="308" w:type="pct"/>
          </w:tcPr>
          <w:p w14:paraId="32353BE4" w14:textId="6FB66F4C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11</w:t>
            </w:r>
          </w:p>
        </w:tc>
        <w:tc>
          <w:tcPr>
            <w:tcW w:w="3077" w:type="pct"/>
          </w:tcPr>
          <w:p w14:paraId="3F47716B" w14:textId="0520B534" w:rsidR="0026650E" w:rsidRPr="00597A74" w:rsidRDefault="0026650E" w:rsidP="0026650E">
            <w:pPr>
              <w:rPr>
                <w:rFonts w:cs="Calibri"/>
                <w:szCs w:val="22"/>
                <w:lang w:val="ru-RU"/>
              </w:rPr>
            </w:pPr>
            <w:r w:rsidRPr="00597A74">
              <w:rPr>
                <w:rFonts w:cs="Calibri"/>
                <w:szCs w:val="22"/>
                <w:lang w:val="ru-RU"/>
              </w:rPr>
              <w:t>Ускорение выполнения Стратегического плана МСЭ на</w:t>
            </w:r>
            <w:r w:rsidR="00074CA2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2024</w:t>
            </w:r>
            <w:r w:rsidR="00074CA2" w:rsidRPr="00597A74">
              <w:rPr>
                <w:rFonts w:cs="Calibri"/>
                <w:szCs w:val="22"/>
                <w:lang w:val="ru-RU"/>
              </w:rPr>
              <w:t>−</w:t>
            </w:r>
            <w:r w:rsidRPr="00597A74">
              <w:rPr>
                <w:rFonts w:cs="Calibri"/>
                <w:szCs w:val="22"/>
                <w:lang w:val="ru-RU"/>
              </w:rPr>
              <w:t>2027</w:t>
            </w:r>
            <w:r w:rsidR="00074CA2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годы</w:t>
            </w:r>
            <w:bookmarkStart w:id="10" w:name="_Hlk141100482"/>
            <w:r w:rsidRPr="00597A74">
              <w:rPr>
                <w:rFonts w:cs="Calibri"/>
                <w:szCs w:val="22"/>
                <w:lang w:val="ru-RU"/>
              </w:rPr>
              <w:t xml:space="preserve"> и дорожная карта трансформации для</w:t>
            </w:r>
            <w:r w:rsidR="00074CA2" w:rsidRPr="00597A74">
              <w:rPr>
                <w:rFonts w:cs="Calibri"/>
                <w:szCs w:val="22"/>
                <w:lang w:val="ru-RU"/>
              </w:rPr>
              <w:t> </w:t>
            </w:r>
            <w:r w:rsidRPr="00597A74">
              <w:rPr>
                <w:rFonts w:cs="Calibri"/>
                <w:szCs w:val="22"/>
                <w:lang w:val="ru-RU"/>
              </w:rPr>
              <w:t>достижения организационной эффективности</w:t>
            </w:r>
            <w:bookmarkEnd w:id="10"/>
          </w:p>
        </w:tc>
        <w:bookmarkStart w:id="11" w:name="_Hlk143178886"/>
        <w:tc>
          <w:tcPr>
            <w:tcW w:w="1615" w:type="pct"/>
          </w:tcPr>
          <w:p w14:paraId="32D6FCAD" w14:textId="4F3C69CB" w:rsidR="0026650E" w:rsidRPr="00597A74" w:rsidRDefault="0026650E" w:rsidP="0026650E">
            <w:pPr>
              <w:jc w:val="center"/>
              <w:rPr>
                <w:rFonts w:cs="Calibri"/>
                <w:szCs w:val="22"/>
                <w:lang w:val="ru-RU"/>
              </w:rPr>
            </w:pPr>
            <w:r w:rsidRPr="00597A74">
              <w:fldChar w:fldCharType="begin"/>
            </w:r>
            <w:r w:rsidRPr="00597A74">
              <w:rPr>
                <w:rFonts w:cs="Calibri"/>
                <w:szCs w:val="22"/>
                <w:lang w:val="ru-RU"/>
              </w:rPr>
              <w:instrText>HYPERLINK "https://www.itu.int/md/S23-CL-C-0036/en"</w:instrText>
            </w:r>
            <w:r w:rsidRPr="00597A74">
              <w:fldChar w:fldCharType="separate"/>
            </w:r>
            <w:r w:rsidRPr="00597A74">
              <w:rPr>
                <w:rStyle w:val="Hyperlink"/>
                <w:rFonts w:cs="Calibri"/>
                <w:szCs w:val="22"/>
                <w:lang w:val="ru-RU"/>
              </w:rPr>
              <w:t>C23/36</w:t>
            </w:r>
            <w:r w:rsidRPr="00597A74">
              <w:rPr>
                <w:rStyle w:val="Hyperlink"/>
                <w:rFonts w:cs="Calibri"/>
                <w:szCs w:val="22"/>
                <w:lang w:val="ru-RU"/>
              </w:rPr>
              <w:fldChar w:fldCharType="end"/>
            </w:r>
            <w:r w:rsidRPr="00597A74">
              <w:rPr>
                <w:rFonts w:cs="Calibri"/>
                <w:szCs w:val="22"/>
                <w:lang w:val="ru-RU"/>
              </w:rPr>
              <w:t xml:space="preserve">, </w:t>
            </w:r>
            <w:hyperlink r:id="rId13" w:history="1">
              <w:r w:rsidRPr="00597A74">
                <w:rPr>
                  <w:rStyle w:val="Hyperlink"/>
                  <w:rFonts w:cs="Calibri"/>
                  <w:szCs w:val="22"/>
                  <w:lang w:val="ru-RU"/>
                </w:rPr>
                <w:t>C23/52</w:t>
              </w:r>
            </w:hyperlink>
            <w:r w:rsidRPr="00597A74">
              <w:rPr>
                <w:rFonts w:cs="Calibri"/>
                <w:szCs w:val="22"/>
                <w:lang w:val="ru-RU"/>
              </w:rPr>
              <w:t xml:space="preserve">, </w:t>
            </w:r>
            <w:hyperlink r:id="rId14" w:history="1">
              <w:r w:rsidRPr="00597A74">
                <w:rPr>
                  <w:rStyle w:val="Hyperlink"/>
                  <w:rFonts w:cs="Calibri"/>
                  <w:szCs w:val="22"/>
                  <w:lang w:val="ru-RU"/>
                </w:rPr>
                <w:t>C23/72(Rev.1)</w:t>
              </w:r>
              <w:r w:rsidR="000C7A09" w:rsidRPr="00597A74">
                <w:rPr>
                  <w:rStyle w:val="Hyperlink"/>
                  <w:rFonts w:cs="Calibri"/>
                  <w:szCs w:val="22"/>
                  <w:lang w:val="ru-RU"/>
                </w:rPr>
                <w:t> </w:t>
              </w:r>
              <w:r w:rsidRPr="00597A74">
                <w:rPr>
                  <w:rStyle w:val="Hyperlink"/>
                  <w:rFonts w:cs="Calibri"/>
                  <w:szCs w:val="22"/>
                  <w:lang w:val="ru-RU"/>
                </w:rPr>
                <w:t>+</w:t>
              </w:r>
              <w:r w:rsidR="000C7A09" w:rsidRPr="00597A74">
                <w:rPr>
                  <w:rStyle w:val="Hyperlink"/>
                  <w:rFonts w:cs="Calibri"/>
                  <w:szCs w:val="22"/>
                  <w:lang w:val="ru-RU"/>
                </w:rPr>
                <w:t> </w:t>
              </w:r>
              <w:r w:rsidRPr="00597A74">
                <w:rPr>
                  <w:rStyle w:val="Hyperlink"/>
                  <w:rFonts w:cs="Calibri"/>
                  <w:szCs w:val="22"/>
                  <w:lang w:val="ru-RU"/>
                </w:rPr>
                <w:t>Corr.1</w:t>
              </w:r>
            </w:hyperlink>
            <w:r w:rsidRPr="00597A74">
              <w:rPr>
                <w:rFonts w:cs="Calibri"/>
                <w:szCs w:val="22"/>
                <w:lang w:val="ru-RU"/>
              </w:rPr>
              <w:t xml:space="preserve">, </w:t>
            </w:r>
            <w:hyperlink r:id="rId15" w:history="1">
              <w:r w:rsidRPr="00597A74">
                <w:rPr>
                  <w:rStyle w:val="Hyperlink"/>
                  <w:rFonts w:cs="Calibri"/>
                  <w:szCs w:val="22"/>
                  <w:lang w:val="ru-RU"/>
                </w:rPr>
                <w:t>C23/90</w:t>
              </w:r>
            </w:hyperlink>
            <w:bookmarkEnd w:id="11"/>
          </w:p>
        </w:tc>
      </w:tr>
      <w:bookmarkEnd w:id="8"/>
    </w:tbl>
    <w:p w14:paraId="57E9B6A1" w14:textId="77777777" w:rsidR="001B4A41" w:rsidRPr="00597A74" w:rsidRDefault="001B4A41" w:rsidP="001B4A41">
      <w:pPr>
        <w:rPr>
          <w:lang w:val="ru-RU"/>
        </w:rPr>
      </w:pPr>
    </w:p>
    <w:p w14:paraId="26D6261C" w14:textId="05F660BC" w:rsidR="00165D06" w:rsidRPr="00597A74" w:rsidRDefault="00165D06" w:rsidP="001B4A41">
      <w:pPr>
        <w:rPr>
          <w:lang w:val="ru-RU"/>
        </w:rPr>
      </w:pPr>
      <w:r w:rsidRPr="00597A74">
        <w:rPr>
          <w:lang w:val="ru-RU"/>
        </w:rPr>
        <w:br w:type="page"/>
      </w:r>
    </w:p>
    <w:p w14:paraId="53CFCAE3" w14:textId="77777777" w:rsidR="000C7A09" w:rsidRPr="00597A74" w:rsidRDefault="000C7A09" w:rsidP="000C7A09">
      <w:pPr>
        <w:pStyle w:val="Heading1"/>
        <w:rPr>
          <w:bCs/>
          <w:sz w:val="24"/>
          <w:szCs w:val="18"/>
          <w:lang w:val="ru-RU"/>
        </w:rPr>
      </w:pPr>
      <w:r w:rsidRPr="00597A74">
        <w:rPr>
          <w:bCs/>
          <w:sz w:val="24"/>
          <w:szCs w:val="18"/>
          <w:lang w:val="ru-RU"/>
        </w:rPr>
        <w:lastRenderedPageBreak/>
        <w:t>1</w:t>
      </w:r>
      <w:r w:rsidRPr="00597A74">
        <w:rPr>
          <w:bCs/>
          <w:sz w:val="24"/>
          <w:szCs w:val="18"/>
          <w:lang w:val="ru-RU"/>
        </w:rPr>
        <w:tab/>
      </w:r>
      <w:r w:rsidRPr="00597A74">
        <w:rPr>
          <w:sz w:val="24"/>
          <w:szCs w:val="18"/>
          <w:lang w:val="ru-RU"/>
        </w:rPr>
        <w:t>Открытие сессии Совета 2023 года</w:t>
      </w:r>
    </w:p>
    <w:p w14:paraId="65A745FF" w14:textId="249C303B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1.1</w:t>
      </w:r>
      <w:r w:rsidRPr="00597A74">
        <w:rPr>
          <w:lang w:val="ru-RU"/>
        </w:rPr>
        <w:tab/>
        <w:t>Председатель объявляет сессию Совета 2023 года открытой и выступает с</w:t>
      </w:r>
      <w:r w:rsidR="003E1FAB" w:rsidRPr="00597A74">
        <w:rPr>
          <w:lang w:val="ru-RU"/>
        </w:rPr>
        <w:t> </w:t>
      </w:r>
      <w:r w:rsidRPr="00597A74">
        <w:rPr>
          <w:lang w:val="ru-RU"/>
        </w:rPr>
        <w:t xml:space="preserve">обращением, доступным по </w:t>
      </w:r>
      <w:r w:rsidR="001D1794" w:rsidRPr="00597A74">
        <w:rPr>
          <w:lang w:val="ru-RU"/>
        </w:rPr>
        <w:t>адресу:</w:t>
      </w:r>
      <w:r w:rsidR="003E1FAB" w:rsidRPr="00597A74">
        <w:rPr>
          <w:lang w:val="ru-RU"/>
        </w:rPr>
        <w:t xml:space="preserve"> </w:t>
      </w:r>
      <w:hyperlink r:id="rId16" w:history="1">
        <w:r w:rsidR="00C750C2" w:rsidRPr="00597A74">
          <w:rPr>
            <w:rStyle w:val="Hyperlink"/>
            <w:lang w:val="ru-RU"/>
          </w:rPr>
          <w:t>http://council.itu.int/2023/wp-content/uploads/sites/2/2023/08/C23-opening-speech-Cesar-Martinez-Chair-Council_en.pdf</w:t>
        </w:r>
      </w:hyperlink>
      <w:r w:rsidRPr="00597A74">
        <w:rPr>
          <w:lang w:val="ru-RU"/>
        </w:rPr>
        <w:t>.</w:t>
      </w:r>
    </w:p>
    <w:p w14:paraId="0F000DDD" w14:textId="62092FE7" w:rsidR="005F57B5" w:rsidRPr="00597A74" w:rsidRDefault="005F57B5" w:rsidP="005F57B5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  <w:szCs w:val="22"/>
          <w:lang w:val="ru-RU"/>
        </w:rPr>
      </w:pPr>
      <w:r w:rsidRPr="00597A74">
        <w:rPr>
          <w:szCs w:val="22"/>
          <w:lang w:val="ru-RU"/>
        </w:rPr>
        <w:t>1.2</w:t>
      </w:r>
      <w:r w:rsidRPr="00597A74">
        <w:rPr>
          <w:szCs w:val="22"/>
          <w:lang w:val="ru-RU"/>
        </w:rPr>
        <w:tab/>
      </w:r>
      <w:r w:rsidR="00C6305C" w:rsidRPr="00597A74">
        <w:rPr>
          <w:szCs w:val="22"/>
          <w:lang w:val="ru-RU"/>
        </w:rPr>
        <w:t>Что касается</w:t>
      </w:r>
      <w:r w:rsidRPr="00597A74">
        <w:rPr>
          <w:szCs w:val="22"/>
          <w:lang w:val="ru-RU"/>
        </w:rPr>
        <w:t xml:space="preserve"> </w:t>
      </w:r>
      <w:r w:rsidR="00C6305C" w:rsidRPr="00597A74">
        <w:rPr>
          <w:szCs w:val="22"/>
          <w:lang w:val="ru-RU"/>
        </w:rPr>
        <w:t>организации</w:t>
      </w:r>
      <w:r w:rsidRPr="00597A74">
        <w:rPr>
          <w:szCs w:val="22"/>
          <w:lang w:val="ru-RU"/>
        </w:rPr>
        <w:t xml:space="preserve"> </w:t>
      </w:r>
      <w:r w:rsidR="00C6305C" w:rsidRPr="00597A74">
        <w:rPr>
          <w:szCs w:val="22"/>
          <w:lang w:val="ru-RU"/>
        </w:rPr>
        <w:t>обсуждений</w:t>
      </w:r>
      <w:r w:rsidRPr="00597A74">
        <w:rPr>
          <w:szCs w:val="22"/>
          <w:lang w:val="ru-RU"/>
        </w:rPr>
        <w:t xml:space="preserve"> в Совете, то, в соответствии с правилами</w:t>
      </w:r>
      <w:r w:rsidR="00C6305C" w:rsidRPr="00597A74">
        <w:rPr>
          <w:szCs w:val="22"/>
          <w:lang w:val="ru-RU"/>
        </w:rPr>
        <w:t>, регулирующими</w:t>
      </w:r>
      <w:r w:rsidRPr="00597A74">
        <w:rPr>
          <w:szCs w:val="22"/>
          <w:lang w:val="ru-RU"/>
        </w:rPr>
        <w:t xml:space="preserve"> участи</w:t>
      </w:r>
      <w:r w:rsidR="00C6305C" w:rsidRPr="00597A74">
        <w:rPr>
          <w:szCs w:val="22"/>
          <w:lang w:val="ru-RU"/>
        </w:rPr>
        <w:t>е</w:t>
      </w:r>
      <w:r w:rsidRPr="00597A74">
        <w:rPr>
          <w:szCs w:val="22"/>
          <w:lang w:val="ru-RU"/>
        </w:rPr>
        <w:t xml:space="preserve"> в сессиях Совета, сначала </w:t>
      </w:r>
      <w:r w:rsidR="00B816B7" w:rsidRPr="00597A74">
        <w:rPr>
          <w:szCs w:val="22"/>
          <w:lang w:val="ru-RU"/>
        </w:rPr>
        <w:t xml:space="preserve">он </w:t>
      </w:r>
      <w:r w:rsidR="00C6305C" w:rsidRPr="00597A74">
        <w:rPr>
          <w:szCs w:val="22"/>
          <w:lang w:val="ru-RU"/>
        </w:rPr>
        <w:t>предложит</w:t>
      </w:r>
      <w:r w:rsidRPr="00597A74">
        <w:rPr>
          <w:szCs w:val="22"/>
          <w:lang w:val="ru-RU"/>
        </w:rPr>
        <w:t xml:space="preserve"> </w:t>
      </w:r>
      <w:r w:rsidR="00B816B7" w:rsidRPr="00597A74">
        <w:rPr>
          <w:rFonts w:asciiTheme="minorHAnsi" w:hAnsiTheme="minorHAnsi" w:cstheme="minorHAnsi"/>
          <w:szCs w:val="22"/>
          <w:lang w:val="ru-RU"/>
        </w:rPr>
        <w:t>представить свою позицию в рамках обсуждений</w:t>
      </w:r>
      <w:r w:rsidR="00B816B7" w:rsidRPr="00597A74">
        <w:rPr>
          <w:szCs w:val="22"/>
          <w:lang w:val="ru-RU"/>
        </w:rPr>
        <w:t xml:space="preserve"> </w:t>
      </w:r>
      <w:r w:rsidRPr="00597A74">
        <w:rPr>
          <w:szCs w:val="22"/>
          <w:lang w:val="ru-RU"/>
        </w:rPr>
        <w:t xml:space="preserve">присутствующим в зале </w:t>
      </w:r>
      <w:r w:rsidR="00C6305C" w:rsidRPr="00597A74">
        <w:rPr>
          <w:szCs w:val="22"/>
          <w:lang w:val="ru-RU"/>
        </w:rPr>
        <w:t xml:space="preserve">Государствам – Членам </w:t>
      </w:r>
      <w:r w:rsidRPr="00597A74">
        <w:rPr>
          <w:szCs w:val="22"/>
          <w:lang w:val="ru-RU"/>
        </w:rPr>
        <w:t>Совета</w:t>
      </w:r>
      <w:r w:rsidRPr="00597A74">
        <w:rPr>
          <w:rFonts w:asciiTheme="minorHAnsi" w:hAnsiTheme="minorHAnsi" w:cstheme="minorHAnsi"/>
          <w:szCs w:val="22"/>
          <w:lang w:val="ru-RU"/>
        </w:rPr>
        <w:t>, а затем тем, кто</w:t>
      </w:r>
      <w:r w:rsidR="00C6305C" w:rsidRPr="00597A74">
        <w:rPr>
          <w:rFonts w:asciiTheme="minorHAnsi" w:hAnsiTheme="minorHAnsi" w:cstheme="minorHAnsi"/>
          <w:szCs w:val="22"/>
          <w:lang w:val="ru-RU"/>
        </w:rPr>
        <w:t xml:space="preserve"> принимает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участ</w:t>
      </w:r>
      <w:r w:rsidR="00C6305C" w:rsidRPr="00597A74">
        <w:rPr>
          <w:rFonts w:asciiTheme="minorHAnsi" w:hAnsiTheme="minorHAnsi" w:cstheme="minorHAnsi"/>
          <w:szCs w:val="22"/>
          <w:lang w:val="ru-RU"/>
        </w:rPr>
        <w:t>ие в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дистанционно</w:t>
      </w:r>
      <w:r w:rsidR="00C6305C" w:rsidRPr="00597A74">
        <w:rPr>
          <w:rFonts w:asciiTheme="minorHAnsi" w:hAnsiTheme="minorHAnsi" w:cstheme="minorHAnsi"/>
          <w:szCs w:val="22"/>
          <w:lang w:val="ru-RU"/>
        </w:rPr>
        <w:t>м формате</w:t>
      </w:r>
      <w:r w:rsidRPr="00597A74">
        <w:rPr>
          <w:rFonts w:asciiTheme="minorHAnsi" w:hAnsiTheme="minorHAnsi" w:cstheme="minorHAnsi"/>
          <w:szCs w:val="22"/>
          <w:lang w:val="ru-RU"/>
        </w:rPr>
        <w:t>.</w:t>
      </w:r>
    </w:p>
    <w:p w14:paraId="1020A2F7" w14:textId="169ECAA1" w:rsidR="005F57B5" w:rsidRPr="00597A74" w:rsidRDefault="005F57B5" w:rsidP="005F57B5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 w:cstheme="minorHAnsi"/>
          <w:szCs w:val="22"/>
          <w:lang w:val="ru-RU"/>
        </w:rPr>
      </w:pPr>
      <w:r w:rsidRPr="00597A74">
        <w:rPr>
          <w:rFonts w:asciiTheme="minorHAnsi" w:hAnsiTheme="minorHAnsi" w:cstheme="minorHAnsi"/>
          <w:szCs w:val="22"/>
          <w:lang w:val="ru-RU"/>
        </w:rPr>
        <w:t>1.3</w:t>
      </w:r>
      <w:r w:rsidRPr="00597A74">
        <w:rPr>
          <w:rFonts w:asciiTheme="minorHAnsi" w:hAnsiTheme="minorHAnsi" w:cstheme="minorHAnsi"/>
          <w:szCs w:val="22"/>
          <w:lang w:val="ru-RU"/>
        </w:rPr>
        <w:tab/>
        <w:t xml:space="preserve">Наблюдатели 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могут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принимать участие в работе сессии Совета на условиях, предусмотренных Правилами процедуры Совета, которые также распространя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ются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на Постоянный комитет по администр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ированию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и управлению и все созданные рабочие группы. 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Э</w:t>
      </w:r>
      <w:r w:rsidRPr="00597A74">
        <w:rPr>
          <w:rFonts w:asciiTheme="minorHAnsi" w:hAnsiTheme="minorHAnsi" w:cstheme="minorHAnsi"/>
          <w:szCs w:val="22"/>
          <w:lang w:val="ru-RU"/>
        </w:rPr>
        <w:t>ти условия мо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гут быть кратко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сформулирова</w:t>
      </w:r>
      <w:r w:rsidR="005A5819" w:rsidRPr="00597A74">
        <w:rPr>
          <w:rFonts w:asciiTheme="minorHAnsi" w:hAnsiTheme="minorHAnsi" w:cstheme="minorHAnsi"/>
          <w:szCs w:val="22"/>
          <w:lang w:val="ru-RU"/>
        </w:rPr>
        <w:t>ны</w:t>
      </w:r>
      <w:r w:rsidRPr="00597A74">
        <w:rPr>
          <w:rFonts w:asciiTheme="minorHAnsi" w:hAnsiTheme="minorHAnsi" w:cstheme="minorHAnsi"/>
          <w:szCs w:val="22"/>
          <w:lang w:val="ru-RU"/>
        </w:rPr>
        <w:t xml:space="preserve"> следующим образом:</w:t>
      </w:r>
    </w:p>
    <w:p w14:paraId="4F18A2BD" w14:textId="3F06BCDD" w:rsidR="005F57B5" w:rsidRPr="00597A74" w:rsidRDefault="00597A74" w:rsidP="00597A74">
      <w:pPr>
        <w:pStyle w:val="enumlev1"/>
        <w:rPr>
          <w:lang w:val="ru-RU"/>
        </w:rPr>
      </w:pPr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5A5819" w:rsidRPr="00597A74">
        <w:rPr>
          <w:lang w:val="ru-RU"/>
        </w:rPr>
        <w:t xml:space="preserve">Государства – Члены Союза, имеющие статус наблюдателя, </w:t>
      </w:r>
      <w:r w:rsidR="005F57B5" w:rsidRPr="00597A74">
        <w:rPr>
          <w:lang w:val="ru-RU"/>
        </w:rPr>
        <w:t xml:space="preserve">не имеют права </w:t>
      </w:r>
      <w:r w:rsidR="005A5819" w:rsidRPr="00597A74">
        <w:rPr>
          <w:lang w:val="ru-RU"/>
        </w:rPr>
        <w:t>участвовать в голосовании</w:t>
      </w:r>
      <w:r w:rsidR="005F57B5" w:rsidRPr="00597A74">
        <w:rPr>
          <w:lang w:val="ru-RU"/>
        </w:rPr>
        <w:t xml:space="preserve">, </w:t>
      </w:r>
      <w:r w:rsidR="005A5819" w:rsidRPr="00597A74">
        <w:rPr>
          <w:lang w:val="ru-RU"/>
        </w:rPr>
        <w:t>поднимать вопросы</w:t>
      </w:r>
      <w:r w:rsidR="005F57B5" w:rsidRPr="00597A74">
        <w:rPr>
          <w:lang w:val="ru-RU"/>
        </w:rPr>
        <w:t xml:space="preserve"> по порядку ведения </w:t>
      </w:r>
      <w:r w:rsidR="00B816B7" w:rsidRPr="00597A74">
        <w:rPr>
          <w:lang w:val="ru-RU"/>
        </w:rPr>
        <w:t>заседания</w:t>
      </w:r>
      <w:r w:rsidR="005F57B5" w:rsidRPr="00597A74">
        <w:rPr>
          <w:lang w:val="ru-RU"/>
        </w:rPr>
        <w:t xml:space="preserve"> или вносить предложения по порядку ведения заседания.</w:t>
      </w:r>
    </w:p>
    <w:p w14:paraId="7F2811A9" w14:textId="060F1849" w:rsidR="005F57B5" w:rsidRPr="00597A74" w:rsidRDefault="00597A74" w:rsidP="00597A74">
      <w:pPr>
        <w:pStyle w:val="enumlev1"/>
        <w:rPr>
          <w:lang w:val="ru-RU"/>
        </w:rPr>
      </w:pPr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5F57B5" w:rsidRPr="00597A74">
        <w:rPr>
          <w:lang w:val="ru-RU"/>
        </w:rPr>
        <w:t xml:space="preserve">Члены </w:t>
      </w:r>
      <w:r w:rsidR="005A5819" w:rsidRPr="00597A74">
        <w:rPr>
          <w:lang w:val="ru-RU"/>
        </w:rPr>
        <w:t xml:space="preserve">Секторов, имеющие статус наблюдателя, </w:t>
      </w:r>
      <w:r w:rsidR="005F57B5" w:rsidRPr="00597A74">
        <w:rPr>
          <w:lang w:val="ru-RU"/>
        </w:rPr>
        <w:t xml:space="preserve">не имеют права выступать или представлять письменные </w:t>
      </w:r>
      <w:r w:rsidR="005A5819" w:rsidRPr="00597A74">
        <w:rPr>
          <w:lang w:val="ru-RU"/>
        </w:rPr>
        <w:t>вклады</w:t>
      </w:r>
      <w:r w:rsidR="005F57B5" w:rsidRPr="00597A74">
        <w:rPr>
          <w:lang w:val="ru-RU"/>
        </w:rPr>
        <w:t>.</w:t>
      </w:r>
    </w:p>
    <w:p w14:paraId="3F3A7AE7" w14:textId="4256B0C6" w:rsidR="005F57B5" w:rsidRPr="00597A74" w:rsidRDefault="00597A74" w:rsidP="00597A74">
      <w:pPr>
        <w:pStyle w:val="enumlev1"/>
        <w:rPr>
          <w:lang w:val="ru-RU"/>
        </w:rPr>
      </w:pPr>
      <w:bookmarkStart w:id="12" w:name="_Hlk145684280"/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C6305C" w:rsidRPr="00597A74">
        <w:rPr>
          <w:lang w:val="ru-RU"/>
        </w:rPr>
        <w:t>Государства – Члены Союза, имеющие статус наблюдателя,</w:t>
      </w:r>
      <w:bookmarkEnd w:id="12"/>
      <w:r w:rsidR="00C6305C" w:rsidRPr="00597A74">
        <w:rPr>
          <w:lang w:val="ru-RU"/>
        </w:rPr>
        <w:t xml:space="preserve"> </w:t>
      </w:r>
      <w:r w:rsidR="005F57B5" w:rsidRPr="00597A74">
        <w:rPr>
          <w:lang w:val="ru-RU"/>
        </w:rPr>
        <w:t xml:space="preserve">имеют право представлять письменные материалы, но могут выступать по любому пункту повестки дня только один раз. </w:t>
      </w:r>
      <w:r w:rsidR="00C6305C" w:rsidRPr="00597A74">
        <w:rPr>
          <w:lang w:val="ru-RU"/>
        </w:rPr>
        <w:t>Вследствие этого</w:t>
      </w:r>
      <w:r w:rsidR="005F57B5" w:rsidRPr="00597A74">
        <w:rPr>
          <w:lang w:val="ru-RU"/>
        </w:rPr>
        <w:t xml:space="preserve"> </w:t>
      </w:r>
      <w:r w:rsidR="00C6305C" w:rsidRPr="00597A74">
        <w:rPr>
          <w:lang w:val="ru-RU"/>
        </w:rPr>
        <w:t>Государство – Член Союза, имеющее статус наблюдателя</w:t>
      </w:r>
      <w:r w:rsidR="005F57B5" w:rsidRPr="00597A74">
        <w:rPr>
          <w:lang w:val="ru-RU"/>
        </w:rPr>
        <w:t xml:space="preserve">, попросившее слово для представления своего письменного материала, не сможет повторно выступить по тому же пункту повестки дня; однако оно может принять решение не представлять письменный материал </w:t>
      </w:r>
      <w:r w:rsidR="00C6305C" w:rsidRPr="00597A74">
        <w:rPr>
          <w:lang w:val="ru-RU"/>
        </w:rPr>
        <w:t>в устной форме</w:t>
      </w:r>
      <w:r w:rsidR="005F57B5" w:rsidRPr="00597A74">
        <w:rPr>
          <w:lang w:val="ru-RU"/>
        </w:rPr>
        <w:t>,</w:t>
      </w:r>
      <w:r w:rsidR="00C6305C" w:rsidRPr="00597A74">
        <w:rPr>
          <w:lang w:val="ru-RU"/>
        </w:rPr>
        <w:t xml:space="preserve"> и тем самым</w:t>
      </w:r>
      <w:r w:rsidR="005F57B5" w:rsidRPr="00597A74">
        <w:rPr>
          <w:lang w:val="ru-RU"/>
        </w:rPr>
        <w:t xml:space="preserve"> сохрани</w:t>
      </w:r>
      <w:r w:rsidR="00C6305C" w:rsidRPr="00597A74">
        <w:rPr>
          <w:lang w:val="ru-RU"/>
        </w:rPr>
        <w:t>ть</w:t>
      </w:r>
      <w:r w:rsidR="005F57B5" w:rsidRPr="00597A74">
        <w:rPr>
          <w:lang w:val="ru-RU"/>
        </w:rPr>
        <w:t xml:space="preserve"> за собой право выступить по этому пункту позднее.</w:t>
      </w:r>
    </w:p>
    <w:p w14:paraId="4189C928" w14:textId="2E0CAF4B" w:rsidR="005F57B5" w:rsidRPr="00597A74" w:rsidRDefault="00597A74" w:rsidP="00597A74">
      <w:pPr>
        <w:pStyle w:val="enumlev1"/>
        <w:rPr>
          <w:lang w:val="ru-RU"/>
        </w:rPr>
      </w:pPr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C6305C" w:rsidRPr="00597A74">
        <w:rPr>
          <w:lang w:val="ru-RU"/>
        </w:rPr>
        <w:t>Государства – Члены Союза, имеющие статус наблюдателя, должны были заранее сообщить в секретариат о своем желании выступить по конкретным пунктам повестки дня или представить свой письменный вклад.</w:t>
      </w:r>
    </w:p>
    <w:p w14:paraId="5DF6EA2E" w14:textId="19A29F5A" w:rsidR="005F57B5" w:rsidRPr="00597A74" w:rsidRDefault="00597A74" w:rsidP="00597A74">
      <w:pPr>
        <w:pStyle w:val="enumlev1"/>
        <w:rPr>
          <w:lang w:val="ru-RU"/>
        </w:rPr>
      </w:pPr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B816B7" w:rsidRPr="00597A74">
        <w:rPr>
          <w:lang w:val="ru-RU"/>
        </w:rPr>
        <w:t>Вклады</w:t>
      </w:r>
      <w:r w:rsidR="005F57B5" w:rsidRPr="00597A74">
        <w:rPr>
          <w:lang w:val="ru-RU"/>
        </w:rPr>
        <w:t xml:space="preserve"> </w:t>
      </w:r>
      <w:r w:rsidR="00C6305C" w:rsidRPr="00597A74">
        <w:rPr>
          <w:color w:val="000000"/>
          <w:lang w:val="ru-RU"/>
        </w:rPr>
        <w:t>Государств – Членов Союза, имеющих статус наблюдател</w:t>
      </w:r>
      <w:r w:rsidR="00B816B7" w:rsidRPr="00597A74">
        <w:rPr>
          <w:color w:val="000000"/>
          <w:lang w:val="ru-RU"/>
        </w:rPr>
        <w:t>я</w:t>
      </w:r>
      <w:r w:rsidR="00C6305C" w:rsidRPr="00597A74">
        <w:rPr>
          <w:color w:val="000000"/>
          <w:lang w:val="ru-RU"/>
        </w:rPr>
        <w:t xml:space="preserve">, </w:t>
      </w:r>
      <w:r w:rsidR="005F57B5" w:rsidRPr="00597A74">
        <w:rPr>
          <w:lang w:val="ru-RU"/>
        </w:rPr>
        <w:t xml:space="preserve">могут быть представлены после того, как </w:t>
      </w:r>
      <w:r w:rsidR="00C6305C" w:rsidRPr="00597A74">
        <w:rPr>
          <w:lang w:val="ru-RU"/>
        </w:rPr>
        <w:t xml:space="preserve">свои </w:t>
      </w:r>
      <w:r w:rsidR="00B816B7" w:rsidRPr="00597A74">
        <w:rPr>
          <w:lang w:val="ru-RU"/>
        </w:rPr>
        <w:t xml:space="preserve">вклады </w:t>
      </w:r>
      <w:r w:rsidR="00C6305C" w:rsidRPr="00597A74">
        <w:rPr>
          <w:lang w:val="ru-RU"/>
        </w:rPr>
        <w:t xml:space="preserve">представят </w:t>
      </w:r>
      <w:r w:rsidR="005F57B5" w:rsidRPr="00597A74">
        <w:rPr>
          <w:lang w:val="ru-RU"/>
        </w:rPr>
        <w:t xml:space="preserve">все </w:t>
      </w:r>
      <w:r w:rsidR="00C6305C" w:rsidRPr="00597A74">
        <w:rPr>
          <w:lang w:val="ru-RU"/>
        </w:rPr>
        <w:t xml:space="preserve">Государства – Члены </w:t>
      </w:r>
      <w:r w:rsidR="005F57B5" w:rsidRPr="00597A74">
        <w:rPr>
          <w:lang w:val="ru-RU"/>
        </w:rPr>
        <w:t xml:space="preserve">Совета. В противном случае </w:t>
      </w:r>
      <w:r w:rsidR="00C6305C" w:rsidRPr="00597A74">
        <w:rPr>
          <w:color w:val="000000"/>
          <w:lang w:val="ru-RU"/>
        </w:rPr>
        <w:t>Государству – Члену Союза, имеющему статус наблюдателя,</w:t>
      </w:r>
      <w:r w:rsidR="00C6305C" w:rsidRPr="00597A74">
        <w:rPr>
          <w:color w:val="000000"/>
          <w:shd w:val="clear" w:color="auto" w:fill="F0F0F0"/>
          <w:lang w:val="ru-RU"/>
        </w:rPr>
        <w:t xml:space="preserve"> </w:t>
      </w:r>
      <w:r w:rsidR="005F57B5" w:rsidRPr="00597A74">
        <w:rPr>
          <w:lang w:val="ru-RU"/>
        </w:rPr>
        <w:t>желающему выступить,</w:t>
      </w:r>
      <w:r w:rsidR="00C6305C" w:rsidRPr="00597A74">
        <w:rPr>
          <w:lang w:val="ru-RU"/>
        </w:rPr>
        <w:t xml:space="preserve"> слово</w:t>
      </w:r>
      <w:r w:rsidR="005F57B5" w:rsidRPr="00597A74">
        <w:rPr>
          <w:lang w:val="ru-RU"/>
        </w:rPr>
        <w:t xml:space="preserve"> предоставляется только после </w:t>
      </w:r>
      <w:r w:rsidR="00C6305C" w:rsidRPr="00597A74">
        <w:rPr>
          <w:lang w:val="ru-RU"/>
        </w:rPr>
        <w:t>завершения</w:t>
      </w:r>
      <w:r w:rsidR="005F57B5" w:rsidRPr="00597A74">
        <w:rPr>
          <w:lang w:val="ru-RU"/>
        </w:rPr>
        <w:t xml:space="preserve"> выступлений </w:t>
      </w:r>
      <w:r w:rsidR="00C6305C" w:rsidRPr="00597A74">
        <w:rPr>
          <w:lang w:val="ru-RU"/>
        </w:rPr>
        <w:t xml:space="preserve">Государств – Членов </w:t>
      </w:r>
      <w:r w:rsidR="005F57B5" w:rsidRPr="00597A74">
        <w:rPr>
          <w:lang w:val="ru-RU"/>
        </w:rPr>
        <w:t>Совета.</w:t>
      </w:r>
    </w:p>
    <w:p w14:paraId="6482E111" w14:textId="298BFC5B" w:rsidR="005F57B5" w:rsidRPr="00597A74" w:rsidRDefault="00597A74" w:rsidP="00597A74">
      <w:pPr>
        <w:pStyle w:val="enumlev1"/>
        <w:rPr>
          <w:lang w:val="ru-RU"/>
        </w:rPr>
      </w:pPr>
      <w:r w:rsidRPr="00597A74">
        <w:rPr>
          <w:rFonts w:ascii="Times New Roman" w:hAnsi="Times New Roman"/>
          <w:lang w:val="ru-RU"/>
        </w:rPr>
        <w:t>•</w:t>
      </w:r>
      <w:r w:rsidRPr="00597A74">
        <w:rPr>
          <w:lang w:val="ru-RU"/>
        </w:rPr>
        <w:tab/>
      </w:r>
      <w:r w:rsidR="005F57B5" w:rsidRPr="00597A74">
        <w:rPr>
          <w:lang w:val="ru-RU"/>
        </w:rPr>
        <w:t xml:space="preserve">Продолжительность выступлений наблюдателей будет </w:t>
      </w:r>
      <w:r w:rsidR="00C6305C" w:rsidRPr="00597A74">
        <w:rPr>
          <w:lang w:val="ru-RU"/>
        </w:rPr>
        <w:t xml:space="preserve">ограничиваться в соответствии с количеством поданных заявок и общим временем, выделенным </w:t>
      </w:r>
      <w:r w:rsidR="005F57B5" w:rsidRPr="00597A74">
        <w:rPr>
          <w:lang w:val="ru-RU"/>
        </w:rPr>
        <w:t xml:space="preserve">на </w:t>
      </w:r>
      <w:r w:rsidR="00B816B7" w:rsidRPr="00597A74">
        <w:rPr>
          <w:lang w:val="ru-RU"/>
        </w:rPr>
        <w:t>заседание</w:t>
      </w:r>
      <w:r w:rsidR="005F57B5" w:rsidRPr="00597A74">
        <w:rPr>
          <w:lang w:val="ru-RU"/>
        </w:rPr>
        <w:t xml:space="preserve">, </w:t>
      </w:r>
      <w:r w:rsidR="00C6305C" w:rsidRPr="00597A74">
        <w:rPr>
          <w:lang w:val="ru-RU"/>
        </w:rPr>
        <w:t>для</w:t>
      </w:r>
      <w:r w:rsidR="005F57B5" w:rsidRPr="00597A74">
        <w:rPr>
          <w:lang w:val="ru-RU"/>
        </w:rPr>
        <w:t xml:space="preserve"> обеспечения эффективного выполнения работы Совета.</w:t>
      </w:r>
    </w:p>
    <w:p w14:paraId="0C013AC5" w14:textId="00237D0D" w:rsidR="005F57B5" w:rsidRPr="00597A74" w:rsidRDefault="005F57B5" w:rsidP="005F57B5">
      <w:pPr>
        <w:rPr>
          <w:rFonts w:asciiTheme="minorHAnsi" w:hAnsiTheme="minorHAnsi" w:cstheme="minorHAnsi"/>
          <w:szCs w:val="22"/>
          <w:lang w:val="ru-RU"/>
        </w:rPr>
      </w:pPr>
      <w:r w:rsidRPr="00597A74">
        <w:rPr>
          <w:rFonts w:asciiTheme="minorHAnsi" w:hAnsiTheme="minorHAnsi" w:cstheme="minorHAnsi"/>
          <w:szCs w:val="22"/>
          <w:lang w:val="ru-RU"/>
        </w:rPr>
        <w:t>1.4</w:t>
      </w:r>
      <w:r w:rsidRPr="00597A74">
        <w:rPr>
          <w:rFonts w:asciiTheme="minorHAnsi" w:hAnsiTheme="minorHAnsi" w:cstheme="minorHAnsi"/>
          <w:szCs w:val="22"/>
          <w:lang w:val="ru-RU"/>
        </w:rPr>
        <w:tab/>
        <w:t xml:space="preserve">Любое Государство – Член Совета или Государство-Член, имеющее статус наблюдателя, имеет право потребовать включения в краткий отчет заявления, сделанного им в ходе пленарного заседания, и в таких случаях ему предлагается передать в секретариат обобщенный текст своего выступления в течение 24 часов после </w:t>
      </w:r>
      <w:r w:rsidR="00061515" w:rsidRPr="00597A74">
        <w:rPr>
          <w:rFonts w:asciiTheme="minorHAnsi" w:hAnsiTheme="minorHAnsi" w:cstheme="minorHAnsi"/>
          <w:szCs w:val="22"/>
          <w:lang w:val="ru-RU"/>
        </w:rPr>
        <w:t>окончания заседания</w:t>
      </w:r>
      <w:r w:rsidRPr="00597A74">
        <w:rPr>
          <w:rFonts w:asciiTheme="minorHAnsi" w:hAnsiTheme="minorHAnsi" w:cstheme="minorHAnsi"/>
          <w:szCs w:val="22"/>
          <w:lang w:val="ru-RU"/>
        </w:rPr>
        <w:t>.</w:t>
      </w:r>
    </w:p>
    <w:p w14:paraId="6B35770A" w14:textId="3784E3CA" w:rsidR="005F57B5" w:rsidRPr="00597A74" w:rsidRDefault="005F57B5" w:rsidP="005F57B5">
      <w:pPr>
        <w:rPr>
          <w:szCs w:val="22"/>
          <w:lang w:val="ru-RU"/>
        </w:rPr>
      </w:pPr>
      <w:r w:rsidRPr="00597A74">
        <w:rPr>
          <w:rFonts w:asciiTheme="minorHAnsi" w:hAnsiTheme="minorHAnsi" w:cstheme="minorHAnsi"/>
          <w:szCs w:val="22"/>
          <w:lang w:val="ru-RU"/>
        </w:rPr>
        <w:t>1.5</w:t>
      </w:r>
      <w:r w:rsidRPr="00597A74">
        <w:rPr>
          <w:rFonts w:asciiTheme="minorHAnsi" w:hAnsiTheme="minorHAnsi" w:cstheme="minorHAnsi"/>
          <w:szCs w:val="22"/>
          <w:lang w:val="ru-RU"/>
        </w:rPr>
        <w:tab/>
        <w:t>Он заранее благодарит участников за сотрудничество</w:t>
      </w:r>
      <w:r w:rsidRPr="00597A74">
        <w:rPr>
          <w:szCs w:val="22"/>
          <w:lang w:val="ru-RU"/>
        </w:rPr>
        <w:t xml:space="preserve"> и следование соответствующим правилам, которые имеют большое значение для обеспечения продуктивности и порядка в работе </w:t>
      </w:r>
      <w:r w:rsidR="00061515" w:rsidRPr="00597A74">
        <w:rPr>
          <w:szCs w:val="22"/>
          <w:lang w:val="ru-RU"/>
        </w:rPr>
        <w:t>заседаний</w:t>
      </w:r>
      <w:r w:rsidRPr="00597A74">
        <w:rPr>
          <w:szCs w:val="22"/>
          <w:lang w:val="ru-RU"/>
        </w:rPr>
        <w:t>.</w:t>
      </w:r>
    </w:p>
    <w:p w14:paraId="5D35382D" w14:textId="77777777" w:rsidR="000C7A09" w:rsidRPr="00597A74" w:rsidRDefault="000C7A09" w:rsidP="000C7A09">
      <w:pPr>
        <w:pStyle w:val="Heading1"/>
        <w:rPr>
          <w:sz w:val="24"/>
          <w:szCs w:val="24"/>
          <w:lang w:val="ru-RU"/>
        </w:rPr>
      </w:pPr>
      <w:r w:rsidRPr="00597A74">
        <w:rPr>
          <w:sz w:val="24"/>
          <w:szCs w:val="24"/>
          <w:lang w:val="ru-RU"/>
        </w:rPr>
        <w:lastRenderedPageBreak/>
        <w:t>2</w:t>
      </w:r>
      <w:r w:rsidRPr="00597A74">
        <w:rPr>
          <w:sz w:val="24"/>
          <w:szCs w:val="24"/>
          <w:lang w:val="ru-RU"/>
        </w:rPr>
        <w:tab/>
        <w:t>Видеообращение первого заместителя Генерального секретаря Организации Объединенных Наций</w:t>
      </w:r>
    </w:p>
    <w:p w14:paraId="5DB90FCE" w14:textId="3BC9EF1D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2.1</w:t>
      </w:r>
      <w:r w:rsidRPr="00597A74">
        <w:rPr>
          <w:lang w:val="ru-RU"/>
        </w:rPr>
        <w:tab/>
        <w:t>Первый заместитель Генерального секретаря Организации Объединенных Наций г</w:t>
      </w:r>
      <w:r w:rsidR="003E1FAB" w:rsidRPr="00597A74">
        <w:rPr>
          <w:lang w:val="ru-RU"/>
        </w:rPr>
        <w:noBreakHyphen/>
      </w:r>
      <w:r w:rsidRPr="00597A74">
        <w:rPr>
          <w:lang w:val="ru-RU"/>
        </w:rPr>
        <w:t>жа</w:t>
      </w:r>
      <w:r w:rsidR="003E1FAB" w:rsidRPr="00597A74">
        <w:rPr>
          <w:lang w:val="ru-RU"/>
        </w:rPr>
        <w:t> </w:t>
      </w:r>
      <w:r w:rsidRPr="00597A74">
        <w:rPr>
          <w:lang w:val="ru-RU"/>
        </w:rPr>
        <w:t xml:space="preserve">Амина Мохаммед выступает с видеообращением, доступным по адресу: </w:t>
      </w:r>
      <w:hyperlink r:id="rId17" w:history="1">
        <w:r w:rsidR="00C750C2" w:rsidRPr="00597A74">
          <w:rPr>
            <w:rStyle w:val="Hyperlink"/>
            <w:lang w:val="ru-RU"/>
          </w:rPr>
          <w:t>https://council.itu.int/2023/en/news/speeches/video-message-ms-amina-mohammed-united-nations-deputy-secretary-general/</w:t>
        </w:r>
      </w:hyperlink>
      <w:r w:rsidRPr="00597A74">
        <w:rPr>
          <w:lang w:val="ru-RU"/>
        </w:rPr>
        <w:t>.</w:t>
      </w:r>
    </w:p>
    <w:p w14:paraId="1FA03C89" w14:textId="77777777" w:rsidR="000C7A09" w:rsidRPr="00597A74" w:rsidRDefault="000C7A09" w:rsidP="000C7A09">
      <w:pPr>
        <w:pStyle w:val="Heading1"/>
        <w:rPr>
          <w:sz w:val="24"/>
          <w:szCs w:val="24"/>
          <w:lang w:val="ru-RU"/>
        </w:rPr>
      </w:pPr>
      <w:r w:rsidRPr="00597A74">
        <w:rPr>
          <w:sz w:val="24"/>
          <w:szCs w:val="24"/>
          <w:lang w:val="ru-RU"/>
        </w:rPr>
        <w:t>3</w:t>
      </w:r>
      <w:r w:rsidRPr="00597A74">
        <w:rPr>
          <w:sz w:val="24"/>
          <w:szCs w:val="24"/>
          <w:lang w:val="ru-RU"/>
        </w:rPr>
        <w:tab/>
        <w:t>Отчет Генерального секретаря о положении дел в Союзе</w:t>
      </w:r>
    </w:p>
    <w:p w14:paraId="613F206B" w14:textId="51B25F4C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3.1</w:t>
      </w:r>
      <w:r w:rsidRPr="00597A74">
        <w:rPr>
          <w:lang w:val="ru-RU"/>
        </w:rPr>
        <w:tab/>
        <w:t>Генеральный секретарь выступает с отчетом о положении дел в Союзе, доступным по</w:t>
      </w:r>
      <w:r w:rsidR="001D1794" w:rsidRPr="00597A74">
        <w:rPr>
          <w:lang w:val="ru-RU"/>
        </w:rPr>
        <w:t> </w:t>
      </w:r>
      <w:r w:rsidRPr="00597A74">
        <w:rPr>
          <w:lang w:val="ru-RU"/>
        </w:rPr>
        <w:t xml:space="preserve">адресу: </w:t>
      </w:r>
      <w:hyperlink r:id="rId18" w:history="1">
        <w:r w:rsidRPr="00597A74">
          <w:rPr>
            <w:rStyle w:val="Hyperlink"/>
            <w:lang w:val="ru-RU"/>
          </w:rPr>
          <w:t>https://www.itu.int/en/osg/Pages/Speeches.aspx?ItemID=17</w:t>
        </w:r>
      </w:hyperlink>
      <w:r w:rsidR="00420440" w:rsidRPr="00597A74">
        <w:rPr>
          <w:lang w:val="ru-RU"/>
        </w:rPr>
        <w:t>.</w:t>
      </w:r>
    </w:p>
    <w:p w14:paraId="4DCBA21B" w14:textId="507E4B4E" w:rsidR="000C7A09" w:rsidRPr="00597A74" w:rsidRDefault="000C7A09" w:rsidP="000C7A09">
      <w:pPr>
        <w:rPr>
          <w:b/>
          <w:bCs/>
          <w:lang w:val="ru-RU"/>
        </w:rPr>
      </w:pPr>
      <w:r w:rsidRPr="00597A74">
        <w:rPr>
          <w:b/>
          <w:bCs/>
          <w:lang w:val="ru-RU"/>
        </w:rPr>
        <w:t xml:space="preserve">Заседание </w:t>
      </w:r>
      <w:r w:rsidR="00C750C2" w:rsidRPr="00597A74">
        <w:rPr>
          <w:b/>
          <w:bCs/>
          <w:lang w:val="ru-RU"/>
        </w:rPr>
        <w:t xml:space="preserve">закрывается </w:t>
      </w:r>
      <w:r w:rsidRPr="00597A74">
        <w:rPr>
          <w:b/>
          <w:bCs/>
          <w:lang w:val="ru-RU"/>
        </w:rPr>
        <w:t>в 10 час. 20 мин. во вторник, 11 июля 2023 года, и возобновляется в</w:t>
      </w:r>
      <w:r w:rsidR="00420440" w:rsidRPr="00597A74">
        <w:rPr>
          <w:b/>
          <w:bCs/>
          <w:lang w:val="ru-RU"/>
        </w:rPr>
        <w:t> </w:t>
      </w:r>
      <w:r w:rsidR="001D1794" w:rsidRPr="00597A74">
        <w:rPr>
          <w:b/>
          <w:bCs/>
          <w:lang w:val="ru-RU"/>
        </w:rPr>
        <w:t>0</w:t>
      </w:r>
      <w:r w:rsidRPr="00597A74">
        <w:rPr>
          <w:b/>
          <w:bCs/>
          <w:lang w:val="ru-RU"/>
        </w:rPr>
        <w:t>9 час. 35 мин. в среду, 12 июля 2023 года</w:t>
      </w:r>
      <w:r w:rsidRPr="00597A74">
        <w:rPr>
          <w:lang w:val="ru-RU"/>
        </w:rPr>
        <w:t>.</w:t>
      </w:r>
    </w:p>
    <w:p w14:paraId="1816BB9B" w14:textId="78751133" w:rsidR="000C7A09" w:rsidRPr="00597A74" w:rsidRDefault="000C7A09" w:rsidP="000C7A09">
      <w:pPr>
        <w:pStyle w:val="Heading1"/>
        <w:rPr>
          <w:bCs/>
          <w:sz w:val="24"/>
          <w:szCs w:val="24"/>
          <w:lang w:val="ru-RU"/>
        </w:rPr>
      </w:pPr>
      <w:r w:rsidRPr="00597A74">
        <w:rPr>
          <w:bCs/>
          <w:sz w:val="24"/>
          <w:szCs w:val="24"/>
          <w:lang w:val="ru-RU"/>
        </w:rPr>
        <w:t>4</w:t>
      </w:r>
      <w:r w:rsidRPr="00597A74">
        <w:rPr>
          <w:bCs/>
          <w:sz w:val="24"/>
          <w:szCs w:val="24"/>
          <w:lang w:val="ru-RU"/>
        </w:rPr>
        <w:tab/>
      </w:r>
      <w:r w:rsidRPr="00597A74">
        <w:rPr>
          <w:sz w:val="24"/>
          <w:szCs w:val="24"/>
          <w:lang w:val="ru-RU"/>
        </w:rPr>
        <w:t>Утверждение проекта повестки дня сессии Совета 2023 года</w:t>
      </w:r>
      <w:r w:rsidRPr="00597A74">
        <w:rPr>
          <w:bCs/>
          <w:sz w:val="24"/>
          <w:szCs w:val="24"/>
          <w:lang w:val="ru-RU"/>
        </w:rPr>
        <w:br/>
        <w:t>(Документ </w:t>
      </w:r>
      <w:hyperlink r:id="rId19" w:history="1">
        <w:r w:rsidRPr="00597A74">
          <w:rPr>
            <w:rStyle w:val="Hyperlink"/>
            <w:bCs/>
            <w:sz w:val="24"/>
            <w:szCs w:val="24"/>
            <w:lang w:val="ru-RU"/>
          </w:rPr>
          <w:t>C23/1(Rev.2)</w:t>
        </w:r>
      </w:hyperlink>
      <w:r w:rsidRPr="00597A74">
        <w:rPr>
          <w:bCs/>
          <w:sz w:val="24"/>
          <w:szCs w:val="24"/>
          <w:lang w:val="ru-RU"/>
        </w:rPr>
        <w:t>)</w:t>
      </w:r>
    </w:p>
    <w:p w14:paraId="3B27DBF6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4.1</w:t>
      </w:r>
      <w:r w:rsidRPr="00597A74">
        <w:rPr>
          <w:lang w:val="ru-RU"/>
        </w:rPr>
        <w:tab/>
        <w:t xml:space="preserve">Секретарь пленарного заседания представляет Документ C23/1(Rev.2), который затем </w:t>
      </w:r>
      <w:r w:rsidRPr="00597A74">
        <w:rPr>
          <w:b/>
          <w:bCs/>
          <w:lang w:val="ru-RU"/>
        </w:rPr>
        <w:t>утверждается</w:t>
      </w:r>
      <w:r w:rsidRPr="00597A74">
        <w:rPr>
          <w:lang w:val="ru-RU"/>
        </w:rPr>
        <w:t>.</w:t>
      </w:r>
    </w:p>
    <w:p w14:paraId="032E3E1E" w14:textId="7D2A12D2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bCs/>
          <w:sz w:val="24"/>
          <w:szCs w:val="18"/>
          <w:lang w:val="ru-RU"/>
        </w:rPr>
        <w:t>5</w:t>
      </w:r>
      <w:r w:rsidRPr="00597A74">
        <w:rPr>
          <w:bCs/>
          <w:sz w:val="24"/>
          <w:szCs w:val="18"/>
          <w:lang w:val="ru-RU"/>
        </w:rPr>
        <w:tab/>
        <w:t>Распределение документов (Документ </w:t>
      </w:r>
      <w:hyperlink r:id="rId20" w:history="1">
        <w:r w:rsidRPr="00597A74">
          <w:rPr>
            <w:rStyle w:val="Hyperlink"/>
            <w:bCs/>
            <w:sz w:val="24"/>
            <w:szCs w:val="18"/>
            <w:lang w:val="ru-RU"/>
          </w:rPr>
          <w:t>C23/DT/1(Rev.1)</w:t>
        </w:r>
      </w:hyperlink>
      <w:r w:rsidRPr="00597A74">
        <w:rPr>
          <w:bCs/>
          <w:sz w:val="24"/>
          <w:szCs w:val="18"/>
          <w:lang w:val="ru-RU"/>
        </w:rPr>
        <w:t>)</w:t>
      </w:r>
    </w:p>
    <w:p w14:paraId="2011BEE5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5.1</w:t>
      </w:r>
      <w:r w:rsidRPr="00597A74">
        <w:rPr>
          <w:lang w:val="ru-RU"/>
        </w:rPr>
        <w:tab/>
        <w:t xml:space="preserve">Секретарь пленарного заседания представляет Документ C23/DT/1(Rev.1), который затем </w:t>
      </w:r>
      <w:r w:rsidRPr="00597A74">
        <w:rPr>
          <w:b/>
          <w:bCs/>
          <w:lang w:val="ru-RU"/>
        </w:rPr>
        <w:t>утверждается</w:t>
      </w:r>
      <w:r w:rsidRPr="00597A74">
        <w:rPr>
          <w:lang w:val="ru-RU"/>
        </w:rPr>
        <w:t>.</w:t>
      </w:r>
    </w:p>
    <w:p w14:paraId="63D5214C" w14:textId="5F39B450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sz w:val="24"/>
          <w:szCs w:val="18"/>
          <w:lang w:val="ru-RU"/>
        </w:rPr>
        <w:t>6</w:t>
      </w:r>
      <w:r w:rsidRPr="00597A74">
        <w:rPr>
          <w:sz w:val="24"/>
          <w:szCs w:val="18"/>
          <w:lang w:val="ru-RU"/>
        </w:rPr>
        <w:tab/>
        <w:t>Проект плана распределения времени (Документ </w:t>
      </w:r>
      <w:hyperlink r:id="rId21" w:history="1">
        <w:r w:rsidRPr="00597A74">
          <w:rPr>
            <w:rStyle w:val="Hyperlink"/>
            <w:bCs/>
            <w:sz w:val="24"/>
            <w:szCs w:val="18"/>
            <w:lang w:val="ru-RU"/>
          </w:rPr>
          <w:t>C23/DT/2(Rev.2)</w:t>
        </w:r>
      </w:hyperlink>
      <w:r w:rsidRPr="00597A74">
        <w:rPr>
          <w:sz w:val="24"/>
          <w:szCs w:val="18"/>
          <w:lang w:val="ru-RU"/>
        </w:rPr>
        <w:t>)</w:t>
      </w:r>
    </w:p>
    <w:p w14:paraId="026B43BE" w14:textId="5C6A3930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6.1</w:t>
      </w:r>
      <w:r w:rsidRPr="00597A74">
        <w:rPr>
          <w:lang w:val="ru-RU"/>
        </w:rPr>
        <w:tab/>
        <w:t xml:space="preserve">Секретарь пленарного заседания представляет Документ C23/DT/2(Rev.2), который затем </w:t>
      </w:r>
      <w:r w:rsidRPr="00597A74">
        <w:rPr>
          <w:b/>
          <w:bCs/>
          <w:lang w:val="ru-RU"/>
        </w:rPr>
        <w:t>утверждается</w:t>
      </w:r>
      <w:r w:rsidRPr="00597A74">
        <w:rPr>
          <w:lang w:val="ru-RU"/>
        </w:rPr>
        <w:t>. Она указывает, что план распределения времени будет обновляться по</w:t>
      </w:r>
      <w:r w:rsidR="001D1794" w:rsidRPr="00597A74">
        <w:rPr>
          <w:lang w:val="ru-RU"/>
        </w:rPr>
        <w:t> </w:t>
      </w:r>
      <w:r w:rsidRPr="00597A74">
        <w:rPr>
          <w:lang w:val="ru-RU"/>
        </w:rPr>
        <w:t>ходу работы сессии.</w:t>
      </w:r>
    </w:p>
    <w:p w14:paraId="68128F69" w14:textId="77777777" w:rsidR="000C7A09" w:rsidRPr="00597A74" w:rsidRDefault="000C7A09" w:rsidP="000C7A09">
      <w:pPr>
        <w:pStyle w:val="Heading1"/>
        <w:rPr>
          <w:lang w:val="ru-RU"/>
        </w:rPr>
      </w:pPr>
      <w:r w:rsidRPr="00597A74">
        <w:rPr>
          <w:lang w:val="ru-RU"/>
        </w:rPr>
        <w:t>7</w:t>
      </w:r>
      <w:r w:rsidRPr="00597A74">
        <w:rPr>
          <w:lang w:val="ru-RU"/>
        </w:rPr>
        <w:tab/>
        <w:t>Организационные вопросы</w:t>
      </w:r>
    </w:p>
    <w:p w14:paraId="2B14A29D" w14:textId="5174D1DE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7.1</w:t>
      </w:r>
      <w:r w:rsidRPr="00597A74">
        <w:rPr>
          <w:lang w:val="ru-RU"/>
        </w:rPr>
        <w:tab/>
        <w:t xml:space="preserve">Секретарь пленарного заседания подтверждает обычные часы работы и сообщает, что устный перевод и документация будут обеспечиваться на шести официальных языках Союза. Организована возможность дистанционного участия, </w:t>
      </w:r>
      <w:r w:rsidR="005F57B5" w:rsidRPr="00597A74">
        <w:rPr>
          <w:lang w:val="ru-RU"/>
        </w:rPr>
        <w:t>однако р</w:t>
      </w:r>
      <w:r w:rsidRPr="00597A74">
        <w:rPr>
          <w:lang w:val="ru-RU"/>
        </w:rPr>
        <w:t xml:space="preserve">ешения будут приниматься только очно присутствующими Советниками. Участникам напоминают о существовании стандарта поведения, добросовестности, уважения к разнообразию и профессионализма, на соблюдение которого все могут обоснованно рассчитывать в ходе обсуждений в условиях отсутствия дискриминации и преследований. </w:t>
      </w:r>
      <w:bookmarkStart w:id="13" w:name="_Hlk143097986"/>
      <w:r w:rsidRPr="00597A74">
        <w:rPr>
          <w:lang w:val="ru-RU"/>
        </w:rPr>
        <w:t xml:space="preserve">Кодекс поведения для недопущения преследований, включая сексуальные домогательства, на мероприятиях системы ООН </w:t>
      </w:r>
      <w:bookmarkEnd w:id="13"/>
      <w:r w:rsidRPr="00597A74">
        <w:rPr>
          <w:lang w:val="ru-RU"/>
        </w:rPr>
        <w:t>применим ко всем собраниям МСЭ.</w:t>
      </w:r>
    </w:p>
    <w:p w14:paraId="51AF27FE" w14:textId="77777777" w:rsidR="000C7A09" w:rsidRPr="00597A74" w:rsidRDefault="000C7A09" w:rsidP="000C7A09">
      <w:pPr>
        <w:rPr>
          <w:bCs/>
          <w:lang w:val="ru-RU"/>
        </w:rPr>
      </w:pPr>
      <w:r w:rsidRPr="00597A74">
        <w:rPr>
          <w:lang w:val="ru-RU"/>
        </w:rPr>
        <w:t>7.2</w:t>
      </w:r>
      <w:r w:rsidRPr="00597A74">
        <w:rPr>
          <w:lang w:val="ru-RU"/>
        </w:rPr>
        <w:tab/>
        <w:t xml:space="preserve">Информация об организации работы сессии 2023 года </w:t>
      </w:r>
      <w:r w:rsidRPr="00597A74">
        <w:rPr>
          <w:b/>
          <w:bCs/>
          <w:lang w:val="ru-RU"/>
        </w:rPr>
        <w:t>принимается к сведению</w:t>
      </w:r>
      <w:r w:rsidRPr="00597A74">
        <w:rPr>
          <w:bCs/>
          <w:lang w:val="ru-RU"/>
        </w:rPr>
        <w:t>.</w:t>
      </w:r>
    </w:p>
    <w:p w14:paraId="479E15A3" w14:textId="0D53B1B7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sz w:val="24"/>
          <w:szCs w:val="18"/>
          <w:lang w:val="ru-RU"/>
        </w:rPr>
        <w:lastRenderedPageBreak/>
        <w:t>8</w:t>
      </w:r>
      <w:r w:rsidRPr="00597A74">
        <w:rPr>
          <w:sz w:val="24"/>
          <w:szCs w:val="18"/>
          <w:lang w:val="ru-RU"/>
        </w:rPr>
        <w:tab/>
        <w:t>Отчет о выполнении Стратегического плана и о деятельности Союза, июль 2022 года – апрель 2023 года (</w:t>
      </w:r>
      <w:r w:rsidRPr="00597A74">
        <w:rPr>
          <w:bCs/>
          <w:sz w:val="24"/>
          <w:szCs w:val="18"/>
          <w:lang w:val="ru-RU"/>
        </w:rPr>
        <w:t>Документ </w:t>
      </w:r>
      <w:hyperlink r:id="rId22" w:history="1">
        <w:r w:rsidRPr="00597A74">
          <w:rPr>
            <w:rStyle w:val="Hyperlink"/>
            <w:bCs/>
            <w:sz w:val="24"/>
            <w:szCs w:val="18"/>
            <w:lang w:val="ru-RU"/>
          </w:rPr>
          <w:t>C23/35</w:t>
        </w:r>
      </w:hyperlink>
      <w:r w:rsidRPr="00597A74">
        <w:rPr>
          <w:sz w:val="24"/>
          <w:szCs w:val="18"/>
          <w:lang w:val="ru-RU"/>
        </w:rPr>
        <w:t>)</w:t>
      </w:r>
    </w:p>
    <w:p w14:paraId="16B0EA4E" w14:textId="5260161A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</w:t>
      </w:r>
      <w:r w:rsidRPr="00597A74">
        <w:rPr>
          <w:lang w:val="ru-RU"/>
        </w:rPr>
        <w:tab/>
        <w:t>Заместитель Генерального секретаря представляет отчет, содержащийся в Документе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C23/35, и отмечает, что в нем освещается прогресс, достигнутый в области реализации целевых показателей на 2023 год, которые согласованы с Повесткой дня "Соединим к 2030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году". Показатели роста свидетельствуют о том, что темпы цифрового развития соответствуют </w:t>
      </w:r>
      <w:r w:rsidR="00D35DA9" w:rsidRPr="00597A74">
        <w:rPr>
          <w:lang w:val="ru-RU"/>
        </w:rPr>
        <w:t>Плану</w:t>
      </w:r>
      <w:r w:rsidRPr="00597A74">
        <w:rPr>
          <w:lang w:val="ru-RU"/>
        </w:rPr>
        <w:t>, однако некоторые целевые показатели в области открытости, в том числе касающиеся возможности установления соединений в наименее развитых странах (НРС), гендерного разрыва и улучшения доступа для лиц с ограниченными возможностями, а также в области устойчивости, реализуются с отставанием от графика. Также недостаточно данных по таким показателям, как онлайновые государственные услуги, навыки работы с ИКТ и состояние окружающей среды. Более полное представление этих данных позволило бы отслеживать достижение целей и целевых показателей.</w:t>
      </w:r>
    </w:p>
    <w:p w14:paraId="1C196EE1" w14:textId="0BA4FF8D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8.2</w:t>
      </w:r>
      <w:r w:rsidRPr="00597A74">
        <w:rPr>
          <w:lang w:val="ru-RU"/>
        </w:rPr>
        <w:tab/>
        <w:t xml:space="preserve">Приветствуются отзывы Государств-Членов о возможных структурных улучшениях отчета. Система отчетности ориентирована на результаты, имеет интегрированный формат представления видов деятельности и результатов, а также содержит перекрестные ссылки, что позволяет избежать дублирования. Более подробная информация о деятельности размещена на веб-сайте Совета. Отчет содержит ситуационный анализ, в котором подчеркивается влияние цифровых технологий, в том числе подробный анализ хода работы, а также представление работы МСЭ по тематическим приоритетам. Основное внимание уделяется воздействию, и эта информация дополнена информационными панелями на веб-платформе отчетности, в которых предлагаются инфографики. В информационных панелях отслеживаются достижения по различным целевым показателям и отражается ход выполнения </w:t>
      </w:r>
      <w:r w:rsidR="00D35DA9" w:rsidRPr="00597A74">
        <w:rPr>
          <w:lang w:val="ru-RU"/>
        </w:rPr>
        <w:t>Резолюций</w:t>
      </w:r>
      <w:r w:rsidRPr="00597A74">
        <w:rPr>
          <w:lang w:val="ru-RU"/>
        </w:rPr>
        <w:t>.</w:t>
      </w:r>
    </w:p>
    <w:p w14:paraId="16BF7E97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8.3</w:t>
      </w:r>
      <w:r w:rsidRPr="00597A74">
        <w:rPr>
          <w:lang w:val="ru-RU"/>
        </w:rPr>
        <w:tab/>
        <w:t>Многие Советники дают высокую оценку отчету и отмечают его подробность, ясность и улучшенный формат. В отчете подчеркивается ведущая роль МСЭ в поддержании глобальной платформы для разрешения проблем и использования возможностей, связанных с безопасным и инклюзивным развитием появляющихся технологий и приложений.</w:t>
      </w:r>
    </w:p>
    <w:p w14:paraId="4B6819F5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8.4</w:t>
      </w:r>
      <w:r w:rsidRPr="00597A74">
        <w:rPr>
          <w:lang w:val="ru-RU"/>
        </w:rPr>
        <w:tab/>
        <w:t>Советник от Турции говорит, что как страна, недавно пережившая разрушительные землетрясения, Турция особенно высоко оценивает роль МСЭ в инициативе Организации Объединенных Наций "Раннее предупреждение для всех" и подчеркивает важность укрепления потенциала для своевременного восстановления соединений. Турция делится своими мнениями и опытом с соответствующими исследовательскими комиссиями МСЭ, занимающимся вопросами электросвязи в чрезвычайных ситуациях и оказания помощи при бедствиях. Он также выражает признательность МСЭ за поддержку проекта "ИИ во благо", который собрал ведущих специалистов в области искусственного интеллекта и способствует развитию международного сотрудничества.</w:t>
      </w:r>
    </w:p>
    <w:p w14:paraId="73B8A132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8.5</w:t>
      </w:r>
      <w:r w:rsidRPr="00597A74">
        <w:rPr>
          <w:lang w:val="ru-RU"/>
        </w:rPr>
        <w:tab/>
        <w:t>Один из Советников подчеркивает актуальность общесистемного Плана действий ООН по обеспечению гендерного равенства и расширению прав и возможностей женщин, который также может быть рассмотрен при обсуждении программы работы МСЭ по обеспечению гендерного равенства (Документ C23/6).</w:t>
      </w:r>
    </w:p>
    <w:p w14:paraId="0D0CE92A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8.6</w:t>
      </w:r>
      <w:r w:rsidRPr="00597A74">
        <w:rPr>
          <w:lang w:val="ru-RU"/>
        </w:rPr>
        <w:tab/>
        <w:t>Многие Советники выражают решительную поддержку совместной работе МСЭ с партнерами из ООН, региональными и международными неправительственными организациями (НПО). Союзу следует продолжать добиваться достижения целей в области устойчивого цифрового развития, определять задачи, связанные с новыми и появляющимися цифровыми технологиями, и параллельно наращивать усилия по сокращению цифрового разрыва и обеспечению доступа к цифровым технологиям для уязвимых групп населения. Советники также выражают поддержку концепции "Единый МСЭ".</w:t>
      </w:r>
    </w:p>
    <w:p w14:paraId="4359963F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lastRenderedPageBreak/>
        <w:t>8.7</w:t>
      </w:r>
      <w:r w:rsidRPr="00597A74">
        <w:rPr>
          <w:lang w:val="ru-RU"/>
        </w:rPr>
        <w:tab/>
        <w:t>Несколько Советников подчеркивают необходимость дальнейшего оказания помощи развивающимся странам и НРС, отмечая, что уровень выполнения ряда задач в рамках Целей в области устойчивого развития (ЦУР) составляет всего 20 процентов. В связи с этим МСЭ рекомендуется укрепить свою роль многосторонней структуры, в том числе в области деятельности, связанной с ВВУИО, и активизировать создание потенциала и техническое сотрудничество в целях развития. По-прежнему существует значительный цифровой разрыв, в особенности в отношении женщин, сельских сообществ и уязвимых групп населения в развивающихся странах.</w:t>
      </w:r>
    </w:p>
    <w:p w14:paraId="5EE5CC3F" w14:textId="41BB4E60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8.8</w:t>
      </w:r>
      <w:r w:rsidRPr="00597A74">
        <w:rPr>
          <w:lang w:val="ru-RU"/>
        </w:rPr>
        <w:tab/>
        <w:t xml:space="preserve">Ряд стран добились прогресса в области политики и законодательства, однако ограниченность данных является чрезвычайно значимой проблемой, препятствующей реализации </w:t>
      </w:r>
      <w:r w:rsidR="00D35DA9" w:rsidRPr="00597A74">
        <w:rPr>
          <w:lang w:val="ru-RU"/>
        </w:rPr>
        <w:t>Плана</w:t>
      </w:r>
      <w:r w:rsidRPr="00597A74">
        <w:rPr>
          <w:lang w:val="ru-RU"/>
        </w:rPr>
        <w:t>. МСЭ предложено оказать помощь развивающимся странам в совершенствовании механизмов сбора данных и отчетности. Информационные панели и инструменты отслеживания, работающие в режиме реального времени на основе веб-технологий, внедряемых на уровне стран, позволят Государствам-Членам отслеживать свои собственные результаты и обеспечат более интерактивный обмен данными.</w:t>
      </w:r>
    </w:p>
    <w:p w14:paraId="30D9732A" w14:textId="66F8FBEB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8.9</w:t>
      </w:r>
      <w:r w:rsidRPr="00597A74">
        <w:rPr>
          <w:lang w:val="ru-RU"/>
        </w:rPr>
        <w:tab/>
        <w:t>Необходимо получить больше данных о партнерствах, в том числе по инициативе Giga и цифровой коалиции "Партнерства для подключения", в которые некоторые страны вложили значительные средства. Вызывает разочарование тот факт, что по результатам реализации программы Giga к интернету было подключено лишь 2,1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млн. студентов. Для реализации этой многообещающей инициативы, в особенности для маргинализированных сообществ в развивающихся странах, потребуется более целенаправленный подход, основанный на совместном приложении усилий.</w:t>
      </w:r>
    </w:p>
    <w:p w14:paraId="2123E9C7" w14:textId="1BEEE3C2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8.10</w:t>
      </w:r>
      <w:r w:rsidRPr="00597A74">
        <w:rPr>
          <w:lang w:val="ru-RU"/>
        </w:rPr>
        <w:tab/>
        <w:t>Некоторые Советники просят в будущих версиях отчета продолжить разработку ключевых показателей деятельности (KPI) и уделить больше внимания управлению, ориентированному на результаты, в том числе системам подотчетности и управления изменениями. Предложено представить более подробную информацию о вкладе регионов в выполнение стратегических задач и о гендерном равенстве, в том числе о том, как устранить гендерный разрыв в использовании интернета. Необходимо получить больше данных в разбивке по группам, которые покажут, какие именно группы стран, например НРС, страны с переходной экономикой и малые островные развивающиеся государства, извлекли пользу из реализации проектов на местах. Важно сообщать о рисках, возникающих в ходе реализации проектов. Советники отмечают, что в Таблице 1, где представлены цели и целевые показатели, отсутствуют статистические данные, и задают вопрос, как без них возможно отслеживание прогресса. Они интересуются, как именно МСЭ предлагает улучшить сбор и измерение данных по проектам, которые отстают от графика. Представляется, что между вновь принятым Стратегическим планом 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2027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годы и текущим </w:t>
      </w:r>
      <w:r w:rsidR="00134A23" w:rsidRPr="00597A74">
        <w:rPr>
          <w:lang w:val="ru-RU"/>
        </w:rPr>
        <w:t xml:space="preserve">Стратегическим </w:t>
      </w:r>
      <w:r w:rsidRPr="00597A74">
        <w:rPr>
          <w:lang w:val="ru-RU"/>
        </w:rPr>
        <w:t>планом существуют несоответствия.</w:t>
      </w:r>
    </w:p>
    <w:p w14:paraId="79CC30C3" w14:textId="33E3A6BE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8.11</w:t>
      </w:r>
      <w:r w:rsidRPr="00597A74">
        <w:rPr>
          <w:lang w:val="ru-RU"/>
        </w:rPr>
        <w:tab/>
      </w:r>
      <w:bookmarkStart w:id="14" w:name="_Hlk140220606"/>
      <w:r w:rsidRPr="00597A74">
        <w:rPr>
          <w:lang w:val="ru-RU"/>
        </w:rPr>
        <w:t xml:space="preserve">Несколько Советников приветствуют отслеживание выполнения </w:t>
      </w:r>
      <w:r w:rsidR="00D35DA9" w:rsidRPr="00597A74">
        <w:rPr>
          <w:lang w:val="ru-RU"/>
        </w:rPr>
        <w:t xml:space="preserve">Резолюций </w:t>
      </w:r>
      <w:r w:rsidRPr="00597A74">
        <w:rPr>
          <w:lang w:val="ru-RU"/>
        </w:rPr>
        <w:t>и просят представить информацию в более доступном формате, например, в виде таблицы сопоставления. В отношении стандартизации для оценки МСЭ-Т и МСЭ-R могут быть введены дополнительные показатели, с тем чтобы указать на процессы перехода и внедрение отраслевых спецификаций и стандартов в различных технологиях, в особенности в новых и появляющихся технологиях.</w:t>
      </w:r>
    </w:p>
    <w:bookmarkEnd w:id="14"/>
    <w:p w14:paraId="29778EE5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8.12</w:t>
      </w:r>
      <w:r w:rsidRPr="00597A74">
        <w:rPr>
          <w:lang w:val="ru-RU"/>
        </w:rPr>
        <w:tab/>
        <w:t xml:space="preserve">Советники высоко оценивают проекты МСЭ, направленные на достижение конкретных результатов, и подход к составлению отчета, ориентированный на конечный результат. Отдельно отмечено практическое применение тематических проектов, таких как Международный день "Девушки в ИКТ", в Государствах-Членах. Одна из Советников сообщает, что правительство ее страны создало собственную версию программы "Поколение подключений", с тем чтобы предоставить возможность представителям молодежи принимать </w:t>
      </w:r>
      <w:r w:rsidRPr="00597A74">
        <w:rPr>
          <w:lang w:val="ru-RU"/>
        </w:rPr>
        <w:lastRenderedPageBreak/>
        <w:t>участие в разработке цифровой политики. Выражается надежда, что большее количество тематических программ будет реализовываться и в регионах.</w:t>
      </w:r>
    </w:p>
    <w:p w14:paraId="6AB1A9F3" w14:textId="17B4CFF9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8.13</w:t>
      </w:r>
      <w:r w:rsidRPr="00597A74">
        <w:rPr>
          <w:lang w:val="ru-RU"/>
        </w:rPr>
        <w:tab/>
        <w:t xml:space="preserve">Один из Советников отмечает, что в программной реализации </w:t>
      </w:r>
      <w:r w:rsidR="00D35DA9" w:rsidRPr="00597A74">
        <w:rPr>
          <w:lang w:val="ru-RU"/>
        </w:rPr>
        <w:t xml:space="preserve">Стратегического </w:t>
      </w:r>
      <w:r w:rsidRPr="00597A74">
        <w:rPr>
          <w:lang w:val="ru-RU"/>
        </w:rPr>
        <w:t>плана все еще есть возможности для повышения эффективности и что больший эффект может быть достигнут за счет направления ресурсов на конкретные целевые группы, такие как молодежь и женщины, путем развития навыков и организации специализированной профессиональной подготовки. Следует измерять и контролировать взаимодействие с многочисленными заинтересованными сторонами, в том числе с НПО.</w:t>
      </w:r>
    </w:p>
    <w:p w14:paraId="3CD1C969" w14:textId="56AC03D6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8.14</w:t>
      </w:r>
      <w:r w:rsidRPr="00597A74">
        <w:rPr>
          <w:lang w:val="ru-RU"/>
        </w:rPr>
        <w:tab/>
        <w:t xml:space="preserve">Заместитель Генерального секретаря отмечает, что многие из предложений Государств-Членов по совершенствованию работы уже включены в новый </w:t>
      </w:r>
      <w:r w:rsidR="00134A23" w:rsidRPr="00597A74">
        <w:rPr>
          <w:lang w:val="ru-RU"/>
        </w:rPr>
        <w:t xml:space="preserve">План </w:t>
      </w:r>
      <w:r w:rsidRPr="00597A74">
        <w:rPr>
          <w:lang w:val="ru-RU"/>
        </w:rPr>
        <w:t>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2027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годы, в том числе по разбивке данных, касающихся охвата, например, по молодежи и полу. В качестве одного из средств достижения целей, способствующих улучшению отчетности, было включено региональное присутствие.</w:t>
      </w:r>
    </w:p>
    <w:p w14:paraId="57289DD4" w14:textId="7304A71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8.15</w:t>
      </w:r>
      <w:r w:rsidRPr="00597A74">
        <w:rPr>
          <w:lang w:val="ru-RU"/>
        </w:rPr>
        <w:tab/>
        <w:t xml:space="preserve">Он высоко оценивает поддержку подхода к отчетности в рамках концепции "Единый МСЭ", который будет дополнительно укреплен в новом </w:t>
      </w:r>
      <w:r w:rsidR="00D35DA9" w:rsidRPr="00597A74">
        <w:rPr>
          <w:lang w:val="ru-RU"/>
        </w:rPr>
        <w:t xml:space="preserve">Стратегическом </w:t>
      </w:r>
      <w:r w:rsidRPr="00597A74">
        <w:rPr>
          <w:lang w:val="ru-RU"/>
        </w:rPr>
        <w:t>плане с целью обеспечения прозрачности вклада и демонстрации того, как именно цели Союза согласуются с конечными результатами Секторов. Он указывает на необходимость увеличения объема статистических данных и более точного измерения воздействия, конечных результатов и намеченных результатов деятельности. Потребуется дополнительная коллективная работа по сбору имеющихся данных от Государств-Членов. Также будет продолжена работа по совершенствованию инструментов отчетности, включая их дальнейшую адаптацию.</w:t>
      </w:r>
    </w:p>
    <w:p w14:paraId="4C3BC24E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8.16</w:t>
      </w:r>
      <w:r w:rsidRPr="00597A74">
        <w:rPr>
          <w:lang w:val="ru-RU"/>
        </w:rPr>
        <w:tab/>
        <w:t>Выступающий отмечает просьбу включить управление рисками в отчеты и обращает внимание на пункт 2.1 повестки дня (Документ C23/20), в рамках которого будет рассмотрен вопрос об укреплении систем и мер внутреннего контроля. В дальнейшем вопросы управления рисками будут включены в повестку дня Координационного комитета и будут рассматриваться более системно. Помимо этого, управление рисками является одним из компонентов дорожной карты трансформации МСЭ для достижения организационной эффективности (Документ C23/52). Функции оценки, мониторинга и надзора будут рассмотрены в рамках пакета организационных усовершенствований при обсуждении предложения о создании подразделения по надзору (Документ C23/53).</w:t>
      </w:r>
    </w:p>
    <w:p w14:paraId="2B9A0094" w14:textId="6F426CCA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8.17</w:t>
      </w:r>
      <w:r w:rsidRPr="00597A74">
        <w:rPr>
          <w:lang w:val="ru-RU"/>
        </w:rPr>
        <w:tab/>
        <w:t>Он приветствует упоминание партнерских инициатив МСЭ, в том числе проекта Giga и цифровой коалиции "Партнерства для подключения". Более подробная информация о деятельности коалиции содержится в Документе C23/INF/8. МСЭ рассчитывает достичь своей цели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– привлечь к 2026 году 100 млрд долларов США. Проекту Giga сопутствовал успех в обеспечении возможности установления соединений для школ и сообществ, и МСЭ выражает благодарность своим партнерам за неизменную поддержку этой инициативы; тем не менее, безусловно, будут предприняты усилия для дальнейшего повышения ее результативности. Сотрудничество и связь с деятельностью Организации Объединенных Наций имеют важное значение и рассматриваются, в частности, в Документе C23/49.</w:t>
      </w:r>
    </w:p>
    <w:p w14:paraId="4E150A3A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8.18</w:t>
      </w:r>
      <w:r w:rsidRPr="00597A74">
        <w:rPr>
          <w:lang w:val="ru-RU"/>
        </w:rPr>
        <w:tab/>
        <w:t>Сообщество МСЭ продолжит совместную работу, с тем чтобы добиться больших результатов в таких важных областях, как преодоление цифрового разрыва и устойчивость.</w:t>
      </w:r>
    </w:p>
    <w:p w14:paraId="18363275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8.19</w:t>
      </w:r>
      <w:r w:rsidRPr="00597A74">
        <w:rPr>
          <w:lang w:val="ru-RU"/>
        </w:rPr>
        <w:tab/>
        <w:t xml:space="preserve">Документ C23/35 </w:t>
      </w:r>
      <w:r w:rsidRPr="00597A74">
        <w:rPr>
          <w:b/>
          <w:bCs/>
          <w:lang w:val="ru-RU"/>
        </w:rPr>
        <w:t>утверждается</w:t>
      </w:r>
      <w:r w:rsidRPr="00597A74">
        <w:rPr>
          <w:lang w:val="ru-RU"/>
        </w:rPr>
        <w:t>.</w:t>
      </w:r>
    </w:p>
    <w:p w14:paraId="723A6EBE" w14:textId="25A714D2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sz w:val="24"/>
          <w:szCs w:val="18"/>
          <w:lang w:val="ru-RU"/>
        </w:rPr>
        <w:t>9</w:t>
      </w:r>
      <w:r w:rsidRPr="00597A74">
        <w:rPr>
          <w:sz w:val="24"/>
          <w:szCs w:val="18"/>
          <w:lang w:val="ru-RU"/>
        </w:rPr>
        <w:tab/>
        <w:t>Проект четырехгодичного скользящего Оперативного плана Союза на 2024–2027 годы (</w:t>
      </w:r>
      <w:r w:rsidRPr="00597A74">
        <w:rPr>
          <w:bCs/>
          <w:sz w:val="24"/>
          <w:szCs w:val="18"/>
          <w:lang w:val="ru-RU"/>
        </w:rPr>
        <w:t>Документ </w:t>
      </w:r>
      <w:hyperlink r:id="rId23" w:history="1">
        <w:r w:rsidRPr="00597A74">
          <w:rPr>
            <w:rStyle w:val="Hyperlink"/>
            <w:bCs/>
            <w:sz w:val="24"/>
            <w:szCs w:val="18"/>
            <w:lang w:val="ru-RU"/>
          </w:rPr>
          <w:t>C23/28</w:t>
        </w:r>
      </w:hyperlink>
      <w:r w:rsidRPr="00597A74">
        <w:rPr>
          <w:sz w:val="24"/>
          <w:szCs w:val="18"/>
          <w:lang w:val="ru-RU"/>
        </w:rPr>
        <w:t>)</w:t>
      </w:r>
    </w:p>
    <w:p w14:paraId="46B770B9" w14:textId="181BBE63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9.1</w:t>
      </w:r>
      <w:r w:rsidRPr="00597A74">
        <w:rPr>
          <w:lang w:val="ru-RU"/>
        </w:rPr>
        <w:tab/>
        <w:t xml:space="preserve">Руководитель Департамента управления финансовыми ресурсами (FRMD) представляет Документ C23/28, содержащий проект четырехгодичного скользящего </w:t>
      </w:r>
      <w:r w:rsidRPr="00597A74">
        <w:rPr>
          <w:lang w:val="ru-RU"/>
        </w:rPr>
        <w:lastRenderedPageBreak/>
        <w:t>Оперативного плана Союза 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2027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годы и, в Приложении А, проект </w:t>
      </w:r>
      <w:r w:rsidR="00D35DA9" w:rsidRPr="00597A74">
        <w:rPr>
          <w:lang w:val="ru-RU"/>
        </w:rPr>
        <w:t xml:space="preserve">Резолюции </w:t>
      </w:r>
      <w:r w:rsidRPr="00597A74">
        <w:rPr>
          <w:lang w:val="ru-RU"/>
        </w:rPr>
        <w:t xml:space="preserve">о его утверждении. Проект </w:t>
      </w:r>
      <w:r w:rsidR="00D35DA9" w:rsidRPr="00597A74">
        <w:rPr>
          <w:lang w:val="ru-RU"/>
        </w:rPr>
        <w:t xml:space="preserve">Плана </w:t>
      </w:r>
      <w:r w:rsidRPr="00597A74">
        <w:rPr>
          <w:lang w:val="ru-RU"/>
        </w:rPr>
        <w:t xml:space="preserve">построен на основе реализации пяти тематических приоритетов. В нем указаны ожидаемые конечные результаты по каждому тематическому приоритету, соответствующие показатели конечных результатов и распределение затрат, в том числе на мероприятия по достижению ЦУР. В соответствии с отзывами, полученными от консультативных групп, в проекте </w:t>
      </w:r>
      <w:r w:rsidR="00D35DA9" w:rsidRPr="00597A74">
        <w:rPr>
          <w:lang w:val="ru-RU"/>
        </w:rPr>
        <w:t xml:space="preserve">Плана </w:t>
      </w:r>
      <w:r w:rsidRPr="00597A74">
        <w:rPr>
          <w:lang w:val="ru-RU"/>
        </w:rPr>
        <w:t xml:space="preserve">также приведен обзор намеченных результатов деятельности и услуг Секторов и их распределение по пяти тематическим приоритетам. </w:t>
      </w:r>
      <w:r w:rsidR="00D35DA9" w:rsidRPr="00597A74">
        <w:rPr>
          <w:lang w:val="ru-RU"/>
        </w:rPr>
        <w:t xml:space="preserve">План </w:t>
      </w:r>
      <w:r w:rsidRPr="00597A74">
        <w:rPr>
          <w:lang w:val="ru-RU"/>
        </w:rPr>
        <w:t xml:space="preserve">будет пересмотрен и усовершенствован с целью предоставления дополнительной информации об </w:t>
      </w:r>
      <w:r w:rsidR="00D35DA9" w:rsidRPr="00597A74">
        <w:rPr>
          <w:lang w:val="ru-RU"/>
        </w:rPr>
        <w:t xml:space="preserve">Оперативных </w:t>
      </w:r>
      <w:r w:rsidRPr="00597A74">
        <w:rPr>
          <w:lang w:val="ru-RU"/>
        </w:rPr>
        <w:t>планах каждого Сектора.</w:t>
      </w:r>
    </w:p>
    <w:p w14:paraId="066C533C" w14:textId="52B8AC3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9.2</w:t>
      </w:r>
      <w:r w:rsidRPr="00597A74">
        <w:rPr>
          <w:lang w:val="ru-RU"/>
        </w:rPr>
        <w:tab/>
        <w:t>Советники приветствуют проект четырехгодичного скользящего Оперативного плана 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2027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годы. Один из Советников дает высокую оценку новому формату и его ориентации на тематические приоритеты; другой Советник выражает мнение, что более полезной является ориентация на Сектора. Еще один Советник задает вопрос, носят ли намеченные результаты деятельности, указанные в проекте </w:t>
      </w:r>
      <w:r w:rsidR="00D35DA9" w:rsidRPr="00597A74">
        <w:rPr>
          <w:lang w:val="ru-RU"/>
        </w:rPr>
        <w:t>Плана</w:t>
      </w:r>
      <w:r w:rsidRPr="00597A74">
        <w:rPr>
          <w:lang w:val="ru-RU"/>
        </w:rPr>
        <w:t>, межсекторальный характер и полностью ли они отражают текущую деятельность каждого Сектора. Он рекомендует секретариату избегать ненужного дублирования намеченных результатов деятельности.</w:t>
      </w:r>
    </w:p>
    <w:p w14:paraId="04C1D91A" w14:textId="5187BDC3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9.3</w:t>
      </w:r>
      <w:r w:rsidRPr="00597A74">
        <w:rPr>
          <w:lang w:val="ru-RU"/>
        </w:rPr>
        <w:tab/>
        <w:t>Некоторые Советники высказываются в поддержку выделения дополнительных средств на виды деятельности, направленные на сокращение цифрового разрыва, особенно в НРС, а один из Советников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– за выделение дополнительных ресурсов на мероприятия, направленные на достижение ЦУР. Другой Советник указывает, что необходима дополнительная информация о распределении ресурсов в среднесрочной перспективе для обоснования реализации Стратегического плана Союза.</w:t>
      </w:r>
    </w:p>
    <w:p w14:paraId="1BB265AE" w14:textId="5C27F20D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9.4</w:t>
      </w:r>
      <w:r w:rsidRPr="00597A74">
        <w:rPr>
          <w:lang w:val="ru-RU"/>
        </w:rPr>
        <w:tab/>
        <w:t>Один из Советников задает вопрос, в каких обстоятельствах секретариату может понадобиться проявить гибкость, о которой говорится в п</w:t>
      </w:r>
      <w:r w:rsidR="00134A23" w:rsidRPr="00597A74">
        <w:rPr>
          <w:lang w:val="ru-RU"/>
        </w:rPr>
        <w:t>ункте </w:t>
      </w:r>
      <w:r w:rsidRPr="00597A74">
        <w:rPr>
          <w:lang w:val="ru-RU"/>
        </w:rPr>
        <w:t xml:space="preserve">2 раздела </w:t>
      </w:r>
      <w:r w:rsidRPr="00597A74">
        <w:rPr>
          <w:i/>
          <w:iCs/>
          <w:lang w:val="ru-RU"/>
        </w:rPr>
        <w:t>решает</w:t>
      </w:r>
      <w:r w:rsidRPr="00597A74">
        <w:rPr>
          <w:lang w:val="ru-RU"/>
        </w:rPr>
        <w:t xml:space="preserve"> проекта </w:t>
      </w:r>
      <w:r w:rsidR="00134A23" w:rsidRPr="00597A74">
        <w:rPr>
          <w:lang w:val="ru-RU"/>
        </w:rPr>
        <w:t>Резолюции</w:t>
      </w:r>
      <w:r w:rsidRPr="00597A74">
        <w:rPr>
          <w:lang w:val="ru-RU"/>
        </w:rPr>
        <w:t>, содержащегося в Приложении А; другой Советник подчеркивает, что секретариат должен информировать Совет о любых существенных изменениях, внесенных в этом контексте.</w:t>
      </w:r>
    </w:p>
    <w:p w14:paraId="25F396A2" w14:textId="571557CC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9.5</w:t>
      </w:r>
      <w:r w:rsidRPr="00597A74">
        <w:rPr>
          <w:lang w:val="ru-RU"/>
        </w:rPr>
        <w:tab/>
        <w:t xml:space="preserve">Некоторые Советники рекомендуют секретариату представить в проекте </w:t>
      </w:r>
      <w:r w:rsidR="00D35DA9" w:rsidRPr="00597A74">
        <w:rPr>
          <w:lang w:val="ru-RU"/>
        </w:rPr>
        <w:t xml:space="preserve">Плана </w:t>
      </w:r>
      <w:r w:rsidRPr="00597A74">
        <w:rPr>
          <w:lang w:val="ru-RU"/>
        </w:rPr>
        <w:t xml:space="preserve">обзор порядка согласования ЦУР с решениями, принятыми на Форуме ВВУИО 2022 года, а один из Советников выражает обеспокоенность в связи тем, что в проекте </w:t>
      </w:r>
      <w:r w:rsidR="00D35DA9" w:rsidRPr="00597A74">
        <w:rPr>
          <w:lang w:val="ru-RU"/>
        </w:rPr>
        <w:t xml:space="preserve">Плана </w:t>
      </w:r>
      <w:r w:rsidRPr="00597A74">
        <w:rPr>
          <w:lang w:val="ru-RU"/>
        </w:rPr>
        <w:t>выделено недостаточно ресурсов для покрытия затрат на все предстоящие виды деятельности, связанные с ВВУИО.</w:t>
      </w:r>
    </w:p>
    <w:p w14:paraId="0CE69734" w14:textId="58228F9A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9.6</w:t>
      </w:r>
      <w:r w:rsidRPr="00597A74">
        <w:rPr>
          <w:lang w:val="ru-RU"/>
        </w:rPr>
        <w:tab/>
        <w:t>Еще один Советник призывает секретариат изыскать дополнительные возможности для реализации горизонтального сотрудничества с существующими структурами Организации Объединенных Наций, а на региональном уровне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 xml:space="preserve">– со страновыми группами Организации Объединенных Наций и определить в проекте </w:t>
      </w:r>
      <w:r w:rsidR="00D35DA9" w:rsidRPr="00597A74">
        <w:rPr>
          <w:lang w:val="ru-RU"/>
        </w:rPr>
        <w:t>Плана</w:t>
      </w:r>
      <w:r w:rsidRPr="00597A74">
        <w:rPr>
          <w:lang w:val="ru-RU"/>
        </w:rPr>
        <w:t xml:space="preserve">, какие именно страны считаются приоритетными для проведения мероприятий в отношении каждой ЦУР. Он также призывает секретариат принять во внимание аспекты управления операционными рисками для всех видов деятельности, разработать подход к отчетности по оперативной деятельности, аналогичный подходу, который использовался для Кигалийского плана действий, и использовать уроки, извлеченные из реализации предыдущих </w:t>
      </w:r>
      <w:r w:rsidR="00D35DA9" w:rsidRPr="00597A74">
        <w:rPr>
          <w:lang w:val="ru-RU"/>
        </w:rPr>
        <w:t xml:space="preserve">Оперативных </w:t>
      </w:r>
      <w:r w:rsidRPr="00597A74">
        <w:rPr>
          <w:lang w:val="ru-RU"/>
        </w:rPr>
        <w:t>планов. В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завершение некоторые Советники призывают секретариат разработать соответствующую систему оценки воздействия с ключевыми показателями воздействия для всех мероприятий, в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том числе для региональных и зональных отделений.</w:t>
      </w:r>
    </w:p>
    <w:p w14:paraId="05434AE9" w14:textId="1AF0AAAA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9.7</w:t>
      </w:r>
      <w:r w:rsidRPr="00597A74">
        <w:rPr>
          <w:lang w:val="ru-RU"/>
        </w:rPr>
        <w:tab/>
        <w:t xml:space="preserve">Руководитель FRMD приветствует выдвинутые предложения. Отвечая на вопросы Советников, он разъясняет, что термин "намеченные результаты деятельности", используемый в проектах </w:t>
      </w:r>
      <w:r w:rsidR="00D35DA9" w:rsidRPr="00597A74">
        <w:rPr>
          <w:lang w:val="ru-RU"/>
        </w:rPr>
        <w:t>Планов</w:t>
      </w:r>
      <w:r w:rsidRPr="00597A74">
        <w:rPr>
          <w:lang w:val="ru-RU"/>
        </w:rPr>
        <w:t>, относится к продуктам и услугам, предоставляемым каждым Сектором, в то время как термин "конечные результаты", используемый в Резолюции 71 (Пересм. Бухарест, 2022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г.), относится к ожидаемым результатам по каждому тематическому приоритету. Он также </w:t>
      </w:r>
      <w:r w:rsidRPr="00597A74">
        <w:rPr>
          <w:lang w:val="ru-RU"/>
        </w:rPr>
        <w:lastRenderedPageBreak/>
        <w:t>подтверждает, что региональные инициативы, хотя они и не упоминаются непосредственно, включены в запланированные оперативные виды деятельности. Отвечая на замечания по поводу распределения ресурсов, он указывает, что все затраты были распределены в соответствии с проектом бюджета на 2024 год и Решением 535 (C05, последнее изменение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 xml:space="preserve">C14) о методике распределения затрат. Время сотрудников будет соответствующим образом распределено по каждому намеченному результату деятельности или ЦУР. В проект </w:t>
      </w:r>
      <w:r w:rsidR="00D35DA9" w:rsidRPr="00597A74">
        <w:rPr>
          <w:lang w:val="ru-RU"/>
        </w:rPr>
        <w:t xml:space="preserve">Плана </w:t>
      </w:r>
      <w:r w:rsidRPr="00597A74">
        <w:rPr>
          <w:lang w:val="ru-RU"/>
        </w:rPr>
        <w:t xml:space="preserve">будут внесены дополнительные изменения в соответствии с высказанными замечаниями и по мере развития приоритетов Союза, а гибкость, предоставленная секретариату в проекте </w:t>
      </w:r>
      <w:r w:rsidR="00D35DA9" w:rsidRPr="00597A74">
        <w:rPr>
          <w:lang w:val="ru-RU"/>
        </w:rPr>
        <w:t>Резолюции</w:t>
      </w:r>
      <w:r w:rsidRPr="00597A74">
        <w:rPr>
          <w:lang w:val="ru-RU"/>
        </w:rPr>
        <w:t>, позволит ему адаптироваться к меняющимся потребностям по ходу реализации мероприятий.</w:t>
      </w:r>
    </w:p>
    <w:p w14:paraId="019D75C9" w14:textId="058535F8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9.8</w:t>
      </w:r>
      <w:r w:rsidRPr="00597A74">
        <w:rPr>
          <w:lang w:val="ru-RU"/>
        </w:rPr>
        <w:tab/>
        <w:t>Заместитель Генерального секретаря добавляет, что секретариат подготовит информационный документ, увязывающий ЦУР с решениями ВВУИО (см.</w:t>
      </w:r>
      <w:r w:rsidR="00420440" w:rsidRPr="00597A74">
        <w:rPr>
          <w:lang w:val="ru-RU"/>
        </w:rPr>
        <w:t> </w:t>
      </w:r>
      <w:r w:rsidRPr="00597A74">
        <w:rPr>
          <w:bCs/>
          <w:lang w:val="ru-RU"/>
        </w:rPr>
        <w:t>Документ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C23/INF/17).</w:t>
      </w:r>
    </w:p>
    <w:p w14:paraId="10BC48C9" w14:textId="50979A3F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9.9</w:t>
      </w:r>
      <w:r w:rsidRPr="00597A74">
        <w:rPr>
          <w:lang w:val="ru-RU"/>
        </w:rPr>
        <w:tab/>
        <w:t xml:space="preserve">Совет </w:t>
      </w:r>
      <w:r w:rsidRPr="00597A74">
        <w:rPr>
          <w:b/>
          <w:bCs/>
          <w:lang w:val="ru-RU"/>
        </w:rPr>
        <w:t>утверждает</w:t>
      </w:r>
      <w:r w:rsidRPr="00597A74">
        <w:rPr>
          <w:lang w:val="ru-RU"/>
        </w:rPr>
        <w:t xml:space="preserve"> проект четырехгодичного скользящего Оперативного плана Союза 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2027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 xml:space="preserve">годы и </w:t>
      </w:r>
      <w:r w:rsidRPr="00597A74">
        <w:rPr>
          <w:b/>
          <w:bCs/>
          <w:lang w:val="ru-RU"/>
        </w:rPr>
        <w:t>принимает</w:t>
      </w:r>
      <w:r w:rsidRPr="00597A74">
        <w:rPr>
          <w:lang w:val="ru-RU"/>
        </w:rPr>
        <w:t xml:space="preserve"> </w:t>
      </w:r>
      <w:r w:rsidR="00D35DA9" w:rsidRPr="00597A74">
        <w:rPr>
          <w:lang w:val="ru-RU"/>
        </w:rPr>
        <w:t>Резолюцию</w:t>
      </w:r>
      <w:r w:rsidRPr="00597A74">
        <w:rPr>
          <w:lang w:val="ru-RU"/>
        </w:rPr>
        <w:t>, содержащуюся в Приложении A к Документу C23/28.</w:t>
      </w:r>
    </w:p>
    <w:p w14:paraId="2240F34E" w14:textId="40EAFF2E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sz w:val="24"/>
          <w:szCs w:val="18"/>
          <w:lang w:val="ru-RU"/>
        </w:rPr>
        <w:t>10</w:t>
      </w:r>
      <w:r w:rsidRPr="00597A74">
        <w:rPr>
          <w:sz w:val="24"/>
          <w:szCs w:val="18"/>
          <w:lang w:val="ru-RU"/>
        </w:rPr>
        <w:tab/>
        <w:t xml:space="preserve">Проект двухгодичного бюджета Союза на </w:t>
      </w:r>
      <w:proofErr w:type="gramStart"/>
      <w:r w:rsidRPr="00597A74">
        <w:rPr>
          <w:sz w:val="24"/>
          <w:szCs w:val="18"/>
          <w:lang w:val="ru-RU"/>
        </w:rPr>
        <w:t>2024</w:t>
      </w:r>
      <w:r w:rsidR="00420440" w:rsidRPr="00597A74">
        <w:rPr>
          <w:sz w:val="24"/>
          <w:szCs w:val="18"/>
          <w:lang w:val="ru-RU"/>
        </w:rPr>
        <w:t>−</w:t>
      </w:r>
      <w:r w:rsidRPr="00597A74">
        <w:rPr>
          <w:sz w:val="24"/>
          <w:szCs w:val="18"/>
          <w:lang w:val="ru-RU"/>
        </w:rPr>
        <w:t>2025</w:t>
      </w:r>
      <w:proofErr w:type="gramEnd"/>
      <w:r w:rsidRPr="00597A74">
        <w:rPr>
          <w:sz w:val="24"/>
          <w:szCs w:val="18"/>
          <w:lang w:val="ru-RU"/>
        </w:rPr>
        <w:t> годы (</w:t>
      </w:r>
      <w:r w:rsidRPr="00597A74">
        <w:rPr>
          <w:bCs/>
          <w:sz w:val="24"/>
          <w:szCs w:val="18"/>
          <w:lang w:val="ru-RU"/>
        </w:rPr>
        <w:t>Документ </w:t>
      </w:r>
      <w:hyperlink r:id="rId24" w:history="1">
        <w:r w:rsidRPr="00597A74">
          <w:rPr>
            <w:rStyle w:val="Hyperlink"/>
            <w:bCs/>
            <w:sz w:val="24"/>
            <w:szCs w:val="18"/>
            <w:lang w:val="ru-RU"/>
          </w:rPr>
          <w:t>C23/60</w:t>
        </w:r>
      </w:hyperlink>
      <w:r w:rsidRPr="00597A74">
        <w:rPr>
          <w:sz w:val="24"/>
          <w:szCs w:val="18"/>
          <w:lang w:val="ru-RU"/>
        </w:rPr>
        <w:t>)</w:t>
      </w:r>
    </w:p>
    <w:p w14:paraId="30C2C3BA" w14:textId="7A97D05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10.1</w:t>
      </w:r>
      <w:r w:rsidRPr="00597A74">
        <w:rPr>
          <w:lang w:val="ru-RU"/>
        </w:rPr>
        <w:tab/>
        <w:t>Руководитель FRMD представляет Документ C23/60, в котором изложен проект двухгодичного бюджета на 2024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2025 годы. Хотя проект бюджета сбалансирован и предполагает нулевой номинальный рост, он отмечает, что с учетом роста стоимости жизни бюджеты ряда других базирующихся в Женеве международных организаций недавно были увеличены на 2</w:t>
      </w:r>
      <w:r w:rsidR="00134A23" w:rsidRPr="00597A74">
        <w:rPr>
          <w:lang w:val="ru-RU"/>
        </w:rPr>
        <w:t>−</w:t>
      </w:r>
      <w:r w:rsidRPr="00597A74">
        <w:rPr>
          <w:lang w:val="ru-RU"/>
        </w:rPr>
        <w:t>20%.</w:t>
      </w:r>
    </w:p>
    <w:p w14:paraId="3ADB843C" w14:textId="2D20A44D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10.2</w:t>
      </w:r>
      <w:r w:rsidRPr="00597A74">
        <w:rPr>
          <w:lang w:val="ru-RU"/>
        </w:rPr>
        <w:tab/>
        <w:t>Два Советника высоко оценивают сбалансированный проект бюджета, в частности меры по достижению нулевого номинального роста и покрытию расходов на непредвиденные запросы за счет оптимизации ресурсов. Они призывают руководство МСЭ продолжить работу по мобилизации ресурсов и внедрению других инноваций.</w:t>
      </w:r>
    </w:p>
    <w:p w14:paraId="126CC2D6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10.3</w:t>
      </w:r>
      <w:r w:rsidRPr="00597A74">
        <w:rPr>
          <w:lang w:val="ru-RU"/>
        </w:rPr>
        <w:tab/>
        <w:t>Председатель говорит, что обсуждение проекта бюджета будет продолжено в Постоянном комитете по администрированию и управлению.</w:t>
      </w:r>
    </w:p>
    <w:p w14:paraId="717B3D0B" w14:textId="0FED61E9" w:rsidR="000C7A09" w:rsidRPr="00597A74" w:rsidRDefault="000C7A09" w:rsidP="000C7A09">
      <w:pPr>
        <w:pStyle w:val="Heading1"/>
        <w:rPr>
          <w:sz w:val="24"/>
          <w:szCs w:val="18"/>
          <w:lang w:val="ru-RU"/>
        </w:rPr>
      </w:pPr>
      <w:r w:rsidRPr="00597A74">
        <w:rPr>
          <w:sz w:val="24"/>
          <w:szCs w:val="18"/>
          <w:lang w:val="ru-RU"/>
        </w:rPr>
        <w:t>11</w:t>
      </w:r>
      <w:r w:rsidRPr="00597A74">
        <w:rPr>
          <w:sz w:val="24"/>
          <w:szCs w:val="18"/>
          <w:lang w:val="ru-RU"/>
        </w:rPr>
        <w:tab/>
        <w:t>Ускорение выполнения Стратегического плана МСЭ на 2024–2027 годы и дорожная карта трансформации для достижения организационной эффективности (</w:t>
      </w:r>
      <w:r w:rsidRPr="00597A74">
        <w:rPr>
          <w:bCs/>
          <w:sz w:val="24"/>
          <w:szCs w:val="18"/>
          <w:lang w:val="ru-RU"/>
        </w:rPr>
        <w:t>Документы </w:t>
      </w:r>
      <w:hyperlink r:id="rId25" w:history="1">
        <w:r w:rsidRPr="00597A74">
          <w:rPr>
            <w:rStyle w:val="Hyperlink"/>
            <w:bCs/>
            <w:sz w:val="24"/>
            <w:szCs w:val="18"/>
            <w:lang w:val="ru-RU"/>
          </w:rPr>
          <w:t>C23/36</w:t>
        </w:r>
      </w:hyperlink>
      <w:r w:rsidRPr="00597A74">
        <w:rPr>
          <w:sz w:val="24"/>
          <w:szCs w:val="18"/>
          <w:lang w:val="ru-RU"/>
        </w:rPr>
        <w:t xml:space="preserve">, </w:t>
      </w:r>
      <w:hyperlink r:id="rId26" w:history="1">
        <w:r w:rsidRPr="00597A74">
          <w:rPr>
            <w:rStyle w:val="Hyperlink"/>
            <w:bCs/>
            <w:sz w:val="24"/>
            <w:szCs w:val="18"/>
            <w:lang w:val="ru-RU"/>
          </w:rPr>
          <w:t>C23/52</w:t>
        </w:r>
      </w:hyperlink>
      <w:r w:rsidRPr="00597A74">
        <w:rPr>
          <w:sz w:val="24"/>
          <w:szCs w:val="18"/>
          <w:lang w:val="ru-RU"/>
        </w:rPr>
        <w:t xml:space="preserve">, </w:t>
      </w:r>
      <w:hyperlink r:id="rId27" w:history="1">
        <w:r w:rsidRPr="00597A74">
          <w:rPr>
            <w:rStyle w:val="Hyperlink"/>
            <w:bCs/>
            <w:sz w:val="24"/>
            <w:szCs w:val="18"/>
            <w:lang w:val="ru-RU"/>
          </w:rPr>
          <w:t>C23/72(Rev.1) + Corr.1</w:t>
        </w:r>
      </w:hyperlink>
      <w:r w:rsidRPr="00597A74">
        <w:rPr>
          <w:sz w:val="24"/>
          <w:szCs w:val="18"/>
          <w:lang w:val="ru-RU"/>
        </w:rPr>
        <w:t xml:space="preserve"> и</w:t>
      </w:r>
      <w:r w:rsidR="00593933" w:rsidRPr="00597A74">
        <w:rPr>
          <w:sz w:val="24"/>
          <w:szCs w:val="18"/>
          <w:lang w:val="ru-RU"/>
        </w:rPr>
        <w:t> </w:t>
      </w:r>
      <w:hyperlink r:id="rId28" w:history="1">
        <w:r w:rsidRPr="00597A74">
          <w:rPr>
            <w:rStyle w:val="Hyperlink"/>
            <w:bCs/>
            <w:sz w:val="24"/>
            <w:szCs w:val="18"/>
            <w:lang w:val="ru-RU"/>
          </w:rPr>
          <w:t>C23/90</w:t>
        </w:r>
      </w:hyperlink>
      <w:r w:rsidRPr="00597A74">
        <w:rPr>
          <w:sz w:val="24"/>
          <w:szCs w:val="18"/>
          <w:lang w:val="ru-RU"/>
        </w:rPr>
        <w:t>)</w:t>
      </w:r>
    </w:p>
    <w:p w14:paraId="1FE1BCC5" w14:textId="4C84FAB1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11.1</w:t>
      </w:r>
      <w:r w:rsidRPr="00597A74">
        <w:rPr>
          <w:lang w:val="ru-RU"/>
        </w:rPr>
        <w:tab/>
        <w:t xml:space="preserve">Представитель </w:t>
      </w:r>
      <w:r w:rsidR="00C750C2" w:rsidRPr="00597A74">
        <w:rPr>
          <w:lang w:val="ru-RU"/>
        </w:rPr>
        <w:t xml:space="preserve">Канцелярии Генерального секретаря </w:t>
      </w:r>
      <w:r w:rsidRPr="00597A74">
        <w:rPr>
          <w:lang w:val="ru-RU"/>
        </w:rPr>
        <w:t>представляет Документ C23/36, в котором излагаются меры, принятые для ускорения достижения целей обеспечения универсальной возможности установления соединений и устойчивой цифровой трансформации. По итогам консультаций и выездного совещания высокого уровня было принято решение о том, что в период 2023</w:t>
      </w:r>
      <w:r w:rsidR="00420440" w:rsidRPr="00597A74">
        <w:rPr>
          <w:lang w:val="ru-RU"/>
        </w:rPr>
        <w:t>−</w:t>
      </w:r>
      <w:r w:rsidRPr="00597A74">
        <w:rPr>
          <w:lang w:val="ru-RU"/>
        </w:rPr>
        <w:t>2024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годов внешние усилия будут сосредоточены на идейном лидерстве, стратегических партнерствах и привлечении членов, а внутренние – на повышении организационной эффективности.</w:t>
      </w:r>
    </w:p>
    <w:p w14:paraId="32138917" w14:textId="77777777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11.2</w:t>
      </w:r>
      <w:r w:rsidRPr="00597A74">
        <w:rPr>
          <w:lang w:val="ru-RU"/>
        </w:rPr>
        <w:tab/>
        <w:t>Генеральный секретарь представляет Документ C23/52, в котором изложены основные элементы дорожной карты трансформации для достижения организационной эффективности. Цель предлагаемой дорожной карты заключается не в изменении структуры МСЭ, а в совершенствовании и модернизации деятельности с целью обеспечения финансовой стабильности и качества услуг.</w:t>
      </w:r>
    </w:p>
    <w:p w14:paraId="327F01AF" w14:textId="5813D1DF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lastRenderedPageBreak/>
        <w:t>11.3</w:t>
      </w:r>
      <w:r w:rsidRPr="00597A74">
        <w:rPr>
          <w:lang w:val="ru-RU"/>
        </w:rPr>
        <w:tab/>
        <w:t>Заместитель Генерального секретаря представляет обзор структуры Документа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C23/52. В соответствии с рекомендациями, полученными от Внешнего аудитора, секретариат предлагает создать небольшую группу с ограниченным сроком деятельности, работу которой возглавит сотрудник по вопросам трансформации для контроля за реализацией предложенной дорожной карты трансформации с акцентом на реформирование служб поддержки. Сектора будут играть ключевую роль в определении функциональных требований к этим службам. К дорожной карте трансформации будет прилагаться подробн</w:t>
      </w:r>
      <w:r w:rsidR="00C750C2" w:rsidRPr="00597A74">
        <w:rPr>
          <w:lang w:val="ru-RU"/>
        </w:rPr>
        <w:t>ая</w:t>
      </w:r>
      <w:r w:rsidRPr="00597A74">
        <w:rPr>
          <w:lang w:val="ru-RU"/>
        </w:rPr>
        <w:t xml:space="preserve"> </w:t>
      </w:r>
      <w:r w:rsidR="00C750C2" w:rsidRPr="00597A74">
        <w:rPr>
          <w:lang w:val="ru-RU"/>
        </w:rPr>
        <w:t xml:space="preserve">программа </w:t>
      </w:r>
      <w:r w:rsidRPr="00597A74">
        <w:rPr>
          <w:lang w:val="ru-RU"/>
        </w:rPr>
        <w:t>управления изменениями, предусматривающ</w:t>
      </w:r>
      <w:r w:rsidR="00C750C2" w:rsidRPr="00597A74">
        <w:rPr>
          <w:lang w:val="ru-RU"/>
        </w:rPr>
        <w:t>ая</w:t>
      </w:r>
      <w:r w:rsidRPr="00597A74">
        <w:rPr>
          <w:lang w:val="ru-RU"/>
        </w:rPr>
        <w:t xml:space="preserve"> вовлечение персонала.</w:t>
      </w:r>
    </w:p>
    <w:p w14:paraId="4D70779B" w14:textId="427641A2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11.4</w:t>
      </w:r>
      <w:r w:rsidRPr="00597A74">
        <w:rPr>
          <w:lang w:val="ru-RU"/>
        </w:rPr>
        <w:tab/>
        <w:t>Советник от Кении представляет Документ C23/72(Rev.1)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+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Corr.1</w:t>
      </w:r>
      <w:r w:rsidR="00420440" w:rsidRPr="00597A74">
        <w:rPr>
          <w:lang w:val="ru-RU"/>
        </w:rPr>
        <w:t> </w:t>
      </w:r>
      <w:r w:rsidRPr="00597A74">
        <w:rPr>
          <w:lang w:val="ru-RU"/>
        </w:rPr>
        <w:t>– вклад группы стран, поддержанный 13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государствами, в котором Совету предлагается поручить Рабочей группе Совета по финансовым и людским ресурсам продолжить разработку концепции "Единый МСЭ" и разработать KPI для достижения организационной эффективности.</w:t>
      </w:r>
    </w:p>
    <w:p w14:paraId="6EA957C3" w14:textId="3CF56DD3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11.5</w:t>
      </w:r>
      <w:r w:rsidRPr="00597A74">
        <w:rPr>
          <w:lang w:val="ru-RU"/>
        </w:rPr>
        <w:tab/>
        <w:t>Наблюдатель от Российской Федерации представляет Документ С23/90 и указывает, что ни в Резолюции 71 (Пересм. Бухарест, 2022 г.), ни в Решении 5 (Пересм. Бухарест, 2022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г.) Полномочной конференции не содержится поручений секретариату проводить мероприятия в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области трансформации или организационной эффективности. Он рекомендует Совету провести консультации со всеми Государствами-Членами по предложениям, содержащимся в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Документах C23/36 и C23/52, и предоставить дополнительную информацию о том, как именно будут финансироваться такие виды деятельности.</w:t>
      </w:r>
    </w:p>
    <w:p w14:paraId="7198C79A" w14:textId="7FC757BE" w:rsidR="000C7A09" w:rsidRPr="00597A74" w:rsidRDefault="000C7A09" w:rsidP="000C7A09">
      <w:pPr>
        <w:rPr>
          <w:lang w:val="ru-RU"/>
        </w:rPr>
      </w:pPr>
      <w:r w:rsidRPr="00597A74">
        <w:rPr>
          <w:lang w:val="ru-RU"/>
        </w:rPr>
        <w:t>11.6</w:t>
      </w:r>
      <w:r w:rsidRPr="00597A74">
        <w:rPr>
          <w:lang w:val="ru-RU"/>
        </w:rPr>
        <w:tab/>
        <w:t>Председатель говорит, что обсуждение этого вопроса будет продолжено на</w:t>
      </w:r>
      <w:r w:rsidR="00134A23" w:rsidRPr="00597A74">
        <w:rPr>
          <w:lang w:val="ru-RU"/>
        </w:rPr>
        <w:t> </w:t>
      </w:r>
      <w:r w:rsidRPr="00597A74">
        <w:rPr>
          <w:lang w:val="ru-RU"/>
        </w:rPr>
        <w:t>следующем пленарном заседании.</w:t>
      </w:r>
    </w:p>
    <w:p w14:paraId="3E404889" w14:textId="6341FABD" w:rsidR="00365587" w:rsidRDefault="00365587" w:rsidP="00F242F6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597A74">
        <w:rPr>
          <w:rFonts w:asciiTheme="minorHAnsi" w:hAnsiTheme="minorHAnsi" w:cstheme="minorHAnsi"/>
          <w:szCs w:val="22"/>
          <w:lang w:val="ru-RU"/>
        </w:rPr>
        <w:t>Генеральный секретарь</w:t>
      </w:r>
      <w:r w:rsidRPr="00597A74">
        <w:rPr>
          <w:lang w:val="ru-RU"/>
        </w:rPr>
        <w:t>:</w:t>
      </w:r>
      <w:r w:rsidRPr="00597A74">
        <w:rPr>
          <w:lang w:val="ru-RU"/>
        </w:rPr>
        <w:tab/>
      </w:r>
      <w:r w:rsidRPr="00597A74">
        <w:rPr>
          <w:rFonts w:asciiTheme="minorHAnsi" w:hAnsiTheme="minorHAnsi" w:cstheme="minorHAnsi"/>
          <w:szCs w:val="22"/>
          <w:lang w:val="ru-RU"/>
        </w:rPr>
        <w:t>Председатель</w:t>
      </w:r>
      <w:r w:rsidRPr="00597A74">
        <w:rPr>
          <w:lang w:val="ru-RU"/>
        </w:rPr>
        <w:t>:</w:t>
      </w:r>
      <w:r w:rsidRPr="00597A74">
        <w:rPr>
          <w:lang w:val="ru-RU"/>
        </w:rPr>
        <w:br/>
      </w:r>
      <w:r w:rsidR="000C7A09" w:rsidRPr="00597A74">
        <w:rPr>
          <w:lang w:val="ru-RU"/>
        </w:rPr>
        <w:t>Д. БОГДАН-МАРТИН</w:t>
      </w:r>
      <w:r w:rsidRPr="00597A74">
        <w:rPr>
          <w:lang w:val="ru-RU"/>
        </w:rPr>
        <w:tab/>
      </w:r>
      <w:r w:rsidR="000C7A09" w:rsidRPr="00597A74">
        <w:rPr>
          <w:lang w:val="ru-RU"/>
        </w:rPr>
        <w:t>С. МАРТИНЕС</w:t>
      </w:r>
    </w:p>
    <w:p w14:paraId="49D477C3" w14:textId="1BFF323F" w:rsidR="00FF3244" w:rsidRPr="00597A74" w:rsidRDefault="00FF3244" w:rsidP="00FF3244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jc w:val="center"/>
        <w:rPr>
          <w:lang w:val="ru-RU"/>
        </w:rPr>
      </w:pPr>
      <w:r>
        <w:rPr>
          <w:lang w:val="ru-RU"/>
        </w:rPr>
        <w:t>_________________________</w:t>
      </w:r>
    </w:p>
    <w:sectPr w:rsidR="00FF3244" w:rsidRPr="00597A74" w:rsidSect="00796BD3">
      <w:footerReference w:type="default" r:id="rId29"/>
      <w:headerReference w:type="first" r:id="rId30"/>
      <w:footerReference w:type="first" r:id="rId3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5A75" w14:textId="77777777" w:rsidR="00C814A0" w:rsidRDefault="00C814A0">
      <w:r>
        <w:separator/>
      </w:r>
    </w:p>
  </w:endnote>
  <w:endnote w:type="continuationSeparator" w:id="0">
    <w:p w14:paraId="796349F7" w14:textId="77777777" w:rsidR="00C814A0" w:rsidRDefault="00C8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DB6E0E0" w14:textId="77777777" w:rsidTr="00E31DCE">
      <w:trPr>
        <w:jc w:val="center"/>
      </w:trPr>
      <w:tc>
        <w:tcPr>
          <w:tcW w:w="1803" w:type="dxa"/>
          <w:vAlign w:val="center"/>
        </w:tcPr>
        <w:p w14:paraId="1394F2F0" w14:textId="4A7F3884" w:rsidR="00672F8A" w:rsidRPr="00B37B98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E147EF" w:rsidRPr="00E147EF">
            <w:rPr>
              <w:noProof/>
            </w:rPr>
            <w:t>526722</w:t>
          </w:r>
        </w:p>
      </w:tc>
      <w:tc>
        <w:tcPr>
          <w:tcW w:w="8261" w:type="dxa"/>
        </w:tcPr>
        <w:p w14:paraId="5438AFA3" w14:textId="510B148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10</w:t>
          </w:r>
          <w:r w:rsidR="00E147EF">
            <w:rPr>
              <w:bCs/>
              <w:lang w:val="en-GB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DDB0F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3C2A42" w14:textId="77777777" w:rsidTr="00E31DCE">
      <w:trPr>
        <w:jc w:val="center"/>
      </w:trPr>
      <w:tc>
        <w:tcPr>
          <w:tcW w:w="1803" w:type="dxa"/>
          <w:vAlign w:val="center"/>
        </w:tcPr>
        <w:p w14:paraId="072EA824" w14:textId="77777777" w:rsidR="00672F8A" w:rsidRDefault="008E104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3F5293F" w14:textId="7ED747D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10</w:t>
          </w:r>
          <w:r w:rsidR="00E147EF">
            <w:rPr>
              <w:bCs/>
              <w:lang w:val="en-GB"/>
            </w:rPr>
            <w:t>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2DEDB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C5C4" w14:textId="77777777" w:rsidR="00C814A0" w:rsidRDefault="00C814A0">
      <w:r>
        <w:t>____________________</w:t>
      </w:r>
    </w:p>
  </w:footnote>
  <w:footnote w:type="continuationSeparator" w:id="0">
    <w:p w14:paraId="51267964" w14:textId="77777777" w:rsidR="00C814A0" w:rsidRDefault="00C8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ACCDA8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2C4F0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280DB19D" wp14:editId="3063A808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4484B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A3E47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8001A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0FE966D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20622" wp14:editId="6C222E4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F67B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6ED1"/>
    <w:multiLevelType w:val="hybridMultilevel"/>
    <w:tmpl w:val="22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3987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41"/>
    <w:rsid w:val="00005BE0"/>
    <w:rsid w:val="0002183E"/>
    <w:rsid w:val="000569B4"/>
    <w:rsid w:val="00061515"/>
    <w:rsid w:val="00074CA2"/>
    <w:rsid w:val="00080E82"/>
    <w:rsid w:val="000B2DE7"/>
    <w:rsid w:val="000C7A09"/>
    <w:rsid w:val="000E568E"/>
    <w:rsid w:val="000F6D34"/>
    <w:rsid w:val="00134A23"/>
    <w:rsid w:val="0014734F"/>
    <w:rsid w:val="0015710D"/>
    <w:rsid w:val="00163A32"/>
    <w:rsid w:val="00165D06"/>
    <w:rsid w:val="00192B41"/>
    <w:rsid w:val="001B4A41"/>
    <w:rsid w:val="001B7B09"/>
    <w:rsid w:val="001D1794"/>
    <w:rsid w:val="001E5D5D"/>
    <w:rsid w:val="001E6719"/>
    <w:rsid w:val="001E7F50"/>
    <w:rsid w:val="00225368"/>
    <w:rsid w:val="00227FF0"/>
    <w:rsid w:val="0026650E"/>
    <w:rsid w:val="00266D60"/>
    <w:rsid w:val="00291EB6"/>
    <w:rsid w:val="002B64D4"/>
    <w:rsid w:val="002D2F57"/>
    <w:rsid w:val="002D48C5"/>
    <w:rsid w:val="00311B1E"/>
    <w:rsid w:val="0033025A"/>
    <w:rsid w:val="003342E4"/>
    <w:rsid w:val="00365587"/>
    <w:rsid w:val="003A1CC0"/>
    <w:rsid w:val="003E1FAB"/>
    <w:rsid w:val="003E2F4B"/>
    <w:rsid w:val="003F099E"/>
    <w:rsid w:val="003F235E"/>
    <w:rsid w:val="004023E0"/>
    <w:rsid w:val="00403DD8"/>
    <w:rsid w:val="00420440"/>
    <w:rsid w:val="00442515"/>
    <w:rsid w:val="0045686C"/>
    <w:rsid w:val="00486017"/>
    <w:rsid w:val="004918C4"/>
    <w:rsid w:val="00497703"/>
    <w:rsid w:val="004A0374"/>
    <w:rsid w:val="004A45B5"/>
    <w:rsid w:val="004D0129"/>
    <w:rsid w:val="00511F28"/>
    <w:rsid w:val="00555DB5"/>
    <w:rsid w:val="00561899"/>
    <w:rsid w:val="00564C03"/>
    <w:rsid w:val="00593933"/>
    <w:rsid w:val="00597A74"/>
    <w:rsid w:val="005A5819"/>
    <w:rsid w:val="005A64D5"/>
    <w:rsid w:val="005B3DEC"/>
    <w:rsid w:val="005F57B5"/>
    <w:rsid w:val="00601994"/>
    <w:rsid w:val="00613571"/>
    <w:rsid w:val="00671A58"/>
    <w:rsid w:val="00672F8A"/>
    <w:rsid w:val="0068397A"/>
    <w:rsid w:val="006C26E8"/>
    <w:rsid w:val="006E2D42"/>
    <w:rsid w:val="006E5762"/>
    <w:rsid w:val="00703676"/>
    <w:rsid w:val="00707304"/>
    <w:rsid w:val="00732269"/>
    <w:rsid w:val="00762555"/>
    <w:rsid w:val="00776420"/>
    <w:rsid w:val="00785ABD"/>
    <w:rsid w:val="00796BD3"/>
    <w:rsid w:val="007A2DD4"/>
    <w:rsid w:val="007D38B5"/>
    <w:rsid w:val="007E7B36"/>
    <w:rsid w:val="007E7EA0"/>
    <w:rsid w:val="007F7429"/>
    <w:rsid w:val="00807255"/>
    <w:rsid w:val="0081023E"/>
    <w:rsid w:val="00814101"/>
    <w:rsid w:val="008173AA"/>
    <w:rsid w:val="00827967"/>
    <w:rsid w:val="00840A14"/>
    <w:rsid w:val="008B62B4"/>
    <w:rsid w:val="008D2B57"/>
    <w:rsid w:val="008D2D7B"/>
    <w:rsid w:val="008E0737"/>
    <w:rsid w:val="008E1048"/>
    <w:rsid w:val="008E6552"/>
    <w:rsid w:val="008F7C2C"/>
    <w:rsid w:val="00940E96"/>
    <w:rsid w:val="009B0BAE"/>
    <w:rsid w:val="009C1C89"/>
    <w:rsid w:val="009F3448"/>
    <w:rsid w:val="00A01CF9"/>
    <w:rsid w:val="00A029CE"/>
    <w:rsid w:val="00A55D3A"/>
    <w:rsid w:val="00A71773"/>
    <w:rsid w:val="00AE2C85"/>
    <w:rsid w:val="00B12A37"/>
    <w:rsid w:val="00B37B98"/>
    <w:rsid w:val="00B41837"/>
    <w:rsid w:val="00B63EF2"/>
    <w:rsid w:val="00B816B7"/>
    <w:rsid w:val="00BA7D89"/>
    <w:rsid w:val="00BB28F8"/>
    <w:rsid w:val="00BC0D39"/>
    <w:rsid w:val="00BC7BC0"/>
    <w:rsid w:val="00BD57B7"/>
    <w:rsid w:val="00BE63E2"/>
    <w:rsid w:val="00C54F6E"/>
    <w:rsid w:val="00C6305C"/>
    <w:rsid w:val="00C750C2"/>
    <w:rsid w:val="00C814A0"/>
    <w:rsid w:val="00CA7CCB"/>
    <w:rsid w:val="00CD2009"/>
    <w:rsid w:val="00CF629C"/>
    <w:rsid w:val="00D35DA9"/>
    <w:rsid w:val="00D92EEA"/>
    <w:rsid w:val="00DA5D4E"/>
    <w:rsid w:val="00DE3A4E"/>
    <w:rsid w:val="00E147EF"/>
    <w:rsid w:val="00E176BA"/>
    <w:rsid w:val="00E423EC"/>
    <w:rsid w:val="00E55121"/>
    <w:rsid w:val="00EB4FCB"/>
    <w:rsid w:val="00EC32E0"/>
    <w:rsid w:val="00EC69A6"/>
    <w:rsid w:val="00EC6BC5"/>
    <w:rsid w:val="00F005D1"/>
    <w:rsid w:val="00F04404"/>
    <w:rsid w:val="00F242F6"/>
    <w:rsid w:val="00F31E4B"/>
    <w:rsid w:val="00F35898"/>
    <w:rsid w:val="00F5225B"/>
    <w:rsid w:val="00F716B7"/>
    <w:rsid w:val="00FE5701"/>
    <w:rsid w:val="00FF32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A3BC"/>
  <w15:docId w15:val="{36FD5BB1-6408-4CB1-9B9A-49B0106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1357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655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5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52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814101"/>
  </w:style>
  <w:style w:type="paragraph" w:styleId="ListParagraph">
    <w:name w:val="List Paragraph"/>
    <w:basedOn w:val="Normal"/>
    <w:uiPriority w:val="34"/>
    <w:qFormat/>
    <w:rsid w:val="005F57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Revision">
    <w:name w:val="Revision"/>
    <w:hidden/>
    <w:uiPriority w:val="99"/>
    <w:semiHidden/>
    <w:rsid w:val="00FF324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C-0052/en" TargetMode="External"/><Relationship Id="rId18" Type="http://schemas.openxmlformats.org/officeDocument/2006/relationships/hyperlink" Target="https://www.itu.int/en/osg/Pages/Speeches.aspx?ItemID=17" TargetMode="External"/><Relationship Id="rId26" Type="http://schemas.openxmlformats.org/officeDocument/2006/relationships/hyperlink" Target="https://www.itu.int/md/S23-CL-C-0052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3-CL-230711-TD-0002/en" TargetMode="External"/><Relationship Id="rId7" Type="http://schemas.openxmlformats.org/officeDocument/2006/relationships/hyperlink" Target="https://www.itu.int/md/S23-CL-C-0001/en" TargetMode="External"/><Relationship Id="rId12" Type="http://schemas.openxmlformats.org/officeDocument/2006/relationships/hyperlink" Target="https://www.itu.int/md/S23-CL-C-0060/en" TargetMode="External"/><Relationship Id="rId17" Type="http://schemas.openxmlformats.org/officeDocument/2006/relationships/hyperlink" Target="https://council.itu.int/2023/en/news/speeches/video-message-ms-amina-mohammed-united-nations-deputy-secretary-general/" TargetMode="External"/><Relationship Id="rId25" Type="http://schemas.openxmlformats.org/officeDocument/2006/relationships/hyperlink" Target="https://www.itu.int/md/S23-CL-C-0036/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uncil.itu.int/2023/wp-content/uploads/sites/2/2023/08/C23-opening-speech-Cesar-Martinez-Chair-Council_en.pdf" TargetMode="External"/><Relationship Id="rId20" Type="http://schemas.openxmlformats.org/officeDocument/2006/relationships/hyperlink" Target="https://www.itu.int/md/S23-CL-230711-TD-0001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28/en" TargetMode="External"/><Relationship Id="rId24" Type="http://schemas.openxmlformats.org/officeDocument/2006/relationships/hyperlink" Target="https://www.itu.int/md/S23-CL-C-0060/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90/en" TargetMode="External"/><Relationship Id="rId23" Type="http://schemas.openxmlformats.org/officeDocument/2006/relationships/hyperlink" Target="https://www.itu.int/md/S23-CL-C-0028/en" TargetMode="External"/><Relationship Id="rId28" Type="http://schemas.openxmlformats.org/officeDocument/2006/relationships/hyperlink" Target="https://www.itu.int/md/S23-CL-C-0090/en" TargetMode="External"/><Relationship Id="rId10" Type="http://schemas.openxmlformats.org/officeDocument/2006/relationships/hyperlink" Target="https://www.itu.int/md/S23-CL-C-0035/en" TargetMode="External"/><Relationship Id="rId19" Type="http://schemas.openxmlformats.org/officeDocument/2006/relationships/hyperlink" Target="https://www.itu.int/md/S23-CL-C-0001/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230711-TD-0002/en" TargetMode="External"/><Relationship Id="rId14" Type="http://schemas.openxmlformats.org/officeDocument/2006/relationships/hyperlink" Target="https://www.itu.int/md/S23-CL-C-0072/en" TargetMode="External"/><Relationship Id="rId22" Type="http://schemas.openxmlformats.org/officeDocument/2006/relationships/hyperlink" Target="https://www.itu.int/md/S23-CL-C-0035/en" TargetMode="External"/><Relationship Id="rId27" Type="http://schemas.openxmlformats.org/officeDocument/2006/relationships/hyperlink" Target="https://www.itu.int/md/S23-CL-C-0072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S23-CL-230711-TD-000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9</Pages>
  <Words>3187</Words>
  <Characters>24127</Characters>
  <Application>Microsoft Office Word</Application>
  <DocSecurity>0</DocSecurity>
  <Lines>201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2023</dc:subject>
  <dc:creator>Maloletkova, Svetlana</dc:creator>
  <cp:keywords>C2023, C23, Council-23</cp:keywords>
  <dc:description/>
  <cp:lastModifiedBy>Xue, Kun</cp:lastModifiedBy>
  <cp:revision>4</cp:revision>
  <cp:lastPrinted>2006-03-28T16:12:00Z</cp:lastPrinted>
  <dcterms:created xsi:type="dcterms:W3CDTF">2023-09-18T12:10:00Z</dcterms:created>
  <dcterms:modified xsi:type="dcterms:W3CDTF">2023-09-18T12:11:00Z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