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813E5E" w14:paraId="4D1C3EBA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3094E5F" w14:textId="39395F95" w:rsidR="00796BD3" w:rsidRPr="00C935FD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33025A">
              <w:rPr>
                <w:b/>
              </w:rPr>
              <w:t>Пункт повестки дня:</w:t>
            </w:r>
            <w:r w:rsidR="00C935FD">
              <w:rPr>
                <w:b/>
                <w:lang w:val="ru-RU" w:bidi="ru-RU"/>
              </w:rPr>
              <w:t xml:space="preserve"> ADM 3</w:t>
            </w:r>
          </w:p>
        </w:tc>
        <w:tc>
          <w:tcPr>
            <w:tcW w:w="5245" w:type="dxa"/>
          </w:tcPr>
          <w:p w14:paraId="77107317" w14:textId="4E98A394" w:rsidR="00796BD3" w:rsidRPr="00E85629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3025A">
              <w:rPr>
                <w:b/>
              </w:rPr>
              <w:t xml:space="preserve">Документ </w:t>
            </w:r>
            <w:r w:rsidR="00796BD3">
              <w:rPr>
                <w:b/>
              </w:rPr>
              <w:t>C23/</w:t>
            </w:r>
            <w:r w:rsidR="00C935FD">
              <w:rPr>
                <w:b/>
                <w:lang w:val="ru-RU"/>
              </w:rPr>
              <w:t>95</w:t>
            </w:r>
            <w:r w:rsidR="00796BD3">
              <w:rPr>
                <w:b/>
              </w:rPr>
              <w:t>-R</w:t>
            </w:r>
          </w:p>
        </w:tc>
      </w:tr>
      <w:tr w:rsidR="00796BD3" w:rsidRPr="00813E5E" w14:paraId="6D20B162" w14:textId="77777777" w:rsidTr="00E31DCE">
        <w:trPr>
          <w:cantSplit/>
        </w:trPr>
        <w:tc>
          <w:tcPr>
            <w:tcW w:w="3969" w:type="dxa"/>
            <w:vMerge/>
          </w:tcPr>
          <w:p w14:paraId="4F9F4BB2" w14:textId="77777777" w:rsidR="00796BD3" w:rsidRPr="00813E5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27DB9C" w14:textId="6E25C7C7" w:rsidR="00796BD3" w:rsidRPr="00E85629" w:rsidRDefault="00C935FD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  <w:lang w:val="ru-RU" w:bidi="ru-RU"/>
              </w:rPr>
              <w:t>27 июня 2023 года</w:t>
            </w:r>
          </w:p>
        </w:tc>
      </w:tr>
      <w:tr w:rsidR="00796BD3" w:rsidRPr="00813E5E" w14:paraId="2A3BA1DF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1A41E1E8" w14:textId="77777777" w:rsidR="00796BD3" w:rsidRPr="00813E5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C844AEF" w14:textId="4B695FB0" w:rsidR="00796BD3" w:rsidRPr="00C935FD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33025A">
              <w:rPr>
                <w:b/>
              </w:rPr>
              <w:t xml:space="preserve">Оригинал: </w:t>
            </w:r>
            <w:r w:rsidR="00C935FD">
              <w:rPr>
                <w:b/>
                <w:lang w:val="ru-RU"/>
              </w:rPr>
              <w:t>английский</w:t>
            </w:r>
          </w:p>
        </w:tc>
      </w:tr>
      <w:tr w:rsidR="00796BD3" w:rsidRPr="00813E5E" w14:paraId="19434816" w14:textId="77777777" w:rsidTr="00E31DCE">
        <w:trPr>
          <w:cantSplit/>
          <w:trHeight w:val="23"/>
        </w:trPr>
        <w:tc>
          <w:tcPr>
            <w:tcW w:w="3969" w:type="dxa"/>
          </w:tcPr>
          <w:p w14:paraId="4CBDA2FB" w14:textId="77777777" w:rsidR="00796BD3" w:rsidRPr="00813E5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22224F27" w14:textId="77777777" w:rsidR="00796BD3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796BD3" w:rsidRPr="00A52BB4" w14:paraId="0DA3ABA7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5314151" w14:textId="472ED28C" w:rsidR="00796BD3" w:rsidRPr="00C935FD" w:rsidRDefault="00D31911" w:rsidP="00A52BB4">
            <w:pPr>
              <w:pStyle w:val="Source"/>
              <w:rPr>
                <w:lang w:val="ru-RU"/>
              </w:rPr>
            </w:pPr>
            <w:bookmarkStart w:id="5" w:name="dsource" w:colFirst="0" w:colLast="0"/>
            <w:bookmarkEnd w:id="4"/>
            <w:r w:rsidRPr="00D31911">
              <w:rPr>
                <w:lang w:val="ru-RU"/>
              </w:rPr>
              <w:t xml:space="preserve">Вклад </w:t>
            </w:r>
            <w:r w:rsidR="00FB6D79">
              <w:rPr>
                <w:lang w:val="ru-RU"/>
              </w:rPr>
              <w:t xml:space="preserve">от </w:t>
            </w:r>
            <w:r w:rsidR="00C935FD" w:rsidRPr="00C935FD">
              <w:rPr>
                <w:lang w:val="ru-RU"/>
              </w:rPr>
              <w:t>Алжир</w:t>
            </w:r>
            <w:r w:rsidR="00606669">
              <w:rPr>
                <w:lang w:val="en-US"/>
              </w:rPr>
              <w:t>c</w:t>
            </w:r>
            <w:r w:rsidR="00606669">
              <w:rPr>
                <w:lang w:val="ru-RU"/>
              </w:rPr>
              <w:t xml:space="preserve">кой </w:t>
            </w:r>
            <w:r w:rsidR="00C935FD" w:rsidRPr="00C935FD">
              <w:rPr>
                <w:lang w:val="ru-RU"/>
              </w:rPr>
              <w:t xml:space="preserve">Народной Демократической Республики, </w:t>
            </w:r>
            <w:r w:rsidR="00C935FD" w:rsidRPr="00A52BB4">
              <w:t>Саудовской</w:t>
            </w:r>
            <w:r w:rsidR="00C935FD" w:rsidRPr="00C935FD">
              <w:rPr>
                <w:lang w:val="ru-RU"/>
              </w:rPr>
              <w:t xml:space="preserve"> Аравии (Королевства), Бахрейна (Королевства), Египта (Арабской Республики), Объединенных Арабских Эмиратов, Кувейта (Государства), Марокко (Королевства), </w:t>
            </w:r>
            <w:r w:rsidR="00606669" w:rsidRPr="00606669">
              <w:rPr>
                <w:lang w:val="ru-RU"/>
              </w:rPr>
              <w:t>Южно-Африканской Республики</w:t>
            </w:r>
            <w:r w:rsidR="00C935FD" w:rsidRPr="00C935FD">
              <w:rPr>
                <w:lang w:val="ru-RU"/>
              </w:rPr>
              <w:t xml:space="preserve"> и Туниса</w:t>
            </w:r>
          </w:p>
        </w:tc>
      </w:tr>
      <w:tr w:rsidR="00796BD3" w:rsidRPr="00A52BB4" w14:paraId="30B8D6E6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AFCD65F" w14:textId="783556DB" w:rsidR="00796BD3" w:rsidRPr="00C935FD" w:rsidRDefault="00C935FD" w:rsidP="00E31DCE">
            <w:pPr>
              <w:pStyle w:val="Subtitle"/>
              <w:framePr w:hSpace="0" w:wrap="auto" w:hAnchor="text" w:xAlign="left" w:yAlign="inline"/>
              <w:rPr>
                <w:szCs w:val="32"/>
                <w:lang w:val="ru-RU"/>
              </w:rPr>
            </w:pPr>
            <w:bookmarkStart w:id="6" w:name="dtitle1" w:colFirst="0" w:colLast="0"/>
            <w:bookmarkEnd w:id="5"/>
            <w:r w:rsidRPr="00917890">
              <w:rPr>
                <w:lang w:val="ru-RU" w:bidi="ru-RU"/>
              </w:rPr>
              <w:t>ПРЕДЛОЖЕНИЯ ПО ПРОЕКТУ ПОМЕЩЕНИЙ ШТАБ-КВАРТИРЫ СОЮЗА</w:t>
            </w:r>
          </w:p>
        </w:tc>
      </w:tr>
      <w:tr w:rsidR="00796BD3" w:rsidRPr="00A52BB4" w14:paraId="76E16821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E190DF8" w14:textId="29F6AE79" w:rsidR="00796BD3" w:rsidRPr="00C935FD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C935FD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6239C9D2" w14:textId="455BFC55" w:rsidR="00796BD3" w:rsidRPr="00C935FD" w:rsidRDefault="00C935FD" w:rsidP="00C935FD">
            <w:pPr>
              <w:tabs>
                <w:tab w:val="clear" w:pos="1191"/>
                <w:tab w:val="clear" w:pos="1588"/>
                <w:tab w:val="clear" w:pos="1985"/>
              </w:tabs>
              <w:rPr>
                <w:lang w:val="ru-RU"/>
              </w:rPr>
            </w:pPr>
            <w:r w:rsidRPr="00917890">
              <w:rPr>
                <w:lang w:val="ru-RU" w:bidi="ru-RU"/>
              </w:rPr>
              <w:t>В настоящем вкладе рассматриваются последние изменения, связанные с проектом по помещениям штаб-квартиры МСЭ, а также освещаются некоторые вопросы, связанные с предыдущей деятельностью, начатой с 2007 года, которые могут обогатить дискуссию по этому вопросу и содействовать принятию обоснованных и мудрых решений. В связи с этим мы предлагаем меры, которые могли бы помочь разрешить возникшие проблемы и помочь Союзу перейти к более осуществимым вариантам.</w:t>
            </w:r>
          </w:p>
          <w:p w14:paraId="5E005840" w14:textId="77777777" w:rsidR="00796BD3" w:rsidRPr="00C935FD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C935FD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4E467CB8" w14:textId="3E5F36F8" w:rsidR="00796BD3" w:rsidRPr="00C935FD" w:rsidRDefault="00C935FD" w:rsidP="00C935FD">
            <w:pPr>
              <w:rPr>
                <w:lang w:val="ru-RU"/>
              </w:rPr>
            </w:pPr>
            <w:r w:rsidRPr="007B0FA1">
              <w:rPr>
                <w:lang w:val="ru-RU" w:bidi="ru-RU"/>
              </w:rPr>
              <w:t xml:space="preserve">Совету предлагается </w:t>
            </w:r>
            <w:r w:rsidRPr="007B0FA1">
              <w:rPr>
                <w:b/>
                <w:lang w:val="ru-RU" w:bidi="ru-RU"/>
              </w:rPr>
              <w:t>рассмотреть</w:t>
            </w:r>
            <w:r w:rsidRPr="007B0FA1">
              <w:rPr>
                <w:lang w:val="ru-RU" w:bidi="ru-RU"/>
              </w:rPr>
              <w:t xml:space="preserve"> настоящий вклад и </w:t>
            </w:r>
            <w:r w:rsidRPr="007B0FA1">
              <w:rPr>
                <w:b/>
                <w:lang w:val="ru-RU" w:bidi="ru-RU"/>
              </w:rPr>
              <w:t xml:space="preserve">принять </w:t>
            </w:r>
            <w:r w:rsidR="00C37D22">
              <w:rPr>
                <w:b/>
                <w:lang w:val="ru-RU" w:bidi="ru-RU"/>
              </w:rPr>
              <w:t>необходимые</w:t>
            </w:r>
            <w:r w:rsidRPr="007B0FA1">
              <w:rPr>
                <w:b/>
                <w:lang w:val="ru-RU" w:bidi="ru-RU"/>
              </w:rPr>
              <w:t xml:space="preserve"> меры</w:t>
            </w:r>
            <w:r w:rsidR="00C37D22">
              <w:rPr>
                <w:b/>
                <w:lang w:val="ru-RU" w:bidi="ru-RU"/>
              </w:rPr>
              <w:t xml:space="preserve"> в соответствующих случаях</w:t>
            </w:r>
            <w:r w:rsidRPr="007B0FA1">
              <w:rPr>
                <w:lang w:val="ru-RU" w:bidi="ru-RU"/>
              </w:rPr>
              <w:t>.</w:t>
            </w:r>
          </w:p>
          <w:p w14:paraId="7B14D1B0" w14:textId="77777777" w:rsidR="00796BD3" w:rsidRPr="00C935FD" w:rsidRDefault="00796BD3" w:rsidP="00E31DC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C935FD">
              <w:rPr>
                <w:sz w:val="20"/>
                <w:szCs w:val="18"/>
                <w:lang w:val="ru-RU"/>
              </w:rPr>
              <w:t>__________________</w:t>
            </w:r>
          </w:p>
          <w:p w14:paraId="68BD48F1" w14:textId="77777777" w:rsidR="00796BD3" w:rsidRPr="00C935FD" w:rsidRDefault="0033025A" w:rsidP="00E31DC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C935FD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40A43711" w14:textId="57A33D46" w:rsidR="00796BD3" w:rsidRPr="00C935FD" w:rsidRDefault="008A7F31" w:rsidP="00E31DCE">
            <w:pPr>
              <w:spacing w:after="160"/>
              <w:rPr>
                <w:lang w:val="ru-RU"/>
              </w:rPr>
            </w:pPr>
            <w:hyperlink r:id="rId6" w:history="1">
              <w:r w:rsidR="00C935FD" w:rsidRPr="007B0FA1">
                <w:rPr>
                  <w:rStyle w:val="Hyperlink"/>
                  <w:lang w:val="ru-RU" w:bidi="ru-RU"/>
                </w:rPr>
                <w:t>Резолюция 212</w:t>
              </w:r>
            </w:hyperlink>
            <w:r w:rsidR="00C935FD" w:rsidRPr="007B0FA1">
              <w:rPr>
                <w:lang w:val="ru-RU" w:bidi="ru-RU"/>
              </w:rPr>
              <w:t xml:space="preserve"> (Пересм. Бухарест, 2022 г.) Полномочной конференции, </w:t>
            </w:r>
            <w:hyperlink r:id="rId7" w:history="1">
              <w:r w:rsidR="00C935FD" w:rsidRPr="007B0FA1">
                <w:rPr>
                  <w:color w:val="0000FF"/>
                  <w:u w:val="single"/>
                  <w:lang w:val="ru-RU" w:bidi="ru-RU"/>
                </w:rPr>
                <w:t>Документ C13/INF/18</w:t>
              </w:r>
            </w:hyperlink>
            <w:r w:rsidR="00C935FD" w:rsidRPr="007B0FA1">
              <w:rPr>
                <w:lang w:val="ru-RU" w:bidi="ru-RU"/>
              </w:rPr>
              <w:t xml:space="preserve">, </w:t>
            </w:r>
            <w:hyperlink r:id="rId8" w:history="1">
              <w:r w:rsidR="00C935FD" w:rsidRPr="007B0FA1">
                <w:rPr>
                  <w:color w:val="0000FF"/>
                  <w:u w:val="single"/>
                  <w:lang w:val="ru-RU" w:bidi="ru-RU"/>
                </w:rPr>
                <w:t>Документ C14/50</w:t>
              </w:r>
            </w:hyperlink>
            <w:r w:rsidR="00C935FD" w:rsidRPr="00A52BB4">
              <w:rPr>
                <w:color w:val="0000FF"/>
                <w:lang w:val="ru-RU" w:bidi="ru-RU"/>
              </w:rPr>
              <w:t>,</w:t>
            </w:r>
            <w:r w:rsidR="00C935FD" w:rsidRPr="007B0FA1">
              <w:rPr>
                <w:lang w:val="ru-RU" w:bidi="ru-RU"/>
              </w:rPr>
              <w:t xml:space="preserve"> </w:t>
            </w:r>
            <w:hyperlink r:id="rId9" w:history="1">
              <w:r w:rsidR="00C37D22">
                <w:rPr>
                  <w:color w:val="0000FF"/>
                  <w:u w:val="single"/>
                  <w:lang w:val="ru-RU" w:bidi="ru-RU"/>
                </w:rPr>
                <w:t>Документ C16/7</w:t>
              </w:r>
              <w:r w:rsidR="00C37D22" w:rsidRPr="00A52BB4">
                <w:rPr>
                  <w:color w:val="0000FF"/>
                  <w:lang w:val="ru-RU" w:bidi="ru-RU"/>
                </w:rPr>
                <w:t xml:space="preserve">, </w:t>
              </w:r>
            </w:hyperlink>
            <w:hyperlink r:id="rId10" w:history="1">
              <w:r w:rsidR="00C37D22">
                <w:rPr>
                  <w:rStyle w:val="Hyperlink"/>
                  <w:lang w:val="ru-RU" w:bidi="ru-RU"/>
                </w:rPr>
                <w:t>Решение 588 (C16) Совета</w:t>
              </w:r>
            </w:hyperlink>
            <w:r w:rsidR="00C935FD" w:rsidRPr="00A52BB4">
              <w:rPr>
                <w:color w:val="0000FF"/>
                <w:lang w:val="ru-RU" w:bidi="ru-RU"/>
              </w:rPr>
              <w:t xml:space="preserve">, </w:t>
            </w:r>
            <w:hyperlink r:id="rId11" w:history="1">
              <w:r w:rsidR="00C935FD" w:rsidRPr="007B0FA1">
                <w:rPr>
                  <w:rStyle w:val="Hyperlink"/>
                  <w:lang w:val="ru-RU" w:bidi="ru-RU"/>
                </w:rPr>
                <w:t>Документ C19-ADD/2</w:t>
              </w:r>
            </w:hyperlink>
            <w:r w:rsidR="00C935FD" w:rsidRPr="007B0FA1">
              <w:rPr>
                <w:lang w:val="ru-RU" w:bidi="ru-RU"/>
              </w:rPr>
              <w:t xml:space="preserve">, </w:t>
            </w:r>
            <w:hyperlink r:id="rId12" w:history="1">
              <w:r w:rsidR="00C935FD" w:rsidRPr="007B0FA1">
                <w:rPr>
                  <w:color w:val="0000FF"/>
                  <w:u w:val="single"/>
                  <w:lang w:val="ru-RU" w:bidi="ru-RU"/>
                </w:rPr>
                <w:t>Документ C23/48</w:t>
              </w:r>
            </w:hyperlink>
            <w:r w:rsidR="00C935FD" w:rsidRPr="00A52BB4">
              <w:rPr>
                <w:color w:val="0000FF"/>
                <w:lang w:val="ru-RU" w:bidi="ru-RU"/>
              </w:rPr>
              <w:t>,</w:t>
            </w:r>
            <w:r w:rsidR="00C935FD" w:rsidRPr="007B0FA1">
              <w:rPr>
                <w:lang w:val="ru-RU" w:bidi="ru-RU"/>
              </w:rPr>
              <w:t xml:space="preserve"> </w:t>
            </w:r>
            <w:hyperlink r:id="rId13" w:history="1">
              <w:r w:rsidR="00C935FD" w:rsidRPr="007B0FA1">
                <w:rPr>
                  <w:color w:val="0000FF"/>
                  <w:u w:val="single"/>
                  <w:lang w:val="ru-RU" w:bidi="ru-RU"/>
                </w:rPr>
                <w:t>Документ C23/7</w:t>
              </w:r>
            </w:hyperlink>
          </w:p>
        </w:tc>
      </w:tr>
      <w:bookmarkEnd w:id="2"/>
      <w:bookmarkEnd w:id="6"/>
    </w:tbl>
    <w:p w14:paraId="4064BBD7" w14:textId="77777777" w:rsidR="00796BD3" w:rsidRPr="00C935FD" w:rsidRDefault="00796BD3" w:rsidP="00796BD3">
      <w:pPr>
        <w:rPr>
          <w:lang w:val="ru-RU"/>
        </w:rPr>
      </w:pPr>
    </w:p>
    <w:p w14:paraId="7386F8B3" w14:textId="77777777" w:rsidR="00165D06" w:rsidRPr="00C935FD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C935FD">
        <w:rPr>
          <w:lang w:val="ru-RU"/>
        </w:rPr>
        <w:br w:type="page"/>
      </w:r>
    </w:p>
    <w:p w14:paraId="51200E7E" w14:textId="31243D36" w:rsidR="00C935FD" w:rsidRPr="00881896" w:rsidRDefault="00A52BB4" w:rsidP="00A52BB4">
      <w:pPr>
        <w:pStyle w:val="Heading1"/>
        <w:rPr>
          <w:rFonts w:cs="Calibri"/>
          <w:bCs/>
          <w:szCs w:val="24"/>
          <w:lang w:val="en-US"/>
        </w:rPr>
      </w:pPr>
      <w:r>
        <w:rPr>
          <w:lang w:val="en-US" w:bidi="ru-RU"/>
        </w:rPr>
        <w:lastRenderedPageBreak/>
        <w:t>1</w:t>
      </w:r>
      <w:r>
        <w:rPr>
          <w:lang w:val="en-US" w:bidi="ru-RU"/>
        </w:rPr>
        <w:tab/>
      </w:r>
      <w:r w:rsidR="00C935FD" w:rsidRPr="00881896">
        <w:rPr>
          <w:lang w:val="ru-RU" w:bidi="ru-RU"/>
        </w:rPr>
        <w:t>Обзор</w:t>
      </w:r>
    </w:p>
    <w:p w14:paraId="55D8E89D" w14:textId="408D29E7" w:rsidR="00C935FD" w:rsidRPr="00A33CC3" w:rsidRDefault="00C935FD" w:rsidP="00A52BB4">
      <w:pPr>
        <w:rPr>
          <w:lang w:val="ru-RU" w:bidi="ru-RU"/>
        </w:rPr>
      </w:pPr>
      <w:r w:rsidRPr="00881896">
        <w:rPr>
          <w:lang w:val="ru-RU" w:bidi="ru-RU"/>
        </w:rPr>
        <w:t xml:space="preserve">В 2007 году Генеральный секретарь МСЭ начал обсуждение с принимающей страной (Швейцарией) необходимости замены самого старого здания МСЭ. Это </w:t>
      </w:r>
      <w:r w:rsidR="00A33CC3">
        <w:rPr>
          <w:lang w:val="ru-RU" w:bidi="ru-RU"/>
        </w:rPr>
        <w:t>позволило бы</w:t>
      </w:r>
      <w:r w:rsidRPr="00881896">
        <w:rPr>
          <w:lang w:val="ru-RU" w:bidi="ru-RU"/>
        </w:rPr>
        <w:t xml:space="preserve"> МСЭ продолж</w:t>
      </w:r>
      <w:r w:rsidR="00A33CC3">
        <w:rPr>
          <w:lang w:val="ru-RU" w:bidi="ru-RU"/>
        </w:rPr>
        <w:t>и</w:t>
      </w:r>
      <w:r w:rsidRPr="00881896">
        <w:rPr>
          <w:lang w:val="ru-RU" w:bidi="ru-RU"/>
        </w:rPr>
        <w:t xml:space="preserve">ть свою работу в надлежащих условиях. В 2012 году принимающая страна и ее технический представитель </w:t>
      </w:r>
      <w:r w:rsidR="00A33CC3">
        <w:rPr>
          <w:lang w:val="ru-RU" w:bidi="ru-RU"/>
        </w:rPr>
        <w:t xml:space="preserve">из </w:t>
      </w:r>
      <w:r w:rsidRPr="00881896">
        <w:rPr>
          <w:lang w:val="ru-RU" w:bidi="ru-RU"/>
        </w:rPr>
        <w:t>Фонда недвижимого имущества для международных организаций (ФИПОИ) осмотрели здание "Варембе" и рассмотрели варианты ремонта и замены. ФИПОИ сообщил, что замена является надлежащим техническим вариантом (</w:t>
      </w:r>
      <w:hyperlink r:id="rId14" w:history="1">
        <w:r w:rsidRPr="00881896">
          <w:rPr>
            <w:color w:val="0000FF"/>
            <w:u w:val="single"/>
            <w:lang w:val="ru-RU" w:bidi="ru-RU"/>
          </w:rPr>
          <w:t>Документ C13/INF/18</w:t>
        </w:r>
      </w:hyperlink>
      <w:r w:rsidRPr="00881896">
        <w:rPr>
          <w:lang w:val="ru-RU" w:bidi="ru-RU"/>
        </w:rPr>
        <w:t xml:space="preserve">). Кроме того, на практике невозможно было бы отремонтировать </w:t>
      </w:r>
      <w:r w:rsidR="00A33CC3">
        <w:rPr>
          <w:lang w:val="ru-RU" w:bidi="ru-RU"/>
        </w:rPr>
        <w:t xml:space="preserve">здание </w:t>
      </w:r>
      <w:r w:rsidRPr="00881896">
        <w:rPr>
          <w:lang w:val="ru-RU" w:bidi="ru-RU"/>
        </w:rPr>
        <w:t xml:space="preserve">"Варембе", чтобы оно соответствовало требованиям доступности, пожарной безопасности и сейсмостойкости. Здание "Варембе" старое и не отвечает современным стандартам безопасности и доступности, </w:t>
      </w:r>
      <w:r w:rsidR="00A33CC3">
        <w:rPr>
          <w:lang w:val="ru-RU" w:bidi="ru-RU"/>
        </w:rPr>
        <w:t>указанным в</w:t>
      </w:r>
      <w:r w:rsidRPr="00881896">
        <w:rPr>
          <w:lang w:val="ru-RU" w:bidi="ru-RU"/>
        </w:rPr>
        <w:t xml:space="preserve"> Отчет</w:t>
      </w:r>
      <w:r w:rsidR="00A33CC3">
        <w:rPr>
          <w:lang w:val="ru-RU" w:bidi="ru-RU"/>
        </w:rPr>
        <w:t>е</w:t>
      </w:r>
      <w:r w:rsidRPr="00881896">
        <w:rPr>
          <w:lang w:val="ru-RU" w:bidi="ru-RU"/>
        </w:rPr>
        <w:t xml:space="preserve"> Генерального секретаря (</w:t>
      </w:r>
      <w:hyperlink r:id="rId15" w:history="1">
        <w:r w:rsidRPr="00881896">
          <w:rPr>
            <w:color w:val="0000FF"/>
            <w:u w:val="single"/>
            <w:lang w:val="ru-RU" w:bidi="ru-RU"/>
          </w:rPr>
          <w:t>Документ C14/50</w:t>
        </w:r>
      </w:hyperlink>
      <w:r w:rsidRPr="00881896">
        <w:rPr>
          <w:lang w:val="ru-RU" w:bidi="ru-RU"/>
        </w:rPr>
        <w:t>).</w:t>
      </w:r>
    </w:p>
    <w:p w14:paraId="7D60BE00" w14:textId="693DDD42" w:rsidR="00C935FD" w:rsidRPr="00C935FD" w:rsidRDefault="00C935FD" w:rsidP="00A52BB4">
      <w:pPr>
        <w:rPr>
          <w:rFonts w:asciiTheme="minorHAnsi" w:hAnsiTheme="minorHAnsi" w:cstheme="minorHAnsi"/>
          <w:szCs w:val="24"/>
          <w:lang w:val="ru-RU"/>
        </w:rPr>
      </w:pPr>
      <w:r w:rsidRPr="00881896">
        <w:rPr>
          <w:lang w:val="ru-RU" w:bidi="ru-RU"/>
        </w:rPr>
        <w:t>Полномочная конференция МСЭ в соответствии с Резолюцией 194 (Пусан, 2014 г.) предоставила Совету МСЭ разрешение учредить Рабоч</w:t>
      </w:r>
      <w:r w:rsidR="00A33CC3">
        <w:rPr>
          <w:lang w:val="ru-RU" w:bidi="ru-RU"/>
        </w:rPr>
        <w:t>ую</w:t>
      </w:r>
      <w:r w:rsidRPr="00881896">
        <w:rPr>
          <w:lang w:val="ru-RU" w:bidi="ru-RU"/>
        </w:rPr>
        <w:t xml:space="preserve"> групп</w:t>
      </w:r>
      <w:r w:rsidR="00A33CC3">
        <w:rPr>
          <w:lang w:val="ru-RU" w:bidi="ru-RU"/>
        </w:rPr>
        <w:t>у</w:t>
      </w:r>
      <w:r w:rsidRPr="00881896">
        <w:rPr>
          <w:lang w:val="ru-RU" w:bidi="ru-RU"/>
        </w:rPr>
        <w:t xml:space="preserve"> Совета по вариантам помещений штаб-квартиры Союза в долгосрочной перспективе (РГС-ПШК). РГС-ПШК оценила состояние штаб-квартиры МСЭ, проанализировала следующие варианты будущего планирования помещений (вариант 1: замена здания, вариант 2: </w:t>
      </w:r>
      <w:r w:rsidR="00A33CC3">
        <w:rPr>
          <w:lang w:val="ru-RU" w:bidi="ru-RU"/>
        </w:rPr>
        <w:t>ремонт</w:t>
      </w:r>
      <w:r w:rsidRPr="00881896">
        <w:rPr>
          <w:lang w:val="ru-RU" w:bidi="ru-RU"/>
        </w:rPr>
        <w:t xml:space="preserve"> зданий штаб-квартиры, вариант 3: перенос местонахождения штаб-квартиры, вариант 4: аренда офисных помещений). В 2016 году РГС-ПШК вынесла рекомендацию очередной сессии Совета о замене здания "Варембе" (</w:t>
      </w:r>
      <w:hyperlink r:id="rId16" w:history="1">
        <w:r w:rsidRPr="00881896">
          <w:rPr>
            <w:color w:val="0000FF"/>
            <w:u w:val="single"/>
            <w:lang w:val="ru-RU" w:bidi="ru-RU"/>
          </w:rPr>
          <w:t>Документ C16/7</w:t>
        </w:r>
      </w:hyperlink>
      <w:r w:rsidRPr="00881896">
        <w:rPr>
          <w:lang w:val="ru-RU" w:bidi="ru-RU"/>
        </w:rPr>
        <w:t xml:space="preserve">). В 2016 году очередная сессия Совета приняла рекомендацию РГС-ПШК и утвердила </w:t>
      </w:r>
      <w:hyperlink r:id="rId17" w:history="1">
        <w:r w:rsidRPr="00881896">
          <w:rPr>
            <w:color w:val="0000FF"/>
            <w:u w:val="single"/>
            <w:lang w:val="ru-RU" w:bidi="ru-RU"/>
          </w:rPr>
          <w:t>Решение 588</w:t>
        </w:r>
      </w:hyperlink>
      <w:r w:rsidR="00373BB9" w:rsidRPr="00373BB9">
        <w:rPr>
          <w:color w:val="0000FF"/>
          <w:u w:val="single"/>
          <w:lang w:val="ru-RU" w:bidi="ru-RU"/>
        </w:rPr>
        <w:t xml:space="preserve"> </w:t>
      </w:r>
      <w:r w:rsidRPr="00881896">
        <w:rPr>
          <w:lang w:val="ru-RU" w:bidi="ru-RU"/>
        </w:rPr>
        <w:t>Совета о замене здания "Варембе" новым строением.</w:t>
      </w:r>
    </w:p>
    <w:p w14:paraId="03660695" w14:textId="5112807A" w:rsidR="00C935FD" w:rsidRPr="00E952E1" w:rsidRDefault="00C935FD" w:rsidP="00A52BB4">
      <w:pPr>
        <w:rPr>
          <w:rFonts w:asciiTheme="minorHAnsi" w:hAnsiTheme="minorHAnsi" w:cstheme="minorHAnsi"/>
          <w:color w:val="000000"/>
          <w:szCs w:val="24"/>
          <w:lang w:val="ru-RU"/>
        </w:rPr>
      </w:pPr>
      <w:r w:rsidRPr="00881896">
        <w:rPr>
          <w:lang w:val="ru-RU" w:bidi="ru-RU"/>
        </w:rPr>
        <w:t>На сессии Совета 2019 года и его дополнительной сессии было проведено подробное обсуждение Отчета Генерального секретаря о ходе выполнения проекта по строительству помещений штаб-квартиры Союза, Совет согласился продолжить реализацию проекта и утвердил выделенный бюджет (</w:t>
      </w:r>
      <w:hyperlink r:id="rId18" w:history="1">
        <w:r w:rsidRPr="00881896">
          <w:rPr>
            <w:color w:val="0000FF"/>
            <w:u w:val="single"/>
            <w:lang w:val="ru-RU" w:bidi="ru-RU"/>
          </w:rPr>
          <w:t>Документ C19-ADD/2</w:t>
        </w:r>
      </w:hyperlink>
      <w:r w:rsidRPr="00881896">
        <w:rPr>
          <w:lang w:val="ru-RU" w:bidi="ru-RU"/>
        </w:rPr>
        <w:t>).</w:t>
      </w:r>
    </w:p>
    <w:p w14:paraId="7C1729EA" w14:textId="36F88920" w:rsidR="00C935FD" w:rsidRPr="00E952E1" w:rsidRDefault="00240C35" w:rsidP="00A52BB4">
      <w:pPr>
        <w:rPr>
          <w:rFonts w:asciiTheme="minorHAnsi" w:hAnsiTheme="minorHAnsi" w:cstheme="minorHAnsi"/>
          <w:szCs w:val="24"/>
          <w:lang w:val="ru-RU"/>
        </w:rPr>
      </w:pPr>
      <w:r>
        <w:rPr>
          <w:lang w:val="ru-RU" w:bidi="ru-RU"/>
        </w:rPr>
        <w:t xml:space="preserve">В ходе </w:t>
      </w:r>
      <w:r w:rsidRPr="00881896">
        <w:rPr>
          <w:lang w:val="ru-RU" w:bidi="ru-RU"/>
        </w:rPr>
        <w:t xml:space="preserve">Полномочной конференции 2022 года в Бухаресте </w:t>
      </w:r>
      <w:r w:rsidR="00C935FD" w:rsidRPr="00881896">
        <w:rPr>
          <w:lang w:val="ru-RU" w:bidi="ru-RU"/>
        </w:rPr>
        <w:t>Государства-Члены продолжили обсуждение вопросов, связанных со зданием</w:t>
      </w:r>
      <w:r>
        <w:rPr>
          <w:lang w:val="ru-RU" w:bidi="ru-RU"/>
        </w:rPr>
        <w:t xml:space="preserve">, </w:t>
      </w:r>
      <w:r w:rsidR="00C935FD" w:rsidRPr="00881896">
        <w:rPr>
          <w:lang w:val="ru-RU" w:bidi="ru-RU"/>
        </w:rPr>
        <w:t xml:space="preserve">и согласились в соответствии с </w:t>
      </w:r>
      <w:hyperlink r:id="rId19" w:history="1">
        <w:r w:rsidR="00C935FD" w:rsidRPr="00881896">
          <w:rPr>
            <w:rStyle w:val="Hyperlink"/>
            <w:lang w:val="ru-RU" w:bidi="ru-RU"/>
          </w:rPr>
          <w:t>Резолюцией 212 (Пересм. Бухарест, 2022 г.)</w:t>
        </w:r>
      </w:hyperlink>
      <w:r w:rsidR="00C935FD" w:rsidRPr="00881896">
        <w:rPr>
          <w:lang w:val="ru-RU" w:bidi="ru-RU"/>
        </w:rPr>
        <w:t>, что необходимо построить новое здание штаб-квартиры, чтобы предоставить Союзу пространство и помещения для удовлетворения его потребностей.</w:t>
      </w:r>
    </w:p>
    <w:p w14:paraId="1FAFE128" w14:textId="3A6C6575" w:rsidR="00C935FD" w:rsidRPr="00881896" w:rsidRDefault="00A52BB4" w:rsidP="00A52BB4">
      <w:pPr>
        <w:pStyle w:val="Heading1"/>
        <w:rPr>
          <w:rFonts w:cs="Calibri"/>
          <w:szCs w:val="24"/>
          <w:lang w:val="en-US"/>
        </w:rPr>
      </w:pPr>
      <w:r>
        <w:rPr>
          <w:lang w:val="en-US" w:bidi="ru-RU"/>
        </w:rPr>
        <w:t>2</w:t>
      </w:r>
      <w:r>
        <w:rPr>
          <w:lang w:val="en-US" w:bidi="ru-RU"/>
        </w:rPr>
        <w:tab/>
      </w:r>
      <w:r w:rsidR="00C935FD" w:rsidRPr="00881896">
        <w:rPr>
          <w:lang w:val="ru-RU" w:bidi="ru-RU"/>
        </w:rPr>
        <w:t>Вопросы для обсуждения</w:t>
      </w:r>
    </w:p>
    <w:p w14:paraId="395D8BC8" w14:textId="77777777" w:rsidR="00C935FD" w:rsidRPr="00E952E1" w:rsidRDefault="00C935FD" w:rsidP="00A52BB4">
      <w:pPr>
        <w:rPr>
          <w:rFonts w:asciiTheme="minorHAnsi" w:hAnsiTheme="minorHAnsi" w:cstheme="minorHAnsi"/>
          <w:b/>
          <w:bCs/>
          <w:szCs w:val="24"/>
          <w:lang w:val="ru-RU"/>
        </w:rPr>
      </w:pPr>
      <w:r w:rsidRPr="00881896">
        <w:rPr>
          <w:lang w:val="ru-RU" w:bidi="ru-RU"/>
        </w:rPr>
        <w:t>Принимая во внимание все вышеуказанное:</w:t>
      </w:r>
    </w:p>
    <w:p w14:paraId="54C83FBC" w14:textId="7D70714E" w:rsidR="00C935FD" w:rsidRPr="00E952E1" w:rsidRDefault="00A52BB4" w:rsidP="00A52BB4">
      <w:pPr>
        <w:pStyle w:val="enumlev1"/>
        <w:rPr>
          <w:rFonts w:asciiTheme="minorHAnsi" w:eastAsia="Calibri" w:hAnsiTheme="minorHAnsi" w:cstheme="minorHAnsi"/>
          <w:szCs w:val="24"/>
          <w:lang w:val="ru-RU"/>
        </w:rPr>
      </w:pPr>
      <w:r w:rsidRPr="00A52BB4">
        <w:rPr>
          <w:lang w:val="ru-RU" w:bidi="ru-RU"/>
        </w:rPr>
        <w:t>•</w:t>
      </w:r>
      <w:r>
        <w:rPr>
          <w:lang w:val="ru-RU" w:bidi="ru-RU"/>
        </w:rPr>
        <w:tab/>
      </w:r>
      <w:r w:rsidR="00C935FD" w:rsidRPr="00881896">
        <w:rPr>
          <w:lang w:val="ru-RU" w:bidi="ru-RU"/>
        </w:rPr>
        <w:t xml:space="preserve">Зданию "Варембе" уже более 60 лет, и оно не соответствует современным стандартам безопасности, кроме того, </w:t>
      </w:r>
      <w:r w:rsidR="0019167C">
        <w:rPr>
          <w:lang w:val="ru-RU" w:bidi="ru-RU"/>
        </w:rPr>
        <w:t>на его</w:t>
      </w:r>
      <w:r w:rsidR="00C935FD" w:rsidRPr="00881896">
        <w:rPr>
          <w:lang w:val="ru-RU" w:bidi="ru-RU"/>
        </w:rPr>
        <w:t xml:space="preserve"> эксплуатацию и обслуживание</w:t>
      </w:r>
      <w:r w:rsidR="0019167C">
        <w:rPr>
          <w:lang w:val="ru-RU" w:bidi="ru-RU"/>
        </w:rPr>
        <w:t xml:space="preserve"> требуются большие затраты</w:t>
      </w:r>
      <w:r w:rsidR="00C935FD" w:rsidRPr="00881896">
        <w:rPr>
          <w:lang w:val="ru-RU" w:bidi="ru-RU"/>
        </w:rPr>
        <w:t xml:space="preserve">. Новое здание будет </w:t>
      </w:r>
      <w:r w:rsidR="0019167C">
        <w:rPr>
          <w:lang w:val="ru-RU" w:bidi="ru-RU"/>
        </w:rPr>
        <w:t>проектироваться</w:t>
      </w:r>
      <w:r w:rsidR="00C935FD" w:rsidRPr="00881896">
        <w:rPr>
          <w:lang w:val="ru-RU" w:bidi="ru-RU"/>
        </w:rPr>
        <w:t xml:space="preserve"> с учетом необходимости обеспечения его устойчивости, адаптивности и надежности. Оно также сможет вместить растущее число членов и сотрудников МСЭ и позволит проводить все больше собраний и мероприятий, организуемых в штаб-квартире МСЭ. </w:t>
      </w:r>
    </w:p>
    <w:p w14:paraId="21420576" w14:textId="6C203230" w:rsidR="00C935FD" w:rsidRPr="00E952E1" w:rsidRDefault="00A52BB4" w:rsidP="00A52BB4">
      <w:pPr>
        <w:pStyle w:val="enumlev1"/>
        <w:rPr>
          <w:rFonts w:asciiTheme="minorHAnsi" w:eastAsia="Calibri" w:hAnsiTheme="minorHAnsi" w:cstheme="minorHAnsi"/>
          <w:szCs w:val="24"/>
          <w:lang w:val="ru-RU"/>
        </w:rPr>
      </w:pPr>
      <w:r w:rsidRPr="00A52BB4">
        <w:rPr>
          <w:lang w:val="ru-RU" w:bidi="ru-RU"/>
        </w:rPr>
        <w:t>•</w:t>
      </w:r>
      <w:r>
        <w:rPr>
          <w:lang w:val="ru-RU" w:bidi="ru-RU"/>
        </w:rPr>
        <w:tab/>
      </w:r>
      <w:r w:rsidR="0019167C">
        <w:rPr>
          <w:lang w:val="ru-RU" w:bidi="ru-RU"/>
        </w:rPr>
        <w:t>В случае аннулирования проекта</w:t>
      </w:r>
      <w:r w:rsidR="00C935FD" w:rsidRPr="00881896">
        <w:rPr>
          <w:lang w:val="ru-RU" w:bidi="ru-RU"/>
        </w:rPr>
        <w:t xml:space="preserve"> спонсорская помощь и пожертвования должны быть возмещены немедленно, </w:t>
      </w:r>
      <w:r w:rsidR="0019167C">
        <w:rPr>
          <w:lang w:val="ru-RU" w:bidi="ru-RU"/>
        </w:rPr>
        <w:t>при этом отсутствует гарантия того</w:t>
      </w:r>
      <w:r w:rsidR="00C935FD" w:rsidRPr="00881896">
        <w:rPr>
          <w:lang w:val="ru-RU" w:bidi="ru-RU"/>
        </w:rPr>
        <w:t>, что каки</w:t>
      </w:r>
      <w:r w:rsidR="0019167C">
        <w:rPr>
          <w:lang w:val="ru-RU" w:bidi="ru-RU"/>
        </w:rPr>
        <w:t>е</w:t>
      </w:r>
      <w:r w:rsidR="00C935FD" w:rsidRPr="00881896">
        <w:rPr>
          <w:lang w:val="ru-RU" w:bidi="ru-RU"/>
        </w:rPr>
        <w:t>-либо</w:t>
      </w:r>
      <w:r w:rsidR="0019167C">
        <w:rPr>
          <w:lang w:val="ru-RU" w:bidi="ru-RU"/>
        </w:rPr>
        <w:t xml:space="preserve"> </w:t>
      </w:r>
      <w:r w:rsidR="00C935FD" w:rsidRPr="00881896">
        <w:rPr>
          <w:lang w:val="ru-RU" w:bidi="ru-RU"/>
        </w:rPr>
        <w:t xml:space="preserve">средства будут возвращены. Финансовые предложения от генеральных подрядчиков действительны до конца 2023 года (если МСЭ не подпишет контракт с подрядчиком до конца 2023 года, срок действия предложений истечет, и МСЭ придется начинать </w:t>
      </w:r>
      <w:r w:rsidR="0019167C">
        <w:rPr>
          <w:lang w:val="ru-RU" w:bidi="ru-RU"/>
        </w:rPr>
        <w:t>процедуру проведения конкурса</w:t>
      </w:r>
      <w:r w:rsidR="00C935FD" w:rsidRPr="00881896">
        <w:rPr>
          <w:lang w:val="ru-RU" w:bidi="ru-RU"/>
        </w:rPr>
        <w:t xml:space="preserve"> заново. Это приведет к увеличению затрат и задержке реализации проекта). В отчете председателя КГГЧ (</w:t>
      </w:r>
      <w:hyperlink r:id="rId20" w:history="1">
        <w:r w:rsidR="00C935FD" w:rsidRPr="00881896">
          <w:rPr>
            <w:color w:val="0000FF"/>
            <w:u w:val="single"/>
            <w:lang w:val="ru-RU" w:bidi="ru-RU"/>
          </w:rPr>
          <w:t>Документ C23/48</w:t>
        </w:r>
      </w:hyperlink>
      <w:r w:rsidR="00C935FD" w:rsidRPr="00881896">
        <w:rPr>
          <w:lang w:val="ru-RU" w:bidi="ru-RU"/>
        </w:rPr>
        <w:t>) говорится</w:t>
      </w:r>
      <w:r w:rsidR="0019167C">
        <w:rPr>
          <w:lang w:val="ru-RU" w:bidi="ru-RU"/>
        </w:rPr>
        <w:t xml:space="preserve"> о</w:t>
      </w:r>
      <w:r w:rsidR="00C935FD" w:rsidRPr="00881896">
        <w:rPr>
          <w:lang w:val="ru-RU" w:bidi="ru-RU"/>
        </w:rPr>
        <w:t xml:space="preserve"> "прекращени</w:t>
      </w:r>
      <w:r w:rsidR="0019167C">
        <w:rPr>
          <w:lang w:val="ru-RU" w:bidi="ru-RU"/>
        </w:rPr>
        <w:t>и</w:t>
      </w:r>
      <w:r w:rsidR="00C935FD" w:rsidRPr="00881896">
        <w:rPr>
          <w:lang w:val="ru-RU" w:bidi="ru-RU"/>
        </w:rPr>
        <w:t xml:space="preserve"> реализации текущего проекта и начал</w:t>
      </w:r>
      <w:r w:rsidR="0019167C">
        <w:rPr>
          <w:lang w:val="ru-RU" w:bidi="ru-RU"/>
        </w:rPr>
        <w:t>е</w:t>
      </w:r>
      <w:r w:rsidR="00C935FD" w:rsidRPr="00881896">
        <w:rPr>
          <w:lang w:val="ru-RU" w:bidi="ru-RU"/>
        </w:rPr>
        <w:t xml:space="preserve"> разработки нового плана, что повлечет за собой новые работы по проектированию и связанные с ними </w:t>
      </w:r>
      <w:r w:rsidR="00C935FD" w:rsidRPr="00881896">
        <w:rPr>
          <w:lang w:val="ru-RU" w:bidi="ru-RU"/>
        </w:rPr>
        <w:lastRenderedPageBreak/>
        <w:t>затраты, а также потребует проведения нового конкурса, что приведет к задержке на четыре-пять лет".</w:t>
      </w:r>
    </w:p>
    <w:p w14:paraId="7CD84480" w14:textId="33AFB73D" w:rsidR="00C935FD" w:rsidRPr="0019167C" w:rsidRDefault="00A52BB4" w:rsidP="00A52BB4">
      <w:pPr>
        <w:pStyle w:val="enumlev1"/>
        <w:rPr>
          <w:rFonts w:asciiTheme="minorHAnsi" w:eastAsia="Calibri" w:hAnsiTheme="minorHAnsi" w:cstheme="minorHAnsi"/>
          <w:szCs w:val="24"/>
          <w:lang w:val="ru-RU"/>
        </w:rPr>
      </w:pPr>
      <w:r w:rsidRPr="00A52BB4">
        <w:rPr>
          <w:lang w:val="ru-RU" w:bidi="ru-RU"/>
        </w:rPr>
        <w:t>•</w:t>
      </w:r>
      <w:r>
        <w:rPr>
          <w:lang w:val="ru-RU" w:bidi="ru-RU"/>
        </w:rPr>
        <w:tab/>
      </w:r>
      <w:r w:rsidR="00C935FD" w:rsidRPr="00881896">
        <w:rPr>
          <w:lang w:val="ru-RU" w:bidi="ru-RU"/>
        </w:rPr>
        <w:t xml:space="preserve">Уже частично выделен бюджет и составлен подробный график расходов, в котором указаны ежегодные выплаты по проекту, и МСЭ может приступить к реализации проекта, если Государства-Члены подтвердят свою приверженность </w:t>
      </w:r>
      <w:r w:rsidR="0019167C">
        <w:rPr>
          <w:lang w:val="ru-RU" w:bidi="ru-RU"/>
        </w:rPr>
        <w:t>предоставить оставшееся финансирование</w:t>
      </w:r>
      <w:r w:rsidR="00C935FD" w:rsidRPr="00881896">
        <w:rPr>
          <w:lang w:val="ru-RU" w:bidi="ru-RU"/>
        </w:rPr>
        <w:t>, необходим</w:t>
      </w:r>
      <w:r w:rsidR="0019167C">
        <w:rPr>
          <w:lang w:val="ru-RU" w:bidi="ru-RU"/>
        </w:rPr>
        <w:t>ое</w:t>
      </w:r>
      <w:r w:rsidR="00C935FD" w:rsidRPr="00881896">
        <w:rPr>
          <w:lang w:val="ru-RU" w:bidi="ru-RU"/>
        </w:rPr>
        <w:t xml:space="preserve"> для завершения реализации проекта строительства нового здания. Это соответствует правилам, положениям и процедуре МСЭ.</w:t>
      </w:r>
    </w:p>
    <w:p w14:paraId="0FC8CB07" w14:textId="3805AC85" w:rsidR="00C935FD" w:rsidRPr="00881896" w:rsidRDefault="00A52BB4" w:rsidP="00A52BB4">
      <w:pPr>
        <w:pStyle w:val="Heading1"/>
        <w:rPr>
          <w:rFonts w:eastAsia="Calibri" w:cs="Calibri"/>
          <w:bCs/>
          <w:szCs w:val="24"/>
          <w:lang w:val="en-US"/>
        </w:rPr>
      </w:pPr>
      <w:r>
        <w:rPr>
          <w:lang w:val="en-US" w:bidi="ru-RU"/>
        </w:rPr>
        <w:t>3</w:t>
      </w:r>
      <w:r>
        <w:rPr>
          <w:lang w:val="en-US" w:bidi="ru-RU"/>
        </w:rPr>
        <w:tab/>
      </w:r>
      <w:r w:rsidR="00C935FD" w:rsidRPr="00881896">
        <w:rPr>
          <w:lang w:val="ru-RU" w:bidi="ru-RU"/>
        </w:rPr>
        <w:t>Предложение</w:t>
      </w:r>
    </w:p>
    <w:p w14:paraId="25218E02" w14:textId="0977311A" w:rsidR="00C935FD" w:rsidRPr="00E952E1" w:rsidRDefault="00C935FD" w:rsidP="00A52BB4">
      <w:pPr>
        <w:rPr>
          <w:rFonts w:asciiTheme="minorHAnsi" w:eastAsia="Calibri" w:hAnsiTheme="minorHAnsi" w:cstheme="minorHAnsi"/>
          <w:szCs w:val="24"/>
          <w:lang w:val="ru-RU"/>
        </w:rPr>
      </w:pPr>
      <w:r w:rsidRPr="00881896">
        <w:rPr>
          <w:lang w:val="ru-RU" w:bidi="ru-RU"/>
        </w:rPr>
        <w:t>В соответствии с приведенным выше анализом и с учетом частично выделенного бюджета (</w:t>
      </w:r>
      <w:r w:rsidR="00D40B87">
        <w:rPr>
          <w:lang w:val="ru-RU" w:bidi="ru-RU"/>
        </w:rPr>
        <w:t>получено и обеспечено</w:t>
      </w:r>
      <w:r w:rsidRPr="00881896">
        <w:rPr>
          <w:lang w:val="ru-RU" w:bidi="ru-RU"/>
        </w:rPr>
        <w:t xml:space="preserve"> 75% средств) </w:t>
      </w:r>
      <w:r w:rsidR="00D40B87">
        <w:rPr>
          <w:lang w:val="ru-RU" w:bidi="ru-RU"/>
        </w:rPr>
        <w:t>для реализации</w:t>
      </w:r>
      <w:r w:rsidRPr="00881896">
        <w:rPr>
          <w:lang w:val="ru-RU" w:bidi="ru-RU"/>
        </w:rPr>
        <w:t xml:space="preserve"> проект</w:t>
      </w:r>
      <w:r w:rsidR="00D40B87">
        <w:rPr>
          <w:lang w:val="ru-RU" w:bidi="ru-RU"/>
        </w:rPr>
        <w:t>а</w:t>
      </w:r>
      <w:r w:rsidRPr="00881896">
        <w:rPr>
          <w:lang w:val="ru-RU" w:bidi="ru-RU"/>
        </w:rPr>
        <w:t>, учитывая график расходов на здание МСЭ и соответствующие финансовые положения и правила, мы предлагаем следующее</w:t>
      </w:r>
      <w:r w:rsidR="00D40B87">
        <w:rPr>
          <w:lang w:val="ru-RU" w:bidi="ru-RU"/>
        </w:rPr>
        <w:t>:</w:t>
      </w:r>
    </w:p>
    <w:p w14:paraId="13519AA0" w14:textId="6D8B24A6" w:rsidR="00C935FD" w:rsidRPr="00291601" w:rsidRDefault="00A52BB4" w:rsidP="00A52BB4">
      <w:pPr>
        <w:pStyle w:val="enumlev1"/>
        <w:rPr>
          <w:rFonts w:asciiTheme="minorHAnsi" w:hAnsiTheme="minorHAnsi" w:cstheme="minorHAnsi"/>
          <w:szCs w:val="24"/>
          <w:lang w:val="ru-RU"/>
        </w:rPr>
      </w:pPr>
      <w:r w:rsidRPr="00A52BB4">
        <w:rPr>
          <w:lang w:val="ru-RU" w:bidi="ru-RU"/>
        </w:rPr>
        <w:t>1</w:t>
      </w:r>
      <w:r>
        <w:rPr>
          <w:lang w:val="ru-RU" w:bidi="ru-RU"/>
        </w:rPr>
        <w:tab/>
      </w:r>
      <w:r w:rsidR="00C935FD" w:rsidRPr="00881896">
        <w:rPr>
          <w:lang w:val="ru-RU" w:bidi="ru-RU"/>
        </w:rPr>
        <w:t>Просить Генерального секретаря провести переговоры с Генеральным подрядчиком с целью поиска путей сокращения общей стоимости в части увеличенных сумм в пересмотренном бюджете, указанных в Приложении А к Отчету о ходе осуществления проекта по помещениям штаб-квартиры Союза (</w:t>
      </w:r>
      <w:hyperlink r:id="rId21" w:history="1">
        <w:r w:rsidR="00C935FD" w:rsidRPr="00881896">
          <w:rPr>
            <w:color w:val="0000FF"/>
            <w:u w:val="single"/>
            <w:lang w:val="ru-RU" w:bidi="ru-RU"/>
          </w:rPr>
          <w:t>Документ C23/7</w:t>
        </w:r>
      </w:hyperlink>
      <w:r w:rsidR="00C935FD" w:rsidRPr="00881896">
        <w:rPr>
          <w:lang w:val="ru-RU" w:bidi="ru-RU"/>
        </w:rPr>
        <w:t>). Для этого</w:t>
      </w:r>
      <w:r w:rsidR="00291601">
        <w:rPr>
          <w:lang w:val="ru-RU" w:bidi="ru-RU"/>
        </w:rPr>
        <w:t>,</w:t>
      </w:r>
      <w:r w:rsidR="00C935FD" w:rsidRPr="00881896">
        <w:rPr>
          <w:lang w:val="ru-RU" w:bidi="ru-RU"/>
        </w:rPr>
        <w:t xml:space="preserve"> возможно</w:t>
      </w:r>
      <w:r w:rsidR="00291601">
        <w:rPr>
          <w:lang w:val="ru-RU" w:bidi="ru-RU"/>
        </w:rPr>
        <w:t>,</w:t>
      </w:r>
      <w:r w:rsidR="00C935FD" w:rsidRPr="00881896">
        <w:rPr>
          <w:lang w:val="ru-RU" w:bidi="ru-RU"/>
        </w:rPr>
        <w:t xml:space="preserve"> потребуется определить области в проекте, которые можно заменить менее дорогостоящими конструктивными решениями или требованиями. Эти переговоры должны быть завершены до сентября 2023 года.</w:t>
      </w:r>
    </w:p>
    <w:p w14:paraId="3CA5B2EF" w14:textId="2D4C841D" w:rsidR="00C935FD" w:rsidRPr="00E952E1" w:rsidRDefault="00A52BB4" w:rsidP="00A52BB4">
      <w:pPr>
        <w:pStyle w:val="enumlev1"/>
        <w:rPr>
          <w:rFonts w:asciiTheme="minorHAnsi" w:eastAsia="Calibri" w:hAnsiTheme="minorHAnsi" w:cstheme="minorHAnsi"/>
          <w:szCs w:val="24"/>
          <w:lang w:val="ru-RU"/>
        </w:rPr>
      </w:pPr>
      <w:r w:rsidRPr="00A52BB4">
        <w:rPr>
          <w:lang w:val="ru-RU" w:bidi="ru-RU"/>
        </w:rPr>
        <w:t>2</w:t>
      </w:r>
      <w:r w:rsidRPr="00A52BB4">
        <w:rPr>
          <w:lang w:val="ru-RU" w:bidi="ru-RU"/>
        </w:rPr>
        <w:tab/>
      </w:r>
      <w:r w:rsidR="00C935FD" w:rsidRPr="00881896">
        <w:rPr>
          <w:lang w:val="ru-RU" w:bidi="ru-RU"/>
        </w:rPr>
        <w:t>Объяснени</w:t>
      </w:r>
      <w:r w:rsidR="00291601">
        <w:rPr>
          <w:lang w:val="ru-RU" w:bidi="ru-RU"/>
        </w:rPr>
        <w:t>й</w:t>
      </w:r>
      <w:r w:rsidR="00C935FD" w:rsidRPr="00881896">
        <w:rPr>
          <w:lang w:val="ru-RU" w:bidi="ru-RU"/>
        </w:rPr>
        <w:t>, приведенны</w:t>
      </w:r>
      <w:r w:rsidR="00A56E49">
        <w:rPr>
          <w:lang w:val="ru-RU" w:bidi="ru-RU"/>
        </w:rPr>
        <w:t>х</w:t>
      </w:r>
      <w:r w:rsidR="00C935FD" w:rsidRPr="00881896">
        <w:rPr>
          <w:lang w:val="ru-RU" w:bidi="ru-RU"/>
        </w:rPr>
        <w:t xml:space="preserve"> в </w:t>
      </w:r>
      <w:hyperlink r:id="rId22" w:history="1">
        <w:r w:rsidR="00C935FD" w:rsidRPr="00881896">
          <w:rPr>
            <w:color w:val="0000FF"/>
            <w:u w:val="single"/>
            <w:lang w:val="ru-RU" w:bidi="ru-RU"/>
          </w:rPr>
          <w:t>Документе C23/7</w:t>
        </w:r>
      </w:hyperlink>
      <w:r w:rsidR="00A56E49">
        <w:rPr>
          <w:lang w:val="ru-RU" w:bidi="ru-RU"/>
        </w:rPr>
        <w:t>, не</w:t>
      </w:r>
      <w:r w:rsidR="00C935FD" w:rsidRPr="00881896">
        <w:rPr>
          <w:lang w:val="ru-RU" w:bidi="ru-RU"/>
        </w:rPr>
        <w:t>достаточн</w:t>
      </w:r>
      <w:r w:rsidR="00291601">
        <w:rPr>
          <w:lang w:val="ru-RU" w:bidi="ru-RU"/>
        </w:rPr>
        <w:t>о</w:t>
      </w:r>
      <w:r w:rsidR="00C935FD" w:rsidRPr="00881896">
        <w:rPr>
          <w:lang w:val="ru-RU" w:bidi="ru-RU"/>
        </w:rPr>
        <w:t xml:space="preserve"> для обоснования цифр в пересмотренном бюджете, приведенных в Приложени</w:t>
      </w:r>
      <w:r w:rsidR="00291601">
        <w:rPr>
          <w:lang w:val="ru-RU" w:bidi="ru-RU"/>
        </w:rPr>
        <w:t>ях</w:t>
      </w:r>
      <w:r w:rsidR="00C935FD" w:rsidRPr="00881896">
        <w:rPr>
          <w:lang w:val="ru-RU" w:bidi="ru-RU"/>
        </w:rPr>
        <w:t xml:space="preserve"> А и B. Так, неясно, почему бюджет по аудиовизуальным средствам, мебел</w:t>
      </w:r>
      <w:r w:rsidR="00510FDC">
        <w:rPr>
          <w:lang w:val="ru-RU" w:bidi="ru-RU"/>
        </w:rPr>
        <w:t>и</w:t>
      </w:r>
      <w:r w:rsidR="00C935FD" w:rsidRPr="00881896">
        <w:rPr>
          <w:lang w:val="ru-RU" w:bidi="ru-RU"/>
        </w:rPr>
        <w:t xml:space="preserve">, </w:t>
      </w:r>
      <w:r w:rsidR="00510FDC">
        <w:rPr>
          <w:lang w:val="ru-RU" w:bidi="ru-RU"/>
        </w:rPr>
        <w:t>инвентарю</w:t>
      </w:r>
      <w:r w:rsidR="00C935FD" w:rsidRPr="00881896">
        <w:rPr>
          <w:lang w:val="ru-RU" w:bidi="ru-RU"/>
        </w:rPr>
        <w:t xml:space="preserve"> и оборудовани</w:t>
      </w:r>
      <w:r w:rsidR="00510FDC">
        <w:rPr>
          <w:lang w:val="ru-RU" w:bidi="ru-RU"/>
        </w:rPr>
        <w:t>ю</w:t>
      </w:r>
      <w:r w:rsidR="00C935FD" w:rsidRPr="00881896">
        <w:rPr>
          <w:lang w:val="ru-RU" w:bidi="ru-RU"/>
        </w:rPr>
        <w:t xml:space="preserve"> увеличился с 13</w:t>
      </w:r>
      <w:r w:rsidR="00A56E49">
        <w:rPr>
          <w:lang w:val="ru-RU" w:bidi="ru-RU"/>
        </w:rPr>
        <w:t> </w:t>
      </w:r>
      <w:r w:rsidR="00C935FD" w:rsidRPr="00881896">
        <w:rPr>
          <w:lang w:val="ru-RU" w:bidi="ru-RU"/>
        </w:rPr>
        <w:t>630</w:t>
      </w:r>
      <w:r w:rsidR="00A56E49">
        <w:rPr>
          <w:lang w:val="ru-RU" w:bidi="ru-RU"/>
        </w:rPr>
        <w:t> </w:t>
      </w:r>
      <w:r w:rsidR="00C935FD" w:rsidRPr="00881896">
        <w:rPr>
          <w:lang w:val="ru-RU" w:bidi="ru-RU"/>
        </w:rPr>
        <w:t>000 до 18</w:t>
      </w:r>
      <w:r w:rsidR="00A56E49">
        <w:rPr>
          <w:lang w:val="ru-RU" w:bidi="ru-RU"/>
        </w:rPr>
        <w:t> </w:t>
      </w:r>
      <w:r w:rsidR="00C935FD" w:rsidRPr="00881896">
        <w:rPr>
          <w:lang w:val="ru-RU" w:bidi="ru-RU"/>
        </w:rPr>
        <w:t>355</w:t>
      </w:r>
      <w:r w:rsidR="00A56E49">
        <w:rPr>
          <w:lang w:val="ru-RU" w:bidi="ru-RU"/>
        </w:rPr>
        <w:t> </w:t>
      </w:r>
      <w:r w:rsidR="00C935FD" w:rsidRPr="00881896">
        <w:rPr>
          <w:lang w:val="ru-RU" w:bidi="ru-RU"/>
        </w:rPr>
        <w:t>000</w:t>
      </w:r>
      <w:r w:rsidR="00A56E49">
        <w:rPr>
          <w:lang w:val="ru-RU" w:bidi="ru-RU"/>
        </w:rPr>
        <w:t xml:space="preserve"> швейцарских франков</w:t>
      </w:r>
      <w:r w:rsidR="00C935FD" w:rsidRPr="00881896">
        <w:rPr>
          <w:lang w:val="ru-RU" w:bidi="ru-RU"/>
        </w:rPr>
        <w:t>. Мы просим Секретариат МСЭ предоставить до сентября 2023 года подробную информацию, которая поможет определить причины такого увеличения.</w:t>
      </w:r>
    </w:p>
    <w:p w14:paraId="3BCE4740" w14:textId="06163A1E" w:rsidR="00C935FD" w:rsidRPr="00881896" w:rsidRDefault="00A52BB4" w:rsidP="00A52BB4">
      <w:pPr>
        <w:pStyle w:val="enumlev1"/>
        <w:rPr>
          <w:rFonts w:asciiTheme="minorHAnsi" w:eastAsia="Calibri" w:hAnsiTheme="minorHAnsi" w:cstheme="minorHAnsi"/>
          <w:szCs w:val="24"/>
          <w:rtl/>
          <w:lang w:val="en-US"/>
        </w:rPr>
      </w:pPr>
      <w:r w:rsidRPr="00A52BB4">
        <w:rPr>
          <w:lang w:val="ru-RU" w:bidi="ru-RU"/>
        </w:rPr>
        <w:t>3</w:t>
      </w:r>
      <w:r w:rsidRPr="00A52BB4">
        <w:rPr>
          <w:lang w:val="ru-RU" w:bidi="ru-RU"/>
        </w:rPr>
        <w:tab/>
      </w:r>
      <w:r w:rsidR="00C935FD" w:rsidRPr="00881896">
        <w:rPr>
          <w:lang w:val="ru-RU" w:bidi="ru-RU"/>
        </w:rPr>
        <w:t xml:space="preserve">Провести дополнительную сессию Совета в сентябре 2023 года для обсуждения </w:t>
      </w:r>
      <w:r w:rsidR="004C3692">
        <w:rPr>
          <w:lang w:val="ru-RU" w:bidi="ru-RU"/>
        </w:rPr>
        <w:t>итогов по пп.</w:t>
      </w:r>
      <w:r w:rsidR="00C935FD" w:rsidRPr="00881896">
        <w:rPr>
          <w:lang w:val="ru-RU" w:bidi="ru-RU"/>
        </w:rPr>
        <w:t xml:space="preserve"> 1) и 2) выше и утверждения дополнительного финансирования (при наличии такового) </w:t>
      </w:r>
      <w:r w:rsidR="004C3692">
        <w:rPr>
          <w:lang w:val="ru-RU" w:bidi="ru-RU"/>
        </w:rPr>
        <w:t>затрат на проект</w:t>
      </w:r>
      <w:r w:rsidR="00C935FD" w:rsidRPr="00881896">
        <w:rPr>
          <w:lang w:val="ru-RU" w:bidi="ru-RU"/>
        </w:rPr>
        <w:t xml:space="preserve"> и финансовой поддержки.</w:t>
      </w:r>
    </w:p>
    <w:p w14:paraId="66CCD029" w14:textId="6011293C" w:rsidR="002847BE" w:rsidRPr="002847BE" w:rsidRDefault="00A52BB4" w:rsidP="00A52BB4">
      <w:pPr>
        <w:spacing w:before="720"/>
        <w:jc w:val="center"/>
      </w:pPr>
      <w:r>
        <w:t>______________</w:t>
      </w:r>
    </w:p>
    <w:sectPr w:rsidR="002847BE" w:rsidRPr="002847BE" w:rsidSect="00796BD3">
      <w:footerReference w:type="default" r:id="rId23"/>
      <w:headerReference w:type="first" r:id="rId24"/>
      <w:footerReference w:type="first" r:id="rId25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CCF26" w14:textId="77777777" w:rsidR="00FF4094" w:rsidRDefault="00FF4094">
      <w:r>
        <w:separator/>
      </w:r>
    </w:p>
  </w:endnote>
  <w:endnote w:type="continuationSeparator" w:id="0">
    <w:p w14:paraId="44E85060" w14:textId="77777777" w:rsidR="00FF4094" w:rsidRDefault="00FF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18F34C9" w14:textId="77777777" w:rsidTr="00E31DCE">
      <w:trPr>
        <w:jc w:val="center"/>
      </w:trPr>
      <w:tc>
        <w:tcPr>
          <w:tcW w:w="1803" w:type="dxa"/>
          <w:vAlign w:val="center"/>
        </w:tcPr>
        <w:p w14:paraId="1DDA355E" w14:textId="69B73F90" w:rsidR="00672F8A" w:rsidRDefault="00672F8A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C935FD">
            <w:rPr>
              <w:noProof/>
              <w:lang w:val="ru-RU" w:bidi="ru-RU"/>
            </w:rPr>
            <w:t>525366</w:t>
          </w:r>
        </w:p>
      </w:tc>
      <w:tc>
        <w:tcPr>
          <w:tcW w:w="8261" w:type="dxa"/>
        </w:tcPr>
        <w:p w14:paraId="573E0694" w14:textId="17434F15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C935FD">
            <w:rPr>
              <w:bCs/>
              <w:lang w:val="ru-RU"/>
            </w:rPr>
            <w:t>95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DE8AE67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7F4E63A7" w14:textId="77777777" w:rsidTr="00E31DCE">
      <w:trPr>
        <w:jc w:val="center"/>
      </w:trPr>
      <w:tc>
        <w:tcPr>
          <w:tcW w:w="1803" w:type="dxa"/>
          <w:vAlign w:val="center"/>
        </w:tcPr>
        <w:p w14:paraId="09839B81" w14:textId="77777777" w:rsidR="00672F8A" w:rsidRDefault="008A7F31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18F16222" w14:textId="6457E92E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C935FD">
            <w:rPr>
              <w:bCs/>
              <w:lang w:val="ru-RU"/>
            </w:rPr>
            <w:t>95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D51EB6F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DD61A" w14:textId="77777777" w:rsidR="00FF4094" w:rsidRDefault="00FF4094">
      <w:r>
        <w:t>____________________</w:t>
      </w:r>
    </w:p>
  </w:footnote>
  <w:footnote w:type="continuationSeparator" w:id="0">
    <w:p w14:paraId="15A38560" w14:textId="77777777" w:rsidR="00FF4094" w:rsidRDefault="00FF4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0FCF88CC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E53F8F0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noProof/>
            </w:rPr>
            <w:drawing>
              <wp:inline distT="0" distB="0" distL="0" distR="0" wp14:anchorId="4CDEA0D6" wp14:editId="13CD1014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681DA44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E9F3CB0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DE831E9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7"/>
  <w:p w14:paraId="27BFA2B9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EE9D0B" wp14:editId="290B774E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D7801F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56"/>
    <w:rsid w:val="00005BE0"/>
    <w:rsid w:val="0002183E"/>
    <w:rsid w:val="000569B4"/>
    <w:rsid w:val="00080E82"/>
    <w:rsid w:val="000B2DE7"/>
    <w:rsid w:val="000C1998"/>
    <w:rsid w:val="000E568E"/>
    <w:rsid w:val="0014734F"/>
    <w:rsid w:val="0015710D"/>
    <w:rsid w:val="00163A32"/>
    <w:rsid w:val="00165D06"/>
    <w:rsid w:val="0019167C"/>
    <w:rsid w:val="00192B41"/>
    <w:rsid w:val="001B7B09"/>
    <w:rsid w:val="001E6719"/>
    <w:rsid w:val="001E7F50"/>
    <w:rsid w:val="00225368"/>
    <w:rsid w:val="00227FF0"/>
    <w:rsid w:val="00240C35"/>
    <w:rsid w:val="00271E73"/>
    <w:rsid w:val="002847BE"/>
    <w:rsid w:val="00291601"/>
    <w:rsid w:val="00291EB6"/>
    <w:rsid w:val="002D2F57"/>
    <w:rsid w:val="002D48C5"/>
    <w:rsid w:val="0033025A"/>
    <w:rsid w:val="00373BB9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3537"/>
    <w:rsid w:val="004A45B5"/>
    <w:rsid w:val="004C3692"/>
    <w:rsid w:val="004D0129"/>
    <w:rsid w:val="004F35D2"/>
    <w:rsid w:val="00510FDC"/>
    <w:rsid w:val="00532106"/>
    <w:rsid w:val="005A64D5"/>
    <w:rsid w:val="005B3DEC"/>
    <w:rsid w:val="00601994"/>
    <w:rsid w:val="00606669"/>
    <w:rsid w:val="00672F8A"/>
    <w:rsid w:val="006E2D42"/>
    <w:rsid w:val="00703676"/>
    <w:rsid w:val="00707304"/>
    <w:rsid w:val="00732269"/>
    <w:rsid w:val="00762555"/>
    <w:rsid w:val="00785ABD"/>
    <w:rsid w:val="00796BD3"/>
    <w:rsid w:val="007A2DD4"/>
    <w:rsid w:val="007C2E56"/>
    <w:rsid w:val="007D38B5"/>
    <w:rsid w:val="007E7EA0"/>
    <w:rsid w:val="00807255"/>
    <w:rsid w:val="0081023E"/>
    <w:rsid w:val="008173AA"/>
    <w:rsid w:val="00840A14"/>
    <w:rsid w:val="008A7F31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33CC3"/>
    <w:rsid w:val="00A52BB4"/>
    <w:rsid w:val="00A56E49"/>
    <w:rsid w:val="00A71773"/>
    <w:rsid w:val="00AE2C85"/>
    <w:rsid w:val="00B12A37"/>
    <w:rsid w:val="00B41837"/>
    <w:rsid w:val="00B63EF2"/>
    <w:rsid w:val="00B77D10"/>
    <w:rsid w:val="00BA7D89"/>
    <w:rsid w:val="00BC0D39"/>
    <w:rsid w:val="00BC7BC0"/>
    <w:rsid w:val="00BD57B7"/>
    <w:rsid w:val="00BE63E2"/>
    <w:rsid w:val="00C37D22"/>
    <w:rsid w:val="00C935FD"/>
    <w:rsid w:val="00CD2009"/>
    <w:rsid w:val="00CF629C"/>
    <w:rsid w:val="00D12518"/>
    <w:rsid w:val="00D31911"/>
    <w:rsid w:val="00D40B87"/>
    <w:rsid w:val="00D92EEA"/>
    <w:rsid w:val="00DA5D4E"/>
    <w:rsid w:val="00DE799D"/>
    <w:rsid w:val="00E176BA"/>
    <w:rsid w:val="00E423EC"/>
    <w:rsid w:val="00E55121"/>
    <w:rsid w:val="00EB4FCB"/>
    <w:rsid w:val="00EC6BC5"/>
    <w:rsid w:val="00F35898"/>
    <w:rsid w:val="00F5225B"/>
    <w:rsid w:val="00FB6D79"/>
    <w:rsid w:val="00FE5701"/>
    <w:rsid w:val="00FF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36307C"/>
  <w15:docId w15:val="{910FA730-66E4-4685-92A8-694E69F5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2B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A52BB4"/>
    <w:pPr>
      <w:spacing w:before="480"/>
    </w:pPr>
    <w:rPr>
      <w:b/>
      <w:sz w:val="32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A52BB4"/>
    <w:pPr>
      <w:framePr w:hSpace="180" w:wrap="around" w:hAnchor="page" w:x="1821" w:y="2317"/>
      <w:spacing w:before="120" w:after="160"/>
    </w:pPr>
    <w:rPr>
      <w: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4-CL-C-0050/en" TargetMode="External"/><Relationship Id="rId13" Type="http://schemas.openxmlformats.org/officeDocument/2006/relationships/hyperlink" Target="https://www.itu.int/md/S23-CL-C-0007/en" TargetMode="External"/><Relationship Id="rId18" Type="http://schemas.openxmlformats.org/officeDocument/2006/relationships/hyperlink" Target="https://www.itu.int/md/S19-CLADD-C-0002/en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itu.int/md/S23-CL-C-0007/en" TargetMode="External"/><Relationship Id="rId7" Type="http://schemas.openxmlformats.org/officeDocument/2006/relationships/hyperlink" Target="https://www.itu.int/md/S13-CL-INF-0018/en" TargetMode="External"/><Relationship Id="rId12" Type="http://schemas.openxmlformats.org/officeDocument/2006/relationships/hyperlink" Target="https://www.itu.int/md/S23-CL-C-0048/en" TargetMode="External"/><Relationship Id="rId17" Type="http://schemas.openxmlformats.org/officeDocument/2006/relationships/hyperlink" Target="https://www.itu.int/md/S16-CL-C-0124/en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s://www.itu.int/md/S16-CL-C-0007/en" TargetMode="External"/><Relationship Id="rId20" Type="http://schemas.openxmlformats.org/officeDocument/2006/relationships/hyperlink" Target="https://www.itu.int/md/S23-CL-C-0048/en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tu.int/en/council/Documents/basic-texts-2023/RES-212-r.pdf" TargetMode="External"/><Relationship Id="rId11" Type="http://schemas.openxmlformats.org/officeDocument/2006/relationships/hyperlink" Target="https://www.itu.int/md/S19-CLADD-C-0002/en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www.itu.int/md/S14-CL-C-0050/en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tu.int/md/S16-CL-C-0124/en" TargetMode="External"/><Relationship Id="rId19" Type="http://schemas.openxmlformats.org/officeDocument/2006/relationships/hyperlink" Target="https://www.itu.int/en/council/Documents/basic-texts-2023/RES-212-r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tu.int/md/S16-CL-C-0007/en" TargetMode="External"/><Relationship Id="rId14" Type="http://schemas.openxmlformats.org/officeDocument/2006/relationships/hyperlink" Target="https://www.itu.int/md/S13-CL-INF-0018/en" TargetMode="External"/><Relationship Id="rId22" Type="http://schemas.openxmlformats.org/officeDocument/2006/relationships/hyperlink" Target="https://www.itu.int/md/S23-CL-C-0007/en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0</TotalTime>
  <Pages>3</Pages>
  <Words>835</Words>
  <Characters>6729</Characters>
  <Application>Microsoft Office Word</Application>
  <DocSecurity>4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7549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Multi-country contribution - Proposal on the Union's headquarters project</dc:title>
  <dc:subject>Council 2023</dc:subject>
  <dc:creator>Xue, Kun</dc:creator>
  <cp:keywords>C2023, C23, Council-23</cp:keywords>
  <dc:description/>
  <cp:lastModifiedBy>Xue, Kun</cp:lastModifiedBy>
  <cp:revision>2</cp:revision>
  <cp:lastPrinted>2006-03-28T16:12:00Z</cp:lastPrinted>
  <dcterms:created xsi:type="dcterms:W3CDTF">2023-07-10T10:25:00Z</dcterms:created>
  <dcterms:modified xsi:type="dcterms:W3CDTF">2023-07-10T10:25:00Z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