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C04B57" w14:paraId="4DBDFC69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3BB9391" w14:textId="67AF92F6" w:rsidR="00D72F49" w:rsidRPr="00C04B57" w:rsidRDefault="00D72F49" w:rsidP="00332244">
            <w:pPr>
              <w:tabs>
                <w:tab w:val="left" w:pos="851"/>
              </w:tabs>
              <w:spacing w:before="0"/>
              <w:rPr>
                <w:b/>
              </w:rPr>
            </w:pPr>
            <w:r w:rsidRPr="00C04B57">
              <w:rPr>
                <w:b/>
              </w:rPr>
              <w:t>Point de l'ordre du jour</w:t>
            </w:r>
            <w:r w:rsidRPr="00CA1CE4">
              <w:rPr>
                <w:b/>
              </w:rPr>
              <w:t xml:space="preserve">: </w:t>
            </w:r>
            <w:r w:rsidR="00346036" w:rsidRPr="00CA1CE4">
              <w:rPr>
                <w:b/>
              </w:rPr>
              <w:t>ADM 1</w:t>
            </w:r>
          </w:p>
        </w:tc>
        <w:tc>
          <w:tcPr>
            <w:tcW w:w="5245" w:type="dxa"/>
          </w:tcPr>
          <w:p w14:paraId="6E18F00C" w14:textId="30F897A0" w:rsidR="00D72F49" w:rsidRPr="00C04B57" w:rsidRDefault="00D72F49" w:rsidP="00332244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C04B57">
              <w:rPr>
                <w:b/>
              </w:rPr>
              <w:t>Document C23/</w:t>
            </w:r>
            <w:r w:rsidR="00346036" w:rsidRPr="00C04B57">
              <w:rPr>
                <w:b/>
              </w:rPr>
              <w:t>94</w:t>
            </w:r>
            <w:r w:rsidRPr="00C04B57">
              <w:rPr>
                <w:b/>
              </w:rPr>
              <w:t>-F</w:t>
            </w:r>
          </w:p>
        </w:tc>
      </w:tr>
      <w:tr w:rsidR="00D72F49" w:rsidRPr="00C04B57" w14:paraId="1A9173E6" w14:textId="77777777" w:rsidTr="00D72F49">
        <w:trPr>
          <w:cantSplit/>
        </w:trPr>
        <w:tc>
          <w:tcPr>
            <w:tcW w:w="3969" w:type="dxa"/>
            <w:vMerge/>
          </w:tcPr>
          <w:p w14:paraId="0C893252" w14:textId="77777777" w:rsidR="00D72F49" w:rsidRPr="00C04B57" w:rsidRDefault="00D72F49" w:rsidP="00332244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65C3608" w14:textId="6D8F6817" w:rsidR="00D72F49" w:rsidRPr="00C04B57" w:rsidRDefault="00346036" w:rsidP="00332244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C04B57">
              <w:rPr>
                <w:b/>
              </w:rPr>
              <w:t>27 juin</w:t>
            </w:r>
            <w:r w:rsidR="00D72F49" w:rsidRPr="00C04B57">
              <w:rPr>
                <w:b/>
              </w:rPr>
              <w:t xml:space="preserve"> 2023</w:t>
            </w:r>
          </w:p>
        </w:tc>
      </w:tr>
      <w:tr w:rsidR="00D72F49" w:rsidRPr="00C04B57" w14:paraId="69A274E7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591811B9" w14:textId="77777777" w:rsidR="00D72F49" w:rsidRPr="00C04B57" w:rsidRDefault="00D72F49" w:rsidP="00332244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B6CD7E0" w14:textId="74BDB5BA" w:rsidR="00D72F49" w:rsidRPr="00C04B57" w:rsidRDefault="00D72F49" w:rsidP="00332244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C04B57">
              <w:rPr>
                <w:b/>
              </w:rPr>
              <w:t xml:space="preserve">Original: </w:t>
            </w:r>
            <w:r w:rsidR="00346036" w:rsidRPr="00C04B57">
              <w:rPr>
                <w:b/>
              </w:rPr>
              <w:t>anglais</w:t>
            </w:r>
          </w:p>
        </w:tc>
      </w:tr>
      <w:tr w:rsidR="00D72F49" w:rsidRPr="00C04B57" w14:paraId="18AD73D7" w14:textId="77777777" w:rsidTr="00D72F49">
        <w:trPr>
          <w:cantSplit/>
          <w:trHeight w:val="23"/>
        </w:trPr>
        <w:tc>
          <w:tcPr>
            <w:tcW w:w="3969" w:type="dxa"/>
          </w:tcPr>
          <w:p w14:paraId="186BBB88" w14:textId="77777777" w:rsidR="00D72F49" w:rsidRPr="00C04B57" w:rsidRDefault="00D72F49" w:rsidP="00332244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7805FC50" w14:textId="77777777" w:rsidR="00D72F49" w:rsidRPr="00C04B57" w:rsidRDefault="00D72F49" w:rsidP="00332244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  <w:tr w:rsidR="00D72F49" w:rsidRPr="00C04B57" w14:paraId="5F811A67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141AC70" w14:textId="2F812F5B" w:rsidR="00D72F49" w:rsidRPr="00C04B57" w:rsidRDefault="00486A04" w:rsidP="00332244">
            <w:pPr>
              <w:pStyle w:val="Source"/>
              <w:jc w:val="left"/>
              <w:rPr>
                <w:sz w:val="34"/>
                <w:szCs w:val="34"/>
              </w:rPr>
            </w:pPr>
            <w:r w:rsidRPr="00C04B57">
              <w:rPr>
                <w:rFonts w:cstheme="minorHAnsi"/>
                <w:color w:val="000000"/>
                <w:sz w:val="34"/>
                <w:szCs w:val="34"/>
              </w:rPr>
              <w:t>Contribution de</w:t>
            </w:r>
            <w:r w:rsidR="003B486E" w:rsidRPr="00C04B57">
              <w:rPr>
                <w:rFonts w:cstheme="minorHAnsi"/>
                <w:color w:val="000000"/>
                <w:sz w:val="34"/>
                <w:szCs w:val="34"/>
              </w:rPr>
              <w:t>s pays suivants:</w:t>
            </w:r>
            <w:r w:rsidRPr="00C04B57">
              <w:rPr>
                <w:rFonts w:cstheme="minorHAnsi"/>
                <w:color w:val="000000"/>
                <w:sz w:val="34"/>
                <w:szCs w:val="34"/>
              </w:rPr>
              <w:t xml:space="preserve"> </w:t>
            </w:r>
            <w:r w:rsidR="00346036" w:rsidRPr="00C04B57">
              <w:rPr>
                <w:rFonts w:cstheme="minorHAnsi"/>
                <w:color w:val="000000"/>
                <w:sz w:val="34"/>
                <w:szCs w:val="34"/>
              </w:rPr>
              <w:t>Algérie (République algérienne démocratique et populaire), Arabie saoudite (Royaume d'), Bahreïn (Royaume de), Égypte (République arabe d'), Émirats</w:t>
            </w:r>
            <w:r w:rsidR="003B486E" w:rsidRPr="00C04B57">
              <w:rPr>
                <w:rFonts w:cstheme="minorHAnsi"/>
                <w:color w:val="000000"/>
                <w:sz w:val="34"/>
                <w:szCs w:val="34"/>
              </w:rPr>
              <w:t> </w:t>
            </w:r>
            <w:r w:rsidR="00346036" w:rsidRPr="00C04B57">
              <w:rPr>
                <w:rFonts w:cstheme="minorHAnsi"/>
                <w:color w:val="000000"/>
                <w:sz w:val="34"/>
                <w:szCs w:val="34"/>
              </w:rPr>
              <w:t xml:space="preserve">arabes unis, Koweït (État du), Maroc (Royaume du), </w:t>
            </w:r>
            <w:r w:rsidR="00332244" w:rsidRPr="00C04B57">
              <w:rPr>
                <w:rFonts w:cstheme="minorHAnsi"/>
                <w:color w:val="000000"/>
                <w:sz w:val="34"/>
                <w:szCs w:val="34"/>
              </w:rPr>
              <w:t xml:space="preserve">République </w:t>
            </w:r>
            <w:r w:rsidR="00582C31" w:rsidRPr="00C04B57">
              <w:rPr>
                <w:rFonts w:cstheme="minorHAnsi"/>
                <w:color w:val="000000"/>
                <w:sz w:val="34"/>
                <w:szCs w:val="34"/>
              </w:rPr>
              <w:t>s</w:t>
            </w:r>
            <w:r w:rsidR="00346036" w:rsidRPr="00C04B57">
              <w:rPr>
                <w:rFonts w:cstheme="minorHAnsi"/>
                <w:color w:val="000000"/>
                <w:sz w:val="34"/>
                <w:szCs w:val="34"/>
              </w:rPr>
              <w:t>udafricaine et Tunisie</w:t>
            </w:r>
          </w:p>
        </w:tc>
      </w:tr>
      <w:tr w:rsidR="00D72F49" w:rsidRPr="00C04B57" w14:paraId="5E576FE2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6DED9D3" w14:textId="23C360D9" w:rsidR="00D72F49" w:rsidRPr="00C04B57" w:rsidRDefault="00CD13E4" w:rsidP="00332244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r w:rsidRPr="00C04B57">
              <w:rPr>
                <w:lang w:val="fr-FR"/>
              </w:rPr>
              <w:t>GÉNÉRER DES PRODUITS POUR L'UIT</w:t>
            </w:r>
          </w:p>
        </w:tc>
      </w:tr>
      <w:tr w:rsidR="00D72F49" w:rsidRPr="00C04B57" w14:paraId="57D5E946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B6C113C" w14:textId="71E4E48F" w:rsidR="00D72F49" w:rsidRPr="00C04B57" w:rsidRDefault="00EF2CB4" w:rsidP="00332244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04B57">
              <w:rPr>
                <w:b/>
                <w:bCs/>
                <w:sz w:val="26"/>
                <w:szCs w:val="26"/>
              </w:rPr>
              <w:t>Objet</w:t>
            </w:r>
          </w:p>
          <w:p w14:paraId="5BDE065C" w14:textId="4A60E3C7" w:rsidR="00D72F49" w:rsidRPr="00C04B57" w:rsidRDefault="00900026" w:rsidP="00332244">
            <w:r w:rsidRPr="00C04B57">
              <w:t xml:space="preserve">La présente contribution traite de la nécessité urgente pour l'UIT </w:t>
            </w:r>
            <w:r w:rsidR="001E3169" w:rsidRPr="00C04B57">
              <w:t>de disposer de</w:t>
            </w:r>
            <w:r w:rsidRPr="00C04B57">
              <w:t xml:space="preserve"> plans précis pour générer de </w:t>
            </w:r>
            <w:r w:rsidR="0010784F" w:rsidRPr="00C04B57">
              <w:t>n</w:t>
            </w:r>
            <w:r w:rsidRPr="00C04B57">
              <w:t>ouvelles sources de produ</w:t>
            </w:r>
            <w:r w:rsidR="0010784F" w:rsidRPr="00C04B57">
              <w:t>its qui permettront à l'Union de compter sur un budget viable et équilibré, d'être en mesure d</w:t>
            </w:r>
            <w:r w:rsidR="00F71337" w:rsidRPr="00C04B57">
              <w:t xml:space="preserve">e mettre en œuvre </w:t>
            </w:r>
            <w:r w:rsidR="0010784F" w:rsidRPr="00C04B57">
              <w:t xml:space="preserve">les </w:t>
            </w:r>
            <w:r w:rsidR="00E06356" w:rsidRPr="00C04B57">
              <w:t>r</w:t>
            </w:r>
            <w:r w:rsidR="0010784F" w:rsidRPr="00C04B57">
              <w:t xml:space="preserve">ésolutions issues de ses conférences et </w:t>
            </w:r>
            <w:r w:rsidR="00502391" w:rsidRPr="00C04B57">
              <w:t xml:space="preserve">de s'adapter à l'évolution continue des télécommunications/technologies de l'information et de la communication (TIC). </w:t>
            </w:r>
            <w:r w:rsidR="00CE5298" w:rsidRPr="00C04B57">
              <w:t xml:space="preserve">À cet égard, nous proposons </w:t>
            </w:r>
            <w:r w:rsidR="000901D0" w:rsidRPr="00C04B57">
              <w:t>des</w:t>
            </w:r>
            <w:r w:rsidR="00CE5298" w:rsidRPr="00C04B57">
              <w:t xml:space="preserve"> mesures susceptibles de contribuer à générer de nouvelles sources de produits.</w:t>
            </w:r>
          </w:p>
          <w:p w14:paraId="6FA6CFE9" w14:textId="77777777" w:rsidR="00D72F49" w:rsidRPr="00C04B57" w:rsidRDefault="00D72F49" w:rsidP="00332244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04B57">
              <w:rPr>
                <w:b/>
                <w:bCs/>
                <w:sz w:val="26"/>
                <w:szCs w:val="26"/>
              </w:rPr>
              <w:t>Suite à donner par le Conseil</w:t>
            </w:r>
          </w:p>
          <w:p w14:paraId="6D830B56" w14:textId="7BF6D664" w:rsidR="00D72F49" w:rsidRPr="00C04B57" w:rsidRDefault="00A278D0" w:rsidP="00332244">
            <w:r w:rsidRPr="00C04B57">
              <w:t xml:space="preserve">Le Conseil est invité </w:t>
            </w:r>
            <w:r w:rsidRPr="00C04B57">
              <w:rPr>
                <w:b/>
                <w:bCs/>
              </w:rPr>
              <w:t>à examiner</w:t>
            </w:r>
            <w:r w:rsidRPr="00C04B57">
              <w:t xml:space="preserve"> la présente contribution et </w:t>
            </w:r>
            <w:r w:rsidRPr="00C04B57">
              <w:rPr>
                <w:b/>
                <w:bCs/>
              </w:rPr>
              <w:t>à prendre les mesures nécessaires</w:t>
            </w:r>
            <w:r w:rsidRPr="00C04B57">
              <w:t xml:space="preserve"> en conséquence.</w:t>
            </w:r>
          </w:p>
          <w:p w14:paraId="5218999B" w14:textId="77777777" w:rsidR="00D72F49" w:rsidRPr="00C04B57" w:rsidRDefault="00D72F49" w:rsidP="00332244">
            <w:pPr>
              <w:spacing w:before="160"/>
              <w:rPr>
                <w:caps/>
                <w:sz w:val="22"/>
              </w:rPr>
            </w:pPr>
            <w:r w:rsidRPr="00C04B57">
              <w:rPr>
                <w:sz w:val="22"/>
              </w:rPr>
              <w:t>__________________</w:t>
            </w:r>
          </w:p>
          <w:p w14:paraId="14C9B537" w14:textId="77777777" w:rsidR="00D72F49" w:rsidRPr="00C04B57" w:rsidRDefault="00D72F49" w:rsidP="00332244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04B57">
              <w:rPr>
                <w:b/>
                <w:bCs/>
                <w:sz w:val="26"/>
                <w:szCs w:val="26"/>
              </w:rPr>
              <w:t>Références</w:t>
            </w:r>
          </w:p>
          <w:p w14:paraId="1939C20B" w14:textId="7FA9B5AB" w:rsidR="00D72F49" w:rsidRPr="00C04B57" w:rsidRDefault="00BA14BE" w:rsidP="00332244">
            <w:pPr>
              <w:spacing w:after="160"/>
            </w:pPr>
            <w:hyperlink r:id="rId8" w:history="1">
              <w:r w:rsidR="00346036" w:rsidRPr="00C04B57">
                <w:rPr>
                  <w:rStyle w:val="Hyperlink"/>
                  <w:rFonts w:asciiTheme="minorHAnsi" w:hAnsiTheme="minorHAnsi" w:cstheme="minorHAnsi"/>
                  <w:szCs w:val="24"/>
                </w:rPr>
                <w:t>Résolution 158</w:t>
              </w:r>
            </w:hyperlink>
            <w:r w:rsidR="00346036" w:rsidRPr="00C04B57">
              <w:rPr>
                <w:rFonts w:asciiTheme="minorHAnsi" w:hAnsiTheme="minorHAnsi" w:cstheme="minorHAnsi"/>
                <w:szCs w:val="24"/>
              </w:rPr>
              <w:t xml:space="preserve"> (Rév. Busan, 2014) de la Conférence de plénipotentiaires, Document</w:t>
            </w:r>
            <w:r w:rsidR="003B486E" w:rsidRPr="00C04B57">
              <w:rPr>
                <w:rFonts w:asciiTheme="minorHAnsi" w:hAnsiTheme="minorHAnsi" w:cstheme="minorHAnsi"/>
                <w:szCs w:val="24"/>
              </w:rPr>
              <w:t> </w:t>
            </w:r>
            <w:hyperlink r:id="rId9" w:history="1">
              <w:r w:rsidR="00346036" w:rsidRPr="00C04B57">
                <w:rPr>
                  <w:rStyle w:val="Hyperlink"/>
                  <w:rFonts w:asciiTheme="minorHAnsi" w:hAnsiTheme="minorHAnsi" w:cstheme="minorHAnsi"/>
                  <w:szCs w:val="24"/>
                </w:rPr>
                <w:t>C22/INF/13-E</w:t>
              </w:r>
            </w:hyperlink>
            <w:r w:rsidR="00346036" w:rsidRPr="00C04B57">
              <w:rPr>
                <w:rFonts w:asciiTheme="minorHAnsi" w:hAnsiTheme="minorHAnsi" w:cstheme="minorHAnsi"/>
              </w:rPr>
              <w:t>.</w:t>
            </w:r>
          </w:p>
        </w:tc>
      </w:tr>
    </w:tbl>
    <w:p w14:paraId="28294A10" w14:textId="77777777" w:rsidR="00A51849" w:rsidRPr="00C04B57" w:rsidRDefault="00A51849" w:rsidP="0033224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C04B57">
        <w:br w:type="page"/>
      </w:r>
    </w:p>
    <w:p w14:paraId="3494854C" w14:textId="69708166" w:rsidR="00346036" w:rsidRPr="00C04B57" w:rsidRDefault="00346036" w:rsidP="00332244">
      <w:pPr>
        <w:pStyle w:val="Heading1"/>
      </w:pPr>
      <w:r w:rsidRPr="00C04B57">
        <w:lastRenderedPageBreak/>
        <w:t>1</w:t>
      </w:r>
      <w:r w:rsidRPr="00C04B57">
        <w:tab/>
      </w:r>
      <w:r w:rsidR="0027555C" w:rsidRPr="00C04B57">
        <w:t>Aperçu</w:t>
      </w:r>
    </w:p>
    <w:p w14:paraId="40CA786B" w14:textId="156DD649" w:rsidR="00346036" w:rsidRPr="00C04B57" w:rsidRDefault="00B07B56" w:rsidP="00332244">
      <w:r w:rsidRPr="00C04B57">
        <w:t>D</w:t>
      </w:r>
      <w:r w:rsidR="000C2DBE" w:rsidRPr="00C04B57">
        <w:t>epuis</w:t>
      </w:r>
      <w:r w:rsidR="00184BA7" w:rsidRPr="00C04B57">
        <w:t xml:space="preserve"> un certain nombre d'année</w:t>
      </w:r>
      <w:r w:rsidR="00E0150D" w:rsidRPr="00C04B57">
        <w:t>s,</w:t>
      </w:r>
      <w:r w:rsidR="00184BA7" w:rsidRPr="00C04B57">
        <w:t xml:space="preserve"> les</w:t>
      </w:r>
      <w:r w:rsidR="007F345C" w:rsidRPr="00C04B57">
        <w:t xml:space="preserve"> charges de l'Union internationale des télécommunications (UIT) </w:t>
      </w:r>
      <w:r w:rsidR="00184BA7" w:rsidRPr="00C04B57">
        <w:t>dépassent</w:t>
      </w:r>
      <w:r w:rsidR="00BA5692" w:rsidRPr="00C04B57">
        <w:t xml:space="preserve"> le budget alloué</w:t>
      </w:r>
      <w:r w:rsidRPr="00C04B57">
        <w:t>.</w:t>
      </w:r>
      <w:r w:rsidR="00BA5692" w:rsidRPr="00C04B57">
        <w:t xml:space="preserve"> </w:t>
      </w:r>
      <w:r w:rsidRPr="00C04B57">
        <w:t>Dans ce contexte, la solution choisie par l'Union a été de</w:t>
      </w:r>
      <w:r w:rsidR="00BA5692" w:rsidRPr="00C04B57">
        <w:t xml:space="preserve"> réduire les coûts. </w:t>
      </w:r>
      <w:r w:rsidR="00B0038A" w:rsidRPr="00C04B57">
        <w:t xml:space="preserve">L'UIT </w:t>
      </w:r>
      <w:r w:rsidR="00F01D7F" w:rsidRPr="00C04B57">
        <w:t xml:space="preserve">s'est employée davantage à </w:t>
      </w:r>
      <w:r w:rsidR="00373AC5" w:rsidRPr="00C04B57">
        <w:t>diminuer</w:t>
      </w:r>
      <w:r w:rsidR="00F01D7F" w:rsidRPr="00C04B57">
        <w:t xml:space="preserve"> les charges plutôt qu'à accroître ses sources de produits et à effectuer </w:t>
      </w:r>
      <w:r w:rsidR="00212323" w:rsidRPr="00C04B57">
        <w:t>de</w:t>
      </w:r>
      <w:r w:rsidR="00CB14FC" w:rsidRPr="00C04B57">
        <w:t>s</w:t>
      </w:r>
      <w:r w:rsidR="00212323" w:rsidRPr="00C04B57">
        <w:t xml:space="preserve"> prélèvement</w:t>
      </w:r>
      <w:r w:rsidR="00CB14FC" w:rsidRPr="00C04B57">
        <w:t>s</w:t>
      </w:r>
      <w:r w:rsidR="00212323" w:rsidRPr="00C04B57">
        <w:t xml:space="preserve"> sur le Fonds de réserve pour couvrir les </w:t>
      </w:r>
      <w:r w:rsidR="0013515C" w:rsidRPr="00C04B57">
        <w:t xml:space="preserve">coûts </w:t>
      </w:r>
      <w:r w:rsidR="00212323" w:rsidRPr="00C04B57">
        <w:t>supplémentaires</w:t>
      </w:r>
      <w:r w:rsidR="00346036" w:rsidRPr="00C04B57">
        <w:t xml:space="preserve">. </w:t>
      </w:r>
      <w:r w:rsidR="009E32B7" w:rsidRPr="00C04B57">
        <w:t>Il ressort des précédents rapports budgétaires que l</w:t>
      </w:r>
      <w:r w:rsidR="00464FD6" w:rsidRPr="00C04B57">
        <w:t xml:space="preserve">es sources de produits n'ont pas évolué </w:t>
      </w:r>
      <w:r w:rsidR="009E32B7" w:rsidRPr="00C04B57">
        <w:t>et</w:t>
      </w:r>
      <w:r w:rsidR="00222773" w:rsidRPr="00C04B57">
        <w:t xml:space="preserve"> que la principale source de produits </w:t>
      </w:r>
      <w:r w:rsidR="0099480A" w:rsidRPr="00C04B57">
        <w:t xml:space="preserve">provient des contributions des États Membres, </w:t>
      </w:r>
      <w:r w:rsidR="00DA5D8F" w:rsidRPr="00C04B57">
        <w:t xml:space="preserve">lesquelles </w:t>
      </w:r>
      <w:r w:rsidR="0099480A" w:rsidRPr="00C04B57">
        <w:t xml:space="preserve">constituent la majorité du budget alloué chaque année, avec 80% du budget réel de 2022. </w:t>
      </w:r>
      <w:r w:rsidR="00CD518E" w:rsidRPr="00C04B57">
        <w:t>En tant qu'</w:t>
      </w:r>
      <w:r w:rsidR="005573C0" w:rsidRPr="00C04B57">
        <w:t xml:space="preserve">organisation internationale, l'UIT devrait </w:t>
      </w:r>
      <w:r w:rsidR="002146C7" w:rsidRPr="00C04B57">
        <w:t>avoir réfléchi à</w:t>
      </w:r>
      <w:r w:rsidR="005573C0" w:rsidRPr="00C04B57">
        <w:t xml:space="preserve"> de nouveaux moyens de financer l'Union et de remplir son mandat et ses responsabilités.</w:t>
      </w:r>
    </w:p>
    <w:p w14:paraId="327A8979" w14:textId="4EA1BB66" w:rsidR="00346036" w:rsidRPr="00C04B57" w:rsidRDefault="00CD518E" w:rsidP="00332244">
      <w:r w:rsidRPr="00C04B57">
        <w:t xml:space="preserve">Durant la session de 2022 du Conseil et dans le cadre de l'élaboration du Plan financier pour la période </w:t>
      </w:r>
      <w:r w:rsidR="00346036" w:rsidRPr="00C04B57">
        <w:t xml:space="preserve">2024-2027, </w:t>
      </w:r>
      <w:r w:rsidR="00053E11" w:rsidRPr="00C04B57">
        <w:t>l</w:t>
      </w:r>
      <w:r w:rsidR="006B67AD" w:rsidRPr="00C04B57">
        <w:t>e</w:t>
      </w:r>
      <w:r w:rsidR="00053E11" w:rsidRPr="00C04B57">
        <w:t xml:space="preserve"> Secrétaire général</w:t>
      </w:r>
      <w:r w:rsidR="006B67AD" w:rsidRPr="00C04B57">
        <w:t xml:space="preserve"> sortant</w:t>
      </w:r>
      <w:r w:rsidR="00053E11" w:rsidRPr="00C04B57">
        <w:t xml:space="preserve"> a présenté le Document </w:t>
      </w:r>
      <w:hyperlink r:id="rId10" w:history="1">
        <w:r w:rsidR="00E06356" w:rsidRPr="00C04B57">
          <w:rPr>
            <w:rStyle w:val="Hyperlink"/>
          </w:rPr>
          <w:t>C22/INF/13-E</w:t>
        </w:r>
      </w:hyperlink>
      <w:r w:rsidR="00053E11" w:rsidRPr="00C04B57">
        <w:t>, qui contient les résultats issus du Café-découverte.</w:t>
      </w:r>
      <w:r w:rsidR="0033011F" w:rsidRPr="00C04B57">
        <w:t xml:space="preserve"> Celui-ci a été organisé à l'initiative du Comité de coordination en vue de recueillir des idées sur les moyens de générer des produits</w:t>
      </w:r>
      <w:r w:rsidR="00CC4080" w:rsidRPr="00C04B57">
        <w:t>, de réduire les charges et d'</w:t>
      </w:r>
      <w:r w:rsidR="002146C7" w:rsidRPr="00C04B57">
        <w:t>atteindre l</w:t>
      </w:r>
      <w:r w:rsidR="003B486E" w:rsidRPr="00C04B57">
        <w:t>'</w:t>
      </w:r>
      <w:r w:rsidR="00CC4080" w:rsidRPr="00C04B57">
        <w:t xml:space="preserve">équilibre financier, </w:t>
      </w:r>
      <w:r w:rsidR="008A2186" w:rsidRPr="00C04B57">
        <w:t>avec le concours</w:t>
      </w:r>
      <w:r w:rsidR="00CC4080" w:rsidRPr="00C04B57">
        <w:t xml:space="preserve"> de représentants des trois Bureaux et du Secrétariat général.</w:t>
      </w:r>
    </w:p>
    <w:p w14:paraId="21F8B050" w14:textId="1B6A5250" w:rsidR="00346036" w:rsidRPr="00C04B57" w:rsidRDefault="00346036" w:rsidP="00332244">
      <w:pPr>
        <w:pStyle w:val="Heading1"/>
      </w:pPr>
      <w:r w:rsidRPr="00C04B57">
        <w:t>2</w:t>
      </w:r>
      <w:r w:rsidRPr="00C04B57">
        <w:tab/>
      </w:r>
      <w:r w:rsidR="001A7C0F" w:rsidRPr="00C04B57">
        <w:t>Examen</w:t>
      </w:r>
    </w:p>
    <w:p w14:paraId="5C90C03B" w14:textId="49871AFC" w:rsidR="00346036" w:rsidRPr="00C04B57" w:rsidRDefault="00A02788" w:rsidP="00332244">
      <w:r w:rsidRPr="00C04B57">
        <w:t>L'Union devrait trouver une source de produits stable qui contribuera à financer le développement</w:t>
      </w:r>
      <w:r w:rsidR="00EE0F99" w:rsidRPr="00C04B57">
        <w:t xml:space="preserve"> galopant</w:t>
      </w:r>
      <w:r w:rsidRPr="00C04B57">
        <w:t xml:space="preserve"> dans le domaine des </w:t>
      </w:r>
      <w:r w:rsidR="00487CBB" w:rsidRPr="00C04B57">
        <w:t>technologies de l'information et de la communication (TIC)</w:t>
      </w:r>
      <w:r w:rsidRPr="00C04B57">
        <w:t xml:space="preserve">. </w:t>
      </w:r>
      <w:r w:rsidR="001A66E9" w:rsidRPr="00C04B57">
        <w:t xml:space="preserve">Sans un financement adéquat, l'UIT, qui est pourtant l'institution spécialisée des Nations Unies pour les TIC, </w:t>
      </w:r>
      <w:r w:rsidR="00DB293C" w:rsidRPr="00C04B57">
        <w:t>peinera</w:t>
      </w:r>
      <w:r w:rsidR="001A66E9" w:rsidRPr="00C04B57">
        <w:t xml:space="preserve"> à s'adapter à l'évolution </w:t>
      </w:r>
      <w:r w:rsidR="002146C7" w:rsidRPr="00C04B57">
        <w:t xml:space="preserve">de ce </w:t>
      </w:r>
      <w:r w:rsidR="001A66E9" w:rsidRPr="00C04B57">
        <w:t xml:space="preserve">secteur. </w:t>
      </w:r>
      <w:r w:rsidR="00962C6E" w:rsidRPr="00C04B57">
        <w:t xml:space="preserve">La mise en œuvre des </w:t>
      </w:r>
      <w:r w:rsidR="005B4E63" w:rsidRPr="00C04B57">
        <w:t>R</w:t>
      </w:r>
      <w:r w:rsidR="00962C6E" w:rsidRPr="00C04B57">
        <w:t>ésolutions issues des principales conférences de l'UIT (y compris la Conférence de plénipotentiaires) suscite également des inquiétudes compte tenu d</w:t>
      </w:r>
      <w:r w:rsidR="005B4E63" w:rsidRPr="00C04B57">
        <w:t>u manque de financement</w:t>
      </w:r>
      <w:r w:rsidR="00346036" w:rsidRPr="00C04B57">
        <w:t>.</w:t>
      </w:r>
    </w:p>
    <w:p w14:paraId="382B891A" w14:textId="6DCEFA24" w:rsidR="00346036" w:rsidRPr="00C04B57" w:rsidRDefault="00962C6E" w:rsidP="00332244">
      <w:r w:rsidRPr="00C04B57">
        <w:t>Par sa Résolution</w:t>
      </w:r>
      <w:r w:rsidR="00346036" w:rsidRPr="00C04B57">
        <w:t xml:space="preserve"> 158 (R</w:t>
      </w:r>
      <w:r w:rsidR="00F62155" w:rsidRPr="00C04B57">
        <w:t>é</w:t>
      </w:r>
      <w:r w:rsidR="00346036" w:rsidRPr="00C04B57">
        <w:t xml:space="preserve">v. Busan, 2014) </w:t>
      </w:r>
      <w:r w:rsidRPr="00C04B57">
        <w:t xml:space="preserve">sur les questions financières que doit examiner le Conseil, la Conférence de plénipotentiaires charge le Secrétaire général </w:t>
      </w:r>
      <w:r w:rsidR="00F62155" w:rsidRPr="00C04B57">
        <w:t>"</w:t>
      </w:r>
      <w:r w:rsidR="00F62155" w:rsidRPr="00C04B57">
        <w:rPr>
          <w:i/>
          <w:iCs/>
        </w:rPr>
        <w:t>d'étudier de nouvelles mesures susceptibles de générer des produits supplémentaires pour l'UIT</w:t>
      </w:r>
      <w:r w:rsidR="00F62155" w:rsidRPr="00C04B57">
        <w:t>"</w:t>
      </w:r>
      <w:r w:rsidR="005259D0" w:rsidRPr="00C04B57">
        <w:t>.</w:t>
      </w:r>
      <w:r w:rsidR="00346036" w:rsidRPr="00C04B57">
        <w:t xml:space="preserve"> </w:t>
      </w:r>
      <w:r w:rsidR="00F912B1" w:rsidRPr="00C04B57">
        <w:t xml:space="preserve">Des plans </w:t>
      </w:r>
      <w:r w:rsidR="00784080" w:rsidRPr="00C04B57">
        <w:t>précis</w:t>
      </w:r>
      <w:r w:rsidR="00F912B1" w:rsidRPr="00C04B57">
        <w:t xml:space="preserve"> devraient être établis en vue de générer de nouvelles sources de produits et d'accroître les investissements. L'UIT, en sa qualité d'institution spécialisée des Nations</w:t>
      </w:r>
      <w:r w:rsidR="00E06356" w:rsidRPr="00C04B57">
        <w:t> </w:t>
      </w:r>
      <w:r w:rsidR="00F912B1" w:rsidRPr="00C04B57">
        <w:t xml:space="preserve">Unies pour les TIC, </w:t>
      </w:r>
      <w:r w:rsidR="008F22A6" w:rsidRPr="00C04B57">
        <w:t xml:space="preserve">bénéficie de nombreux avantages concurrentiels qui pourraient contribuer à améliorer </w:t>
      </w:r>
      <w:r w:rsidR="004A7A73" w:rsidRPr="00C04B57">
        <w:t>ses finances</w:t>
      </w:r>
      <w:r w:rsidR="00111E26" w:rsidRPr="00C04B57">
        <w:t xml:space="preserve">. </w:t>
      </w:r>
      <w:r w:rsidR="00905B30" w:rsidRPr="00C04B57">
        <w:t>À titre d'exemple, l'Union</w:t>
      </w:r>
      <w:r w:rsidR="00A5392D" w:rsidRPr="00C04B57">
        <w:t xml:space="preserve"> pourrait</w:t>
      </w:r>
      <w:r w:rsidR="008F22A6" w:rsidRPr="00C04B57">
        <w:t xml:space="preserve"> </w:t>
      </w:r>
      <w:r w:rsidR="00E16CB4" w:rsidRPr="00C04B57">
        <w:t>proposer</w:t>
      </w:r>
      <w:r w:rsidR="008F22A6" w:rsidRPr="00C04B57">
        <w:t xml:space="preserve"> des services de conseil ou d'autres services dans le domaine des télécommunications/TIC, ou </w:t>
      </w:r>
      <w:r w:rsidR="0002511C" w:rsidRPr="00C04B57">
        <w:t>encore mettre</w:t>
      </w:r>
      <w:r w:rsidR="009C2B87" w:rsidRPr="00C04B57">
        <w:t xml:space="preserve"> à profit</w:t>
      </w:r>
      <w:r w:rsidR="008F22A6" w:rsidRPr="00C04B57">
        <w:t xml:space="preserve"> ses droits de propriété intellectuelle.</w:t>
      </w:r>
    </w:p>
    <w:p w14:paraId="793772F9" w14:textId="7C3DE718" w:rsidR="00346036" w:rsidRPr="00C04B57" w:rsidRDefault="009E6979" w:rsidP="00332244">
      <w:r w:rsidRPr="00C04B57">
        <w:t xml:space="preserve">De plus, nous reconnaissons que le Café-découverte de l'UIT a </w:t>
      </w:r>
      <w:r w:rsidR="004A7A73" w:rsidRPr="00C04B57">
        <w:t>donné des résultats sous la forme de</w:t>
      </w:r>
      <w:r w:rsidRPr="00C04B57">
        <w:t xml:space="preserve"> propositions sur les moyens de générer des sources de produits supplémentaires. Il importe de poursuivre les discussions entamées à cette occasion </w:t>
      </w:r>
      <w:r w:rsidR="00EA4972" w:rsidRPr="00C04B57">
        <w:t>en vue de trouver de</w:t>
      </w:r>
      <w:r w:rsidRPr="00C04B57">
        <w:t xml:space="preserve"> </w:t>
      </w:r>
      <w:r w:rsidR="00370D4A" w:rsidRPr="00C04B57">
        <w:t>nouvelles solutions pour</w:t>
      </w:r>
      <w:r w:rsidRPr="00C04B57">
        <w:t xml:space="preserve"> générer des produits </w:t>
      </w:r>
      <w:r w:rsidR="00452BB5" w:rsidRPr="00C04B57">
        <w:t>et d'étudier plus avant les propositions formulées.</w:t>
      </w:r>
    </w:p>
    <w:p w14:paraId="5F42B410" w14:textId="642D1BC9" w:rsidR="00346036" w:rsidRPr="00C04B57" w:rsidRDefault="00346036" w:rsidP="00332244">
      <w:pPr>
        <w:pStyle w:val="Heading1"/>
      </w:pPr>
      <w:r w:rsidRPr="00C04B57">
        <w:lastRenderedPageBreak/>
        <w:t>3</w:t>
      </w:r>
      <w:r w:rsidRPr="00C04B57">
        <w:tab/>
        <w:t>Propo</w:t>
      </w:r>
      <w:r w:rsidR="0027555C" w:rsidRPr="00C04B57">
        <w:t>sition</w:t>
      </w:r>
    </w:p>
    <w:p w14:paraId="2E9025D0" w14:textId="2F50D510" w:rsidR="00F62155" w:rsidRPr="00C04B57" w:rsidRDefault="00BC1D7F" w:rsidP="00332244">
      <w:r w:rsidRPr="00C04B57">
        <w:t xml:space="preserve">Compte tenu des éléments exposés ci-dessus, nous demandons au Secrétariat général de bien vouloir </w:t>
      </w:r>
      <w:r w:rsidR="00D37FF0" w:rsidRPr="00C04B57">
        <w:t>exploiter les</w:t>
      </w:r>
      <w:r w:rsidRPr="00C04B57">
        <w:t xml:space="preserve"> résultats issus du Café-découverte de l'UIT sur les moyens de générer des produits (Document </w:t>
      </w:r>
      <w:hyperlink r:id="rId11" w:history="1">
        <w:r w:rsidR="00346036" w:rsidRPr="00C04B57">
          <w:rPr>
            <w:rStyle w:val="Hyperlink"/>
          </w:rPr>
          <w:t>C22/INF/13-E</w:t>
        </w:r>
      </w:hyperlink>
      <w:r w:rsidR="00346036" w:rsidRPr="00C04B57">
        <w:t xml:space="preserve">), </w:t>
      </w:r>
      <w:r w:rsidR="00FF7277" w:rsidRPr="00C04B57">
        <w:t xml:space="preserve">d'étudier de nouvelles mesures susceptibles de générer des produits supplémentaires pour l'UIT et de </w:t>
      </w:r>
      <w:r w:rsidR="004A7A73" w:rsidRPr="00C04B57">
        <w:t xml:space="preserve">faire le point </w:t>
      </w:r>
      <w:r w:rsidR="00FF7277" w:rsidRPr="00C04B57">
        <w:t xml:space="preserve">sur ces </w:t>
      </w:r>
      <w:r w:rsidR="00B72626" w:rsidRPr="00C04B57">
        <w:t>questions</w:t>
      </w:r>
      <w:r w:rsidR="00FF7277" w:rsidRPr="00C04B57">
        <w:t xml:space="preserve"> à la prochaine session du Conseil, tout en poursuivant les efforts visant à définir des priorités </w:t>
      </w:r>
      <w:r w:rsidR="004A7A73" w:rsidRPr="00C04B57">
        <w:t>en matière de</w:t>
      </w:r>
      <w:r w:rsidR="00FF7277" w:rsidRPr="00C04B57">
        <w:t xml:space="preserve"> dépenses</w:t>
      </w:r>
      <w:r w:rsidR="00346036" w:rsidRPr="00C04B57">
        <w:t>.</w:t>
      </w:r>
    </w:p>
    <w:p w14:paraId="6B076D7C" w14:textId="77777777" w:rsidR="00F62155" w:rsidRPr="00C04B57" w:rsidRDefault="00F62155" w:rsidP="00332244">
      <w:pPr>
        <w:jc w:val="center"/>
      </w:pPr>
      <w:r w:rsidRPr="00C04B57">
        <w:t>______________</w:t>
      </w:r>
    </w:p>
    <w:sectPr w:rsidR="00F62155" w:rsidRPr="00C04B57" w:rsidSect="00D72F49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2DD40" w14:textId="77777777" w:rsidR="00486A04" w:rsidRDefault="00486A04">
      <w:r>
        <w:separator/>
      </w:r>
    </w:p>
  </w:endnote>
  <w:endnote w:type="continuationSeparator" w:id="0">
    <w:p w14:paraId="5F6AB1E4" w14:textId="77777777" w:rsidR="00486A04" w:rsidRDefault="0048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2A03" w14:textId="47DDBDAA" w:rsidR="00732045" w:rsidRDefault="00C04B57">
    <w:pPr>
      <w:pStyle w:val="Footer"/>
    </w:pPr>
    <w:fldSimple w:instr=" FILENAME \p \* MERGEFORMAT ">
      <w:r w:rsidR="00486A04">
        <w:t>Document1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F81AC2">
      <w:t>06.07.23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486A04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028530B" w14:textId="77777777" w:rsidTr="00E31DCE">
      <w:trPr>
        <w:jc w:val="center"/>
      </w:trPr>
      <w:tc>
        <w:tcPr>
          <w:tcW w:w="1803" w:type="dxa"/>
          <w:vAlign w:val="center"/>
        </w:tcPr>
        <w:p w14:paraId="0C4FF983" w14:textId="05EFFC28" w:rsidR="00A51849" w:rsidRDefault="00A51849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346036">
            <w:rPr>
              <w:noProof/>
            </w:rPr>
            <w:t>525365</w:t>
          </w:r>
        </w:p>
      </w:tc>
      <w:tc>
        <w:tcPr>
          <w:tcW w:w="8261" w:type="dxa"/>
        </w:tcPr>
        <w:p w14:paraId="7323D17B" w14:textId="4EAD7BF1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346036">
            <w:rPr>
              <w:bCs/>
            </w:rPr>
            <w:t>94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606B478" w14:textId="0720EF0B" w:rsidR="00732045" w:rsidRPr="00A51849" w:rsidRDefault="000D0299" w:rsidP="00346036">
    <w:pPr>
      <w:pStyle w:val="Footer"/>
    </w:pPr>
    <w:r w:rsidRPr="00CA1CE4">
      <w:rPr>
        <w:color w:val="F2F2F2" w:themeColor="background1" w:themeShade="F2"/>
      </w:rPr>
      <w:fldChar w:fldCharType="begin"/>
    </w:r>
    <w:r w:rsidRPr="00CA1CE4">
      <w:rPr>
        <w:color w:val="F2F2F2" w:themeColor="background1" w:themeShade="F2"/>
      </w:rPr>
      <w:instrText xml:space="preserve"> FILENAME \p  \* MERGEFORMAT </w:instrText>
    </w:r>
    <w:r w:rsidRPr="00CA1CE4">
      <w:rPr>
        <w:color w:val="F2F2F2" w:themeColor="background1" w:themeShade="F2"/>
      </w:rPr>
      <w:fldChar w:fldCharType="separate"/>
    </w:r>
    <w:r w:rsidR="003B486E" w:rsidRPr="00CA1CE4">
      <w:rPr>
        <w:color w:val="F2F2F2" w:themeColor="background1" w:themeShade="F2"/>
      </w:rPr>
      <w:t>P:\FRA\SG\CONSEIL\C23\000\094F.docx</w:t>
    </w:r>
    <w:r w:rsidRPr="00CA1CE4">
      <w:rPr>
        <w:color w:val="F2F2F2" w:themeColor="background1" w:themeShade="F2"/>
      </w:rPr>
      <w:fldChar w:fldCharType="end"/>
    </w:r>
    <w:r w:rsidR="00346036" w:rsidRPr="00CA1CE4">
      <w:rPr>
        <w:color w:val="F2F2F2" w:themeColor="background1" w:themeShade="F2"/>
      </w:rPr>
      <w:t xml:space="preserve"> (525365)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1CB6C207" w14:textId="77777777" w:rsidTr="00E31DCE">
      <w:trPr>
        <w:jc w:val="center"/>
      </w:trPr>
      <w:tc>
        <w:tcPr>
          <w:tcW w:w="1803" w:type="dxa"/>
          <w:vAlign w:val="center"/>
        </w:tcPr>
        <w:p w14:paraId="626239B1" w14:textId="77777777" w:rsidR="00A51849" w:rsidRDefault="00BA14BE" w:rsidP="00A51849">
          <w:pPr>
            <w:pStyle w:val="Header"/>
            <w:jc w:val="left"/>
            <w:rPr>
              <w:noProof/>
            </w:rPr>
          </w:pPr>
          <w:hyperlink r:id="rId1" w:history="1">
            <w:r w:rsidR="00A5184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D4C21BA" w14:textId="7E0E1939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346036">
            <w:rPr>
              <w:bCs/>
            </w:rPr>
            <w:t>94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A3E37EC" w14:textId="1A6539C0" w:rsidR="00732045" w:rsidRPr="00A51849" w:rsidRDefault="000D0299" w:rsidP="00346036">
    <w:pPr>
      <w:pStyle w:val="Footer"/>
    </w:pPr>
    <w:r w:rsidRPr="00CA1CE4">
      <w:rPr>
        <w:color w:val="F2F2F2" w:themeColor="background1" w:themeShade="F2"/>
      </w:rPr>
      <w:fldChar w:fldCharType="begin"/>
    </w:r>
    <w:r w:rsidRPr="00CA1CE4">
      <w:rPr>
        <w:color w:val="F2F2F2" w:themeColor="background1" w:themeShade="F2"/>
      </w:rPr>
      <w:instrText xml:space="preserve"> FILENAME \p  \* MERGEFORMAT </w:instrText>
    </w:r>
    <w:r w:rsidRPr="00CA1CE4">
      <w:rPr>
        <w:color w:val="F2F2F2" w:themeColor="background1" w:themeShade="F2"/>
      </w:rPr>
      <w:fldChar w:fldCharType="separate"/>
    </w:r>
    <w:r w:rsidR="003B486E" w:rsidRPr="00CA1CE4">
      <w:rPr>
        <w:color w:val="F2F2F2" w:themeColor="background1" w:themeShade="F2"/>
      </w:rPr>
      <w:t>P:\FRA\SG\CONSEIL\C23\000\094F.docx</w:t>
    </w:r>
    <w:r w:rsidRPr="00CA1CE4">
      <w:rPr>
        <w:color w:val="F2F2F2" w:themeColor="background1" w:themeShade="F2"/>
      </w:rPr>
      <w:fldChar w:fldCharType="end"/>
    </w:r>
    <w:r w:rsidR="00346036" w:rsidRPr="00CA1CE4">
      <w:rPr>
        <w:color w:val="F2F2F2" w:themeColor="background1" w:themeShade="F2"/>
      </w:rPr>
      <w:t xml:space="preserve"> (525365)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9A5CC" w14:textId="77777777" w:rsidR="00486A04" w:rsidRDefault="00486A04">
      <w:r>
        <w:t>____________________</w:t>
      </w:r>
    </w:p>
  </w:footnote>
  <w:footnote w:type="continuationSeparator" w:id="0">
    <w:p w14:paraId="7B0E6DF4" w14:textId="77777777" w:rsidR="00486A04" w:rsidRDefault="00486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D896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7E57C5E2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FF5CF41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7F2D0FF" w14:textId="77777777" w:rsidR="00A51849" w:rsidRPr="009621F8" w:rsidRDefault="00A51849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787E8004" wp14:editId="28022173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948B2AE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4FBBA91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8312218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541CD6F7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CA0653" wp14:editId="05619E49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9F5046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D7A4C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22CD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C64D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8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9E8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669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6430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7AF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E04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686B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5730156">
    <w:abstractNumId w:val="9"/>
  </w:num>
  <w:num w:numId="2" w16cid:durableId="1951812589">
    <w:abstractNumId w:val="7"/>
  </w:num>
  <w:num w:numId="3" w16cid:durableId="1186938980">
    <w:abstractNumId w:val="6"/>
  </w:num>
  <w:num w:numId="4" w16cid:durableId="1442529293">
    <w:abstractNumId w:val="5"/>
  </w:num>
  <w:num w:numId="5" w16cid:durableId="1193424458">
    <w:abstractNumId w:val="4"/>
  </w:num>
  <w:num w:numId="6" w16cid:durableId="1571888502">
    <w:abstractNumId w:val="8"/>
  </w:num>
  <w:num w:numId="7" w16cid:durableId="1184980565">
    <w:abstractNumId w:val="3"/>
  </w:num>
  <w:num w:numId="8" w16cid:durableId="413549965">
    <w:abstractNumId w:val="2"/>
  </w:num>
  <w:num w:numId="9" w16cid:durableId="2025935000">
    <w:abstractNumId w:val="1"/>
  </w:num>
  <w:num w:numId="10" w16cid:durableId="1812406961">
    <w:abstractNumId w:val="0"/>
  </w:num>
  <w:num w:numId="11" w16cid:durableId="1024013027">
    <w:abstractNumId w:val="9"/>
  </w:num>
  <w:num w:numId="12" w16cid:durableId="773090506">
    <w:abstractNumId w:val="7"/>
  </w:num>
  <w:num w:numId="13" w16cid:durableId="860239190">
    <w:abstractNumId w:val="6"/>
  </w:num>
  <w:num w:numId="14" w16cid:durableId="1582595601">
    <w:abstractNumId w:val="5"/>
  </w:num>
  <w:num w:numId="15" w16cid:durableId="836459391">
    <w:abstractNumId w:val="4"/>
  </w:num>
  <w:num w:numId="16" w16cid:durableId="773941849">
    <w:abstractNumId w:val="8"/>
  </w:num>
  <w:num w:numId="17" w16cid:durableId="940643532">
    <w:abstractNumId w:val="3"/>
  </w:num>
  <w:num w:numId="18" w16cid:durableId="113982342">
    <w:abstractNumId w:val="2"/>
  </w:num>
  <w:num w:numId="19" w16cid:durableId="555362679">
    <w:abstractNumId w:val="1"/>
  </w:num>
  <w:num w:numId="20" w16cid:durableId="47541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04"/>
    <w:rsid w:val="0002511C"/>
    <w:rsid w:val="00053E11"/>
    <w:rsid w:val="00076A2C"/>
    <w:rsid w:val="000901D0"/>
    <w:rsid w:val="000C2DBE"/>
    <w:rsid w:val="000D0299"/>
    <w:rsid w:val="000D0D0A"/>
    <w:rsid w:val="000D56BE"/>
    <w:rsid w:val="00103163"/>
    <w:rsid w:val="00106B19"/>
    <w:rsid w:val="0010784F"/>
    <w:rsid w:val="00111E26"/>
    <w:rsid w:val="00115D93"/>
    <w:rsid w:val="001247A8"/>
    <w:rsid w:val="0013515C"/>
    <w:rsid w:val="001378C0"/>
    <w:rsid w:val="00166844"/>
    <w:rsid w:val="00184BA7"/>
    <w:rsid w:val="0018694A"/>
    <w:rsid w:val="001A3287"/>
    <w:rsid w:val="001A6508"/>
    <w:rsid w:val="001A66E9"/>
    <w:rsid w:val="001A7C0F"/>
    <w:rsid w:val="001C2AD3"/>
    <w:rsid w:val="001D4C31"/>
    <w:rsid w:val="001E3169"/>
    <w:rsid w:val="001E4D21"/>
    <w:rsid w:val="001F4B67"/>
    <w:rsid w:val="001F5734"/>
    <w:rsid w:val="00207CD1"/>
    <w:rsid w:val="00212323"/>
    <w:rsid w:val="002146C7"/>
    <w:rsid w:val="00222773"/>
    <w:rsid w:val="00226657"/>
    <w:rsid w:val="002477A2"/>
    <w:rsid w:val="00252670"/>
    <w:rsid w:val="00263A51"/>
    <w:rsid w:val="00267E02"/>
    <w:rsid w:val="0027555C"/>
    <w:rsid w:val="002A5D44"/>
    <w:rsid w:val="002E0BC4"/>
    <w:rsid w:val="002F1B76"/>
    <w:rsid w:val="00306CF5"/>
    <w:rsid w:val="0032733A"/>
    <w:rsid w:val="0033011F"/>
    <w:rsid w:val="00332244"/>
    <w:rsid w:val="0033568E"/>
    <w:rsid w:val="003444F3"/>
    <w:rsid w:val="00346036"/>
    <w:rsid w:val="00355FF5"/>
    <w:rsid w:val="00361350"/>
    <w:rsid w:val="00364533"/>
    <w:rsid w:val="00370D4A"/>
    <w:rsid w:val="00373AC5"/>
    <w:rsid w:val="003A2928"/>
    <w:rsid w:val="003B486E"/>
    <w:rsid w:val="003C3FAE"/>
    <w:rsid w:val="004038CB"/>
    <w:rsid w:val="0040546F"/>
    <w:rsid w:val="0042404A"/>
    <w:rsid w:val="00442354"/>
    <w:rsid w:val="0044618F"/>
    <w:rsid w:val="00452BB5"/>
    <w:rsid w:val="00464FD6"/>
    <w:rsid w:val="0046769A"/>
    <w:rsid w:val="00470FC3"/>
    <w:rsid w:val="00475FB3"/>
    <w:rsid w:val="00486A04"/>
    <w:rsid w:val="00487CBB"/>
    <w:rsid w:val="004A7A73"/>
    <w:rsid w:val="004C37A9"/>
    <w:rsid w:val="004D1D50"/>
    <w:rsid w:val="004E0813"/>
    <w:rsid w:val="004F259E"/>
    <w:rsid w:val="00502391"/>
    <w:rsid w:val="00511F1D"/>
    <w:rsid w:val="00520F36"/>
    <w:rsid w:val="005259D0"/>
    <w:rsid w:val="00540615"/>
    <w:rsid w:val="00540A6D"/>
    <w:rsid w:val="00554FC0"/>
    <w:rsid w:val="005573C0"/>
    <w:rsid w:val="00571EEA"/>
    <w:rsid w:val="00575417"/>
    <w:rsid w:val="005768E1"/>
    <w:rsid w:val="00582C31"/>
    <w:rsid w:val="005B1938"/>
    <w:rsid w:val="005B4E63"/>
    <w:rsid w:val="005C3890"/>
    <w:rsid w:val="005F7BFE"/>
    <w:rsid w:val="00600017"/>
    <w:rsid w:val="00615D98"/>
    <w:rsid w:val="006235CA"/>
    <w:rsid w:val="006643AB"/>
    <w:rsid w:val="006B67AD"/>
    <w:rsid w:val="006F0A53"/>
    <w:rsid w:val="006F59B5"/>
    <w:rsid w:val="007013C2"/>
    <w:rsid w:val="007210CD"/>
    <w:rsid w:val="00732045"/>
    <w:rsid w:val="007369DB"/>
    <w:rsid w:val="00737F1F"/>
    <w:rsid w:val="00784080"/>
    <w:rsid w:val="00784579"/>
    <w:rsid w:val="0078636E"/>
    <w:rsid w:val="007956C2"/>
    <w:rsid w:val="007A187E"/>
    <w:rsid w:val="007C72C2"/>
    <w:rsid w:val="007D4436"/>
    <w:rsid w:val="007F257A"/>
    <w:rsid w:val="007F345C"/>
    <w:rsid w:val="007F3665"/>
    <w:rsid w:val="00800037"/>
    <w:rsid w:val="0083391C"/>
    <w:rsid w:val="00861D73"/>
    <w:rsid w:val="00897553"/>
    <w:rsid w:val="008A2186"/>
    <w:rsid w:val="008A4E87"/>
    <w:rsid w:val="008D76E6"/>
    <w:rsid w:val="008E34A0"/>
    <w:rsid w:val="008F22A6"/>
    <w:rsid w:val="00900026"/>
    <w:rsid w:val="00905B30"/>
    <w:rsid w:val="0092392D"/>
    <w:rsid w:val="0093234A"/>
    <w:rsid w:val="00956A78"/>
    <w:rsid w:val="00962C6E"/>
    <w:rsid w:val="0097363B"/>
    <w:rsid w:val="00973F53"/>
    <w:rsid w:val="0099480A"/>
    <w:rsid w:val="009C2B87"/>
    <w:rsid w:val="009C307F"/>
    <w:rsid w:val="009C353C"/>
    <w:rsid w:val="009E32B7"/>
    <w:rsid w:val="009E6979"/>
    <w:rsid w:val="00A02788"/>
    <w:rsid w:val="00A2113E"/>
    <w:rsid w:val="00A23A51"/>
    <w:rsid w:val="00A24607"/>
    <w:rsid w:val="00A25CD3"/>
    <w:rsid w:val="00A278D0"/>
    <w:rsid w:val="00A27B54"/>
    <w:rsid w:val="00A51849"/>
    <w:rsid w:val="00A5392D"/>
    <w:rsid w:val="00A709FE"/>
    <w:rsid w:val="00A73C60"/>
    <w:rsid w:val="00A82767"/>
    <w:rsid w:val="00A952ED"/>
    <w:rsid w:val="00AA332F"/>
    <w:rsid w:val="00AA7BBB"/>
    <w:rsid w:val="00AB64A8"/>
    <w:rsid w:val="00AC0266"/>
    <w:rsid w:val="00AD24EC"/>
    <w:rsid w:val="00B0038A"/>
    <w:rsid w:val="00B07B56"/>
    <w:rsid w:val="00B178B6"/>
    <w:rsid w:val="00B309F9"/>
    <w:rsid w:val="00B32B60"/>
    <w:rsid w:val="00B61619"/>
    <w:rsid w:val="00B72626"/>
    <w:rsid w:val="00BA14BE"/>
    <w:rsid w:val="00BA5692"/>
    <w:rsid w:val="00BB2278"/>
    <w:rsid w:val="00BB4545"/>
    <w:rsid w:val="00BC1D7F"/>
    <w:rsid w:val="00BD5873"/>
    <w:rsid w:val="00C04B57"/>
    <w:rsid w:val="00C04BE3"/>
    <w:rsid w:val="00C25D29"/>
    <w:rsid w:val="00C27A7C"/>
    <w:rsid w:val="00CA08ED"/>
    <w:rsid w:val="00CA1CE4"/>
    <w:rsid w:val="00CB14FC"/>
    <w:rsid w:val="00CC4080"/>
    <w:rsid w:val="00CD13E4"/>
    <w:rsid w:val="00CD518E"/>
    <w:rsid w:val="00CE5298"/>
    <w:rsid w:val="00CF183B"/>
    <w:rsid w:val="00CF25E8"/>
    <w:rsid w:val="00D375CD"/>
    <w:rsid w:val="00D37FF0"/>
    <w:rsid w:val="00D553A2"/>
    <w:rsid w:val="00D72F49"/>
    <w:rsid w:val="00D774D3"/>
    <w:rsid w:val="00D904E8"/>
    <w:rsid w:val="00DA08C3"/>
    <w:rsid w:val="00DA5D8F"/>
    <w:rsid w:val="00DB293C"/>
    <w:rsid w:val="00DB4164"/>
    <w:rsid w:val="00DB5A3E"/>
    <w:rsid w:val="00DC22AA"/>
    <w:rsid w:val="00DF74DD"/>
    <w:rsid w:val="00E0150D"/>
    <w:rsid w:val="00E06356"/>
    <w:rsid w:val="00E16CB4"/>
    <w:rsid w:val="00E25AD0"/>
    <w:rsid w:val="00E25E3C"/>
    <w:rsid w:val="00E35761"/>
    <w:rsid w:val="00E55580"/>
    <w:rsid w:val="00E93668"/>
    <w:rsid w:val="00EA4972"/>
    <w:rsid w:val="00EB6350"/>
    <w:rsid w:val="00EE0F99"/>
    <w:rsid w:val="00EF2CB4"/>
    <w:rsid w:val="00F01D7F"/>
    <w:rsid w:val="00F01E45"/>
    <w:rsid w:val="00F15B57"/>
    <w:rsid w:val="00F35EF4"/>
    <w:rsid w:val="00F427DB"/>
    <w:rsid w:val="00F62155"/>
    <w:rsid w:val="00F71337"/>
    <w:rsid w:val="00F81AC2"/>
    <w:rsid w:val="00F912B1"/>
    <w:rsid w:val="00FA5EB1"/>
    <w:rsid w:val="00FA7439"/>
    <w:rsid w:val="00FC4EC0"/>
    <w:rsid w:val="00FF0181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07672D"/>
  <w15:docId w15:val="{A1679E74-E8CF-4390-A17C-C819C4E9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21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F01E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01E4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01E45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1E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1E45"/>
    <w:rPr>
      <w:rFonts w:ascii="Calibri" w:hAnsi="Calibri"/>
      <w:b/>
      <w:bCs/>
      <w:lang w:val="fr-FR" w:eastAsia="en-US"/>
    </w:rPr>
  </w:style>
  <w:style w:type="paragraph" w:styleId="Revision">
    <w:name w:val="Revision"/>
    <w:hidden/>
    <w:uiPriority w:val="99"/>
    <w:semiHidden/>
    <w:rsid w:val="002146C7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158-F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L-INF-0013/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md/S22-CL-INF-0013/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INF-0013/fr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24E1D-BD31-4F25-9700-52246D81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4303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4990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multipays - Générer des produits pour l'UIT</dc:title>
  <dc:subject>Conseil 2023</dc:subject>
  <dc:creator>Brouard, Ricarda</dc:creator>
  <cp:keywords>C2023, C23, Council-23</cp:keywords>
  <dc:description/>
  <cp:lastModifiedBy>Xue, Kun</cp:lastModifiedBy>
  <cp:revision>4</cp:revision>
  <cp:lastPrinted>2000-07-18T08:55:00Z</cp:lastPrinted>
  <dcterms:created xsi:type="dcterms:W3CDTF">2023-07-06T18:43:00Z</dcterms:created>
  <dcterms:modified xsi:type="dcterms:W3CDTF">2023-07-06T18:44:00Z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