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11F226BD"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sidRPr="00760F47">
              <w:rPr>
                <w:b/>
              </w:rPr>
              <w:t>Agenda item</w:t>
            </w:r>
            <w:r w:rsidRPr="004D685B">
              <w:rPr>
                <w:b/>
              </w:rPr>
              <w:t xml:space="preserve">: </w:t>
            </w:r>
            <w:r w:rsidR="00760F47" w:rsidRPr="004D685B">
              <w:rPr>
                <w:b/>
              </w:rPr>
              <w:t>ADM 1</w:t>
            </w:r>
          </w:p>
        </w:tc>
        <w:tc>
          <w:tcPr>
            <w:tcW w:w="5245" w:type="dxa"/>
          </w:tcPr>
          <w:p w14:paraId="2F0CB53A" w14:textId="0703066E" w:rsidR="00AD3606" w:rsidRPr="00E85629" w:rsidRDefault="00AD3606" w:rsidP="00472BAD">
            <w:pPr>
              <w:tabs>
                <w:tab w:val="left" w:pos="851"/>
              </w:tabs>
              <w:spacing w:before="0" w:line="240" w:lineRule="atLeast"/>
              <w:jc w:val="right"/>
              <w:rPr>
                <w:b/>
              </w:rPr>
            </w:pPr>
            <w:r>
              <w:rPr>
                <w:b/>
              </w:rPr>
              <w:t>Document C23/</w:t>
            </w:r>
            <w:r w:rsidR="003E7E89">
              <w:rPr>
                <w:b/>
              </w:rPr>
              <w:t>94</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077AD2A" w:rsidR="00AD3606" w:rsidRPr="00E85629" w:rsidRDefault="003E7E89"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013C06C9" w:rsidR="00AD3606" w:rsidRPr="00E85629" w:rsidRDefault="00AD3606" w:rsidP="007310CC">
            <w:pPr>
              <w:tabs>
                <w:tab w:val="left" w:pos="851"/>
              </w:tabs>
              <w:spacing w:before="0" w:line="240" w:lineRule="atLeast"/>
              <w:jc w:val="right"/>
              <w:rPr>
                <w:b/>
              </w:rPr>
            </w:pPr>
            <w:r>
              <w:rPr>
                <w:b/>
              </w:rPr>
              <w:t xml:space="preserve">Original: </w:t>
            </w:r>
            <w:r w:rsidR="007310CC">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5EF9D544" w:rsidR="00AD3606" w:rsidRPr="005500EB" w:rsidRDefault="00146BAF" w:rsidP="00735D6A">
            <w:pPr>
              <w:pStyle w:val="Source"/>
              <w:framePr w:hSpace="0" w:wrap="auto" w:vAnchor="margin" w:hAnchor="text" w:xAlign="left" w:yAlign="inline"/>
              <w:rPr>
                <w:lang w:val="en-US"/>
              </w:rPr>
            </w:pPr>
            <w:bookmarkStart w:id="4" w:name="dsource" w:colFirst="0" w:colLast="0"/>
            <w:bookmarkEnd w:id="3"/>
            <w:r w:rsidRPr="00320F47">
              <w:rPr>
                <w:rFonts w:ascii="Calibri" w:hAnsi="Calibri" w:cs="Times New Roman"/>
              </w:rPr>
              <w:t>Contribution</w:t>
            </w:r>
            <w:r w:rsidR="00AD3606" w:rsidRPr="00320F47">
              <w:rPr>
                <w:rFonts w:ascii="Calibri" w:hAnsi="Calibri" w:cs="Times New Roman"/>
              </w:rPr>
              <w:t xml:space="preserve"> </w:t>
            </w:r>
            <w:r w:rsidR="002F6124" w:rsidRPr="00320F47">
              <w:rPr>
                <w:rFonts w:ascii="Calibri" w:hAnsi="Calibri" w:cs="Times New Roman"/>
              </w:rPr>
              <w:t>from</w:t>
            </w:r>
            <w:r w:rsidR="001439EA" w:rsidRPr="00320F47">
              <w:rPr>
                <w:rFonts w:ascii="Calibri" w:hAnsi="Calibri" w:cs="Times New Roman"/>
              </w:rPr>
              <w:t xml:space="preserve"> </w:t>
            </w:r>
            <w:r w:rsidR="00AD4817" w:rsidRPr="00320F47">
              <w:rPr>
                <w:rFonts w:ascii="Calibri" w:hAnsi="Calibri" w:cs="Times New Roman"/>
              </w:rPr>
              <w:t xml:space="preserve">Algeria (People's Democratic Republic of), </w:t>
            </w:r>
            <w:r w:rsidR="006E6A2B" w:rsidRPr="00320F47">
              <w:rPr>
                <w:rFonts w:ascii="Calibri" w:hAnsi="Calibri" w:cs="Times New Roman"/>
              </w:rPr>
              <w:t>Saudi Arabia</w:t>
            </w:r>
            <w:r w:rsidR="009E1DA5" w:rsidRPr="00320F47">
              <w:rPr>
                <w:rFonts w:ascii="Calibri" w:hAnsi="Calibri" w:cs="Times New Roman"/>
              </w:rPr>
              <w:t xml:space="preserve"> (Kingdom of)</w:t>
            </w:r>
            <w:r w:rsidR="006E6A2B" w:rsidRPr="00320F47">
              <w:rPr>
                <w:rFonts w:ascii="Calibri" w:hAnsi="Calibri" w:cs="Times New Roman"/>
              </w:rPr>
              <w:t xml:space="preserve">, </w:t>
            </w:r>
            <w:r w:rsidR="00AD4817" w:rsidRPr="00320F47">
              <w:rPr>
                <w:rFonts w:ascii="Calibri" w:hAnsi="Calibri" w:cs="Times New Roman"/>
              </w:rPr>
              <w:t xml:space="preserve">Bahrain (Kingdom of), Egypt (Arab Republic of), </w:t>
            </w:r>
            <w:r w:rsidR="00E55A9A" w:rsidRPr="00320F47">
              <w:rPr>
                <w:rFonts w:ascii="Calibri" w:hAnsi="Calibri" w:cs="Times New Roman"/>
              </w:rPr>
              <w:t>United Arab Emirates,</w:t>
            </w:r>
            <w:r w:rsidR="005500EB" w:rsidRPr="00320F47">
              <w:rPr>
                <w:rFonts w:ascii="Calibri" w:hAnsi="Calibri" w:cs="Times New Roman"/>
              </w:rPr>
              <w:t xml:space="preserve"> </w:t>
            </w:r>
            <w:r w:rsidR="00735D6A" w:rsidRPr="00320F47">
              <w:rPr>
                <w:rFonts w:ascii="Calibri" w:hAnsi="Calibri" w:cs="Times New Roman"/>
              </w:rPr>
              <w:t xml:space="preserve">Kuwait (State of), </w:t>
            </w:r>
            <w:r w:rsidR="00AD4817" w:rsidRPr="00320F47">
              <w:rPr>
                <w:rFonts w:ascii="Calibri" w:hAnsi="Calibri" w:cs="Times New Roman"/>
              </w:rPr>
              <w:t xml:space="preserve">Morocco (Kingdom of), </w:t>
            </w:r>
            <w:r w:rsidR="005500EB" w:rsidRPr="00320F47">
              <w:rPr>
                <w:rFonts w:ascii="Calibri" w:hAnsi="Calibri" w:cs="Times New Roman"/>
              </w:rPr>
              <w:t>South Africa</w:t>
            </w:r>
            <w:r w:rsidR="009E1DA5" w:rsidRPr="00320F47">
              <w:rPr>
                <w:rFonts w:ascii="Calibri" w:hAnsi="Calibri" w:cs="Times New Roman"/>
              </w:rPr>
              <w:t xml:space="preserve"> (Republic of)</w:t>
            </w:r>
            <w:r w:rsidR="00735D6A" w:rsidRPr="00320F47">
              <w:rPr>
                <w:rFonts w:ascii="Calibri" w:hAnsi="Calibri" w:cs="Times New Roman"/>
              </w:rPr>
              <w:t xml:space="preserve"> and </w:t>
            </w:r>
            <w:r w:rsidR="007B1731" w:rsidRPr="00320F47">
              <w:rPr>
                <w:rFonts w:ascii="Calibri" w:hAnsi="Calibri" w:cs="Times New Roman"/>
              </w:rPr>
              <w:t>Tunisia</w:t>
            </w:r>
          </w:p>
        </w:tc>
      </w:tr>
      <w:tr w:rsidR="00AD3606" w:rsidRPr="00813E5E" w14:paraId="62B9C291" w14:textId="77777777" w:rsidTr="00AD3606">
        <w:trPr>
          <w:cantSplit/>
        </w:trPr>
        <w:tc>
          <w:tcPr>
            <w:tcW w:w="9214" w:type="dxa"/>
            <w:gridSpan w:val="2"/>
            <w:tcMar>
              <w:left w:w="0" w:type="dxa"/>
            </w:tcMar>
          </w:tcPr>
          <w:p w14:paraId="556A1BCF" w14:textId="0D7D9536" w:rsidR="00AD3606" w:rsidRPr="00320F47" w:rsidRDefault="005500EB" w:rsidP="00735D6A">
            <w:pPr>
              <w:pStyle w:val="Subtitle"/>
              <w:framePr w:hSpace="0" w:wrap="auto" w:xAlign="left" w:yAlign="inline"/>
              <w:rPr>
                <w:rFonts w:asciiTheme="minorHAnsi" w:hAnsiTheme="minorHAnsi" w:cstheme="minorHAnsi"/>
              </w:rPr>
            </w:pPr>
            <w:bookmarkStart w:id="5" w:name="dtitle1" w:colFirst="0" w:colLast="0"/>
            <w:bookmarkEnd w:id="4"/>
            <w:r w:rsidRPr="00320F47">
              <w:rPr>
                <w:rFonts w:ascii="Calibri" w:hAnsi="Calibri" w:cs="Times New Roman"/>
              </w:rPr>
              <w:t>GENERATION</w:t>
            </w:r>
            <w:r w:rsidR="007310CC" w:rsidRPr="00320F47">
              <w:rPr>
                <w:rFonts w:ascii="Calibri" w:hAnsi="Calibri" w:cs="Times New Roman"/>
              </w:rPr>
              <w:t xml:space="preserve"> </w:t>
            </w:r>
            <w:r w:rsidRPr="00320F47">
              <w:rPr>
                <w:rFonts w:ascii="Calibri" w:hAnsi="Calibri" w:cs="Times New Roman"/>
              </w:rPr>
              <w:t>OF</w:t>
            </w:r>
            <w:r w:rsidR="007310CC" w:rsidRPr="00320F47">
              <w:rPr>
                <w:rFonts w:ascii="Calibri" w:hAnsi="Calibri" w:cs="Times New Roman"/>
              </w:rPr>
              <w:t xml:space="preserve"> </w:t>
            </w:r>
            <w:r w:rsidRPr="00320F47">
              <w:rPr>
                <w:rFonts w:ascii="Calibri" w:hAnsi="Calibri" w:cs="Times New Roman"/>
              </w:rPr>
              <w:t>REVENUE</w:t>
            </w:r>
            <w:r w:rsidR="007310CC" w:rsidRPr="00320F47">
              <w:rPr>
                <w:rFonts w:ascii="Calibri" w:hAnsi="Calibri" w:cs="Times New Roman"/>
              </w:rPr>
              <w:t xml:space="preserve"> </w:t>
            </w:r>
            <w:r w:rsidRPr="00320F47">
              <w:rPr>
                <w:rFonts w:ascii="Calibri" w:hAnsi="Calibri" w:cs="Times New Roman"/>
              </w:rPr>
              <w:t>FOR</w:t>
            </w:r>
            <w:r w:rsidR="007310CC" w:rsidRPr="00320F47">
              <w:rPr>
                <w:rFonts w:ascii="Calibri" w:hAnsi="Calibri" w:cs="Times New Roman"/>
              </w:rPr>
              <w:t xml:space="preserve"> </w:t>
            </w:r>
            <w:r w:rsidRPr="00320F47">
              <w:rPr>
                <w:rFonts w:ascii="Calibri" w:hAnsi="Calibri" w:cs="Times New Roman"/>
              </w:rPr>
              <w:t>THE</w:t>
            </w:r>
            <w:r w:rsidR="007310CC" w:rsidRPr="00320F47">
              <w:rPr>
                <w:rFonts w:ascii="Calibri" w:hAnsi="Calibri" w:cs="Times New Roman"/>
              </w:rPr>
              <w:t xml:space="preserve"> ITU</w:t>
            </w:r>
          </w:p>
        </w:tc>
      </w:tr>
      <w:tr w:rsidR="00AD3606" w:rsidRPr="009E1DA5"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7765D402" w:rsidR="00AD3606" w:rsidRPr="005500EB" w:rsidRDefault="00F16BAB" w:rsidP="00F16BAB">
            <w:pPr>
              <w:spacing w:before="160"/>
              <w:rPr>
                <w:rFonts w:asciiTheme="majorBidi" w:hAnsiTheme="majorBidi" w:cstheme="majorBidi"/>
                <w:b/>
                <w:bCs/>
                <w:sz w:val="26"/>
                <w:szCs w:val="26"/>
              </w:rPr>
            </w:pPr>
            <w:r w:rsidRPr="003E7E89">
              <w:rPr>
                <w:b/>
                <w:bCs/>
                <w:sz w:val="26"/>
                <w:szCs w:val="26"/>
              </w:rPr>
              <w:t>Purpose</w:t>
            </w:r>
            <w:r w:rsidRPr="005500EB">
              <w:rPr>
                <w:rFonts w:asciiTheme="majorBidi" w:hAnsiTheme="majorBidi" w:cstheme="majorBidi"/>
                <w:b/>
                <w:bCs/>
                <w:sz w:val="26"/>
                <w:szCs w:val="26"/>
              </w:rPr>
              <w:t xml:space="preserve"> </w:t>
            </w:r>
          </w:p>
          <w:p w14:paraId="01EEEAC5" w14:textId="1AD6F6AD" w:rsidR="00AD3606" w:rsidRPr="003E7E89" w:rsidRDefault="00F07BFC" w:rsidP="008017C4">
            <w:pPr>
              <w:rPr>
                <w:rFonts w:asciiTheme="minorHAnsi" w:hAnsiTheme="minorHAnsi" w:cstheme="minorHAnsi"/>
              </w:rPr>
            </w:pPr>
            <w:r w:rsidRPr="003E7E89">
              <w:rPr>
                <w:rFonts w:asciiTheme="minorHAnsi" w:hAnsiTheme="minorHAnsi" w:cstheme="minorHAnsi"/>
              </w:rPr>
              <w:t>This contribution</w:t>
            </w:r>
            <w:r w:rsidR="00CF439D" w:rsidRPr="003E7E89">
              <w:rPr>
                <w:rFonts w:asciiTheme="minorHAnsi" w:hAnsiTheme="minorHAnsi" w:cstheme="minorHAnsi"/>
              </w:rPr>
              <w:t xml:space="preserve"> </w:t>
            </w:r>
            <w:r w:rsidR="006748DD" w:rsidRPr="003E7E89">
              <w:rPr>
                <w:rFonts w:asciiTheme="minorHAnsi" w:hAnsiTheme="minorHAnsi" w:cstheme="minorHAnsi"/>
              </w:rPr>
              <w:t>discusses</w:t>
            </w:r>
            <w:r w:rsidR="00E55A9A" w:rsidRPr="003E7E89">
              <w:rPr>
                <w:rFonts w:asciiTheme="minorHAnsi" w:hAnsiTheme="minorHAnsi" w:cstheme="minorHAnsi"/>
              </w:rPr>
              <w:t xml:space="preserve"> the</w:t>
            </w:r>
            <w:r w:rsidR="00784124" w:rsidRPr="003E7E89">
              <w:rPr>
                <w:rFonts w:asciiTheme="minorHAnsi" w:hAnsiTheme="minorHAnsi" w:cstheme="minorHAnsi"/>
              </w:rPr>
              <w:t xml:space="preserve"> urgent</w:t>
            </w:r>
            <w:r w:rsidR="00CE7F30" w:rsidRPr="003E7E89">
              <w:rPr>
                <w:rFonts w:asciiTheme="minorHAnsi" w:hAnsiTheme="minorHAnsi" w:cstheme="minorHAnsi"/>
              </w:rPr>
              <w:t xml:space="preserve"> need for </w:t>
            </w:r>
            <w:r w:rsidR="00784124" w:rsidRPr="003E7E89">
              <w:rPr>
                <w:rFonts w:asciiTheme="minorHAnsi" w:hAnsiTheme="minorHAnsi" w:cstheme="minorHAnsi"/>
              </w:rPr>
              <w:t xml:space="preserve">the ITU to have </w:t>
            </w:r>
            <w:r w:rsidR="006748DD" w:rsidRPr="003E7E89">
              <w:rPr>
                <w:rFonts w:asciiTheme="minorHAnsi" w:hAnsiTheme="minorHAnsi" w:cstheme="minorHAnsi"/>
              </w:rPr>
              <w:t xml:space="preserve">clear plans </w:t>
            </w:r>
            <w:r w:rsidR="00784124" w:rsidRPr="003E7E89">
              <w:rPr>
                <w:rFonts w:asciiTheme="minorHAnsi" w:hAnsiTheme="minorHAnsi" w:cstheme="minorHAnsi"/>
              </w:rPr>
              <w:t xml:space="preserve">to </w:t>
            </w:r>
            <w:r w:rsidR="006748DD" w:rsidRPr="003E7E89">
              <w:rPr>
                <w:rFonts w:asciiTheme="minorHAnsi" w:hAnsiTheme="minorHAnsi" w:cstheme="minorHAnsi"/>
              </w:rPr>
              <w:t xml:space="preserve">generate new revenue </w:t>
            </w:r>
            <w:r w:rsidR="008017C4" w:rsidRPr="003E7E89">
              <w:rPr>
                <w:rFonts w:asciiTheme="minorHAnsi" w:hAnsiTheme="minorHAnsi" w:cstheme="minorHAnsi"/>
              </w:rPr>
              <w:t>sources that</w:t>
            </w:r>
            <w:r w:rsidR="00784124" w:rsidRPr="003E7E89">
              <w:rPr>
                <w:rFonts w:asciiTheme="minorHAnsi" w:hAnsiTheme="minorHAnsi" w:cstheme="minorHAnsi"/>
              </w:rPr>
              <w:t xml:space="preserve"> help the Union to</w:t>
            </w:r>
            <w:r w:rsidR="006748DD" w:rsidRPr="003E7E89">
              <w:rPr>
                <w:rFonts w:asciiTheme="minorHAnsi" w:hAnsiTheme="minorHAnsi" w:cstheme="minorHAnsi"/>
              </w:rPr>
              <w:t xml:space="preserve"> have </w:t>
            </w:r>
            <w:r w:rsidR="00784124" w:rsidRPr="003E7E89">
              <w:rPr>
                <w:rFonts w:asciiTheme="minorHAnsi" w:hAnsiTheme="minorHAnsi" w:cstheme="minorHAnsi"/>
              </w:rPr>
              <w:t xml:space="preserve">sustainable and </w:t>
            </w:r>
            <w:r w:rsidR="00784124" w:rsidRPr="003E7E89">
              <w:rPr>
                <w:rFonts w:asciiTheme="minorHAnsi" w:hAnsiTheme="minorHAnsi" w:cstheme="minorHAnsi"/>
                <w:lang w:val="en-US"/>
              </w:rPr>
              <w:t>balanced budget,</w:t>
            </w:r>
            <w:r w:rsidR="008017C4" w:rsidRPr="003E7E89">
              <w:rPr>
                <w:rFonts w:asciiTheme="minorHAnsi" w:hAnsiTheme="minorHAnsi" w:cstheme="minorHAnsi"/>
              </w:rPr>
              <w:t xml:space="preserve"> to be able to implement the Resolutions of its conferences, and to</w:t>
            </w:r>
            <w:r w:rsidR="008017C4" w:rsidRPr="003E7E89">
              <w:rPr>
                <w:rFonts w:asciiTheme="minorHAnsi" w:hAnsiTheme="minorHAnsi" w:cstheme="minorHAnsi"/>
                <w:lang w:val="en-US"/>
              </w:rPr>
              <w:t xml:space="preserve"> </w:t>
            </w:r>
            <w:r w:rsidR="00784124" w:rsidRPr="003E7E89">
              <w:rPr>
                <w:rFonts w:asciiTheme="minorHAnsi" w:hAnsiTheme="minorHAnsi" w:cstheme="minorHAnsi"/>
                <w:lang w:val="en-US"/>
              </w:rPr>
              <w:t>keep pace with continuous development in Telecommunications/ICTs</w:t>
            </w:r>
            <w:r w:rsidR="008017C4" w:rsidRPr="003E7E89">
              <w:rPr>
                <w:rFonts w:asciiTheme="minorHAnsi" w:hAnsiTheme="minorHAnsi" w:cstheme="minorHAnsi"/>
                <w:lang w:val="en-US"/>
              </w:rPr>
              <w:t>.</w:t>
            </w:r>
            <w:r w:rsidR="00784124" w:rsidRPr="003E7E89">
              <w:rPr>
                <w:rFonts w:asciiTheme="minorHAnsi" w:hAnsiTheme="minorHAnsi" w:cstheme="minorHAnsi"/>
              </w:rPr>
              <w:t xml:space="preserve"> In this regard, we propose some actions which could help to generate new sources of </w:t>
            </w:r>
            <w:r w:rsidR="005500EB" w:rsidRPr="003E7E89">
              <w:rPr>
                <w:rFonts w:asciiTheme="minorHAnsi" w:hAnsiTheme="minorHAnsi" w:cstheme="minorHAnsi"/>
              </w:rPr>
              <w:t>revenue.</w:t>
            </w:r>
            <w:r w:rsidR="006748DD" w:rsidRPr="003E7E89">
              <w:rPr>
                <w:rFonts w:asciiTheme="minorHAnsi" w:hAnsiTheme="minorHAnsi" w:cstheme="minorHAnsi"/>
              </w:rPr>
              <w:t xml:space="preserve"> </w:t>
            </w:r>
          </w:p>
          <w:p w14:paraId="45B1495A" w14:textId="77777777" w:rsidR="00AD3606" w:rsidRPr="005500EB" w:rsidRDefault="00AD3606" w:rsidP="00F16BAB">
            <w:pPr>
              <w:spacing w:before="160"/>
              <w:rPr>
                <w:rFonts w:asciiTheme="majorBidi" w:hAnsiTheme="majorBidi" w:cstheme="majorBidi"/>
                <w:b/>
                <w:bCs/>
                <w:sz w:val="26"/>
                <w:szCs w:val="26"/>
              </w:rPr>
            </w:pPr>
            <w:r w:rsidRPr="003E7E89">
              <w:rPr>
                <w:b/>
                <w:bCs/>
                <w:sz w:val="26"/>
                <w:szCs w:val="26"/>
              </w:rPr>
              <w:t>Action required</w:t>
            </w:r>
            <w:r w:rsidR="00F16BAB" w:rsidRPr="003E7E89">
              <w:rPr>
                <w:b/>
                <w:bCs/>
                <w:sz w:val="26"/>
                <w:szCs w:val="26"/>
              </w:rPr>
              <w:t xml:space="preserve"> by the </w:t>
            </w:r>
            <w:proofErr w:type="gramStart"/>
            <w:r w:rsidR="00F16BAB" w:rsidRPr="003E7E89">
              <w:rPr>
                <w:b/>
                <w:bCs/>
                <w:sz w:val="26"/>
                <w:szCs w:val="26"/>
              </w:rPr>
              <w:t>Council</w:t>
            </w:r>
            <w:proofErr w:type="gramEnd"/>
          </w:p>
          <w:p w14:paraId="3D57EDF8" w14:textId="1A68EE79" w:rsidR="00AD3606" w:rsidRPr="003E7E89" w:rsidRDefault="00CF439D" w:rsidP="00CF439D">
            <w:pPr>
              <w:rPr>
                <w:rFonts w:asciiTheme="minorHAnsi" w:hAnsiTheme="minorHAnsi" w:cstheme="minorHAnsi"/>
              </w:rPr>
            </w:pPr>
            <w:r w:rsidRPr="003E7E89">
              <w:rPr>
                <w:rFonts w:asciiTheme="minorHAnsi" w:hAnsiTheme="minorHAnsi" w:cstheme="minorHAnsi"/>
              </w:rPr>
              <w:t xml:space="preserve">The council is invited </w:t>
            </w:r>
            <w:r w:rsidRPr="003E7E89">
              <w:rPr>
                <w:rFonts w:asciiTheme="minorHAnsi" w:hAnsiTheme="minorHAnsi" w:cstheme="minorHAnsi"/>
                <w:b/>
                <w:bCs/>
              </w:rPr>
              <w:t xml:space="preserve">to </w:t>
            </w:r>
            <w:r w:rsidR="003E7E89" w:rsidRPr="003E7E89">
              <w:rPr>
                <w:rFonts w:asciiTheme="minorHAnsi" w:hAnsiTheme="minorHAnsi" w:cstheme="minorHAnsi"/>
                <w:b/>
                <w:bCs/>
              </w:rPr>
              <w:t>c</w:t>
            </w:r>
            <w:r w:rsidR="00B72244" w:rsidRPr="003E7E89">
              <w:rPr>
                <w:rFonts w:asciiTheme="minorHAnsi" w:hAnsiTheme="minorHAnsi" w:cstheme="minorHAnsi"/>
                <w:b/>
                <w:bCs/>
              </w:rPr>
              <w:t>onsider</w:t>
            </w:r>
            <w:r w:rsidR="00B72244" w:rsidRPr="003E7E89">
              <w:rPr>
                <w:rFonts w:asciiTheme="minorHAnsi" w:hAnsiTheme="minorHAnsi" w:cstheme="minorHAnsi"/>
              </w:rPr>
              <w:t xml:space="preserve"> th</w:t>
            </w:r>
            <w:r w:rsidRPr="003E7E89">
              <w:rPr>
                <w:rFonts w:asciiTheme="minorHAnsi" w:hAnsiTheme="minorHAnsi" w:cstheme="minorHAnsi"/>
              </w:rPr>
              <w:t>is</w:t>
            </w:r>
            <w:r w:rsidR="00B72244" w:rsidRPr="003E7E89">
              <w:rPr>
                <w:rFonts w:asciiTheme="minorHAnsi" w:hAnsiTheme="minorHAnsi" w:cstheme="minorHAnsi"/>
              </w:rPr>
              <w:t xml:space="preserve"> </w:t>
            </w:r>
            <w:r w:rsidRPr="003E7E89">
              <w:rPr>
                <w:rFonts w:asciiTheme="minorHAnsi" w:hAnsiTheme="minorHAnsi" w:cstheme="minorHAnsi"/>
              </w:rPr>
              <w:t>contribution</w:t>
            </w:r>
            <w:r w:rsidR="00B72244" w:rsidRPr="003E7E89">
              <w:rPr>
                <w:rFonts w:asciiTheme="minorHAnsi" w:hAnsiTheme="minorHAnsi" w:cstheme="minorHAnsi"/>
              </w:rPr>
              <w:t xml:space="preserve"> and </w:t>
            </w:r>
            <w:r w:rsidR="00B72244" w:rsidRPr="003E7E89">
              <w:rPr>
                <w:rFonts w:asciiTheme="minorHAnsi" w:hAnsiTheme="minorHAnsi" w:cstheme="minorHAnsi"/>
                <w:b/>
                <w:bCs/>
              </w:rPr>
              <w:t>take the necessary action</w:t>
            </w:r>
            <w:r w:rsidRPr="003E7E89">
              <w:rPr>
                <w:rFonts w:asciiTheme="minorHAnsi" w:hAnsiTheme="minorHAnsi" w:cstheme="minorHAnsi"/>
              </w:rPr>
              <w:t xml:space="preserve"> accordingly</w:t>
            </w:r>
            <w:r w:rsidR="00B72244" w:rsidRPr="003E7E89">
              <w:rPr>
                <w:rFonts w:asciiTheme="minorHAnsi" w:hAnsiTheme="minorHAnsi" w:cstheme="minorHAnsi"/>
              </w:rPr>
              <w:t>.</w:t>
            </w:r>
          </w:p>
          <w:p w14:paraId="6F1B8B4E" w14:textId="77777777" w:rsidR="00AD3606" w:rsidRPr="005500EB" w:rsidRDefault="00AD3606" w:rsidP="00F16BAB">
            <w:pPr>
              <w:spacing w:before="160"/>
              <w:rPr>
                <w:rFonts w:asciiTheme="majorBidi" w:hAnsiTheme="majorBidi" w:cstheme="majorBidi"/>
                <w:caps/>
                <w:sz w:val="22"/>
              </w:rPr>
            </w:pPr>
            <w:r w:rsidRPr="005500EB">
              <w:rPr>
                <w:rFonts w:asciiTheme="majorBidi" w:hAnsiTheme="majorBidi" w:cstheme="majorBidi"/>
                <w:sz w:val="22"/>
              </w:rPr>
              <w:t>__________________</w:t>
            </w:r>
          </w:p>
          <w:p w14:paraId="0EBC340A" w14:textId="77777777" w:rsidR="00AD3606" w:rsidRPr="00A834FC" w:rsidRDefault="00AD3606" w:rsidP="00F16BAB">
            <w:pPr>
              <w:spacing w:before="160"/>
              <w:rPr>
                <w:rFonts w:asciiTheme="majorBidi" w:hAnsiTheme="majorBidi" w:cstheme="majorBidi"/>
                <w:b/>
                <w:bCs/>
                <w:sz w:val="26"/>
                <w:szCs w:val="26"/>
              </w:rPr>
            </w:pPr>
            <w:r w:rsidRPr="00A834FC">
              <w:rPr>
                <w:b/>
                <w:bCs/>
                <w:sz w:val="26"/>
                <w:szCs w:val="26"/>
              </w:rPr>
              <w:t>References</w:t>
            </w:r>
          </w:p>
          <w:p w14:paraId="65250B1E" w14:textId="6F5603EB" w:rsidR="00AD3606" w:rsidRPr="009E1DA5" w:rsidRDefault="00970BD1" w:rsidP="00C05EF6">
            <w:pPr>
              <w:spacing w:after="160"/>
              <w:rPr>
                <w:rFonts w:asciiTheme="minorHAnsi" w:hAnsiTheme="minorHAnsi" w:cstheme="minorHAnsi"/>
              </w:rPr>
            </w:pPr>
            <w:hyperlink r:id="rId8" w:history="1">
              <w:r w:rsidR="00B72244" w:rsidRPr="00A834FC">
                <w:rPr>
                  <w:rStyle w:val="Hyperlink"/>
                  <w:rFonts w:asciiTheme="minorHAnsi" w:hAnsiTheme="minorHAnsi" w:cstheme="minorHAnsi"/>
                  <w:szCs w:val="24"/>
                </w:rPr>
                <w:t xml:space="preserve">Resolution </w:t>
              </w:r>
              <w:r w:rsidR="00C05EF6" w:rsidRPr="00A834FC">
                <w:rPr>
                  <w:rStyle w:val="Hyperlink"/>
                  <w:rFonts w:asciiTheme="minorHAnsi" w:hAnsiTheme="minorHAnsi" w:cstheme="minorHAnsi"/>
                  <w:szCs w:val="24"/>
                </w:rPr>
                <w:t>158</w:t>
              </w:r>
            </w:hyperlink>
            <w:r w:rsidR="00C05EF6" w:rsidRPr="00A834FC">
              <w:rPr>
                <w:rFonts w:asciiTheme="minorHAnsi" w:hAnsiTheme="minorHAnsi" w:cstheme="minorHAnsi"/>
                <w:szCs w:val="24"/>
              </w:rPr>
              <w:t xml:space="preserve"> </w:t>
            </w:r>
            <w:r w:rsidR="00B72244" w:rsidRPr="00A834FC">
              <w:rPr>
                <w:rFonts w:asciiTheme="minorHAnsi" w:hAnsiTheme="minorHAnsi" w:cstheme="minorHAnsi"/>
                <w:szCs w:val="24"/>
              </w:rPr>
              <w:t>(Rev. Busan, 2014)</w:t>
            </w:r>
            <w:r w:rsidR="00A834FC">
              <w:rPr>
                <w:rFonts w:asciiTheme="minorHAnsi" w:hAnsiTheme="minorHAnsi" w:cstheme="minorHAnsi"/>
                <w:szCs w:val="24"/>
              </w:rPr>
              <w:t xml:space="preserve"> of the Plenipotentiary Conference</w:t>
            </w:r>
            <w:r w:rsidR="00B72244" w:rsidRPr="00A834FC">
              <w:rPr>
                <w:rFonts w:asciiTheme="minorHAnsi" w:hAnsiTheme="minorHAnsi" w:cstheme="minorHAnsi"/>
                <w:szCs w:val="24"/>
              </w:rPr>
              <w:t xml:space="preserve">, </w:t>
            </w:r>
            <w:r w:rsidR="00A834FC">
              <w:rPr>
                <w:rFonts w:asciiTheme="minorHAnsi" w:hAnsiTheme="minorHAnsi" w:cstheme="minorHAnsi"/>
                <w:szCs w:val="24"/>
              </w:rPr>
              <w:t xml:space="preserve">Document </w:t>
            </w:r>
            <w:hyperlink r:id="rId9" w:history="1">
              <w:r w:rsidR="00B72244" w:rsidRPr="00A834FC">
                <w:rPr>
                  <w:rStyle w:val="Hyperlink"/>
                  <w:rFonts w:asciiTheme="minorHAnsi" w:hAnsiTheme="minorHAnsi" w:cstheme="minorHAnsi"/>
                  <w:szCs w:val="24"/>
                </w:rPr>
                <w:t>C22/INF/13-E</w:t>
              </w:r>
            </w:hyperlink>
            <w:r w:rsidR="007B1731" w:rsidRPr="00A834FC">
              <w:rPr>
                <w:rFonts w:asciiTheme="minorHAnsi" w:hAnsiTheme="minorHAnsi" w:cstheme="minorHAnsi"/>
              </w:rPr>
              <w:t>.</w:t>
            </w:r>
          </w:p>
        </w:tc>
      </w:tr>
      <w:bookmarkEnd w:id="5"/>
    </w:tbl>
    <w:p w14:paraId="7FE52F59" w14:textId="77777777" w:rsidR="0090147A" w:rsidRPr="009E1DA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E1DA5">
        <w:br w:type="page"/>
      </w:r>
    </w:p>
    <w:p w14:paraId="34B33921" w14:textId="77777777" w:rsidR="00F07BFC" w:rsidRPr="00B33288" w:rsidRDefault="00F07BFC" w:rsidP="003E7E89">
      <w:pPr>
        <w:pStyle w:val="Heading1"/>
        <w:numPr>
          <w:ilvl w:val="0"/>
          <w:numId w:val="2"/>
        </w:numPr>
        <w:tabs>
          <w:tab w:val="clear" w:pos="567"/>
          <w:tab w:val="clear" w:pos="1134"/>
          <w:tab w:val="clear" w:pos="1701"/>
          <w:tab w:val="clear" w:pos="2268"/>
          <w:tab w:val="clear" w:pos="2835"/>
        </w:tabs>
        <w:overflowPunct/>
        <w:autoSpaceDE/>
        <w:autoSpaceDN/>
        <w:adjustRightInd/>
        <w:spacing w:before="240"/>
        <w:ind w:left="714" w:hanging="357"/>
        <w:textAlignment w:val="auto"/>
        <w:rPr>
          <w:szCs w:val="28"/>
        </w:rPr>
      </w:pPr>
      <w:r w:rsidRPr="00014599">
        <w:rPr>
          <w:bCs/>
          <w:szCs w:val="28"/>
        </w:rPr>
        <w:lastRenderedPageBreak/>
        <w:t>Overview</w:t>
      </w:r>
    </w:p>
    <w:p w14:paraId="5AA369C0" w14:textId="77777777" w:rsidR="00F07BFC" w:rsidRPr="003E7E89" w:rsidRDefault="00F07BFC" w:rsidP="00F82271">
      <w:pPr>
        <w:ind w:left="720" w:hanging="11"/>
        <w:jc w:val="both"/>
        <w:rPr>
          <w:rFonts w:asciiTheme="minorHAnsi" w:hAnsiTheme="minorHAnsi" w:cstheme="minorHAnsi"/>
          <w:szCs w:val="24"/>
        </w:rPr>
      </w:pPr>
      <w:r w:rsidRPr="003E7E89">
        <w:rPr>
          <w:rFonts w:asciiTheme="minorHAnsi" w:hAnsiTheme="minorHAnsi" w:cstheme="minorHAnsi"/>
          <w:szCs w:val="24"/>
        </w:rPr>
        <w:t xml:space="preserve">The International Telecommunication Union’s (ITU) expenses had exceeded the assigned budget for </w:t>
      </w:r>
      <w:proofErr w:type="gramStart"/>
      <w:r w:rsidRPr="003E7E89">
        <w:rPr>
          <w:rFonts w:asciiTheme="minorHAnsi" w:hAnsiTheme="minorHAnsi" w:cstheme="minorHAnsi"/>
          <w:szCs w:val="24"/>
        </w:rPr>
        <w:t>a number of</w:t>
      </w:r>
      <w:proofErr w:type="gramEnd"/>
      <w:r w:rsidRPr="003E7E89">
        <w:rPr>
          <w:rFonts w:asciiTheme="minorHAnsi" w:hAnsiTheme="minorHAnsi" w:cstheme="minorHAnsi"/>
          <w:szCs w:val="24"/>
        </w:rPr>
        <w:t xml:space="preserve"> years and ITU’s response is to cut costs. ITU has been focusing more on reducing expenses than expanding the Union’s revenue streams and withdrawing from the reserve account to cover extra costs. Revenue sources has not changed according to previous budget reports. These reports indicate that the main source of revenue is from member state contributions which constitute </w:t>
      </w:r>
      <w:proofErr w:type="gramStart"/>
      <w:r w:rsidRPr="003E7E89">
        <w:rPr>
          <w:rFonts w:asciiTheme="minorHAnsi" w:hAnsiTheme="minorHAnsi" w:cstheme="minorHAnsi"/>
          <w:szCs w:val="24"/>
        </w:rPr>
        <w:t>the majority of</w:t>
      </w:r>
      <w:proofErr w:type="gramEnd"/>
      <w:r w:rsidRPr="003E7E89">
        <w:rPr>
          <w:rFonts w:asciiTheme="minorHAnsi" w:hAnsiTheme="minorHAnsi" w:cstheme="minorHAnsi"/>
          <w:szCs w:val="24"/>
        </w:rPr>
        <w:t xml:space="preserve"> the allocated budget of each year with 80% of the 2022 actual budget. As an international organization, ITU should have plans on finding new ways to fund the Union and to fulfil its mandates and responsibilities. </w:t>
      </w:r>
    </w:p>
    <w:p w14:paraId="4A1CBE85" w14:textId="77777777" w:rsidR="00F07BFC" w:rsidRPr="003E7E89" w:rsidRDefault="00F07BFC" w:rsidP="003E7E89">
      <w:pPr>
        <w:ind w:left="720"/>
        <w:jc w:val="both"/>
        <w:rPr>
          <w:rFonts w:asciiTheme="minorHAnsi" w:hAnsiTheme="minorHAnsi" w:cstheme="minorHAnsi"/>
          <w:szCs w:val="24"/>
        </w:rPr>
      </w:pPr>
      <w:r w:rsidRPr="003E7E89">
        <w:rPr>
          <w:rFonts w:asciiTheme="minorHAnsi" w:hAnsiTheme="minorHAnsi" w:cstheme="minorHAnsi"/>
          <w:szCs w:val="24"/>
        </w:rPr>
        <w:t>During Council 2022 and in the context of the elaboration of the Financial Plan 2024-2027, the Secretary General presented (</w:t>
      </w:r>
      <w:hyperlink r:id="rId10" w:history="1">
        <w:r w:rsidRPr="003E7E89">
          <w:rPr>
            <w:rStyle w:val="Hyperlink"/>
            <w:rFonts w:asciiTheme="minorHAnsi" w:hAnsiTheme="minorHAnsi" w:cstheme="minorHAnsi"/>
            <w:szCs w:val="24"/>
          </w:rPr>
          <w:t>C22/INF/13-E</w:t>
        </w:r>
      </w:hyperlink>
      <w:r w:rsidRPr="003E7E89">
        <w:rPr>
          <w:rFonts w:asciiTheme="minorHAnsi" w:hAnsiTheme="minorHAnsi" w:cstheme="minorHAnsi"/>
          <w:szCs w:val="24"/>
        </w:rPr>
        <w:t>) which is outcomes of the World Café. World café is initiative by the Coordination Committee to collect ideas on ways to generate revenue, reduce expenses, and balance the Financial Plan,</w:t>
      </w:r>
      <w:r w:rsidRPr="003E7E89">
        <w:rPr>
          <w:rFonts w:asciiTheme="minorHAnsi" w:hAnsiTheme="minorHAnsi" w:cstheme="minorHAnsi"/>
        </w:rPr>
        <w:t xml:space="preserve"> </w:t>
      </w:r>
      <w:r w:rsidRPr="003E7E89">
        <w:rPr>
          <w:rFonts w:asciiTheme="minorHAnsi" w:hAnsiTheme="minorHAnsi" w:cstheme="minorHAnsi"/>
          <w:szCs w:val="24"/>
        </w:rPr>
        <w:t>with representatives of the three bureaux and the General Secretariat.</w:t>
      </w:r>
    </w:p>
    <w:p w14:paraId="4BC5D101" w14:textId="77777777" w:rsidR="00F07BFC" w:rsidRPr="00014599" w:rsidRDefault="00F07BFC" w:rsidP="003E7E89">
      <w:pPr>
        <w:pStyle w:val="Heading1"/>
        <w:numPr>
          <w:ilvl w:val="0"/>
          <w:numId w:val="2"/>
        </w:numPr>
        <w:tabs>
          <w:tab w:val="clear" w:pos="567"/>
          <w:tab w:val="clear" w:pos="1134"/>
          <w:tab w:val="clear" w:pos="1701"/>
          <w:tab w:val="clear" w:pos="2268"/>
          <w:tab w:val="clear" w:pos="2835"/>
        </w:tabs>
        <w:overflowPunct/>
        <w:autoSpaceDE/>
        <w:autoSpaceDN/>
        <w:adjustRightInd/>
        <w:spacing w:before="240"/>
        <w:ind w:left="714" w:hanging="357"/>
        <w:textAlignment w:val="auto"/>
        <w:rPr>
          <w:b w:val="0"/>
          <w:bCs/>
          <w:szCs w:val="28"/>
        </w:rPr>
      </w:pPr>
      <w:r w:rsidRPr="00014599">
        <w:rPr>
          <w:bCs/>
          <w:szCs w:val="28"/>
        </w:rPr>
        <w:t>Discussion</w:t>
      </w:r>
    </w:p>
    <w:p w14:paraId="7EEFE149" w14:textId="1AE03F6E" w:rsidR="00F07BFC" w:rsidRPr="00F82271" w:rsidRDefault="00F07BFC" w:rsidP="00F82271">
      <w:pPr>
        <w:ind w:left="720" w:hanging="11"/>
        <w:jc w:val="both"/>
        <w:rPr>
          <w:rFonts w:asciiTheme="minorHAnsi" w:hAnsiTheme="minorHAnsi" w:cstheme="minorHAnsi"/>
          <w:szCs w:val="24"/>
        </w:rPr>
      </w:pPr>
      <w:r w:rsidRPr="00F82271">
        <w:rPr>
          <w:rFonts w:asciiTheme="minorHAnsi" w:hAnsiTheme="minorHAnsi" w:cstheme="minorHAnsi"/>
          <w:szCs w:val="24"/>
        </w:rPr>
        <w:t xml:space="preserve">The Union should find a stable revenue stream to help fund the rising development in the field of ICTs. Without adequate funding the ITU, as </w:t>
      </w:r>
      <w:r w:rsidR="00F82271" w:rsidRPr="00F82271">
        <w:rPr>
          <w:rFonts w:asciiTheme="minorHAnsi" w:hAnsiTheme="minorHAnsi" w:cstheme="minorHAnsi"/>
          <w:szCs w:val="24"/>
        </w:rPr>
        <w:t>United Nation</w:t>
      </w:r>
      <w:r w:rsidRPr="00F82271">
        <w:rPr>
          <w:rFonts w:asciiTheme="minorHAnsi" w:hAnsiTheme="minorHAnsi" w:cstheme="minorHAnsi"/>
          <w:szCs w:val="24"/>
        </w:rPr>
        <w:t xml:space="preserve"> specialized agency for ICTs, will straggle to accommodate the development in the ICT industry. There are also concerns about implementing and executing Resolutions of the main ITU conferences (including PP) due to insufficient funding.</w:t>
      </w:r>
    </w:p>
    <w:p w14:paraId="53A2AA20" w14:textId="298B18E8" w:rsidR="00F07BFC" w:rsidRPr="00F82271" w:rsidRDefault="00F07BFC" w:rsidP="00C05EF6">
      <w:pPr>
        <w:ind w:left="720"/>
        <w:jc w:val="both"/>
        <w:rPr>
          <w:rFonts w:asciiTheme="minorHAnsi" w:hAnsiTheme="minorHAnsi" w:cstheme="minorHAnsi"/>
          <w:szCs w:val="24"/>
        </w:rPr>
      </w:pPr>
      <w:r w:rsidRPr="00A834FC">
        <w:rPr>
          <w:rFonts w:asciiTheme="minorHAnsi" w:hAnsiTheme="minorHAnsi" w:cstheme="minorHAnsi"/>
          <w:szCs w:val="24"/>
        </w:rPr>
        <w:t xml:space="preserve">As per Resolution </w:t>
      </w:r>
      <w:r w:rsidR="00C05EF6" w:rsidRPr="00A834FC">
        <w:rPr>
          <w:rFonts w:asciiTheme="minorHAnsi" w:hAnsiTheme="minorHAnsi" w:cstheme="minorHAnsi"/>
          <w:szCs w:val="24"/>
        </w:rPr>
        <w:t xml:space="preserve">158 </w:t>
      </w:r>
      <w:r w:rsidRPr="00A834FC">
        <w:rPr>
          <w:rFonts w:asciiTheme="minorHAnsi" w:hAnsiTheme="minorHAnsi" w:cstheme="minorHAnsi"/>
          <w:szCs w:val="24"/>
        </w:rPr>
        <w:t xml:space="preserve">(Rev. Busan, 2014) </w:t>
      </w:r>
      <w:r w:rsidR="00A834FC">
        <w:rPr>
          <w:rFonts w:asciiTheme="minorHAnsi" w:hAnsiTheme="minorHAnsi" w:cstheme="minorHAnsi"/>
          <w:szCs w:val="24"/>
        </w:rPr>
        <w:t xml:space="preserve">on </w:t>
      </w:r>
      <w:proofErr w:type="gramStart"/>
      <w:r w:rsidR="00C05EF6" w:rsidRPr="00A834FC">
        <w:rPr>
          <w:rFonts w:asciiTheme="minorHAnsi" w:hAnsiTheme="minorHAnsi" w:cstheme="minorHAnsi"/>
          <w:szCs w:val="24"/>
        </w:rPr>
        <w:t>Financial</w:t>
      </w:r>
      <w:proofErr w:type="gramEnd"/>
      <w:r w:rsidR="00C05EF6" w:rsidRPr="00A834FC">
        <w:rPr>
          <w:rFonts w:asciiTheme="minorHAnsi" w:hAnsiTheme="minorHAnsi" w:cstheme="minorHAnsi"/>
          <w:szCs w:val="24"/>
        </w:rPr>
        <w:t xml:space="preserve"> issues for consideration by the Council</w:t>
      </w:r>
      <w:r w:rsidR="00F82271" w:rsidRPr="00A834FC">
        <w:rPr>
          <w:rFonts w:asciiTheme="minorHAnsi" w:hAnsiTheme="minorHAnsi" w:cstheme="minorHAnsi"/>
          <w:szCs w:val="24"/>
        </w:rPr>
        <w:t>,</w:t>
      </w:r>
      <w:r w:rsidRPr="00A834FC">
        <w:rPr>
          <w:rFonts w:asciiTheme="minorHAnsi" w:hAnsiTheme="minorHAnsi" w:cstheme="minorHAnsi"/>
          <w:szCs w:val="24"/>
        </w:rPr>
        <w:t xml:space="preserve"> it instructs the Secretary-General to “</w:t>
      </w:r>
      <w:r w:rsidRPr="00A834FC">
        <w:rPr>
          <w:rFonts w:asciiTheme="minorHAnsi" w:hAnsiTheme="minorHAnsi" w:cstheme="minorHAnsi"/>
          <w:i/>
          <w:iCs/>
          <w:szCs w:val="24"/>
        </w:rPr>
        <w:t>study possible new measures to generate additional revenue for ITU</w:t>
      </w:r>
      <w:r w:rsidRPr="00A834FC">
        <w:rPr>
          <w:rFonts w:asciiTheme="minorHAnsi" w:hAnsiTheme="minorHAnsi" w:cstheme="minorHAnsi"/>
          <w:szCs w:val="24"/>
        </w:rPr>
        <w:t>”, there</w:t>
      </w:r>
      <w:r w:rsidRPr="00F82271">
        <w:rPr>
          <w:rFonts w:asciiTheme="minorHAnsi" w:hAnsiTheme="minorHAnsi" w:cstheme="minorHAnsi"/>
          <w:szCs w:val="24"/>
        </w:rPr>
        <w:t xml:space="preserve"> should be clear plans that generate new revenue sources and to enhance investments. The ITU, as united nation specialized agency for ICTs, enjoys many competitive advantages which could improve its financial budget such as providing consulting and other related services in the field telecommunications/ICTs, or leveraging its intellectual property rights.</w:t>
      </w:r>
    </w:p>
    <w:p w14:paraId="22656A2A" w14:textId="77777777" w:rsidR="00F07BFC" w:rsidRPr="00F82271" w:rsidRDefault="00F07BFC" w:rsidP="003E7E89">
      <w:pPr>
        <w:ind w:left="720"/>
        <w:jc w:val="both"/>
        <w:rPr>
          <w:rFonts w:asciiTheme="minorHAnsi" w:hAnsiTheme="minorHAnsi" w:cstheme="minorHAnsi"/>
          <w:szCs w:val="24"/>
          <w:rtl/>
        </w:rPr>
      </w:pPr>
      <w:r w:rsidRPr="00F82271">
        <w:rPr>
          <w:rFonts w:asciiTheme="minorHAnsi" w:hAnsiTheme="minorHAnsi" w:cstheme="minorHAnsi"/>
          <w:szCs w:val="24"/>
        </w:rPr>
        <w:t>In addition, we acknowledge that the ITU World Café has been productive with providing proposals on how to generate additional revenue streams, and it is important that the discussion of ITU World Café on finding new ways to generate revenue continues and the proposals are further studied.</w:t>
      </w:r>
    </w:p>
    <w:p w14:paraId="27A68D40" w14:textId="77777777" w:rsidR="00F07BFC" w:rsidRPr="00014599" w:rsidRDefault="00F07BFC" w:rsidP="003E7E89">
      <w:pPr>
        <w:pStyle w:val="Heading1"/>
        <w:numPr>
          <w:ilvl w:val="0"/>
          <w:numId w:val="2"/>
        </w:numPr>
        <w:tabs>
          <w:tab w:val="clear" w:pos="567"/>
          <w:tab w:val="clear" w:pos="1134"/>
          <w:tab w:val="clear" w:pos="1701"/>
          <w:tab w:val="clear" w:pos="2268"/>
          <w:tab w:val="clear" w:pos="2835"/>
        </w:tabs>
        <w:overflowPunct/>
        <w:autoSpaceDE/>
        <w:autoSpaceDN/>
        <w:adjustRightInd/>
        <w:spacing w:before="240"/>
        <w:textAlignment w:val="auto"/>
        <w:rPr>
          <w:b w:val="0"/>
          <w:bCs/>
          <w:szCs w:val="28"/>
        </w:rPr>
      </w:pPr>
      <w:r w:rsidRPr="00014599">
        <w:rPr>
          <w:bCs/>
          <w:szCs w:val="28"/>
        </w:rPr>
        <w:t>Proposal</w:t>
      </w:r>
    </w:p>
    <w:p w14:paraId="3B85885F" w14:textId="7318B472" w:rsidR="00F07BFC" w:rsidRPr="00F82271" w:rsidRDefault="00F07BFC" w:rsidP="003E7E89">
      <w:pPr>
        <w:ind w:left="720"/>
        <w:jc w:val="both"/>
        <w:rPr>
          <w:rFonts w:asciiTheme="minorHAnsi" w:hAnsiTheme="minorHAnsi" w:cstheme="minorHAnsi"/>
        </w:rPr>
      </w:pPr>
      <w:r w:rsidRPr="00F82271">
        <w:rPr>
          <w:rFonts w:asciiTheme="minorHAnsi" w:hAnsiTheme="minorHAnsi" w:cstheme="minorHAnsi"/>
        </w:rPr>
        <w:t>Taken into consideration the discussion above, we kindly request the Secretariat General to utilize the outcomes of the ITU World Café on revenue generation (</w:t>
      </w:r>
      <w:hyperlink r:id="rId11" w:history="1">
        <w:r w:rsidRPr="00F82271">
          <w:rPr>
            <w:rStyle w:val="Hyperlink"/>
            <w:rFonts w:asciiTheme="minorHAnsi" w:hAnsiTheme="minorHAnsi" w:cstheme="minorHAnsi"/>
          </w:rPr>
          <w:t>C22/INF/13-E</w:t>
        </w:r>
      </w:hyperlink>
      <w:r w:rsidRPr="00F82271">
        <w:rPr>
          <w:rFonts w:asciiTheme="minorHAnsi" w:hAnsiTheme="minorHAnsi" w:cstheme="minorHAnsi"/>
        </w:rPr>
        <w:t>), to study possible new measures to generate additional revenue for ITU, and to provide updates on these matters on the upcoming Council session, while continuing the efforts to prioritize areas of expenditure.</w:t>
      </w:r>
    </w:p>
    <w:p w14:paraId="16566EB5" w14:textId="024B8A04" w:rsidR="00A514A4" w:rsidRPr="00F07BFC" w:rsidRDefault="00F82271" w:rsidP="00F82271">
      <w:pPr>
        <w:tabs>
          <w:tab w:val="clear" w:pos="567"/>
          <w:tab w:val="clear" w:pos="1134"/>
          <w:tab w:val="clear" w:pos="1701"/>
          <w:tab w:val="clear" w:pos="2268"/>
          <w:tab w:val="clear" w:pos="2835"/>
        </w:tabs>
        <w:overflowPunct/>
        <w:autoSpaceDE/>
        <w:autoSpaceDN/>
        <w:adjustRightInd/>
        <w:spacing w:before="600"/>
        <w:jc w:val="center"/>
        <w:textAlignment w:val="auto"/>
      </w:pPr>
      <w:r>
        <w:t>____________</w:t>
      </w:r>
    </w:p>
    <w:sectPr w:rsidR="00A514A4" w:rsidRPr="00F07BFC" w:rsidSect="00F07BFC">
      <w:footerReference w:type="default" r:id="rId12"/>
      <w:headerReference w:type="first" r:id="rId13"/>
      <w:footerReference w:type="first" r:id="rId14"/>
      <w:pgSz w:w="11907" w:h="16834"/>
      <w:pgMar w:top="1440" w:right="1080" w:bottom="1440" w:left="1080"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31E0" w14:textId="77777777" w:rsidR="00D96C7C" w:rsidRDefault="00D96C7C">
      <w:r>
        <w:separator/>
      </w:r>
    </w:p>
  </w:endnote>
  <w:endnote w:type="continuationSeparator" w:id="0">
    <w:p w14:paraId="6141572C" w14:textId="77777777" w:rsidR="00D96C7C" w:rsidRDefault="00D9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8529742" w:rsidR="00EE49E8" w:rsidRDefault="003E7E89" w:rsidP="00EE49E8">
          <w:pPr>
            <w:pStyle w:val="Header"/>
            <w:jc w:val="left"/>
            <w:rPr>
              <w:noProof/>
            </w:rPr>
          </w:pPr>
          <w:r>
            <w:rPr>
              <w:noProof/>
            </w:rPr>
            <w:t>DPS 525365</w:t>
          </w:r>
        </w:p>
      </w:tc>
      <w:tc>
        <w:tcPr>
          <w:tcW w:w="8261" w:type="dxa"/>
        </w:tcPr>
        <w:p w14:paraId="35709C74" w14:textId="37F38D9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E7E89">
            <w:rPr>
              <w:bCs/>
            </w:rPr>
            <w:t>94</w:t>
          </w:r>
          <w:r w:rsidRPr="00623AE3">
            <w:rPr>
              <w:bCs/>
            </w:rPr>
            <w:t>-E</w:t>
          </w:r>
          <w:r>
            <w:rPr>
              <w:bCs/>
            </w:rPr>
            <w:tab/>
          </w:r>
          <w:r>
            <w:fldChar w:fldCharType="begin"/>
          </w:r>
          <w:r>
            <w:instrText>PAGE</w:instrText>
          </w:r>
          <w:r>
            <w:fldChar w:fldCharType="separate"/>
          </w:r>
          <w:r w:rsidR="009E1F2B">
            <w:rPr>
              <w:noProof/>
            </w:rPr>
            <w:t>2</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970BD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A0F6A6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E7E89">
            <w:rPr>
              <w:bCs/>
            </w:rPr>
            <w:t>94</w:t>
          </w:r>
          <w:r w:rsidRPr="00623AE3">
            <w:rPr>
              <w:bCs/>
            </w:rPr>
            <w:t>-E</w:t>
          </w:r>
          <w:r>
            <w:rPr>
              <w:bCs/>
            </w:rPr>
            <w:tab/>
          </w:r>
          <w:r>
            <w:fldChar w:fldCharType="begin"/>
          </w:r>
          <w:r>
            <w:instrText>PAGE</w:instrText>
          </w:r>
          <w:r>
            <w:fldChar w:fldCharType="separate"/>
          </w:r>
          <w:r w:rsidR="009E1F2B">
            <w:rPr>
              <w:noProof/>
            </w:rP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3FC0" w14:textId="77777777" w:rsidR="00D96C7C" w:rsidRDefault="00D96C7C">
      <w:r>
        <w:t>____________________</w:t>
      </w:r>
    </w:p>
  </w:footnote>
  <w:footnote w:type="continuationSeparator" w:id="0">
    <w:p w14:paraId="0A545EB6" w14:textId="77777777" w:rsidR="00D96C7C" w:rsidRDefault="00D9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lang w:val="en-US"/>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E87360"/>
    <w:multiLevelType w:val="hybridMultilevel"/>
    <w:tmpl w:val="7800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071557">
    <w:abstractNumId w:val="0"/>
  </w:num>
  <w:num w:numId="2" w16cid:durableId="101588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1"/>
    <w:rsid w:val="000210D4"/>
    <w:rsid w:val="000568D7"/>
    <w:rsid w:val="00063016"/>
    <w:rsid w:val="00066795"/>
    <w:rsid w:val="00076AF6"/>
    <w:rsid w:val="00085CF2"/>
    <w:rsid w:val="000B1705"/>
    <w:rsid w:val="000D75B2"/>
    <w:rsid w:val="001121F5"/>
    <w:rsid w:val="001400DC"/>
    <w:rsid w:val="00140CE1"/>
    <w:rsid w:val="001439EA"/>
    <w:rsid w:val="00146BAF"/>
    <w:rsid w:val="0017539C"/>
    <w:rsid w:val="00175AC2"/>
    <w:rsid w:val="0017609F"/>
    <w:rsid w:val="001A7D1D"/>
    <w:rsid w:val="001B51DD"/>
    <w:rsid w:val="001C2B99"/>
    <w:rsid w:val="001C628E"/>
    <w:rsid w:val="001E0F7B"/>
    <w:rsid w:val="00204ED0"/>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0F47"/>
    <w:rsid w:val="00322D0D"/>
    <w:rsid w:val="00361465"/>
    <w:rsid w:val="003877F5"/>
    <w:rsid w:val="003942D4"/>
    <w:rsid w:val="003958A8"/>
    <w:rsid w:val="003C2533"/>
    <w:rsid w:val="003D5A7F"/>
    <w:rsid w:val="003E7E89"/>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85B"/>
    <w:rsid w:val="004E2EA5"/>
    <w:rsid w:val="004E3AEB"/>
    <w:rsid w:val="0050223C"/>
    <w:rsid w:val="005243FF"/>
    <w:rsid w:val="005500EB"/>
    <w:rsid w:val="00564FBC"/>
    <w:rsid w:val="005800BC"/>
    <w:rsid w:val="00582442"/>
    <w:rsid w:val="005C11D3"/>
    <w:rsid w:val="005F3269"/>
    <w:rsid w:val="00623AE3"/>
    <w:rsid w:val="0064737F"/>
    <w:rsid w:val="006535F1"/>
    <w:rsid w:val="0065557D"/>
    <w:rsid w:val="00660D50"/>
    <w:rsid w:val="00661C03"/>
    <w:rsid w:val="00662984"/>
    <w:rsid w:val="006716BB"/>
    <w:rsid w:val="006748DD"/>
    <w:rsid w:val="006B1859"/>
    <w:rsid w:val="006B4F00"/>
    <w:rsid w:val="006B6680"/>
    <w:rsid w:val="006B6DCC"/>
    <w:rsid w:val="006E6A2B"/>
    <w:rsid w:val="00702DEF"/>
    <w:rsid w:val="00704B29"/>
    <w:rsid w:val="00706861"/>
    <w:rsid w:val="007310CC"/>
    <w:rsid w:val="00735D6A"/>
    <w:rsid w:val="00746415"/>
    <w:rsid w:val="0075051B"/>
    <w:rsid w:val="00760F47"/>
    <w:rsid w:val="00784124"/>
    <w:rsid w:val="00793188"/>
    <w:rsid w:val="00794D34"/>
    <w:rsid w:val="007B1731"/>
    <w:rsid w:val="008017C4"/>
    <w:rsid w:val="00813E5E"/>
    <w:rsid w:val="00832163"/>
    <w:rsid w:val="0083581B"/>
    <w:rsid w:val="00863874"/>
    <w:rsid w:val="00864AFF"/>
    <w:rsid w:val="00865925"/>
    <w:rsid w:val="008B4A6A"/>
    <w:rsid w:val="008C7E27"/>
    <w:rsid w:val="008F7448"/>
    <w:rsid w:val="0090147A"/>
    <w:rsid w:val="00910B22"/>
    <w:rsid w:val="009173EF"/>
    <w:rsid w:val="00932906"/>
    <w:rsid w:val="00961B0B"/>
    <w:rsid w:val="00970BD1"/>
    <w:rsid w:val="009B38C3"/>
    <w:rsid w:val="009E17BD"/>
    <w:rsid w:val="009E1DA5"/>
    <w:rsid w:val="009E1F2B"/>
    <w:rsid w:val="009E485A"/>
    <w:rsid w:val="00A04CEC"/>
    <w:rsid w:val="00A27F92"/>
    <w:rsid w:val="00A32257"/>
    <w:rsid w:val="00A36D20"/>
    <w:rsid w:val="00A44716"/>
    <w:rsid w:val="00A514A4"/>
    <w:rsid w:val="00A54171"/>
    <w:rsid w:val="00A55622"/>
    <w:rsid w:val="00A834FC"/>
    <w:rsid w:val="00A83502"/>
    <w:rsid w:val="00A95AE1"/>
    <w:rsid w:val="00AC0154"/>
    <w:rsid w:val="00AD15B3"/>
    <w:rsid w:val="00AD3606"/>
    <w:rsid w:val="00AD4817"/>
    <w:rsid w:val="00AD4A3D"/>
    <w:rsid w:val="00AF6E49"/>
    <w:rsid w:val="00B04A67"/>
    <w:rsid w:val="00B0583C"/>
    <w:rsid w:val="00B40A81"/>
    <w:rsid w:val="00B44910"/>
    <w:rsid w:val="00B72244"/>
    <w:rsid w:val="00B72267"/>
    <w:rsid w:val="00B76EB6"/>
    <w:rsid w:val="00B7737B"/>
    <w:rsid w:val="00B824C8"/>
    <w:rsid w:val="00B84B9D"/>
    <w:rsid w:val="00BC251A"/>
    <w:rsid w:val="00BD032B"/>
    <w:rsid w:val="00BE2640"/>
    <w:rsid w:val="00C01189"/>
    <w:rsid w:val="00C05EF6"/>
    <w:rsid w:val="00C374DE"/>
    <w:rsid w:val="00C45268"/>
    <w:rsid w:val="00C47AD4"/>
    <w:rsid w:val="00C52D81"/>
    <w:rsid w:val="00C55198"/>
    <w:rsid w:val="00CA6393"/>
    <w:rsid w:val="00CB18FF"/>
    <w:rsid w:val="00CC0BBC"/>
    <w:rsid w:val="00CD0C08"/>
    <w:rsid w:val="00CE03FB"/>
    <w:rsid w:val="00CE433C"/>
    <w:rsid w:val="00CE7F30"/>
    <w:rsid w:val="00CF0161"/>
    <w:rsid w:val="00CF33F3"/>
    <w:rsid w:val="00CF439D"/>
    <w:rsid w:val="00CF6D6C"/>
    <w:rsid w:val="00D06183"/>
    <w:rsid w:val="00D22C42"/>
    <w:rsid w:val="00D65041"/>
    <w:rsid w:val="00D96C7C"/>
    <w:rsid w:val="00DB1936"/>
    <w:rsid w:val="00DB384B"/>
    <w:rsid w:val="00DD456C"/>
    <w:rsid w:val="00DF0189"/>
    <w:rsid w:val="00E06FD5"/>
    <w:rsid w:val="00E10E80"/>
    <w:rsid w:val="00E124F0"/>
    <w:rsid w:val="00E55A9A"/>
    <w:rsid w:val="00E60F04"/>
    <w:rsid w:val="00E65B24"/>
    <w:rsid w:val="00E854E4"/>
    <w:rsid w:val="00E86DBF"/>
    <w:rsid w:val="00EB0D6F"/>
    <w:rsid w:val="00EB2232"/>
    <w:rsid w:val="00EC5337"/>
    <w:rsid w:val="00EE49E8"/>
    <w:rsid w:val="00F07BFC"/>
    <w:rsid w:val="00F16BAB"/>
    <w:rsid w:val="00F2150A"/>
    <w:rsid w:val="00F231D8"/>
    <w:rsid w:val="00F44C00"/>
    <w:rsid w:val="00F46C5F"/>
    <w:rsid w:val="00F632C0"/>
    <w:rsid w:val="00F82271"/>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8D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35D6A"/>
    <w:pPr>
      <w:framePr w:hSpace="180" w:wrap="around" w:vAnchor="page" w:hAnchor="page" w:x="1821" w:y="2317"/>
      <w:spacing w:before="840"/>
    </w:pPr>
    <w:rPr>
      <w:rFonts w:asciiTheme="majorBidi" w:hAnsiTheme="majorBidi" w:cstheme="majorBidi"/>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3E7E89"/>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3E7E89"/>
    <w:rPr>
      <w:color w:val="605E5C"/>
      <w:shd w:val="clear" w:color="auto" w:fill="E1DFDD"/>
    </w:rPr>
  </w:style>
  <w:style w:type="paragraph" w:styleId="BalloonText">
    <w:name w:val="Balloon Text"/>
    <w:basedOn w:val="Normal"/>
    <w:link w:val="BalloonTextChar"/>
    <w:semiHidden/>
    <w:unhideWhenUsed/>
    <w:rsid w:val="00C05E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5EF6"/>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A8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3050">
      <w:bodyDiv w:val="1"/>
      <w:marLeft w:val="0"/>
      <w:marRight w:val="0"/>
      <w:marTop w:val="0"/>
      <w:marBottom w:val="0"/>
      <w:divBdr>
        <w:top w:val="none" w:sz="0" w:space="0" w:color="auto"/>
        <w:left w:val="none" w:sz="0" w:space="0" w:color="auto"/>
        <w:bottom w:val="none" w:sz="0" w:space="0" w:color="auto"/>
        <w:right w:val="none" w:sz="0" w:space="0" w:color="auto"/>
      </w:divBdr>
    </w:div>
    <w:div w:id="143794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8-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INF-0013/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2-CL-INF-0013/en" TargetMode="External"/><Relationship Id="rId4" Type="http://schemas.openxmlformats.org/officeDocument/2006/relationships/settings" Target="settings.xml"/><Relationship Id="rId9" Type="http://schemas.openxmlformats.org/officeDocument/2006/relationships/hyperlink" Target="https://www.itu.int/md/S22-CL-INF-0013/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9293-02B4-4143-8883-7D4931D2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Generation of revenue for the ITU</dc:title>
  <dc:subject>Council 2023</dc:subject>
  <dc:creator/>
  <cp:keywords>C23, C2023, Council-23</cp:keywords>
  <dc:description/>
  <cp:lastModifiedBy/>
  <cp:revision>1</cp:revision>
  <dcterms:created xsi:type="dcterms:W3CDTF">2023-06-30T08:06:00Z</dcterms:created>
  <dcterms:modified xsi:type="dcterms:W3CDTF">2023-06-30T18:40:00Z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84fe7efe-b92f-4ebe-b367-2c9d7387e478</vt:lpwstr>
  </property>
  <property fmtid="{D5CDD505-2E9C-101B-9397-08002B2CF9AE}" pid="3" name="CLASSIFICATION">
    <vt:lpwstr>TITUS_PUBLIC</vt:lpwstr>
  </property>
</Properties>
</file>