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B51E4" w14:paraId="072F6B9F" w14:textId="77777777" w:rsidTr="00C538FC">
        <w:trPr>
          <w:cantSplit/>
          <w:trHeight w:val="23"/>
        </w:trPr>
        <w:tc>
          <w:tcPr>
            <w:tcW w:w="3969" w:type="dxa"/>
            <w:vMerge w:val="restart"/>
            <w:tcMar>
              <w:left w:w="0" w:type="dxa"/>
            </w:tcMar>
          </w:tcPr>
          <w:p w14:paraId="7F6C1160" w14:textId="4DA0A8B6" w:rsidR="00FE57F6" w:rsidRPr="00DB51E4" w:rsidRDefault="0095190E" w:rsidP="00C538FC">
            <w:pPr>
              <w:tabs>
                <w:tab w:val="left" w:pos="851"/>
              </w:tabs>
              <w:spacing w:before="0" w:line="240" w:lineRule="atLeast"/>
              <w:rPr>
                <w:b/>
              </w:rPr>
            </w:pPr>
            <w:bookmarkStart w:id="0" w:name="_Hlk133421839"/>
            <w:r w:rsidRPr="00DB51E4">
              <w:rPr>
                <w:b/>
              </w:rPr>
              <w:t>Punto del orden del día: PL2</w:t>
            </w:r>
          </w:p>
        </w:tc>
        <w:tc>
          <w:tcPr>
            <w:tcW w:w="5245" w:type="dxa"/>
          </w:tcPr>
          <w:p w14:paraId="6FE389EE" w14:textId="47887C7B" w:rsidR="00FE57F6" w:rsidRPr="00DB51E4" w:rsidRDefault="00FE57F6" w:rsidP="00C538FC">
            <w:pPr>
              <w:tabs>
                <w:tab w:val="left" w:pos="851"/>
              </w:tabs>
              <w:spacing w:before="0" w:line="240" w:lineRule="atLeast"/>
              <w:jc w:val="right"/>
              <w:rPr>
                <w:b/>
              </w:rPr>
            </w:pPr>
            <w:r w:rsidRPr="00DB51E4">
              <w:rPr>
                <w:b/>
              </w:rPr>
              <w:t>Document</w:t>
            </w:r>
            <w:r w:rsidR="00F24B71" w:rsidRPr="00DB51E4">
              <w:rPr>
                <w:b/>
              </w:rPr>
              <w:t>o</w:t>
            </w:r>
            <w:r w:rsidRPr="00DB51E4">
              <w:rPr>
                <w:b/>
              </w:rPr>
              <w:t xml:space="preserve"> C23/</w:t>
            </w:r>
            <w:r w:rsidR="0095190E" w:rsidRPr="00DB51E4">
              <w:rPr>
                <w:b/>
              </w:rPr>
              <w:t>91</w:t>
            </w:r>
            <w:r w:rsidRPr="00DB51E4">
              <w:rPr>
                <w:b/>
              </w:rPr>
              <w:t>-</w:t>
            </w:r>
            <w:r w:rsidR="00F24B71" w:rsidRPr="00DB51E4">
              <w:rPr>
                <w:b/>
              </w:rPr>
              <w:t>S</w:t>
            </w:r>
          </w:p>
        </w:tc>
      </w:tr>
      <w:tr w:rsidR="00FE57F6" w:rsidRPr="00DB51E4" w14:paraId="46A2B8DD" w14:textId="77777777" w:rsidTr="00C538FC">
        <w:trPr>
          <w:cantSplit/>
        </w:trPr>
        <w:tc>
          <w:tcPr>
            <w:tcW w:w="3969" w:type="dxa"/>
            <w:vMerge/>
          </w:tcPr>
          <w:p w14:paraId="4140657D" w14:textId="77777777" w:rsidR="00FE57F6" w:rsidRPr="00DB51E4" w:rsidRDefault="00FE57F6" w:rsidP="00C538FC">
            <w:pPr>
              <w:tabs>
                <w:tab w:val="left" w:pos="851"/>
              </w:tabs>
              <w:spacing w:line="240" w:lineRule="atLeast"/>
              <w:rPr>
                <w:b/>
              </w:rPr>
            </w:pPr>
          </w:p>
        </w:tc>
        <w:tc>
          <w:tcPr>
            <w:tcW w:w="5245" w:type="dxa"/>
          </w:tcPr>
          <w:p w14:paraId="5E824520" w14:textId="7AF16E9A" w:rsidR="00FE57F6" w:rsidRPr="00DB51E4" w:rsidRDefault="0095190E" w:rsidP="00C538FC">
            <w:pPr>
              <w:tabs>
                <w:tab w:val="left" w:pos="851"/>
              </w:tabs>
              <w:spacing w:before="0"/>
              <w:jc w:val="right"/>
              <w:rPr>
                <w:b/>
              </w:rPr>
            </w:pPr>
            <w:r w:rsidRPr="00DB51E4">
              <w:rPr>
                <w:b/>
              </w:rPr>
              <w:t>27 de junio de 2023</w:t>
            </w:r>
          </w:p>
        </w:tc>
      </w:tr>
      <w:tr w:rsidR="00FE57F6" w:rsidRPr="00DB51E4" w14:paraId="3786CA7D" w14:textId="77777777" w:rsidTr="00C538FC">
        <w:trPr>
          <w:cantSplit/>
          <w:trHeight w:val="23"/>
        </w:trPr>
        <w:tc>
          <w:tcPr>
            <w:tcW w:w="3969" w:type="dxa"/>
            <w:vMerge/>
          </w:tcPr>
          <w:p w14:paraId="6B9AC0C3" w14:textId="77777777" w:rsidR="00FE57F6" w:rsidRPr="00DB51E4" w:rsidRDefault="00FE57F6" w:rsidP="00C538FC">
            <w:pPr>
              <w:tabs>
                <w:tab w:val="left" w:pos="851"/>
              </w:tabs>
              <w:spacing w:line="240" w:lineRule="atLeast"/>
              <w:rPr>
                <w:b/>
              </w:rPr>
            </w:pPr>
          </w:p>
        </w:tc>
        <w:tc>
          <w:tcPr>
            <w:tcW w:w="5245" w:type="dxa"/>
          </w:tcPr>
          <w:p w14:paraId="2AE1E7CF" w14:textId="7E7C069B" w:rsidR="00FE57F6" w:rsidRPr="00DB51E4" w:rsidRDefault="0095190E" w:rsidP="00C538FC">
            <w:pPr>
              <w:tabs>
                <w:tab w:val="left" w:pos="851"/>
              </w:tabs>
              <w:spacing w:before="0" w:line="240" w:lineRule="atLeast"/>
              <w:jc w:val="right"/>
              <w:rPr>
                <w:b/>
                <w:bCs/>
              </w:rPr>
            </w:pPr>
            <w:r w:rsidRPr="00DB51E4">
              <w:rPr>
                <w:rFonts w:cstheme="minorHAnsi"/>
                <w:b/>
                <w:bCs/>
              </w:rPr>
              <w:t>Original: inglés/español</w:t>
            </w:r>
          </w:p>
        </w:tc>
      </w:tr>
      <w:tr w:rsidR="00FE57F6" w:rsidRPr="00DB51E4" w14:paraId="4BAEDF03" w14:textId="77777777" w:rsidTr="00C538FC">
        <w:trPr>
          <w:cantSplit/>
          <w:trHeight w:val="23"/>
        </w:trPr>
        <w:tc>
          <w:tcPr>
            <w:tcW w:w="3969" w:type="dxa"/>
          </w:tcPr>
          <w:p w14:paraId="4912F287" w14:textId="77777777" w:rsidR="00FE57F6" w:rsidRPr="00DB51E4" w:rsidRDefault="00FE57F6" w:rsidP="00C538FC">
            <w:pPr>
              <w:tabs>
                <w:tab w:val="left" w:pos="851"/>
              </w:tabs>
              <w:spacing w:line="240" w:lineRule="atLeast"/>
              <w:rPr>
                <w:b/>
              </w:rPr>
            </w:pPr>
          </w:p>
        </w:tc>
        <w:tc>
          <w:tcPr>
            <w:tcW w:w="5245" w:type="dxa"/>
          </w:tcPr>
          <w:p w14:paraId="76EF0C11" w14:textId="77777777" w:rsidR="00FE57F6" w:rsidRPr="00DB51E4" w:rsidRDefault="00FE57F6" w:rsidP="00C538FC">
            <w:pPr>
              <w:tabs>
                <w:tab w:val="left" w:pos="851"/>
              </w:tabs>
              <w:spacing w:before="0" w:line="240" w:lineRule="atLeast"/>
              <w:jc w:val="right"/>
              <w:rPr>
                <w:b/>
              </w:rPr>
            </w:pPr>
          </w:p>
        </w:tc>
      </w:tr>
      <w:tr w:rsidR="00FE57F6" w:rsidRPr="00DB51E4" w14:paraId="50BBA971" w14:textId="77777777" w:rsidTr="00C538FC">
        <w:trPr>
          <w:cantSplit/>
        </w:trPr>
        <w:tc>
          <w:tcPr>
            <w:tcW w:w="9214" w:type="dxa"/>
            <w:gridSpan w:val="2"/>
            <w:tcMar>
              <w:left w:w="0" w:type="dxa"/>
            </w:tcMar>
          </w:tcPr>
          <w:p w14:paraId="0EAE533B" w14:textId="0EA656C1" w:rsidR="00FE57F6" w:rsidRPr="00DB51E4" w:rsidRDefault="0095190E" w:rsidP="00C538FC">
            <w:pPr>
              <w:pStyle w:val="Source"/>
              <w:jc w:val="left"/>
              <w:rPr>
                <w:sz w:val="34"/>
                <w:szCs w:val="34"/>
              </w:rPr>
            </w:pPr>
            <w:r w:rsidRPr="00DB51E4">
              <w:rPr>
                <w:rFonts w:cstheme="minorHAnsi"/>
                <w:sz w:val="34"/>
                <w:szCs w:val="34"/>
              </w:rPr>
              <w:t xml:space="preserve">Contribución de España y de: </w:t>
            </w:r>
            <w:r w:rsidR="00AA168D" w:rsidRPr="00DB51E4">
              <w:rPr>
                <w:rFonts w:cstheme="minorHAnsi"/>
                <w:sz w:val="34"/>
                <w:szCs w:val="34"/>
              </w:rPr>
              <w:t xml:space="preserve"> Alemania (República Federal de), </w:t>
            </w:r>
            <w:r w:rsidRPr="00DB51E4">
              <w:rPr>
                <w:rFonts w:cstheme="minorHAnsi"/>
                <w:sz w:val="34"/>
                <w:szCs w:val="34"/>
              </w:rPr>
              <w:t>Argentina (República), Australia, Austria, Azerbaiyán (República de), Bélgica, Bosnia y Herzegovina, Brasil (República Federativa del), Bulgaria (República de), Canadá, Chipre (República de), Costa Rica, Croacia (República de), Dinamarca, Estonia (República de),</w:t>
            </w:r>
            <w:r w:rsidR="00AA168D">
              <w:rPr>
                <w:rFonts w:cstheme="minorHAnsi"/>
                <w:sz w:val="34"/>
                <w:szCs w:val="34"/>
              </w:rPr>
              <w:t xml:space="preserve"> </w:t>
            </w:r>
            <w:r w:rsidR="00AA168D" w:rsidRPr="00DB51E4">
              <w:rPr>
                <w:rFonts w:cstheme="minorHAnsi"/>
                <w:sz w:val="34"/>
                <w:szCs w:val="34"/>
              </w:rPr>
              <w:t>Estados Unidos de América</w:t>
            </w:r>
            <w:r w:rsidR="00AA168D">
              <w:rPr>
                <w:rFonts w:cstheme="minorHAnsi"/>
                <w:sz w:val="34"/>
                <w:szCs w:val="34"/>
              </w:rPr>
              <w:t>,</w:t>
            </w:r>
            <w:r w:rsidR="00AA168D" w:rsidRPr="00DB51E4">
              <w:rPr>
                <w:rFonts w:cstheme="minorHAnsi"/>
                <w:sz w:val="34"/>
                <w:szCs w:val="34"/>
              </w:rPr>
              <w:t xml:space="preserve"> </w:t>
            </w:r>
            <w:r w:rsidRPr="00DB51E4">
              <w:rPr>
                <w:rFonts w:cstheme="minorHAnsi"/>
                <w:sz w:val="34"/>
                <w:szCs w:val="34"/>
              </w:rPr>
              <w:t xml:space="preserve">Finlandia, Francia, Grecia, Hungría, Irlanda, Italia, Letonia (República de), Lituania (República de), Luxemburgo, </w:t>
            </w:r>
            <w:r w:rsidR="00AA168D" w:rsidRPr="00DB51E4">
              <w:rPr>
                <w:rFonts w:cstheme="minorHAnsi"/>
                <w:sz w:val="34"/>
                <w:szCs w:val="34"/>
              </w:rPr>
              <w:t>Macedonia del Norte (Republica de),</w:t>
            </w:r>
            <w:r w:rsidR="00AA168D">
              <w:rPr>
                <w:rFonts w:cstheme="minorHAnsi"/>
                <w:sz w:val="34"/>
                <w:szCs w:val="34"/>
              </w:rPr>
              <w:t xml:space="preserve"> </w:t>
            </w:r>
            <w:r w:rsidRPr="00DB51E4">
              <w:rPr>
                <w:rFonts w:cstheme="minorHAnsi"/>
                <w:sz w:val="34"/>
                <w:szCs w:val="34"/>
              </w:rPr>
              <w:t>Malta, México, Montenegro, Países Bajos (Reino de los), Noruega, Portugal,</w:t>
            </w:r>
            <w:r w:rsidR="00AA168D" w:rsidRPr="00DB51E4">
              <w:rPr>
                <w:rFonts w:cstheme="minorHAnsi"/>
                <w:sz w:val="34"/>
                <w:szCs w:val="34"/>
              </w:rPr>
              <w:t xml:space="preserve"> República de Türkiye, República Eslovaca,</w:t>
            </w:r>
            <w:r w:rsidR="00AA168D">
              <w:rPr>
                <w:rFonts w:cstheme="minorHAnsi"/>
                <w:sz w:val="34"/>
                <w:szCs w:val="34"/>
              </w:rPr>
              <w:t xml:space="preserve"> </w:t>
            </w:r>
            <w:r w:rsidR="00AA168D" w:rsidRPr="00DB51E4">
              <w:rPr>
                <w:rFonts w:cstheme="minorHAnsi"/>
                <w:sz w:val="34"/>
                <w:szCs w:val="34"/>
              </w:rPr>
              <w:t>República Checa,</w:t>
            </w:r>
            <w:r w:rsidR="00AA168D">
              <w:rPr>
                <w:rFonts w:cstheme="minorHAnsi"/>
                <w:sz w:val="34"/>
                <w:szCs w:val="34"/>
              </w:rPr>
              <w:t xml:space="preserve"> </w:t>
            </w:r>
            <w:r w:rsidRPr="00DB51E4">
              <w:rPr>
                <w:rFonts w:cstheme="minorHAnsi"/>
                <w:sz w:val="34"/>
                <w:szCs w:val="34"/>
              </w:rPr>
              <w:t>Ruman</w:t>
            </w:r>
            <w:r w:rsidR="00AA168D">
              <w:rPr>
                <w:rFonts w:cstheme="minorHAnsi"/>
                <w:sz w:val="34"/>
                <w:szCs w:val="34"/>
              </w:rPr>
              <w:t>i</w:t>
            </w:r>
            <w:r w:rsidRPr="00DB51E4">
              <w:rPr>
                <w:rFonts w:cstheme="minorHAnsi"/>
                <w:sz w:val="34"/>
                <w:szCs w:val="34"/>
              </w:rPr>
              <w:t xml:space="preserve">a, </w:t>
            </w:r>
            <w:r w:rsidR="00AA168D" w:rsidRPr="00DB51E4">
              <w:rPr>
                <w:rFonts w:cstheme="minorHAnsi"/>
                <w:sz w:val="34"/>
                <w:szCs w:val="34"/>
              </w:rPr>
              <w:t>Reino Unido de Gran Bretaña e Irlanda del Norte</w:t>
            </w:r>
            <w:r w:rsidR="00AA168D">
              <w:rPr>
                <w:rFonts w:cstheme="minorHAnsi"/>
                <w:sz w:val="34"/>
                <w:szCs w:val="34"/>
              </w:rPr>
              <w:t>,</w:t>
            </w:r>
            <w:r w:rsidR="00AA168D" w:rsidRPr="00DB51E4">
              <w:rPr>
                <w:rFonts w:cstheme="minorHAnsi"/>
                <w:sz w:val="34"/>
                <w:szCs w:val="34"/>
              </w:rPr>
              <w:t xml:space="preserve"> </w:t>
            </w:r>
            <w:r w:rsidRPr="00DB51E4">
              <w:rPr>
                <w:rFonts w:cstheme="minorHAnsi"/>
                <w:sz w:val="34"/>
                <w:szCs w:val="34"/>
              </w:rPr>
              <w:t>Eslovenia (República de), Suecia</w:t>
            </w:r>
            <w:r w:rsidR="00AA168D">
              <w:rPr>
                <w:rFonts w:cstheme="minorHAnsi"/>
                <w:sz w:val="34"/>
                <w:szCs w:val="34"/>
              </w:rPr>
              <w:t xml:space="preserve"> y</w:t>
            </w:r>
            <w:r w:rsidRPr="00DB51E4">
              <w:rPr>
                <w:rFonts w:cstheme="minorHAnsi"/>
                <w:sz w:val="34"/>
                <w:szCs w:val="34"/>
              </w:rPr>
              <w:t xml:space="preserve"> Suiza (Confederación)</w:t>
            </w:r>
          </w:p>
        </w:tc>
      </w:tr>
      <w:tr w:rsidR="00FE57F6" w:rsidRPr="00DB51E4" w14:paraId="684E842B" w14:textId="77777777" w:rsidTr="00C538FC">
        <w:trPr>
          <w:cantSplit/>
        </w:trPr>
        <w:tc>
          <w:tcPr>
            <w:tcW w:w="9214" w:type="dxa"/>
            <w:gridSpan w:val="2"/>
            <w:tcMar>
              <w:left w:w="0" w:type="dxa"/>
            </w:tcMar>
          </w:tcPr>
          <w:p w14:paraId="4A6037EE" w14:textId="69EBDD11" w:rsidR="00FE57F6" w:rsidRPr="00DB51E4" w:rsidRDefault="0095190E" w:rsidP="00C538FC">
            <w:pPr>
              <w:pStyle w:val="Subtitle"/>
              <w:framePr w:hSpace="0" w:wrap="auto" w:hAnchor="text" w:xAlign="left" w:yAlign="inline"/>
              <w:rPr>
                <w:lang w:val="es-ES_tradnl"/>
              </w:rPr>
            </w:pPr>
            <w:r w:rsidRPr="00DB51E4">
              <w:rPr>
                <w:rFonts w:cstheme="minorHAnsi"/>
                <w:lang w:val="es-ES_tradnl"/>
              </w:rPr>
              <w:t xml:space="preserve">PROPUESTA SOBRE LA APLICACIÓN DE LA RESOLUCIÓN 70 SOBRE </w:t>
            </w:r>
            <w:r w:rsidR="00DB51E4" w:rsidRPr="00DB51E4">
              <w:rPr>
                <w:rFonts w:cstheme="minorHAnsi"/>
                <w:lang w:val="es-ES_tradnl"/>
              </w:rPr>
              <w:t>"</w:t>
            </w:r>
            <w:r w:rsidRPr="00DB51E4">
              <w:rPr>
                <w:rFonts w:cstheme="minorHAnsi"/>
                <w:lang w:val="es-ES_tradnl"/>
              </w:rPr>
              <w:t>INCORPORACIÓN DE UNA PERSPECTIVA DE GÉNERO EN LA UIT Y PROMOCIÓN DE LA IGUALDAD DE GÉNERO Y EL EMPODERAMIENTO DE LAS MUJERES Y NIÑAS POR MEDIO DE LAS TELECOMUNICACIONES/TECNOLOGÍAS DE LA INFORMACIÓN Y LA COMUNICACIÓN</w:t>
            </w:r>
            <w:r w:rsidR="00DB51E4" w:rsidRPr="00DB51E4">
              <w:rPr>
                <w:rFonts w:cstheme="minorHAnsi"/>
                <w:lang w:val="es-ES_tradnl"/>
              </w:rPr>
              <w:t>"</w:t>
            </w:r>
          </w:p>
        </w:tc>
      </w:tr>
      <w:tr w:rsidR="00FE57F6" w:rsidRPr="00DB51E4" w14:paraId="441D061A" w14:textId="77777777" w:rsidTr="00C538FC">
        <w:trPr>
          <w:cantSplit/>
        </w:trPr>
        <w:tc>
          <w:tcPr>
            <w:tcW w:w="9214" w:type="dxa"/>
            <w:gridSpan w:val="2"/>
            <w:tcBorders>
              <w:top w:val="single" w:sz="4" w:space="0" w:color="auto"/>
              <w:bottom w:val="single" w:sz="4" w:space="0" w:color="auto"/>
            </w:tcBorders>
            <w:tcMar>
              <w:left w:w="0" w:type="dxa"/>
            </w:tcMar>
          </w:tcPr>
          <w:p w14:paraId="2731563D" w14:textId="494EEE0F" w:rsidR="00FE57F6" w:rsidRPr="00DB51E4" w:rsidRDefault="00F24B71" w:rsidP="00DB51E4">
            <w:pPr>
              <w:keepNext/>
              <w:keepLines/>
              <w:spacing w:before="160"/>
              <w:rPr>
                <w:b/>
                <w:bCs/>
                <w:sz w:val="26"/>
                <w:szCs w:val="26"/>
              </w:rPr>
            </w:pPr>
            <w:r w:rsidRPr="00DB51E4">
              <w:rPr>
                <w:b/>
                <w:bCs/>
                <w:sz w:val="26"/>
                <w:szCs w:val="26"/>
              </w:rPr>
              <w:t>Finalidad</w:t>
            </w:r>
          </w:p>
          <w:p w14:paraId="2AC63C3A" w14:textId="5BB64060" w:rsidR="00FE57F6" w:rsidRPr="00DB51E4" w:rsidRDefault="0095190E" w:rsidP="00DB51E4">
            <w:pPr>
              <w:keepNext/>
              <w:keepLines/>
            </w:pPr>
            <w:r w:rsidRPr="00DB51E4">
              <w:t xml:space="preserve">En 2023 celebramos el 25º aniversario de la Resolución 70 (PP-98, Minneápolis) que se basó en la Resolución 7 de la CMDT en La Valetta, que agregó por primera vez una perspectiva de género al trabajo de la UIT. Además, en la PP-22 en Bucarest se actualizó la Resolución 70 sobre </w:t>
            </w:r>
            <w:r w:rsidR="00DB51E4" w:rsidRPr="00DB51E4">
              <w:t>"</w:t>
            </w:r>
            <w:r w:rsidRPr="00DB51E4">
              <w:t>Incorporación de una perspectiva de género en la UIT y promoción de la igualdad de género y el empoderamiento de las mujeres y niñas por medio de las telecomunicaciones/tecnologías de la información y la comunicación</w:t>
            </w:r>
            <w:r w:rsidR="00DB51E4" w:rsidRPr="00DB51E4">
              <w:t>"</w:t>
            </w:r>
            <w:r w:rsidRPr="00DB51E4">
              <w:t xml:space="preserve">. Esta Resolución invita a los Estados Miembros y a los Miembros de Sector de la UIT a fomentar el apoyo a las </w:t>
            </w:r>
            <w:r w:rsidRPr="00DB51E4">
              <w:lastRenderedPageBreak/>
              <w:t>mujeres y niñas para que aprovechen las oportunidades ofrecidas por las telecomunicaciones y las TIC. Creemos que el Consejo de la UIT 2023 brinda una oportunidad excelente para fortalecer el trabajo que la UIT realiza en materia de igualdad de género.</w:t>
            </w:r>
          </w:p>
          <w:p w14:paraId="12013D49" w14:textId="77777777" w:rsidR="00FE57F6" w:rsidRPr="00DB51E4" w:rsidRDefault="00F24B71" w:rsidP="00C538FC">
            <w:pPr>
              <w:spacing w:before="160"/>
              <w:rPr>
                <w:b/>
                <w:bCs/>
                <w:sz w:val="26"/>
                <w:szCs w:val="26"/>
              </w:rPr>
            </w:pPr>
            <w:r w:rsidRPr="00DB51E4">
              <w:rPr>
                <w:b/>
                <w:bCs/>
                <w:sz w:val="26"/>
                <w:szCs w:val="26"/>
              </w:rPr>
              <w:t xml:space="preserve">Acción solicitada </w:t>
            </w:r>
            <w:r w:rsidR="00677A97" w:rsidRPr="00DB51E4">
              <w:rPr>
                <w:b/>
                <w:bCs/>
                <w:sz w:val="26"/>
                <w:szCs w:val="26"/>
              </w:rPr>
              <w:t>al</w:t>
            </w:r>
            <w:r w:rsidRPr="00DB51E4">
              <w:rPr>
                <w:b/>
                <w:bCs/>
                <w:sz w:val="26"/>
                <w:szCs w:val="26"/>
              </w:rPr>
              <w:t xml:space="preserve"> Consejo</w:t>
            </w:r>
          </w:p>
          <w:p w14:paraId="5498E68B" w14:textId="0D310BFD" w:rsidR="00FE57F6" w:rsidRPr="00DB51E4" w:rsidRDefault="0095190E" w:rsidP="00C538FC">
            <w:r w:rsidRPr="00DB51E4">
              <w:t xml:space="preserve">Adoptar un Acuerdo sobre la aplicación de la Resolución 70 sobre </w:t>
            </w:r>
            <w:r w:rsidR="00DB51E4" w:rsidRPr="00DB51E4">
              <w:t>"</w:t>
            </w:r>
            <w:r w:rsidRPr="00DB51E4">
              <w:t>Incorporación de una perspectiva de género en la UIT y promoción de la igualdad de género y el empoderamiento de las mujeres y niñas por medio de las telecomunicaciones/tecnologías de la información y la comunicación</w:t>
            </w:r>
            <w:r w:rsidR="00DB51E4" w:rsidRPr="00DB51E4">
              <w:t>"</w:t>
            </w:r>
            <w:r w:rsidRPr="00DB51E4">
              <w:t>.</w:t>
            </w:r>
          </w:p>
          <w:p w14:paraId="072D24B6" w14:textId="77777777" w:rsidR="00FE57F6" w:rsidRPr="00DB51E4" w:rsidRDefault="00FE57F6" w:rsidP="00C538FC">
            <w:pPr>
              <w:spacing w:before="160"/>
              <w:rPr>
                <w:caps/>
                <w:sz w:val="22"/>
              </w:rPr>
            </w:pPr>
            <w:r w:rsidRPr="00DB51E4">
              <w:rPr>
                <w:sz w:val="22"/>
              </w:rPr>
              <w:t>__________________</w:t>
            </w:r>
          </w:p>
          <w:p w14:paraId="69E6202C" w14:textId="5683D3E0" w:rsidR="00FE57F6" w:rsidRPr="00DB51E4" w:rsidRDefault="00F24B71" w:rsidP="00C538FC">
            <w:pPr>
              <w:spacing w:before="160"/>
              <w:rPr>
                <w:b/>
                <w:bCs/>
                <w:sz w:val="26"/>
                <w:szCs w:val="26"/>
              </w:rPr>
            </w:pPr>
            <w:r w:rsidRPr="00DB51E4">
              <w:rPr>
                <w:b/>
                <w:bCs/>
                <w:sz w:val="26"/>
                <w:szCs w:val="26"/>
              </w:rPr>
              <w:t>Referencia</w:t>
            </w:r>
            <w:r w:rsidR="0095190E" w:rsidRPr="00DB51E4">
              <w:rPr>
                <w:b/>
                <w:bCs/>
                <w:sz w:val="26"/>
                <w:szCs w:val="26"/>
              </w:rPr>
              <w:t>s</w:t>
            </w:r>
          </w:p>
          <w:p w14:paraId="3C0FE31D" w14:textId="77777777" w:rsidR="00FE57F6" w:rsidRPr="00DB51E4" w:rsidRDefault="0095190E" w:rsidP="0095190E">
            <w:pPr>
              <w:pStyle w:val="enumlev1"/>
            </w:pPr>
            <w:r w:rsidRPr="00DB51E4">
              <w:t>–</w:t>
            </w:r>
            <w:r w:rsidRPr="00DB51E4">
              <w:tab/>
              <w:t>Resolución 70 (Rev. Bucarest, 2022) de la Conferencia de Plenipotenciarios</w:t>
            </w:r>
          </w:p>
          <w:p w14:paraId="3C6D31D1" w14:textId="567E8926" w:rsidR="0095190E" w:rsidRPr="00DB51E4" w:rsidRDefault="0095190E" w:rsidP="003236D4">
            <w:pPr>
              <w:pStyle w:val="enumlev1"/>
              <w:spacing w:after="160"/>
            </w:pPr>
            <w:r w:rsidRPr="00DB51E4">
              <w:t>–</w:t>
            </w:r>
            <w:r w:rsidRPr="00DB51E4">
              <w:tab/>
              <w:t>Otras referencias a otros documentos están incluidas en el texto del Acuerdo.</w:t>
            </w:r>
          </w:p>
        </w:tc>
      </w:tr>
    </w:tbl>
    <w:bookmarkEnd w:id="0"/>
    <w:p w14:paraId="7E36285F" w14:textId="77777777" w:rsidR="0095190E" w:rsidRPr="00DB51E4" w:rsidRDefault="0095190E" w:rsidP="0095190E">
      <w:pPr>
        <w:spacing w:before="480"/>
        <w:rPr>
          <w:b/>
          <w:bCs/>
          <w:szCs w:val="24"/>
        </w:rPr>
      </w:pPr>
      <w:r w:rsidRPr="00DB51E4">
        <w:rPr>
          <w:b/>
          <w:bCs/>
          <w:szCs w:val="24"/>
        </w:rPr>
        <w:lastRenderedPageBreak/>
        <w:t>El texto del Acuerdo propuesto figura en el Anexo al presente documento.</w:t>
      </w:r>
    </w:p>
    <w:p w14:paraId="1A820419" w14:textId="77777777" w:rsidR="0095190E" w:rsidRPr="00DB51E4" w:rsidRDefault="0095190E" w:rsidP="0095190E">
      <w:pPr>
        <w:spacing w:before="1800"/>
        <w:rPr>
          <w:szCs w:val="24"/>
        </w:rPr>
      </w:pPr>
      <w:r w:rsidRPr="00DB51E4">
        <w:rPr>
          <w:b/>
          <w:bCs/>
          <w:szCs w:val="24"/>
        </w:rPr>
        <w:t xml:space="preserve">Anexo: </w:t>
      </w:r>
      <w:r w:rsidRPr="00DB51E4">
        <w:rPr>
          <w:szCs w:val="24"/>
        </w:rPr>
        <w:t>1</w:t>
      </w:r>
    </w:p>
    <w:p w14:paraId="4F6E334D" w14:textId="77777777" w:rsidR="001559F5" w:rsidRPr="00DB51E4" w:rsidRDefault="001559F5">
      <w:pPr>
        <w:tabs>
          <w:tab w:val="clear" w:pos="567"/>
          <w:tab w:val="clear" w:pos="1134"/>
          <w:tab w:val="clear" w:pos="1701"/>
          <w:tab w:val="clear" w:pos="2268"/>
          <w:tab w:val="clear" w:pos="2835"/>
        </w:tabs>
        <w:overflowPunct/>
        <w:autoSpaceDE/>
        <w:autoSpaceDN/>
        <w:adjustRightInd/>
        <w:spacing w:before="0"/>
        <w:textAlignment w:val="auto"/>
      </w:pPr>
      <w:r w:rsidRPr="00DB51E4">
        <w:br w:type="page"/>
      </w:r>
    </w:p>
    <w:p w14:paraId="182FA846" w14:textId="77777777" w:rsidR="0095190E" w:rsidRPr="00DB51E4" w:rsidRDefault="0095190E" w:rsidP="0095190E">
      <w:pPr>
        <w:pStyle w:val="AnnexNo"/>
      </w:pPr>
      <w:r w:rsidRPr="00DB51E4">
        <w:lastRenderedPageBreak/>
        <w:t>ANEXO</w:t>
      </w:r>
    </w:p>
    <w:p w14:paraId="77574291" w14:textId="77777777" w:rsidR="0095190E" w:rsidRPr="00DB51E4" w:rsidRDefault="0095190E" w:rsidP="0095190E">
      <w:pPr>
        <w:pStyle w:val="AnnexNo"/>
      </w:pPr>
      <w:r w:rsidRPr="00DB51E4">
        <w:t>Proyecto de Acuerdo [...]</w:t>
      </w:r>
    </w:p>
    <w:p w14:paraId="69A1BD45" w14:textId="2B93C80C" w:rsidR="0095190E" w:rsidRPr="00DB51E4" w:rsidRDefault="0095190E" w:rsidP="0095190E">
      <w:pPr>
        <w:pStyle w:val="Annextitle"/>
      </w:pPr>
      <w:r w:rsidRPr="00DB51E4">
        <w:t xml:space="preserve">Acuerdo sobre la aplicación de la Resolución 70 sobre </w:t>
      </w:r>
      <w:r w:rsidR="00DB51E4" w:rsidRPr="00DB51E4">
        <w:t>"</w:t>
      </w:r>
      <w:r w:rsidRPr="00DB51E4">
        <w:t>Incorporación</w:t>
      </w:r>
      <w:r w:rsidR="00DB51E4" w:rsidRPr="00DB51E4">
        <w:br/>
      </w:r>
      <w:r w:rsidRPr="00DB51E4">
        <w:t>de una perspectiva de género en la UIT y promoción de la igualdad</w:t>
      </w:r>
      <w:r w:rsidR="00DB51E4" w:rsidRPr="00DB51E4">
        <w:br/>
      </w:r>
      <w:r w:rsidRPr="00DB51E4">
        <w:t>de género y el empoderamiento de las mujeres y niñas por medio de</w:t>
      </w:r>
      <w:r w:rsidR="00DB51E4" w:rsidRPr="00DB51E4">
        <w:br/>
      </w:r>
      <w:r w:rsidRPr="00DB51E4">
        <w:t>las telecomunicaciones/tecnologías de la información y la comunicación</w:t>
      </w:r>
      <w:r w:rsidR="00DB51E4" w:rsidRPr="00DB51E4">
        <w:t>"</w:t>
      </w:r>
    </w:p>
    <w:p w14:paraId="7CE6DEFF" w14:textId="77777777" w:rsidR="0095190E" w:rsidRPr="00DB51E4" w:rsidRDefault="0095190E" w:rsidP="0095190E">
      <w:pPr>
        <w:pStyle w:val="Normalaftertitle"/>
      </w:pPr>
      <w:r w:rsidRPr="00DB51E4">
        <w:t>El Consejo de la UIT,</w:t>
      </w:r>
    </w:p>
    <w:p w14:paraId="4005E229" w14:textId="22A44FC4" w:rsidR="0095190E" w:rsidRPr="00DB51E4" w:rsidRDefault="00DB51E4" w:rsidP="0095190E">
      <w:pPr>
        <w:pStyle w:val="Call"/>
      </w:pPr>
      <w:r w:rsidRPr="00DB51E4">
        <w:t>c</w:t>
      </w:r>
      <w:r w:rsidR="0095190E" w:rsidRPr="00DB51E4">
        <w:t>onsiderando</w:t>
      </w:r>
    </w:p>
    <w:p w14:paraId="3CC20CBF" w14:textId="74A79EF7" w:rsidR="0095190E" w:rsidRPr="00DB51E4" w:rsidRDefault="0095190E" w:rsidP="00DB51E4">
      <w:r w:rsidRPr="00DB51E4">
        <w:rPr>
          <w:i/>
          <w:iCs/>
        </w:rPr>
        <w:t>a)</w:t>
      </w:r>
      <w:r w:rsidRPr="00DB51E4">
        <w:tab/>
        <w:t xml:space="preserve">la Resolución 70 sobre </w:t>
      </w:r>
      <w:r w:rsidR="00DB51E4" w:rsidRPr="00DB51E4">
        <w:t>"</w:t>
      </w:r>
      <w:r w:rsidRPr="00DB51E4">
        <w:t>Incorporación de una perspectiva de género en la UIT y promoción de la igualdad de género y el empoderamiento de la mujer por medio de las telecomunicaciones/tecnologías de la información y la comunicación</w:t>
      </w:r>
      <w:r w:rsidR="00DB51E4" w:rsidRPr="00DB51E4">
        <w:t>"</w:t>
      </w:r>
      <w:r w:rsidRPr="00DB51E4">
        <w:t>;</w:t>
      </w:r>
    </w:p>
    <w:p w14:paraId="7B6FCAA8" w14:textId="6ABE2B07" w:rsidR="0095190E" w:rsidRPr="00DB51E4" w:rsidRDefault="0095190E" w:rsidP="00DB51E4">
      <w:r w:rsidRPr="00DB51E4">
        <w:rPr>
          <w:i/>
          <w:iCs/>
        </w:rPr>
        <w:t>b)</w:t>
      </w:r>
      <w:r w:rsidRPr="00DB51E4">
        <w:tab/>
        <w:t xml:space="preserve">la Resolución 70/1 de la Asamblea General de las Naciones Unidas (AGNU), sobre el Objetivo de Desarrollo Sostenible (ODS) 5 </w:t>
      </w:r>
      <w:r w:rsidR="00DB51E4" w:rsidRPr="00DB51E4">
        <w:t>"</w:t>
      </w:r>
      <w:r w:rsidRPr="00DB51E4">
        <w:t>Lograr la igualdad entre los géneros y empoderar a todas las mujeres y las niñas</w:t>
      </w:r>
      <w:r w:rsidR="00DB51E4" w:rsidRPr="00DB51E4">
        <w:t>"</w:t>
      </w:r>
      <w:r w:rsidRPr="00DB51E4">
        <w:t>;</w:t>
      </w:r>
    </w:p>
    <w:p w14:paraId="0ABE95FB" w14:textId="66F86995" w:rsidR="0095190E" w:rsidRPr="00DB51E4" w:rsidRDefault="0095190E" w:rsidP="00DB51E4">
      <w:r w:rsidRPr="00DB51E4">
        <w:rPr>
          <w:i/>
          <w:iCs/>
        </w:rPr>
        <w:t>c)</w:t>
      </w:r>
      <w:r w:rsidRPr="00DB51E4">
        <w:tab/>
        <w:t>la Resolución 7 (La Valetta, 1998) de la Conferencia Mundial de Desarrollo de las Telecomunicaciones (CMDT), refrendada por la Conferencia de Plenipotenciarios en su Resolución 70 (Minneápolis, 1998), en la que la conferencia resolvió, entre otras cosas, incorporar una perspectiva de género en la aplicación de todos los programas y planes de la</w:t>
      </w:r>
      <w:r w:rsidR="003236D4">
        <w:t> </w:t>
      </w:r>
      <w:r w:rsidRPr="00DB51E4">
        <w:t>UIT;</w:t>
      </w:r>
    </w:p>
    <w:p w14:paraId="4C8C76E7" w14:textId="77777777" w:rsidR="0095190E" w:rsidRPr="00DB51E4" w:rsidRDefault="0095190E" w:rsidP="00DB51E4">
      <w:r w:rsidRPr="00DB51E4">
        <w:rPr>
          <w:i/>
          <w:iCs/>
        </w:rPr>
        <w:t>d)</w:t>
      </w:r>
      <w:r w:rsidRPr="00DB51E4">
        <w:tab/>
        <w:t>la Resolución 55 (Rev. Ginebra, 2022) de la Asamblea Mundial de Normalización de las Telecomunicaciones, en la que se alienta a incorporar una perspectiva de género en las actividades del Sector de Normalización de las Telecomunicaciones de la UIT (UIT-T);</w:t>
      </w:r>
    </w:p>
    <w:p w14:paraId="43BA6903" w14:textId="77777777" w:rsidR="0095190E" w:rsidRPr="00DB51E4" w:rsidRDefault="0095190E" w:rsidP="00DB51E4">
      <w:r w:rsidRPr="00DB51E4">
        <w:rPr>
          <w:i/>
          <w:iCs/>
        </w:rPr>
        <w:t>e)</w:t>
      </w:r>
      <w:r w:rsidRPr="00DB51E4">
        <w:tab/>
        <w:t>la Resolución 55 (Rev. Kigali, 2022) de la CMDT, en la que se resuelve que la Oficina de Desarrollo de las Telecomunicaciones (BDT) debe mantener estrechos vínculos y colaborar, según proceda, con el Grupo Especial sobre cuestiones de género de la UIT, creado por el Secretario General para apoyar la incorporación de la perspectiva de género en las actividades de la Unión, con el fin de eliminar las desigualdades en el acceso, y la utilización de las telecomunicaciones/tecnologías de la información y la comunicación (TIC);</w:t>
      </w:r>
    </w:p>
    <w:p w14:paraId="615B83E9" w14:textId="77777777" w:rsidR="0095190E" w:rsidRPr="00DB51E4" w:rsidRDefault="0095190E" w:rsidP="00DB51E4">
      <w:r w:rsidRPr="00DB51E4">
        <w:rPr>
          <w:i/>
          <w:iCs/>
        </w:rPr>
        <w:t>f)</w:t>
      </w:r>
      <w:r w:rsidRPr="00DB51E4">
        <w:tab/>
        <w:t>la Resolución 1327 adoptada por el Consejo de la UIT en su reunión de 2011, sobre el papel de la UIT en las TIC y el empoderamiento de las mujeres y las niñas;</w:t>
      </w:r>
    </w:p>
    <w:p w14:paraId="0EE06A19" w14:textId="2D7B72D6" w:rsidR="0095190E" w:rsidRPr="00DB51E4" w:rsidRDefault="0095190E" w:rsidP="00DB51E4">
      <w:r w:rsidRPr="00DB51E4">
        <w:rPr>
          <w:i/>
          <w:iCs/>
        </w:rPr>
        <w:t>g)</w:t>
      </w:r>
      <w:r w:rsidRPr="00DB51E4">
        <w:tab/>
        <w:t>la Resolución 1187 adoptada por el Consejo de la UIT en su reunión de 2001 sobre la perspectiva de género en la gestión, la política y la práctica de los recursos humanos de la</w:t>
      </w:r>
      <w:r w:rsidR="00DB51E4" w:rsidRPr="00DB51E4">
        <w:t> </w:t>
      </w:r>
      <w:r w:rsidRPr="00DB51E4">
        <w:t xml:space="preserve">UIT; </w:t>
      </w:r>
    </w:p>
    <w:p w14:paraId="5252FC80" w14:textId="77777777" w:rsidR="0095190E" w:rsidRPr="00DB51E4" w:rsidRDefault="0095190E" w:rsidP="00DB51E4">
      <w:r w:rsidRPr="00DB51E4">
        <w:rPr>
          <w:i/>
          <w:iCs/>
        </w:rPr>
        <w:t>h)</w:t>
      </w:r>
      <w:r w:rsidRPr="00DB51E4">
        <w:tab/>
        <w:t xml:space="preserve">las Conclusiones Acordadas 1997-2 del Consejo Económico y Social de las Naciones Unidas (ECOSOC), y la Resolución 2012/24 del ECOSOC, sobre la incorporación e integración de la perspectiva de género en todas las políticas y programas del sistema de las Naciones Unidas, que dieron la bienvenida al desarrollo del Plan de Acción para todo el sistema de las </w:t>
      </w:r>
      <w:r w:rsidRPr="00DB51E4">
        <w:lastRenderedPageBreak/>
        <w:t>Naciones Unidas sobre la igualdad de género y el empoderamiento de la mujer (ONU-SWAP);</w:t>
      </w:r>
    </w:p>
    <w:p w14:paraId="54AD95E9" w14:textId="77777777" w:rsidR="0095190E" w:rsidRPr="00DB51E4" w:rsidRDefault="0095190E" w:rsidP="00DB51E4">
      <w:r w:rsidRPr="00DB51E4">
        <w:rPr>
          <w:i/>
          <w:iCs/>
        </w:rPr>
        <w:t>i)</w:t>
      </w:r>
      <w:r w:rsidRPr="00DB51E4">
        <w:tab/>
        <w:t>la Resolución 70/125 de la AGNU, relativa al documento final de la reunión de alto nivel de la AGNU sobre el examen general de la aplicación de los resultados de la Cumbre Mundial sobre la Sociedad de la Información (CMSI), así como el preámbulo de la Declaración de la CMSI+10 sobre la aplicación de los resultados de la CMSI, que reafirma la importancia de promover y mantener la igualdad de género y el empoderamiento de todas las mujeres y niñas y de garantizar la inclusión de las mujeres en la emergente sociedad mundial de las TIC, teniendo en cuenta el mandato de la Entidad de las Naciones Unidas para la Igualdad de Género y el Empoderamiento de las Mujeres (ONU Mujeres);</w:t>
      </w:r>
    </w:p>
    <w:p w14:paraId="225CFC90" w14:textId="77777777" w:rsidR="0095190E" w:rsidRPr="00DB51E4" w:rsidRDefault="0095190E" w:rsidP="00DB51E4">
      <w:r w:rsidRPr="00DB51E4">
        <w:rPr>
          <w:i/>
          <w:iCs/>
        </w:rPr>
        <w:t>j)</w:t>
      </w:r>
      <w:r w:rsidRPr="00DB51E4">
        <w:tab/>
        <w:t>la Declaración sobre la promoción de la igualdad, la equidad y la paridad de género en el Sector de Radiocomunicaciones de la UIT, aprobada en la Conferencia Mundial de Radiocomunicaciones (Sharm el-Sheikh, 2019);</w:t>
      </w:r>
    </w:p>
    <w:p w14:paraId="6451EFE2" w14:textId="0A3B4585" w:rsidR="0095190E" w:rsidRPr="00DB51E4" w:rsidRDefault="0095190E" w:rsidP="00DB51E4">
      <w:r w:rsidRPr="00DB51E4">
        <w:rPr>
          <w:i/>
          <w:iCs/>
        </w:rPr>
        <w:t>k)</w:t>
      </w:r>
      <w:r w:rsidRPr="00DB51E4">
        <w:tab/>
        <w:t xml:space="preserve">el Informe del Secretario General </w:t>
      </w:r>
      <w:r w:rsidR="00DB51E4" w:rsidRPr="00DB51E4">
        <w:t>"</w:t>
      </w:r>
      <w:r w:rsidRPr="00DB51E4">
        <w:t>Nuestra Agenda Común</w:t>
      </w:r>
      <w:r w:rsidR="00DB51E4" w:rsidRPr="00DB51E4">
        <w:t>"</w:t>
      </w:r>
      <w:r w:rsidRPr="00DB51E4">
        <w:t xml:space="preserve">, sobre la adopción de medidas en cuestiones sociales y reglamentarias graves y urgentes con respecto a la </w:t>
      </w:r>
      <w:r w:rsidR="00DB51E4" w:rsidRPr="00DB51E4">
        <w:t>"</w:t>
      </w:r>
      <w:r w:rsidRPr="00DB51E4">
        <w:t>exacerbación de los prejuicios sexistas y el uso de la perspectiva masculina como norma cuando las mujeres no intervienen al mismo nivel que los hombres en el diseño de las tecnologías digitales, además del acoso digital que sufren en particular las mujeres y las niñas y que a menudo las obliga a apartarse del discurso público</w:t>
      </w:r>
      <w:r w:rsidR="00DB51E4" w:rsidRPr="00DB51E4">
        <w:t>"</w:t>
      </w:r>
      <w:r w:rsidRPr="00DB51E4">
        <w:t>;</w:t>
      </w:r>
    </w:p>
    <w:p w14:paraId="366CAD8F" w14:textId="74CDF81F" w:rsidR="0095190E" w:rsidRPr="00DB51E4" w:rsidRDefault="0095190E" w:rsidP="00DB51E4">
      <w:r w:rsidRPr="00DB51E4">
        <w:rPr>
          <w:i/>
          <w:iCs/>
        </w:rPr>
        <w:t>l)</w:t>
      </w:r>
      <w:r w:rsidRPr="00DB51E4">
        <w:tab/>
        <w:t xml:space="preserve">la Hoja de </w:t>
      </w:r>
      <w:r w:rsidR="003236D4" w:rsidRPr="00DB51E4">
        <w:t xml:space="preserve">ruta </w:t>
      </w:r>
      <w:r w:rsidRPr="00DB51E4">
        <w:t xml:space="preserve">para la </w:t>
      </w:r>
      <w:r w:rsidR="003236D4" w:rsidRPr="00DB51E4">
        <w:t>cooperación digital</w:t>
      </w:r>
      <w:r w:rsidRPr="00DB51E4">
        <w:t xml:space="preserve">: aplicación de las recomendaciones del panel de alto nivel sobre cooperación digital (A/74/821), sobre el llamamiento al sector privado, la sociedad civil, los gobiernos nacionales, los bancos multilaterales y las Naciones Unidas para que adopten políticas específicas en apoyo de la plena inclusión digital y la igualdad digital; </w:t>
      </w:r>
    </w:p>
    <w:p w14:paraId="024B157A" w14:textId="59B353FC" w:rsidR="0095190E" w:rsidRPr="00DB51E4" w:rsidRDefault="0095190E" w:rsidP="00DB51E4">
      <w:r w:rsidRPr="00DB51E4">
        <w:rPr>
          <w:i/>
          <w:iCs/>
        </w:rPr>
        <w:t>m)</w:t>
      </w:r>
      <w:r w:rsidRPr="00DB51E4">
        <w:tab/>
        <w:t>las conclusiones acordadas que adoptó la Comisión de la Condición Jurídica y Social de la Mujer en su 67º per</w:t>
      </w:r>
      <w:r w:rsidR="003236D4">
        <w:t>i</w:t>
      </w:r>
      <w:r w:rsidRPr="00DB51E4">
        <w:t>odo de sesiones, sobre la innovación y el cambio tecnológico, y la educación en la era digital para lograr la igualdad de género y el empoderamiento de todas las mujeres y las niñas,</w:t>
      </w:r>
    </w:p>
    <w:p w14:paraId="1583AA96" w14:textId="0BB7EEF4" w:rsidR="0095190E" w:rsidRPr="00DB51E4" w:rsidRDefault="00DB51E4" w:rsidP="0095190E">
      <w:pPr>
        <w:pStyle w:val="Call"/>
        <w:jc w:val="both"/>
      </w:pPr>
      <w:r w:rsidRPr="00DB51E4">
        <w:t>t</w:t>
      </w:r>
      <w:r w:rsidR="0095190E" w:rsidRPr="00DB51E4">
        <w:t>eniendo en cuenta</w:t>
      </w:r>
    </w:p>
    <w:p w14:paraId="7733F7FC" w14:textId="4D2FE261" w:rsidR="0095190E" w:rsidRPr="00DB51E4" w:rsidRDefault="0095190E" w:rsidP="00DB51E4">
      <w:pPr>
        <w:rPr>
          <w:lang w:eastAsia="es-ES"/>
        </w:rPr>
      </w:pPr>
      <w:r w:rsidRPr="00DB51E4">
        <w:t>que la Conferencia de Plenipotenciarios (Bucarest, 2022) adoptó la Resolución 70 (Rev.</w:t>
      </w:r>
      <w:r w:rsidR="00DB51E4" w:rsidRPr="00DB51E4">
        <w:t> </w:t>
      </w:r>
      <w:r w:rsidRPr="00DB51E4">
        <w:t xml:space="preserve">Bucarest, 2022) sobre </w:t>
      </w:r>
      <w:r w:rsidR="00DB51E4" w:rsidRPr="00DB51E4">
        <w:t>"</w:t>
      </w:r>
      <w:r w:rsidRPr="00DB51E4">
        <w:t>Incorporación de una perspectiva de género en la UIT y promoción de la igualdad de género y el empoderamiento de las mujeres y niñas por medio de las telecomunicaciones/tecnologías de la información y la comunicación</w:t>
      </w:r>
      <w:r w:rsidR="00DB51E4" w:rsidRPr="00DB51E4">
        <w:t>"</w:t>
      </w:r>
      <w:r w:rsidRPr="00DB51E4">
        <w:t xml:space="preserve">, en la que se encarga al </w:t>
      </w:r>
      <w:r w:rsidRPr="00DB51E4">
        <w:rPr>
          <w:lang w:eastAsia="es-ES"/>
        </w:rPr>
        <w:t xml:space="preserve">Consejo: </w:t>
      </w:r>
    </w:p>
    <w:p w14:paraId="1FBD77EF" w14:textId="3DD2AB3C" w:rsidR="0095190E" w:rsidRPr="00DB51E4" w:rsidRDefault="00DB51E4" w:rsidP="00DB51E4">
      <w:pPr>
        <w:pStyle w:val="enumlev1"/>
      </w:pPr>
      <w:r w:rsidRPr="00DB51E4">
        <w:t>1</w:t>
      </w:r>
      <w:r w:rsidRPr="00DB51E4">
        <w:tab/>
        <w:t>"</w:t>
      </w:r>
      <w:r w:rsidR="0095190E" w:rsidRPr="00DB51E4">
        <w:t xml:space="preserve">que dé alta prioridad a la supervisión de la aplicación de la política </w:t>
      </w:r>
      <w:r w:rsidR="003236D4" w:rsidRPr="00DB51E4">
        <w:t xml:space="preserve">de igualdad e integración de género </w:t>
      </w:r>
      <w:r w:rsidR="003236D4">
        <w:t>(</w:t>
      </w:r>
      <w:r w:rsidR="0095190E" w:rsidRPr="00DB51E4">
        <w:t>IIG</w:t>
      </w:r>
      <w:r w:rsidR="003236D4">
        <w:t>)</w:t>
      </w:r>
      <w:r w:rsidR="0095190E" w:rsidRPr="00DB51E4">
        <w:t xml:space="preserve"> para que la UIT pueda incorporar una perspectiva de género en toda la organización y aprovechar las telecomunicaciones/TIC para empoderar a mujeres, niñas, hombres y niños</w:t>
      </w:r>
      <w:r w:rsidRPr="00DB51E4">
        <w:t>"</w:t>
      </w:r>
      <w:r w:rsidR="0095190E" w:rsidRPr="00DB51E4">
        <w:t>;</w:t>
      </w:r>
    </w:p>
    <w:p w14:paraId="42AEC931" w14:textId="0E076BDF" w:rsidR="0095190E" w:rsidRPr="00DB51E4" w:rsidRDefault="00DB51E4" w:rsidP="00DB51E4">
      <w:pPr>
        <w:pStyle w:val="enumlev1"/>
        <w:rPr>
          <w:rFonts w:asciiTheme="minorHAnsi" w:hAnsiTheme="minorHAnsi" w:cstheme="minorHAnsi"/>
          <w:color w:val="000000"/>
        </w:rPr>
      </w:pPr>
      <w:r w:rsidRPr="00DB51E4">
        <w:rPr>
          <w:rFonts w:asciiTheme="minorHAnsi" w:hAnsiTheme="minorHAnsi" w:cstheme="minorHAnsi"/>
          <w:color w:val="000000"/>
        </w:rPr>
        <w:t>2</w:t>
      </w:r>
      <w:r w:rsidRPr="00DB51E4">
        <w:rPr>
          <w:rFonts w:asciiTheme="minorHAnsi" w:hAnsiTheme="minorHAnsi" w:cstheme="minorHAnsi"/>
          <w:color w:val="000000"/>
        </w:rPr>
        <w:tab/>
        <w:t>"</w:t>
      </w:r>
      <w:r w:rsidR="0095190E" w:rsidRPr="00DB51E4">
        <w:rPr>
          <w:rFonts w:asciiTheme="minorHAnsi" w:hAnsiTheme="minorHAnsi" w:cstheme="minorHAnsi"/>
          <w:color w:val="000000"/>
        </w:rPr>
        <w:t>que continúe y amplíe las iniciativas existentes y acelere el proceso de incorporación de una perspectiva de género adoptando medidas de discriminación positiva cuando sean necesarias, en toda la UIT, en función de los recursos presupuestarios existentes, con el fin de garantizar la capacitación, el desarrollo de calificaciones y el nombramiento de mujeres para altos cargos, incluidos los cargos de elección de la UIT y en la contratación de pasantes</w:t>
      </w:r>
      <w:r w:rsidRPr="00DB51E4">
        <w:rPr>
          <w:rFonts w:asciiTheme="minorHAnsi" w:hAnsiTheme="minorHAnsi" w:cstheme="minorHAnsi"/>
          <w:color w:val="000000"/>
        </w:rPr>
        <w:t>"</w:t>
      </w:r>
      <w:r w:rsidR="0095190E" w:rsidRPr="00DB51E4">
        <w:rPr>
          <w:rFonts w:asciiTheme="minorHAnsi" w:hAnsiTheme="minorHAnsi" w:cstheme="minorHAnsi"/>
          <w:color w:val="000000"/>
        </w:rPr>
        <w:t>;</w:t>
      </w:r>
    </w:p>
    <w:p w14:paraId="46692D93" w14:textId="3054BC08" w:rsidR="0095190E" w:rsidRPr="00DB51E4" w:rsidRDefault="00DB51E4" w:rsidP="00DB51E4">
      <w:pPr>
        <w:pStyle w:val="enumlev1"/>
        <w:rPr>
          <w:rFonts w:asciiTheme="minorHAnsi" w:hAnsiTheme="minorHAnsi" w:cstheme="minorHAnsi"/>
          <w:color w:val="000000"/>
        </w:rPr>
      </w:pPr>
      <w:r w:rsidRPr="00DB51E4">
        <w:rPr>
          <w:rFonts w:asciiTheme="minorHAnsi" w:hAnsiTheme="minorHAnsi" w:cstheme="minorHAnsi"/>
          <w:color w:val="000000"/>
        </w:rPr>
        <w:lastRenderedPageBreak/>
        <w:t>3</w:t>
      </w:r>
      <w:r w:rsidRPr="00DB51E4">
        <w:rPr>
          <w:rFonts w:asciiTheme="minorHAnsi" w:hAnsiTheme="minorHAnsi" w:cstheme="minorHAnsi"/>
          <w:color w:val="000000"/>
        </w:rPr>
        <w:tab/>
        <w:t>"</w:t>
      </w:r>
      <w:r w:rsidR="0095190E" w:rsidRPr="00DB51E4">
        <w:rPr>
          <w:rFonts w:asciiTheme="minorHAnsi" w:hAnsiTheme="minorHAnsi" w:cstheme="minorHAnsi"/>
          <w:color w:val="000000"/>
        </w:rPr>
        <w:t>que asigne recursos en el presupuesto de la UIT para facilitar la aplicación de esta Resolución en la mayor medida posible</w:t>
      </w:r>
      <w:r w:rsidRPr="00DB51E4">
        <w:rPr>
          <w:rFonts w:asciiTheme="minorHAnsi" w:hAnsiTheme="minorHAnsi" w:cstheme="minorHAnsi"/>
          <w:color w:val="000000"/>
        </w:rPr>
        <w:t>"</w:t>
      </w:r>
      <w:r w:rsidR="0095190E" w:rsidRPr="00DB51E4">
        <w:rPr>
          <w:rFonts w:asciiTheme="minorHAnsi" w:hAnsiTheme="minorHAnsi" w:cstheme="minorHAnsi"/>
          <w:color w:val="000000"/>
        </w:rPr>
        <w:t>;</w:t>
      </w:r>
    </w:p>
    <w:p w14:paraId="4C0632E6" w14:textId="55895138" w:rsidR="0095190E" w:rsidRPr="00DB51E4" w:rsidRDefault="00DB51E4" w:rsidP="00DB51E4">
      <w:pPr>
        <w:pStyle w:val="enumlev1"/>
        <w:rPr>
          <w:rFonts w:asciiTheme="minorHAnsi" w:hAnsiTheme="minorHAnsi" w:cstheme="minorHAnsi"/>
          <w:color w:val="000000"/>
        </w:rPr>
      </w:pPr>
      <w:r w:rsidRPr="00DB51E4">
        <w:rPr>
          <w:rFonts w:asciiTheme="minorHAnsi" w:hAnsiTheme="minorHAnsi" w:cstheme="minorHAnsi"/>
          <w:color w:val="000000"/>
        </w:rPr>
        <w:t>4</w:t>
      </w:r>
      <w:r w:rsidRPr="00DB51E4">
        <w:rPr>
          <w:rFonts w:asciiTheme="minorHAnsi" w:hAnsiTheme="minorHAnsi" w:cstheme="minorHAnsi"/>
          <w:color w:val="000000"/>
        </w:rPr>
        <w:tab/>
        <w:t>"</w:t>
      </w:r>
      <w:r w:rsidR="0095190E" w:rsidRPr="00DB51E4">
        <w:rPr>
          <w:rFonts w:asciiTheme="minorHAnsi" w:hAnsiTheme="minorHAnsi" w:cstheme="minorHAnsi"/>
          <w:color w:val="000000"/>
        </w:rPr>
        <w:t>que examine la posibilidad de que la UIT, en estrecha colaboración con las organizaciones regionales pertinentes, adopte las medidas adecuadas para establecer una plataforma regional para la mujer, destinada a utilizar las TIC para promover la igualdad de género y el empoderamiento de mujeres y las niñas</w:t>
      </w:r>
      <w:r w:rsidRPr="00DB51E4">
        <w:rPr>
          <w:rFonts w:asciiTheme="minorHAnsi" w:hAnsiTheme="minorHAnsi" w:cstheme="minorHAnsi"/>
          <w:color w:val="000000"/>
        </w:rPr>
        <w:t>"</w:t>
      </w:r>
      <w:r w:rsidR="0095190E" w:rsidRPr="00DB51E4">
        <w:rPr>
          <w:rFonts w:asciiTheme="minorHAnsi" w:hAnsiTheme="minorHAnsi" w:cstheme="minorHAnsi"/>
          <w:color w:val="000000"/>
        </w:rPr>
        <w:t>,</w:t>
      </w:r>
    </w:p>
    <w:p w14:paraId="24DB7ADF" w14:textId="77777777" w:rsidR="0095190E" w:rsidRPr="00DB51E4" w:rsidRDefault="0095190E" w:rsidP="0095190E">
      <w:pPr>
        <w:pStyle w:val="Call"/>
        <w:jc w:val="both"/>
        <w:rPr>
          <w:lang w:eastAsia="es-ES"/>
        </w:rPr>
      </w:pPr>
      <w:r w:rsidRPr="00DB51E4">
        <w:rPr>
          <w:lang w:eastAsia="es-ES"/>
        </w:rPr>
        <w:t>recordando</w:t>
      </w:r>
    </w:p>
    <w:p w14:paraId="13058446" w14:textId="0FFDB12E" w:rsidR="0095190E" w:rsidRPr="00DB51E4" w:rsidRDefault="0095190E" w:rsidP="00DB51E4">
      <w:r w:rsidRPr="00DB51E4">
        <w:rPr>
          <w:i/>
          <w:iCs/>
        </w:rPr>
        <w:t>a)</w:t>
      </w:r>
      <w:r w:rsidRPr="00DB51E4">
        <w:tab/>
        <w:t xml:space="preserve">que la UIT ya creó en 1998 un Grupo Especial interno sobre cuestiones de género (Resolución 7 adoptada en la CMDT de La Valetta) al que se encomendó, entre otras cosas, </w:t>
      </w:r>
      <w:r w:rsidR="00DB51E4" w:rsidRPr="00DB51E4">
        <w:t>"</w:t>
      </w:r>
      <w:r w:rsidRPr="00DB51E4">
        <w:t>garantizar que los beneficios de las telecomunicaciones y de la nueva sociedad de la información lleguen a todas las mujeres, las niñas, los hombres y los niños de los países en desarrollo sobre una base justa y equitativa</w:t>
      </w:r>
      <w:r w:rsidR="00DB51E4" w:rsidRPr="00DB51E4">
        <w:t>"</w:t>
      </w:r>
      <w:r w:rsidRPr="00DB51E4">
        <w:t xml:space="preserve">, </w:t>
      </w:r>
      <w:r w:rsidR="00DB51E4" w:rsidRPr="00DB51E4">
        <w:t>"</w:t>
      </w:r>
      <w:r w:rsidRPr="00DB51E4">
        <w:t>fomentando la contratación, el empleo, la formación y la promoción de las mujeres y las niñas</w:t>
      </w:r>
      <w:r w:rsidR="00DB51E4" w:rsidRPr="00DB51E4">
        <w:t>"</w:t>
      </w:r>
      <w:r w:rsidRPr="00DB51E4">
        <w:t>;</w:t>
      </w:r>
    </w:p>
    <w:p w14:paraId="55B01AF0" w14:textId="77777777" w:rsidR="0095190E" w:rsidRPr="00DB51E4" w:rsidRDefault="0095190E" w:rsidP="00DB51E4">
      <w:r w:rsidRPr="00DB51E4">
        <w:rPr>
          <w:i/>
          <w:iCs/>
        </w:rPr>
        <w:t>b)</w:t>
      </w:r>
      <w:r w:rsidRPr="00DB51E4">
        <w:tab/>
        <w:t>que la UIT también creó el cargo de Funcionario Superior de Asuntos de Género (SGAO) y adoptó en 2013 una política de igualdad e integración de género (IIG) que establece una arquitectura marco en la organización,</w:t>
      </w:r>
    </w:p>
    <w:p w14:paraId="60065B27" w14:textId="77777777" w:rsidR="0095190E" w:rsidRPr="00DB51E4" w:rsidRDefault="0095190E" w:rsidP="0095190E">
      <w:pPr>
        <w:pStyle w:val="Call"/>
        <w:jc w:val="both"/>
        <w:rPr>
          <w:lang w:eastAsia="es-ES"/>
        </w:rPr>
      </w:pPr>
      <w:r w:rsidRPr="00DB51E4">
        <w:rPr>
          <w:lang w:eastAsia="es-ES"/>
        </w:rPr>
        <w:t>reconociendo la necesidad</w:t>
      </w:r>
    </w:p>
    <w:p w14:paraId="6EE3CB92" w14:textId="77777777" w:rsidR="0095190E" w:rsidRPr="00DB51E4" w:rsidRDefault="0095190E" w:rsidP="00DB51E4">
      <w:r w:rsidRPr="00DB51E4">
        <w:rPr>
          <w:i/>
          <w:iCs/>
        </w:rPr>
        <w:t>a)</w:t>
      </w:r>
      <w:r w:rsidRPr="00DB51E4">
        <w:tab/>
        <w:t>de la igualdad de género y el empoderamiento de todas las mujeres y niñas y de la participación y la toma de decisiones plenas, equitativas, efectivas y significativas de las mujeres en el contexto de la innovación y el cambio tecnológico en la era digital y de la ausencia de violencia contra las mujeres y las niñas en los contextos digitales como elementos esenciales para lograr el desarrollo sostenible;</w:t>
      </w:r>
    </w:p>
    <w:p w14:paraId="3405892A" w14:textId="54D13D7A" w:rsidR="0095190E" w:rsidRPr="00DB51E4" w:rsidRDefault="0095190E" w:rsidP="00DB51E4">
      <w:r w:rsidRPr="00DB51E4">
        <w:rPr>
          <w:i/>
          <w:iCs/>
        </w:rPr>
        <w:t>b)</w:t>
      </w:r>
      <w:r w:rsidRPr="00DB51E4">
        <w:tab/>
        <w:t xml:space="preserve">de reforzar la arquitectura de género (en virtud de la Resolución 70 (Rev. Bucarest, 2022)) se encarga al Consejo que </w:t>
      </w:r>
      <w:r w:rsidR="00DB51E4" w:rsidRPr="00DB51E4">
        <w:t>"</w:t>
      </w:r>
      <w:r w:rsidRPr="00DB51E4">
        <w:t>supervise la aplicación de la política IIG, para que la UIT pueda incorporar una perspectiva de género en toda la organización y aprovechar el poder de las telecomunicaciones/TIC para empoderar a las mujeres, las niñas, los hombres y los niños</w:t>
      </w:r>
      <w:r w:rsidR="00DB51E4" w:rsidRPr="00DB51E4">
        <w:t>"</w:t>
      </w:r>
      <w:r w:rsidRPr="00DB51E4">
        <w:t xml:space="preserve">. También solicita al Consejo de la UIT que </w:t>
      </w:r>
      <w:r w:rsidR="00DB51E4" w:rsidRPr="00DB51E4">
        <w:t>"</w:t>
      </w:r>
      <w:r w:rsidRPr="00DB51E4">
        <w:t>continúe y amplíe las iniciativas existentes, y que acelere el proceso de integración de la perspectiva de género, adoptando medidas de discriminación positiva cuando sean necesarias</w:t>
      </w:r>
      <w:r w:rsidR="00DB51E4" w:rsidRPr="00DB51E4">
        <w:t>"</w:t>
      </w:r>
      <w:r w:rsidRPr="00DB51E4">
        <w:t>;</w:t>
      </w:r>
    </w:p>
    <w:p w14:paraId="536BE41A" w14:textId="34ACAE08" w:rsidR="0095190E" w:rsidRPr="00DB51E4" w:rsidRDefault="0095190E" w:rsidP="00DB51E4">
      <w:r w:rsidRPr="00DB51E4">
        <w:rPr>
          <w:i/>
          <w:iCs/>
        </w:rPr>
        <w:t>c)</w:t>
      </w:r>
      <w:r w:rsidRPr="00DB51E4">
        <w:tab/>
        <w:t xml:space="preserve">de un liderazgo que promueva la igualdad de género y el empoderamiento de las mujeres y las niñas como parte integrante de su nombramiento y de la evaluación de su desempeño, y el refuerzo de una </w:t>
      </w:r>
      <w:r w:rsidR="00DB51E4" w:rsidRPr="00DB51E4">
        <w:t>"</w:t>
      </w:r>
      <w:r w:rsidRPr="00DB51E4">
        <w:t>cultura de igualdad de género</w:t>
      </w:r>
      <w:r w:rsidR="00DB51E4" w:rsidRPr="00DB51E4">
        <w:t>"</w:t>
      </w:r>
      <w:r w:rsidRPr="00DB51E4">
        <w:t xml:space="preserve"> institucional que fomente un entorno seguro y acogedor para todos los empleados y socios;</w:t>
      </w:r>
    </w:p>
    <w:p w14:paraId="6D1A9D19" w14:textId="373E93FC" w:rsidR="0095190E" w:rsidRPr="00DB51E4" w:rsidRDefault="0095190E" w:rsidP="00DB51E4">
      <w:r w:rsidRPr="00DB51E4">
        <w:rPr>
          <w:i/>
          <w:iCs/>
        </w:rPr>
        <w:t>d)</w:t>
      </w:r>
      <w:r w:rsidRPr="00DB51E4">
        <w:tab/>
        <w:t xml:space="preserve">de aumentar la responsabilidad de la alta dirección ante el Consejo y demostrar un enfoque de </w:t>
      </w:r>
      <w:r w:rsidR="00DB51E4" w:rsidRPr="00DB51E4">
        <w:t>"</w:t>
      </w:r>
      <w:r w:rsidRPr="00DB51E4">
        <w:t>Una UIT</w:t>
      </w:r>
      <w:r w:rsidR="00DB51E4" w:rsidRPr="00DB51E4">
        <w:t>"</w:t>
      </w:r>
      <w:r w:rsidRPr="00DB51E4">
        <w:t xml:space="preserve"> en las actividades externas e internas relacionadas con el género;</w:t>
      </w:r>
    </w:p>
    <w:p w14:paraId="3109B840" w14:textId="77777777" w:rsidR="0095190E" w:rsidRPr="00DB51E4" w:rsidRDefault="0095190E" w:rsidP="00DB51E4">
      <w:r w:rsidRPr="00DB51E4">
        <w:rPr>
          <w:i/>
          <w:iCs/>
        </w:rPr>
        <w:t>e)</w:t>
      </w:r>
      <w:r w:rsidRPr="00DB51E4">
        <w:tab/>
        <w:t>de mejorar la accesibilidad de los datos y las estadísticas desglosados por ingresos, género, edad, raza, etnia, situación migratoria, discapacidad, ubicación geográfica y otras características, como se describe en el ODS 17.18, a través de una nueva directriz de política de datos que permita un mejor seguimiento y evaluación de la situación de todas las mujeres a lo largo de sus ciclos de vida y sobre las formas múltiples e interrelacionadas de discriminación</w:t>
      </w:r>
      <w:r w:rsidRPr="00DB51E4" w:rsidDel="00D315A2">
        <w:t xml:space="preserve"> </w:t>
      </w:r>
      <w:r w:rsidRPr="00DB51E4">
        <w:t>que suponen obstáculos para el logro de la igualdad de género y el empoderamiento de todas las mujeres y niñas en el contexto de la innovación y el cambio tecnológico, y la educación en la era digital;</w:t>
      </w:r>
    </w:p>
    <w:p w14:paraId="5CEE45F1" w14:textId="77777777" w:rsidR="0095190E" w:rsidRPr="00DB51E4" w:rsidRDefault="0095190E" w:rsidP="00DB51E4">
      <w:r w:rsidRPr="00DB51E4">
        <w:rPr>
          <w:i/>
          <w:iCs/>
        </w:rPr>
        <w:lastRenderedPageBreak/>
        <w:t>f)</w:t>
      </w:r>
      <w:r w:rsidRPr="00DB51E4">
        <w:tab/>
        <w:t xml:space="preserve">de garantizar la participación y el liderazgo plenos, equitativos y significativos de las mujeres en los sectores digital y tecnológico, así como el desarrollo y la aplicación de políticas de apoyo a las empresas dirigidas por mujeres para reducir la brecha digital de género; </w:t>
      </w:r>
    </w:p>
    <w:p w14:paraId="3BFE0E76" w14:textId="77777777" w:rsidR="0095190E" w:rsidRPr="00DB51E4" w:rsidRDefault="0095190E" w:rsidP="00DB51E4">
      <w:r w:rsidRPr="00DB51E4">
        <w:rPr>
          <w:i/>
          <w:iCs/>
        </w:rPr>
        <w:t>g)</w:t>
      </w:r>
      <w:r w:rsidRPr="00DB51E4">
        <w:tab/>
        <w:t>de la adopción de enfoques que tengan en cuenta la edad y la discapacidad para el diseño tecnológico, el desarrollo de infraestructuras, productos y servicios basados en la accesibilidad, la seguridad, la sostenibilidad, la inclusión, la asequibilidad y la disponibilidad, y que atiendan a las necesidades de todas las mujeres y niñas a lo largo de sus vidas,</w:t>
      </w:r>
    </w:p>
    <w:p w14:paraId="1C7D8B87" w14:textId="77777777" w:rsidR="0095190E" w:rsidRPr="00DB51E4" w:rsidRDefault="0095190E" w:rsidP="0095190E">
      <w:pPr>
        <w:pStyle w:val="Call"/>
        <w:jc w:val="both"/>
      </w:pPr>
      <w:r w:rsidRPr="00DB51E4">
        <w:t>recordando</w:t>
      </w:r>
    </w:p>
    <w:p w14:paraId="175E7889" w14:textId="1282F167" w:rsidR="0095190E" w:rsidRPr="00DB51E4" w:rsidRDefault="0095190E" w:rsidP="00DB51E4">
      <w:r w:rsidRPr="00DB51E4">
        <w:rPr>
          <w:i/>
          <w:iCs/>
        </w:rPr>
        <w:t>a)</w:t>
      </w:r>
      <w:r w:rsidRPr="00DB51E4">
        <w:tab/>
        <w:t>la importancia de garantizar la integración de la perspectiva de género en las cuestiones presupuestarias, en particular de aumentar el presupuesto de apoyo a la política IIG y al SGAO;</w:t>
      </w:r>
    </w:p>
    <w:p w14:paraId="1E42E5FB" w14:textId="77777777" w:rsidR="0095190E" w:rsidRPr="00DB51E4" w:rsidRDefault="0095190E" w:rsidP="00DB51E4">
      <w:r w:rsidRPr="00DB51E4">
        <w:rPr>
          <w:i/>
          <w:iCs/>
        </w:rPr>
        <w:t>b)</w:t>
      </w:r>
      <w:r w:rsidRPr="00DB51E4">
        <w:tab/>
        <w:t>que, en el proceso de integración de la perspectiva de género, es importante abordar la cuestión del acoso en el lugar de trabajo, incluido el acoso sexual, teniendo en cuenta que obstaculiza la consecución de la paridad de género en el sistema de las Naciones Unidas y en la UIT y puede repercutir negativamente en la consecución de la igualdad de género;</w:t>
      </w:r>
    </w:p>
    <w:p w14:paraId="077D893B" w14:textId="77777777" w:rsidR="0095190E" w:rsidRPr="00DB51E4" w:rsidRDefault="0095190E" w:rsidP="00DB51E4">
      <w:r w:rsidRPr="00DB51E4">
        <w:rPr>
          <w:i/>
          <w:iCs/>
        </w:rPr>
        <w:t>c)</w:t>
      </w:r>
      <w:r w:rsidRPr="00DB51E4">
        <w:tab/>
        <w:t>que se desglosen los datos por factores sociales y económicos, incluidos, entre otros, los ingresos, el sexo, la edad, la raza, el origen étnico, la situación migratoria, la discapacidad, la ubicación geográfica y otras características pertinentes, a fin de facilitar una mejor comprensión del impacto de las telecomunicaciones/TIC en la consecución de la igualdad de género;</w:t>
      </w:r>
    </w:p>
    <w:p w14:paraId="76065500" w14:textId="7A304D67" w:rsidR="0095190E" w:rsidRPr="00DB51E4" w:rsidRDefault="0095190E" w:rsidP="00DB51E4">
      <w:r w:rsidRPr="00DB51E4">
        <w:rPr>
          <w:i/>
          <w:iCs/>
        </w:rPr>
        <w:t>d)</w:t>
      </w:r>
      <w:r w:rsidRPr="00DB51E4">
        <w:tab/>
        <w:t>que la PP</w:t>
      </w:r>
      <w:r w:rsidR="003236D4">
        <w:t>-</w:t>
      </w:r>
      <w:r w:rsidRPr="00DB51E4">
        <w:t>22 alentó al uso de un lenguaje que incluya la perspectiva de género en la medida de lo posible en los trabajos de la Unión,</w:t>
      </w:r>
    </w:p>
    <w:p w14:paraId="6BF7E685" w14:textId="77777777" w:rsidR="0095190E" w:rsidRPr="00DB51E4" w:rsidRDefault="0095190E" w:rsidP="0095190E">
      <w:pPr>
        <w:pStyle w:val="Call"/>
        <w:jc w:val="both"/>
      </w:pPr>
      <w:r w:rsidRPr="00DB51E4">
        <w:t>acuerda</w:t>
      </w:r>
    </w:p>
    <w:p w14:paraId="20537088" w14:textId="77777777" w:rsidR="0095190E" w:rsidRPr="00DB51E4" w:rsidRDefault="0095190E" w:rsidP="00DB51E4">
      <w:r w:rsidRPr="00DB51E4">
        <w:t>1</w:t>
      </w:r>
      <w:r w:rsidRPr="00DB51E4">
        <w:tab/>
        <w:t>solicitar a la UIT que elabore un Plan de Acción de Género que se presentará a los Estados Miembros teniendo en cuenta las prácticas idóneas del sistema de las Naciones Unidas, que incluirá un mecanismo de información y coordinación en los tres Sectores de la UIT sobre las actividades relacionadas con el género, dirigidas a los Estados Miembros;</w:t>
      </w:r>
    </w:p>
    <w:p w14:paraId="3C10E0C2" w14:textId="77777777" w:rsidR="0095190E" w:rsidRPr="00DB51E4" w:rsidRDefault="0095190E" w:rsidP="00DB51E4">
      <w:r w:rsidRPr="00DB51E4">
        <w:t>2</w:t>
      </w:r>
      <w:r w:rsidRPr="00DB51E4">
        <w:tab/>
        <w:t>crear, utilizando los recursos presupuestarios existentes, una unidad funcional sobre igualdad de género e inclusión en la Oficina Ejecutiva de la Secretaria General con el objetivo de apoyar a la Secretaria General en materia de igualdad de género e inclusión social en la institución, capacidad institucional para el análisis basado en el género, análisis de las cuestiones clave emergentes sobre género relacionadas con las TIC y la integración de la perspectiva de género, aplicación de una perspectiva de género en la UIT y promoción de la igualdad de género y el empoderamiento de las mujeres y niñas en, dentro y por medio de las telecomunicaciones/tecnologías de la información y la comunicación,</w:t>
      </w:r>
    </w:p>
    <w:p w14:paraId="6E8B33A9" w14:textId="77777777" w:rsidR="0095190E" w:rsidRPr="00DB51E4" w:rsidRDefault="0095190E" w:rsidP="0095190E">
      <w:pPr>
        <w:pStyle w:val="Call"/>
        <w:jc w:val="both"/>
      </w:pPr>
      <w:r w:rsidRPr="00DB51E4">
        <w:t>recomienda</w:t>
      </w:r>
    </w:p>
    <w:p w14:paraId="6D49DBA5" w14:textId="17D7F29C" w:rsidR="0095190E" w:rsidRPr="00DB51E4" w:rsidRDefault="0095190E" w:rsidP="00DB51E4">
      <w:r w:rsidRPr="00DB51E4">
        <w:t>1</w:t>
      </w:r>
      <w:r w:rsidRPr="00DB51E4">
        <w:tab/>
        <w:t>utilizar la integración de la perspectiva de género a través del ciclo de proyectos de la UIT y que la próxima CMDT estudie esta cuestión con más detalle, incluyendo cómo la programación de la UIT puede abordar las brechas digitales de género en, dentro y por medio de la educación, las carreras y el emprendimiento STEAMD (</w:t>
      </w:r>
      <w:r w:rsidR="003236D4" w:rsidRPr="00DB51E4">
        <w:t>ciencia</w:t>
      </w:r>
      <w:r w:rsidRPr="00DB51E4">
        <w:t xml:space="preserve">, </w:t>
      </w:r>
      <w:r w:rsidR="003236D4" w:rsidRPr="00DB51E4">
        <w:t>tecnología</w:t>
      </w:r>
      <w:r w:rsidRPr="00DB51E4">
        <w:t xml:space="preserve">, </w:t>
      </w:r>
      <w:r w:rsidR="003236D4" w:rsidRPr="00DB51E4">
        <w:t>ingeniería</w:t>
      </w:r>
      <w:r w:rsidRPr="00DB51E4">
        <w:t xml:space="preserve">, </w:t>
      </w:r>
      <w:r w:rsidR="003236D4" w:rsidRPr="00DB51E4">
        <w:t>artes</w:t>
      </w:r>
      <w:r w:rsidRPr="00DB51E4">
        <w:t xml:space="preserve">, </w:t>
      </w:r>
      <w:r w:rsidR="003236D4" w:rsidRPr="00DB51E4">
        <w:t xml:space="preserve">matemáticas </w:t>
      </w:r>
      <w:r w:rsidRPr="00DB51E4">
        <w:t xml:space="preserve">y </w:t>
      </w:r>
      <w:r w:rsidR="003236D4" w:rsidRPr="00DB51E4">
        <w:t>diseño</w:t>
      </w:r>
      <w:r w:rsidRPr="00DB51E4">
        <w:t xml:space="preserve">); fortalecer el liderazgo de las mujeres en la </w:t>
      </w:r>
      <w:r w:rsidRPr="00DB51E4">
        <w:lastRenderedPageBreak/>
        <w:t>gobernanza de las telecomunicaciones internacionales, y prevenir y abordar todas las formas de uso indebido de las tecnologías digitales y el espectro, ya sea en tierra, aire, mar o espacio, de cualquier manera que conduzca a la violencia, el abuso y el acoso sexuales y de género, la discriminación o la violación de los derechos de todas las mujeres y niñas, ya que actúan como un impedimento para el liderazgo, la participación y el acceso de las mujeres y las niñas en las TIC y en todas las esferas de la era digital</w:t>
      </w:r>
      <w:r w:rsidR="003236D4">
        <w:t>;</w:t>
      </w:r>
    </w:p>
    <w:p w14:paraId="457C2F85" w14:textId="27745BBE" w:rsidR="0095190E" w:rsidRPr="00DB51E4" w:rsidRDefault="0095190E" w:rsidP="00DB51E4">
      <w:r w:rsidRPr="00DB51E4">
        <w:t>2</w:t>
      </w:r>
      <w:r w:rsidRPr="00DB51E4">
        <w:tab/>
        <w:t>la adopción de un lenguaje que incluya la perspectiva de género, como lo alentó la PP</w:t>
      </w:r>
      <w:r w:rsidR="00DB51E4" w:rsidRPr="00DB51E4">
        <w:noBreakHyphen/>
      </w:r>
      <w:r w:rsidRPr="00DB51E4">
        <w:t>22, en los tres Sectores de la UIT,</w:t>
      </w:r>
    </w:p>
    <w:p w14:paraId="4837CE6B" w14:textId="77777777" w:rsidR="0095190E" w:rsidRPr="00DB51E4" w:rsidRDefault="0095190E" w:rsidP="0095190E">
      <w:pPr>
        <w:pStyle w:val="Call"/>
        <w:jc w:val="both"/>
      </w:pPr>
      <w:r w:rsidRPr="00DB51E4">
        <w:t>invita al Secretario General</w:t>
      </w:r>
    </w:p>
    <w:p w14:paraId="1FF6B531" w14:textId="76A6C876" w:rsidR="0095190E" w:rsidRPr="00DB51E4" w:rsidRDefault="0095190E" w:rsidP="00DB51E4">
      <w:r w:rsidRPr="00DB51E4">
        <w:t>1</w:t>
      </w:r>
      <w:r w:rsidRPr="00DB51E4">
        <w:tab/>
        <w:t>a coordinar la elaboración de un nuevo Plan de Acción de Género para la organización que tenga en cuenta las prácticas idóneas del sistema de las Naciones Unidas, se base en documentos estratégicos anteriores y se centre en cuestiones clave, y proporcione un conjunto detallado de políticas dentro de la UIT que incluya la creación de capacidades, el desarrollo de competencias y los recursos humanos</w:t>
      </w:r>
      <w:r w:rsidR="003236D4">
        <w:t>;</w:t>
      </w:r>
    </w:p>
    <w:p w14:paraId="5691D5DE" w14:textId="77777777" w:rsidR="0095190E" w:rsidRPr="00DB51E4" w:rsidRDefault="0095190E" w:rsidP="00DB51E4">
      <w:r w:rsidRPr="00DB51E4">
        <w:t>2</w:t>
      </w:r>
      <w:r w:rsidRPr="00DB51E4">
        <w:tab/>
        <w:t>a incluir en el Plan de Acción de Género procedimientos para abordar de forma inmediata y urgente la falta de representación equilibrada entre hombres y mujeres en el personal de la UIT, especialmente en las categorías profesional y superior, y que presente dicho Plan de Acción de Género y dichos procedimientos, junto con información sobre su aplicación y eficacia, a la reunión de 2024 del Consejo;</w:t>
      </w:r>
    </w:p>
    <w:p w14:paraId="33C680EA" w14:textId="77777777" w:rsidR="0095190E" w:rsidRPr="00DB51E4" w:rsidRDefault="0095190E" w:rsidP="00DB51E4">
      <w:r w:rsidRPr="00DB51E4">
        <w:t>3</w:t>
      </w:r>
      <w:r w:rsidRPr="00DB51E4">
        <w:tab/>
        <w:t>a establecer un mecanismo de información y coordinación con una información detallada e informes que se presentarán al Consejo para que los Estados Miembros puedan evaluar los resultados.</w:t>
      </w:r>
    </w:p>
    <w:p w14:paraId="685F411C" w14:textId="77777777" w:rsidR="0095190E" w:rsidRPr="00DB51E4" w:rsidRDefault="0095190E" w:rsidP="00411C49">
      <w:pPr>
        <w:pStyle w:val="Reasons"/>
      </w:pPr>
    </w:p>
    <w:p w14:paraId="2951D0A6" w14:textId="77777777" w:rsidR="0095190E" w:rsidRPr="00DB51E4" w:rsidRDefault="0095190E">
      <w:pPr>
        <w:jc w:val="center"/>
      </w:pPr>
      <w:r w:rsidRPr="00DB51E4">
        <w:t>______________</w:t>
      </w:r>
    </w:p>
    <w:sectPr w:rsidR="0095190E" w:rsidRPr="00DB51E4"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5FB4" w14:textId="77777777" w:rsidR="00DC07E2" w:rsidRDefault="00DC07E2">
      <w:r>
        <w:separator/>
      </w:r>
    </w:p>
  </w:endnote>
  <w:endnote w:type="continuationSeparator" w:id="0">
    <w:p w14:paraId="5EBB4252" w14:textId="77777777" w:rsidR="00DC07E2" w:rsidRDefault="00DC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405195D" w14:textId="77777777" w:rsidTr="00E31DCE">
      <w:trPr>
        <w:jc w:val="center"/>
      </w:trPr>
      <w:tc>
        <w:tcPr>
          <w:tcW w:w="1803" w:type="dxa"/>
          <w:vAlign w:val="center"/>
        </w:tcPr>
        <w:p w14:paraId="0D507A21" w14:textId="553B388B" w:rsidR="003273A4" w:rsidRDefault="003273A4" w:rsidP="003273A4">
          <w:pPr>
            <w:pStyle w:val="Header"/>
            <w:jc w:val="left"/>
            <w:rPr>
              <w:noProof/>
            </w:rPr>
          </w:pPr>
          <w:r>
            <w:rPr>
              <w:noProof/>
            </w:rPr>
            <w:t xml:space="preserve">DPS </w:t>
          </w:r>
          <w:r w:rsidR="0095190E">
            <w:rPr>
              <w:noProof/>
            </w:rPr>
            <w:t>525362</w:t>
          </w:r>
        </w:p>
      </w:tc>
      <w:tc>
        <w:tcPr>
          <w:tcW w:w="8261" w:type="dxa"/>
        </w:tcPr>
        <w:p w14:paraId="6369FC68" w14:textId="742FA56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5190E">
            <w:rPr>
              <w:bCs/>
            </w:rPr>
            <w:t>91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2AB0118"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E317E28" w14:textId="77777777" w:rsidTr="00E31DCE">
      <w:trPr>
        <w:jc w:val="center"/>
      </w:trPr>
      <w:tc>
        <w:tcPr>
          <w:tcW w:w="1803" w:type="dxa"/>
          <w:vAlign w:val="center"/>
        </w:tcPr>
        <w:p w14:paraId="7D49CBC3" w14:textId="77777777" w:rsidR="00F24B71" w:rsidRDefault="007A2EB6" w:rsidP="00F24B71">
          <w:pPr>
            <w:pStyle w:val="Header"/>
            <w:jc w:val="left"/>
            <w:rPr>
              <w:noProof/>
            </w:rPr>
          </w:pPr>
          <w:hyperlink r:id="rId1" w:history="1">
            <w:r w:rsidR="00F24B71" w:rsidRPr="00A514A4">
              <w:rPr>
                <w:rStyle w:val="Hyperlink"/>
                <w:szCs w:val="14"/>
              </w:rPr>
              <w:t>www.itu.int/council</w:t>
            </w:r>
          </w:hyperlink>
        </w:p>
      </w:tc>
      <w:tc>
        <w:tcPr>
          <w:tcW w:w="8261" w:type="dxa"/>
        </w:tcPr>
        <w:p w14:paraId="131B023C" w14:textId="4D0CE035"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5190E">
            <w:rPr>
              <w:bCs/>
            </w:rPr>
            <w:t>91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BC18D84"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0265" w14:textId="77777777" w:rsidR="00DC07E2" w:rsidRDefault="00DC07E2">
      <w:r>
        <w:t>____________________</w:t>
      </w:r>
    </w:p>
  </w:footnote>
  <w:footnote w:type="continuationSeparator" w:id="0">
    <w:p w14:paraId="5F082EE1" w14:textId="77777777" w:rsidR="00DC07E2" w:rsidRDefault="00DC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44B382C" w14:textId="77777777" w:rsidTr="00E31DCE">
      <w:trPr>
        <w:trHeight w:val="1104"/>
        <w:jc w:val="center"/>
      </w:trPr>
      <w:tc>
        <w:tcPr>
          <w:tcW w:w="4390" w:type="dxa"/>
          <w:vAlign w:val="center"/>
        </w:tcPr>
        <w:p w14:paraId="74429E13"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3AEA0DD5" wp14:editId="4021893C">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AB732F8" w14:textId="77777777" w:rsidR="001559F5" w:rsidRDefault="001559F5" w:rsidP="001559F5">
          <w:pPr>
            <w:pStyle w:val="Header"/>
            <w:jc w:val="right"/>
            <w:rPr>
              <w:rFonts w:ascii="Arial" w:hAnsi="Arial" w:cs="Arial"/>
              <w:b/>
              <w:bCs/>
              <w:color w:val="009CD6"/>
              <w:szCs w:val="18"/>
            </w:rPr>
          </w:pPr>
        </w:p>
        <w:p w14:paraId="212B1582" w14:textId="77777777" w:rsidR="001559F5" w:rsidRDefault="001559F5" w:rsidP="001559F5">
          <w:pPr>
            <w:pStyle w:val="Header"/>
            <w:jc w:val="right"/>
            <w:rPr>
              <w:rFonts w:ascii="Arial" w:hAnsi="Arial" w:cs="Arial"/>
              <w:b/>
              <w:bCs/>
              <w:color w:val="009CD6"/>
              <w:szCs w:val="18"/>
            </w:rPr>
          </w:pPr>
        </w:p>
        <w:p w14:paraId="0CE4E5A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14B6B72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9A8901" wp14:editId="0086CCC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45BC"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C31"/>
    <w:multiLevelType w:val="hybridMultilevel"/>
    <w:tmpl w:val="6CF0CA54"/>
    <w:lvl w:ilvl="0" w:tplc="0C0A000F">
      <w:start w:val="1"/>
      <w:numFmt w:val="decimal"/>
      <w:lvlText w:val="%1."/>
      <w:lvlJc w:val="left"/>
      <w:pPr>
        <w:ind w:left="717" w:hanging="360"/>
      </w:pPr>
    </w:lvl>
    <w:lvl w:ilvl="1" w:tplc="0C0A0019">
      <w:start w:val="1"/>
      <w:numFmt w:val="lowerLetter"/>
      <w:lvlText w:val="%2."/>
      <w:lvlJc w:val="left"/>
      <w:pPr>
        <w:ind w:left="1437" w:hanging="360"/>
      </w:pPr>
    </w:lvl>
    <w:lvl w:ilvl="2" w:tplc="0C0A001B">
      <w:start w:val="1"/>
      <w:numFmt w:val="lowerRoman"/>
      <w:lvlText w:val="%3."/>
      <w:lvlJc w:val="right"/>
      <w:pPr>
        <w:ind w:left="2157" w:hanging="180"/>
      </w:pPr>
    </w:lvl>
    <w:lvl w:ilvl="3" w:tplc="0C0A000F">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16cid:durableId="119603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E2"/>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36D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A2EB6"/>
    <w:rsid w:val="007E5DD3"/>
    <w:rsid w:val="007F350B"/>
    <w:rsid w:val="00820BE4"/>
    <w:rsid w:val="008451E8"/>
    <w:rsid w:val="00913B9C"/>
    <w:rsid w:val="00927F93"/>
    <w:rsid w:val="0095190E"/>
    <w:rsid w:val="00956E77"/>
    <w:rsid w:val="009F4811"/>
    <w:rsid w:val="00AA168D"/>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B51E4"/>
    <w:rsid w:val="00DC07E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08DA8"/>
  <w15:docId w15:val="{52BFC564-2F27-47E1-A901-AEDCA511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90E"/>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heme="minorHAnsi" w:hAnsi="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0</TotalTime>
  <Pages>7</Pages>
  <Words>2744</Words>
  <Characters>14062</Characters>
  <Application>Microsoft Office Word</Application>
  <DocSecurity>4</DocSecurity>
  <Lines>117</Lines>
  <Paragraphs>33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16773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multi-pais - Propuesta sobre la aplicación de la Resolución 70 sobre "Incorporación de una perspectiva de género en la UIT y promoción de la igualdad de género y el empoderamiento de las mujeres y niñas por medio de las telecomunicaciones/tecnologías de la información y la comunicación"</dc:title>
  <dc:subject>Council 2023</dc:subject>
  <dc:creator>Spanish</dc:creator>
  <cp:keywords>C2023, C23, Council-23</cp:keywords>
  <dc:description/>
  <cp:lastModifiedBy>Xue, Kun</cp:lastModifiedBy>
  <cp:revision>2</cp:revision>
  <cp:lastPrinted>2023-07-06T08:36:00Z</cp:lastPrinted>
  <dcterms:created xsi:type="dcterms:W3CDTF">2023-07-07T19:20:00Z</dcterms:created>
  <dcterms:modified xsi:type="dcterms:W3CDTF">2023-07-07T19:20:00Z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