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13166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4192291" w:rsidR="00796BD3" w:rsidRPr="00E13166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13166">
              <w:rPr>
                <w:b/>
                <w:lang w:val="ru-RU"/>
              </w:rPr>
              <w:t>Пункт повестки дня:</w:t>
            </w:r>
            <w:r w:rsidR="00537E1C" w:rsidRPr="00E13166">
              <w:rPr>
                <w:b/>
                <w:lang w:val="ru-RU"/>
              </w:rPr>
              <w:t xml:space="preserve"> </w:t>
            </w:r>
            <w:r w:rsidR="00E94D37" w:rsidRPr="00E13166">
              <w:rPr>
                <w:b/>
                <w:lang w:val="ru-RU"/>
              </w:rPr>
              <w:t xml:space="preserve">PL </w:t>
            </w:r>
            <w:r w:rsidR="00041BAF" w:rsidRPr="00E13166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22FBC960" w14:textId="0DAAE55F" w:rsidR="00796BD3" w:rsidRPr="00E1316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13166">
              <w:rPr>
                <w:b/>
                <w:lang w:val="ru-RU"/>
              </w:rPr>
              <w:t xml:space="preserve">Документ </w:t>
            </w:r>
            <w:r w:rsidR="00796BD3" w:rsidRPr="00E13166">
              <w:rPr>
                <w:b/>
                <w:lang w:val="ru-RU"/>
              </w:rPr>
              <w:t>C23/</w:t>
            </w:r>
            <w:r w:rsidR="00041BAF" w:rsidRPr="00E13166">
              <w:rPr>
                <w:b/>
                <w:lang w:val="ru-RU"/>
              </w:rPr>
              <w:t>90</w:t>
            </w:r>
            <w:r w:rsidR="00796BD3" w:rsidRPr="00E13166">
              <w:rPr>
                <w:b/>
                <w:lang w:val="ru-RU"/>
              </w:rPr>
              <w:t>-R</w:t>
            </w:r>
          </w:p>
        </w:tc>
      </w:tr>
      <w:tr w:rsidR="00796BD3" w:rsidRPr="00E13166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1316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2BF514F" w:rsidR="00796BD3" w:rsidRPr="00E13166" w:rsidRDefault="00E94D3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13166">
              <w:rPr>
                <w:b/>
                <w:lang w:val="ru-RU"/>
              </w:rPr>
              <w:t>27 июня</w:t>
            </w:r>
            <w:r w:rsidR="00796BD3" w:rsidRPr="00E13166">
              <w:rPr>
                <w:b/>
                <w:lang w:val="ru-RU"/>
              </w:rPr>
              <w:t xml:space="preserve"> 2023</w:t>
            </w:r>
            <w:r w:rsidR="00537E1C" w:rsidRPr="00E13166">
              <w:rPr>
                <w:b/>
                <w:lang w:val="ru-RU"/>
              </w:rPr>
              <w:t xml:space="preserve"> года</w:t>
            </w:r>
          </w:p>
        </w:tc>
      </w:tr>
      <w:tr w:rsidR="00796BD3" w:rsidRPr="00E13166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13166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E13166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13166">
              <w:rPr>
                <w:b/>
                <w:lang w:val="ru-RU"/>
              </w:rPr>
              <w:t xml:space="preserve">Оригинал: </w:t>
            </w:r>
            <w:r w:rsidR="00E94D37" w:rsidRPr="00E13166">
              <w:rPr>
                <w:b/>
                <w:lang w:val="ru-RU"/>
              </w:rPr>
              <w:t>русский</w:t>
            </w:r>
          </w:p>
        </w:tc>
      </w:tr>
      <w:tr w:rsidR="00796BD3" w:rsidRPr="00E13166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13166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13166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E13166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523722B2" w:rsidR="00796BD3" w:rsidRPr="00E13166" w:rsidRDefault="00E94D37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13166">
              <w:rPr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1312E6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2D4893C4" w:rsidR="00796BD3" w:rsidRPr="00E13166" w:rsidRDefault="00041BAF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13166">
              <w:rPr>
                <w:sz w:val="32"/>
                <w:szCs w:val="32"/>
                <w:lang w:val="ru-RU"/>
              </w:rPr>
              <w:t>КОММЕНТАРИИ К ОТЧЕТАМ ГЕНЕРАЛЬНОГО СЕКРЕТАРЯ, ПРЕДСТАВЛЕННЫМ СОВЕТУ В ДОКУМЕНТАХ С23/36, С23/52, С23/53, С23/62</w:t>
            </w:r>
          </w:p>
        </w:tc>
      </w:tr>
      <w:tr w:rsidR="00796BD3" w:rsidRPr="001312E6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E13166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E13166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BF938AD" w14:textId="77777777" w:rsidR="00041BAF" w:rsidRPr="00041BAF" w:rsidRDefault="00041BAF" w:rsidP="00041BAF">
            <w:pPr>
              <w:rPr>
                <w:lang w:val="ru-RU"/>
              </w:rPr>
            </w:pPr>
            <w:r w:rsidRPr="00041BAF">
              <w:rPr>
                <w:lang w:val="ru-RU"/>
              </w:rPr>
              <w:t>Вклад направлен на:</w:t>
            </w:r>
          </w:p>
          <w:p w14:paraId="53003444" w14:textId="5ED9E828" w:rsidR="00041BAF" w:rsidRPr="00E13166" w:rsidRDefault="00041BAF" w:rsidP="00041BAF">
            <w:pPr>
              <w:pStyle w:val="enumlev1"/>
              <w:rPr>
                <w:lang w:val="ru-RU"/>
              </w:rPr>
            </w:pPr>
            <w:r w:rsidRPr="00E13166">
              <w:rPr>
                <w:lang w:val="ru-RU"/>
              </w:rPr>
              <w:t>−</w:t>
            </w:r>
            <w:r w:rsidRPr="00E13166">
              <w:rPr>
                <w:lang w:val="ru-RU"/>
              </w:rPr>
              <w:tab/>
              <w:t>повышение прозрачности предложений, изложенных в отчетах Генерального секретаря;</w:t>
            </w:r>
          </w:p>
          <w:p w14:paraId="49E1F270" w14:textId="1FD1A68C" w:rsidR="00041BAF" w:rsidRPr="00E13166" w:rsidRDefault="00041BAF" w:rsidP="00041BAF">
            <w:pPr>
              <w:pStyle w:val="enumlev1"/>
              <w:rPr>
                <w:lang w:val="ru-RU"/>
              </w:rPr>
            </w:pPr>
            <w:r w:rsidRPr="00E13166">
              <w:rPr>
                <w:lang w:val="ru-RU"/>
              </w:rPr>
              <w:t>−</w:t>
            </w:r>
            <w:r w:rsidRPr="00E13166">
              <w:rPr>
                <w:lang w:val="ru-RU"/>
              </w:rPr>
              <w:tab/>
              <w:t>оценку целесообразности и определение конкретного источника финансирования инициативы по созданию предлагаемого Офиса по трансформации;</w:t>
            </w:r>
          </w:p>
          <w:p w14:paraId="02475FE6" w14:textId="6F2B974F" w:rsidR="00796BD3" w:rsidRPr="00E13166" w:rsidRDefault="00041BAF" w:rsidP="00041BAF">
            <w:pPr>
              <w:pStyle w:val="enumlev1"/>
              <w:rPr>
                <w:lang w:val="ru-RU"/>
              </w:rPr>
            </w:pPr>
            <w:r w:rsidRPr="00E13166">
              <w:rPr>
                <w:lang w:val="ru-RU"/>
              </w:rPr>
              <w:t>−</w:t>
            </w:r>
            <w:r w:rsidRPr="00E13166">
              <w:rPr>
                <w:lang w:val="ru-RU"/>
              </w:rPr>
              <w:tab/>
              <w:t>уточнение конечной цели работы предлагаемого Офиса по трансформации, а также оценку соответствия такой конечной цели (конкретного результата) работы Офиса по</w:t>
            </w:r>
            <w:r w:rsidR="00E13166">
              <w:rPr>
                <w:lang w:val="ru-RU"/>
              </w:rPr>
              <w:t> </w:t>
            </w:r>
            <w:r w:rsidRPr="00E13166">
              <w:rPr>
                <w:lang w:val="ru-RU"/>
              </w:rPr>
              <w:t>трансформации Уставу, Конвенции и Резолюции 71 ПК-22.</w:t>
            </w:r>
          </w:p>
          <w:p w14:paraId="0736A86A" w14:textId="77777777" w:rsidR="00796BD3" w:rsidRPr="00E13166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E13166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54818901" w:rsidR="00537E1C" w:rsidRPr="00E13166" w:rsidRDefault="00041BAF" w:rsidP="00E94D37">
            <w:pPr>
              <w:rPr>
                <w:lang w:val="ru-RU"/>
              </w:rPr>
            </w:pPr>
            <w:r w:rsidRPr="00E13166">
              <w:rPr>
                <w:lang w:val="ru-RU"/>
              </w:rPr>
              <w:t>Совету предлагается оценить целесообразность принятия новых мер и определить конкретные источники финансирования направлений инициативы, принимая во внимание уже затраченные на это ресурсы.</w:t>
            </w:r>
          </w:p>
          <w:p w14:paraId="7EA25C85" w14:textId="77777777" w:rsidR="00E94D37" w:rsidRPr="00E13166" w:rsidRDefault="00E94D37" w:rsidP="00E94D37">
            <w:pPr>
              <w:rPr>
                <w:lang w:val="ru-RU"/>
              </w:rPr>
            </w:pPr>
            <w:r w:rsidRPr="00E13166">
              <w:rPr>
                <w:lang w:val="ru-RU"/>
              </w:rPr>
              <w:t>__________________</w:t>
            </w:r>
          </w:p>
          <w:p w14:paraId="3F2F22EE" w14:textId="77777777" w:rsidR="00796BD3" w:rsidRPr="00E13166" w:rsidRDefault="0033025A" w:rsidP="00AD4C03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E13166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9CF7F12" w:rsidR="00796BD3" w:rsidRPr="00E13166" w:rsidRDefault="00041BAF" w:rsidP="00937D03">
            <w:pPr>
              <w:spacing w:after="120"/>
              <w:rPr>
                <w:i/>
                <w:iCs/>
                <w:lang w:val="ru-RU"/>
              </w:rPr>
            </w:pPr>
            <w:r w:rsidRPr="00E13166">
              <w:rPr>
                <w:i/>
                <w:iCs/>
                <w:lang w:val="ru-RU"/>
              </w:rPr>
              <w:t>Резолюция 71 (Пересм. Бухарест, 2022 г.) ПК; Решение 5 (Пересм. Бухарест, 2022 г.) ПК; Документы</w:t>
            </w:r>
            <w:r w:rsidR="00E13166" w:rsidRPr="00E13166">
              <w:rPr>
                <w:i/>
                <w:iCs/>
                <w:lang w:val="ru-RU"/>
              </w:rPr>
              <w:t> </w:t>
            </w:r>
            <w:hyperlink r:id="rId8" w:history="1">
              <w:r w:rsidRPr="00E13166">
                <w:rPr>
                  <w:rStyle w:val="Hyperlink"/>
                  <w:i/>
                  <w:iCs/>
                  <w:lang w:val="ru-RU"/>
                </w:rPr>
                <w:t>C23/36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E13166">
                <w:rPr>
                  <w:rStyle w:val="Hyperlink"/>
                  <w:i/>
                  <w:iCs/>
                  <w:lang w:val="ru-RU"/>
                </w:rPr>
                <w:t>C23/50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Pr="00E13166">
                <w:rPr>
                  <w:rStyle w:val="Hyperlink"/>
                  <w:i/>
                  <w:iCs/>
                  <w:lang w:val="ru-RU"/>
                </w:rPr>
                <w:t>C23/52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E13166">
                <w:rPr>
                  <w:rStyle w:val="Hyperlink"/>
                  <w:i/>
                  <w:iCs/>
                  <w:lang w:val="ru-RU"/>
                </w:rPr>
                <w:t>C23/53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Pr="004513C8">
                <w:rPr>
                  <w:rStyle w:val="Hyperlink"/>
                  <w:i/>
                  <w:iCs/>
                  <w:lang w:val="ru-RU"/>
                </w:rPr>
                <w:t>C23/62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Pr="00E13166">
                <w:rPr>
                  <w:rStyle w:val="Hyperlink"/>
                  <w:i/>
                  <w:iCs/>
                  <w:lang w:val="ru-RU"/>
                </w:rPr>
                <w:t>C23/INF/11</w:t>
              </w:r>
            </w:hyperlink>
            <w:r w:rsidRPr="00E13166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E13166">
                <w:rPr>
                  <w:rStyle w:val="Hyperlink"/>
                  <w:i/>
                  <w:iCs/>
                  <w:lang w:val="ru-RU"/>
                </w:rPr>
                <w:t>C23/INF/13</w:t>
              </w:r>
            </w:hyperlink>
          </w:p>
        </w:tc>
      </w:tr>
      <w:bookmarkEnd w:id="2"/>
      <w:bookmarkEnd w:id="6"/>
    </w:tbl>
    <w:p w14:paraId="049239F5" w14:textId="77777777" w:rsidR="00E94D37" w:rsidRPr="00E13166" w:rsidRDefault="00E94D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13166">
        <w:rPr>
          <w:lang w:val="ru-RU"/>
        </w:rPr>
        <w:br w:type="page"/>
      </w:r>
    </w:p>
    <w:p w14:paraId="2059E8C9" w14:textId="4B05F611" w:rsidR="00E13166" w:rsidRPr="00E13166" w:rsidRDefault="00E13166" w:rsidP="00E13166">
      <w:pPr>
        <w:pStyle w:val="Heading1"/>
        <w:rPr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</w:r>
      <w:r w:rsidRPr="00E13166">
        <w:rPr>
          <w:lang w:val="ru-RU"/>
        </w:rPr>
        <w:t>Введение</w:t>
      </w:r>
    </w:p>
    <w:p w14:paraId="34442D27" w14:textId="299875E6" w:rsidR="00E13166" w:rsidRPr="00E13166" w:rsidRDefault="00E13166" w:rsidP="00E13166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r w:rsidRPr="00E13166">
        <w:rPr>
          <w:lang w:val="ru-RU"/>
        </w:rPr>
        <w:t>Полномочная конференция приняла Резолюцию 71 (Пересм. Бухарест, 2022 г.) и Решение 5 (Пересм. Бухарест, 2022 г.), которые определили: стратегические цели Союза, его тематические приоритеты, средства достижения целей, предлагаемые Союзом продукты и услуги, а также четкую увязку Стратегического и Финансового планов Союза</w:t>
      </w:r>
      <w:r w:rsidR="002D7634">
        <w:rPr>
          <w:lang w:val="ru-RU"/>
        </w:rPr>
        <w:t>,</w:t>
      </w:r>
      <w:r w:rsidRPr="00E13166">
        <w:rPr>
          <w:lang w:val="ru-RU"/>
        </w:rPr>
        <w:t xml:space="preserve"> в целях эффективного достижения целей МСЭ.</w:t>
      </w:r>
    </w:p>
    <w:p w14:paraId="36850B9B" w14:textId="15FEB92A" w:rsidR="00E13166" w:rsidRPr="00E13166" w:rsidRDefault="00E13166" w:rsidP="00E13166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</w:r>
      <w:r w:rsidRPr="00E13166">
        <w:rPr>
          <w:lang w:val="ru-RU"/>
        </w:rPr>
        <w:t xml:space="preserve">Рассматриваемые отчеты Генерального секретаря, приведенные в </w:t>
      </w:r>
      <w:r w:rsidR="002D7634" w:rsidRPr="00E13166">
        <w:rPr>
          <w:lang w:val="ru-RU"/>
        </w:rPr>
        <w:t>Документах</w:t>
      </w:r>
      <w:r w:rsidR="002D7634">
        <w:rPr>
          <w:lang w:val="ru-RU"/>
        </w:rPr>
        <w:t> </w:t>
      </w:r>
      <w:hyperlink r:id="rId15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 xml:space="preserve">, </w:t>
      </w:r>
      <w:hyperlink r:id="rId16" w:history="1">
        <w:r w:rsidRPr="00E13166">
          <w:rPr>
            <w:rStyle w:val="Hyperlink"/>
            <w:lang w:val="ru-RU"/>
          </w:rPr>
          <w:t>C23/50</w:t>
        </w:r>
      </w:hyperlink>
      <w:r w:rsidRPr="00E13166">
        <w:rPr>
          <w:lang w:val="ru-RU"/>
        </w:rPr>
        <w:t xml:space="preserve">, </w:t>
      </w:r>
      <w:hyperlink r:id="rId17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 xml:space="preserve">, </w:t>
      </w:r>
      <w:hyperlink r:id="rId18" w:history="1">
        <w:r w:rsidRPr="00E13166">
          <w:rPr>
            <w:rStyle w:val="Hyperlink"/>
            <w:lang w:val="ru-RU"/>
          </w:rPr>
          <w:t>C23/53</w:t>
        </w:r>
      </w:hyperlink>
      <w:r w:rsidRPr="00E13166">
        <w:rPr>
          <w:lang w:val="ru-RU"/>
        </w:rPr>
        <w:t xml:space="preserve">, </w:t>
      </w:r>
      <w:hyperlink r:id="rId19" w:history="1">
        <w:r w:rsidRPr="004513C8">
          <w:rPr>
            <w:rStyle w:val="Hyperlink"/>
            <w:lang w:val="ru-RU"/>
          </w:rPr>
          <w:t>C23/62</w:t>
        </w:r>
      </w:hyperlink>
      <w:r w:rsidRPr="00E13166">
        <w:rPr>
          <w:lang w:val="ru-RU"/>
        </w:rPr>
        <w:t xml:space="preserve">, </w:t>
      </w:r>
      <w:hyperlink r:id="rId20" w:history="1">
        <w:r w:rsidRPr="00E13166">
          <w:rPr>
            <w:rStyle w:val="Hyperlink"/>
            <w:lang w:val="ru-RU"/>
          </w:rPr>
          <w:t>C23/INF/11</w:t>
        </w:r>
      </w:hyperlink>
      <w:r w:rsidRPr="00E13166">
        <w:rPr>
          <w:lang w:val="ru-RU"/>
        </w:rPr>
        <w:t xml:space="preserve">, </w:t>
      </w:r>
      <w:hyperlink r:id="rId21" w:history="1">
        <w:r w:rsidRPr="00E13166">
          <w:rPr>
            <w:rStyle w:val="Hyperlink"/>
            <w:lang w:val="ru-RU"/>
          </w:rPr>
          <w:t>C23/INF/13</w:t>
        </w:r>
      </w:hyperlink>
      <w:r w:rsidRPr="00E13166">
        <w:rPr>
          <w:lang w:val="ru-RU"/>
        </w:rPr>
        <w:t>, согласно содержащимся в них ссылкам, в большей степени затрагивают вопросы деятельности и подходов новой руководящей команды Союза</w:t>
      </w:r>
      <w:r w:rsidR="002D7634">
        <w:rPr>
          <w:lang w:val="ru-RU"/>
        </w:rPr>
        <w:t>,</w:t>
      </w:r>
      <w:r w:rsidRPr="00E13166">
        <w:rPr>
          <w:lang w:val="ru-RU"/>
        </w:rPr>
        <w:t xml:space="preserve"> в том что касается способов работы МСЭ, дающих возможность более эффективно и результативно достигать целей и приоритетов Союза, в частности: </w:t>
      </w:r>
    </w:p>
    <w:p w14:paraId="291B1C5E" w14:textId="4A9952DE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средство достижения целей "Развитие людских ресурсов и организационные инновации"; и</w:t>
      </w:r>
    </w:p>
    <w:p w14:paraId="101BFA93" w14:textId="4778FB7A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средство достижения целей "Мобилизация ресурсов".</w:t>
      </w:r>
    </w:p>
    <w:p w14:paraId="1C688444" w14:textId="4F26DC16" w:rsidR="00E13166" w:rsidRPr="00E13166" w:rsidRDefault="00E13166" w:rsidP="00E13166">
      <w:pPr>
        <w:rPr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</w:r>
      <w:r w:rsidRPr="00E13166">
        <w:rPr>
          <w:lang w:val="ru-RU"/>
        </w:rPr>
        <w:t>Усилия руководящей команды в рамках работы в области средств достижения целей "Развитие людских ресурсов и организационные инновации", в соответствии с Резолюцией</w:t>
      </w:r>
      <w:r w:rsidR="002D7634">
        <w:rPr>
          <w:lang w:val="ru-RU"/>
        </w:rPr>
        <w:t> </w:t>
      </w:r>
      <w:r w:rsidRPr="00E13166">
        <w:rPr>
          <w:lang w:val="ru-RU"/>
        </w:rPr>
        <w:t>71 ПК-22, должны быть направлены на совершенствование внутренних процессов и ускорение принятия внутренних решений, устранение оперативной неэффективности, дублирования и замеченных случаев бюрократии и отражение ценностей прозрачности и подотчетности.</w:t>
      </w:r>
    </w:p>
    <w:p w14:paraId="70A6D448" w14:textId="77777777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>Основная цель – модернизация человеческого потенциала, процессов, процедур и инструментов МСЭ, а также интеграция и согласование с общей системой Организации Объединенных Наций и ценностями международной гражданской службы. Для этого МСЭ будет осуществлять план трансформации культуры и навыков, который укрепит организационную открытость, гибкость и эффективность.</w:t>
      </w:r>
    </w:p>
    <w:p w14:paraId="4B2AB51B" w14:textId="77777777" w:rsidR="00E13166" w:rsidRPr="00E13166" w:rsidRDefault="00E13166" w:rsidP="00E13166">
      <w:pPr>
        <w:rPr>
          <w:lang w:val="ru-RU"/>
        </w:rPr>
      </w:pPr>
      <w:r w:rsidRPr="00E13166">
        <w:rPr>
          <w:b/>
          <w:lang w:val="ru-RU"/>
        </w:rPr>
        <w:t>План трансформации культуры и навыков</w:t>
      </w:r>
      <w:r w:rsidRPr="00E13166">
        <w:rPr>
          <w:lang w:val="ru-RU"/>
        </w:rPr>
        <w:t xml:space="preserve"> должен базироваться на четырех основных направлениях: </w:t>
      </w:r>
    </w:p>
    <w:p w14:paraId="4072BCD4" w14:textId="71A396CA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стратегическое планирование;</w:t>
      </w:r>
    </w:p>
    <w:p w14:paraId="0CC2D9B3" w14:textId="4C7F4350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цифровая трансформация;</w:t>
      </w:r>
    </w:p>
    <w:p w14:paraId="2A2662D9" w14:textId="2344F523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 xml:space="preserve">инновации; и </w:t>
      </w:r>
    </w:p>
    <w:p w14:paraId="1DAAE8DD" w14:textId="01E33573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управление людскими ресурсами.</w:t>
      </w:r>
    </w:p>
    <w:p w14:paraId="40B42B72" w14:textId="20D608D8" w:rsidR="00E13166" w:rsidRPr="00E13166" w:rsidRDefault="00E13166" w:rsidP="00E13166">
      <w:pPr>
        <w:rPr>
          <w:lang w:val="ru-RU"/>
        </w:rPr>
      </w:pPr>
      <w:r>
        <w:rPr>
          <w:lang w:val="ru-RU"/>
        </w:rPr>
        <w:t>1.4</w:t>
      </w:r>
      <w:r>
        <w:rPr>
          <w:lang w:val="ru-RU"/>
        </w:rPr>
        <w:tab/>
      </w:r>
      <w:r w:rsidRPr="00E13166">
        <w:rPr>
          <w:lang w:val="ru-RU"/>
        </w:rPr>
        <w:t>Усилия руководящей команды в рамках работы в области средств достижения целей "Мобилизация ресурсов", в соответствии с Резолюцией 71 ПК-22, должны быть направлены на ускорение усилий по мобилизации ресурсов и увеличение финансирования, определение наиболее эффективных способов мобилизации внебюджетных ресурсов, наращивание потенциала мобилизации ресурсов и совершенствование существующей стратегии сбора средств при применении исходных ресурсов партнеров для дополнения этих усилий.</w:t>
      </w:r>
    </w:p>
    <w:p w14:paraId="5AF380FD" w14:textId="77777777" w:rsidR="00E13166" w:rsidRPr="00E13166" w:rsidRDefault="00E13166" w:rsidP="00E13166">
      <w:pPr>
        <w:rPr>
          <w:lang w:val="ru-RU"/>
        </w:rPr>
      </w:pPr>
      <w:r w:rsidRPr="00E13166">
        <w:rPr>
          <w:b/>
          <w:lang w:val="ru-RU"/>
        </w:rPr>
        <w:t>Должна быть разработана система долгосрочных финансовых обязательств</w:t>
      </w:r>
      <w:r w:rsidRPr="00E13166">
        <w:rPr>
          <w:lang w:val="ru-RU"/>
        </w:rPr>
        <w:t xml:space="preserve"> для эффективного планирования, программирования и реализации проектов и повышения прогнозируемости потоков ресурсов.</w:t>
      </w:r>
    </w:p>
    <w:p w14:paraId="4AA85C2D" w14:textId="4A013AA2" w:rsidR="00E13166" w:rsidRPr="00E13166" w:rsidRDefault="00E13166" w:rsidP="00E13166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E13166">
        <w:rPr>
          <w:lang w:val="ru-RU"/>
        </w:rPr>
        <w:t>Замечания</w:t>
      </w:r>
    </w:p>
    <w:p w14:paraId="37E50443" w14:textId="3D464AA4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>Подходы новой руководящей команды, изложенные в Отчете Генерального секретаря "</w:t>
      </w:r>
      <w:r w:rsidRPr="00E13166">
        <w:rPr>
          <w:i/>
          <w:lang w:val="ru-RU"/>
        </w:rPr>
        <w:t>План трансформации для достижения организационного совершенствования</w:t>
      </w:r>
      <w:r w:rsidRPr="00E13166">
        <w:rPr>
          <w:iCs/>
          <w:lang w:val="ru-RU"/>
        </w:rPr>
        <w:t>"</w:t>
      </w:r>
      <w:r w:rsidR="002D7634">
        <w:rPr>
          <w:iCs/>
          <w:lang w:val="ru-RU"/>
        </w:rPr>
        <w:t xml:space="preserve"> (Документ </w:t>
      </w:r>
      <w:hyperlink r:id="rId22" w:history="1">
        <w:r w:rsidRPr="00E13166">
          <w:rPr>
            <w:rStyle w:val="Hyperlink"/>
            <w:lang w:val="ru-RU"/>
          </w:rPr>
          <w:t>C23/52</w:t>
        </w:r>
      </w:hyperlink>
      <w:r w:rsidR="002D7634">
        <w:rPr>
          <w:lang w:val="ru-RU"/>
        </w:rPr>
        <w:t xml:space="preserve">) </w:t>
      </w:r>
      <w:r w:rsidRPr="00E13166">
        <w:rPr>
          <w:lang w:val="ru-RU"/>
        </w:rPr>
        <w:t xml:space="preserve">и "Ускорение реализации Стратегического плана МСЭ на 2024–2027 годы" </w:t>
      </w:r>
      <w:r w:rsidR="002D7634">
        <w:rPr>
          <w:lang w:val="ru-RU"/>
        </w:rPr>
        <w:t>(</w:t>
      </w:r>
      <w:r w:rsidRPr="00E13166">
        <w:rPr>
          <w:lang w:val="ru-RU"/>
        </w:rPr>
        <w:t xml:space="preserve">Документ </w:t>
      </w:r>
      <w:hyperlink r:id="rId23" w:history="1">
        <w:r w:rsidRPr="00E13166">
          <w:rPr>
            <w:rStyle w:val="Hyperlink"/>
            <w:lang w:val="ru-RU"/>
          </w:rPr>
          <w:t>C23/36</w:t>
        </w:r>
      </w:hyperlink>
      <w:r w:rsidR="002D7634">
        <w:rPr>
          <w:lang w:val="ru-RU"/>
        </w:rPr>
        <w:t xml:space="preserve">), </w:t>
      </w:r>
      <w:r w:rsidRPr="00E13166">
        <w:rPr>
          <w:lang w:val="ru-RU"/>
        </w:rPr>
        <w:t>не в полной мере соответствуют положениям Резолюции 71 и Решению 5 ПК-22, поскольку:</w:t>
      </w:r>
    </w:p>
    <w:p w14:paraId="67E156FA" w14:textId="3EA57A8B" w:rsidR="00E13166" w:rsidRPr="00E13166" w:rsidRDefault="00E13166" w:rsidP="00E13166">
      <w:pPr>
        <w:rPr>
          <w:lang w:val="ru-RU"/>
        </w:rPr>
      </w:pPr>
      <w:r>
        <w:rPr>
          <w:lang w:val="ru-RU"/>
        </w:rPr>
        <w:lastRenderedPageBreak/>
        <w:t>2.1</w:t>
      </w:r>
      <w:r>
        <w:rPr>
          <w:lang w:val="ru-RU"/>
        </w:rPr>
        <w:tab/>
      </w:r>
      <w:r w:rsidRPr="00E13166">
        <w:rPr>
          <w:lang w:val="ru-RU"/>
        </w:rPr>
        <w:t xml:space="preserve">В Отчете </w:t>
      </w:r>
      <w:hyperlink r:id="rId24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 xml:space="preserve"> со ссылкой на Стратегический план МСЭ на 2024–2027 годы (Резолюция 71 ПК-22) и Решение 5 ПК-22 используется словосочетание "</w:t>
      </w:r>
      <w:r w:rsidRPr="00E13166">
        <w:rPr>
          <w:i/>
          <w:lang w:val="ru-RU"/>
        </w:rPr>
        <w:t>организационное совершенствование</w:t>
      </w:r>
      <w:r w:rsidRPr="00E13166">
        <w:rPr>
          <w:iCs/>
          <w:lang w:val="ru-RU"/>
        </w:rPr>
        <w:t xml:space="preserve">" </w:t>
      </w:r>
      <w:r w:rsidRPr="00E13166">
        <w:rPr>
          <w:lang w:val="ru-RU"/>
        </w:rPr>
        <w:t>с привязкой к термину "</w:t>
      </w:r>
      <w:r w:rsidRPr="00E13166">
        <w:rPr>
          <w:i/>
          <w:lang w:val="ru-RU"/>
        </w:rPr>
        <w:t>трансформация</w:t>
      </w:r>
      <w:r w:rsidRPr="00E13166">
        <w:rPr>
          <w:iCs/>
          <w:lang w:val="ru-RU"/>
        </w:rPr>
        <w:t>",</w:t>
      </w:r>
      <w:r w:rsidRPr="00E13166">
        <w:rPr>
          <w:lang w:val="ru-RU"/>
        </w:rPr>
        <w:t xml:space="preserve"> которое </w:t>
      </w:r>
      <w:r w:rsidRPr="00E13166">
        <w:rPr>
          <w:b/>
          <w:lang w:val="ru-RU"/>
        </w:rPr>
        <w:t>является абсолютным нововведением и не содержится</w:t>
      </w:r>
      <w:r w:rsidRPr="00E13166">
        <w:rPr>
          <w:lang w:val="ru-RU"/>
        </w:rPr>
        <w:t xml:space="preserve"> ни в Резолюции 71, ни в Решении 5 ПК-22</w:t>
      </w:r>
      <w:r w:rsidR="003E1F53">
        <w:rPr>
          <w:lang w:val="ru-RU"/>
        </w:rPr>
        <w:t>.</w:t>
      </w:r>
    </w:p>
    <w:p w14:paraId="4AD2B074" w14:textId="5FC10B30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 xml:space="preserve">В части вопросов "совершенствования", "трансформации" и "организационных" аспектов Резолюция 71 и Решение 5 ПК-22 </w:t>
      </w:r>
      <w:r w:rsidRPr="00E13166">
        <w:rPr>
          <w:b/>
          <w:lang w:val="ru-RU"/>
        </w:rPr>
        <w:t>содержат только понятия</w:t>
      </w:r>
      <w:r w:rsidRPr="00E13166">
        <w:rPr>
          <w:lang w:val="ru-RU"/>
        </w:rPr>
        <w:t xml:space="preserve"> "</w:t>
      </w:r>
      <w:r w:rsidRPr="00E13166">
        <w:rPr>
          <w:b/>
          <w:i/>
          <w:lang w:val="ru-RU"/>
        </w:rPr>
        <w:t>организационная эффективность</w:t>
      </w:r>
      <w:r w:rsidRPr="00E13166">
        <w:rPr>
          <w:bCs/>
          <w:iCs/>
          <w:lang w:val="ru-RU"/>
        </w:rPr>
        <w:t>"</w:t>
      </w:r>
      <w:r w:rsidRPr="00E13166">
        <w:rPr>
          <w:lang w:val="ru-RU"/>
        </w:rPr>
        <w:t>/"</w:t>
      </w:r>
      <w:r w:rsidRPr="00E13166">
        <w:rPr>
          <w:b/>
          <w:i/>
          <w:lang w:val="ru-RU"/>
        </w:rPr>
        <w:t>совершенствование организационной эффективности</w:t>
      </w:r>
      <w:r w:rsidRPr="00E13166">
        <w:rPr>
          <w:lang w:val="ru-RU"/>
        </w:rPr>
        <w:t>" и "</w:t>
      </w:r>
      <w:r w:rsidRPr="00E13166">
        <w:rPr>
          <w:b/>
          <w:i/>
          <w:lang w:val="ru-RU"/>
        </w:rPr>
        <w:t>цифровая трансформация</w:t>
      </w:r>
      <w:r w:rsidRPr="00E13166">
        <w:rPr>
          <w:lang w:val="ru-RU"/>
        </w:rPr>
        <w:t>", при этом:</w:t>
      </w:r>
    </w:p>
    <w:p w14:paraId="0FC820BE" w14:textId="1888109D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 w:rsidRPr="00E13166">
        <w:rPr>
          <w:lang w:val="ru-RU"/>
        </w:rPr>
        <w:tab/>
        <w:t>к понятию "</w:t>
      </w:r>
      <w:r w:rsidRPr="00E13166">
        <w:rPr>
          <w:i/>
          <w:lang w:val="ru-RU"/>
        </w:rPr>
        <w:t>организационная эффективность</w:t>
      </w:r>
      <w:r w:rsidRPr="00E13166">
        <w:rPr>
          <w:lang w:val="ru-RU"/>
        </w:rPr>
        <w:t>" относятся обзор регионального присутствия МСЭ, проект "Культура и навыки МСЭ" и неофициальные консультации с Членами в процессе стратегического планирования;</w:t>
      </w:r>
    </w:p>
    <w:p w14:paraId="0B9CE142" w14:textId="7D7341CE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 w:rsidRPr="00E13166">
        <w:rPr>
          <w:lang w:val="ru-RU"/>
        </w:rPr>
        <w:tab/>
        <w:t>к понятию "</w:t>
      </w:r>
      <w:r w:rsidRPr="00E13166">
        <w:rPr>
          <w:i/>
          <w:lang w:val="ru-RU"/>
        </w:rPr>
        <w:t>цифровая трансформация</w:t>
      </w:r>
      <w:r w:rsidRPr="00E13166">
        <w:rPr>
          <w:lang w:val="ru-RU"/>
        </w:rPr>
        <w:t xml:space="preserve">" относится деятельность МСЭ по содействию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развития, а также реализация инициативы цифровой трансформации Союза (Резолюции 48 и 217 ПК-22, Документ </w:t>
      </w:r>
      <w:hyperlink r:id="rId25" w:history="1">
        <w:r w:rsidRPr="00E13166">
          <w:rPr>
            <w:rStyle w:val="Hyperlink"/>
            <w:lang w:val="ru-RU"/>
          </w:rPr>
          <w:t>C21/70</w:t>
        </w:r>
      </w:hyperlink>
      <w:r w:rsidRPr="00E13166">
        <w:rPr>
          <w:lang w:val="ru-RU"/>
        </w:rPr>
        <w:t>) – "DT-I", направленной на улучшение основных результатов деятельности МСЭ, повышение эффективности внутренних рабочих процессов и обеспечение того, чтобы МСЭ стал лучшим работодателем.</w:t>
      </w:r>
    </w:p>
    <w:p w14:paraId="1C7A585A" w14:textId="74728A5B" w:rsidR="00E13166" w:rsidRPr="00E13166" w:rsidRDefault="00E13166" w:rsidP="00E13166">
      <w:pPr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</w:r>
      <w:r w:rsidRPr="00E13166">
        <w:rPr>
          <w:lang w:val="ru-RU"/>
        </w:rPr>
        <w:t xml:space="preserve">Также, по результатам внимательного изучения отчетов Генерального секретаря </w:t>
      </w:r>
      <w:hyperlink r:id="rId26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 xml:space="preserve"> и </w:t>
      </w:r>
      <w:hyperlink r:id="rId27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>, складывается ощущение, что новое направление работы управляющей команды МСЭ "</w:t>
      </w:r>
      <w:r w:rsidRPr="00E13166">
        <w:rPr>
          <w:i/>
          <w:lang w:val="ru-RU"/>
        </w:rPr>
        <w:t>Организационное совершенствование</w:t>
      </w:r>
      <w:r w:rsidRPr="00E13166">
        <w:rPr>
          <w:lang w:val="ru-RU"/>
        </w:rPr>
        <w:t>", включающее соответствующую "</w:t>
      </w:r>
      <w:r w:rsidRPr="00E13166">
        <w:rPr>
          <w:i/>
          <w:lang w:val="ru-RU"/>
        </w:rPr>
        <w:t>Дорожную карту трансформации</w:t>
      </w:r>
      <w:r w:rsidRPr="00E13166">
        <w:rPr>
          <w:lang w:val="ru-RU"/>
        </w:rPr>
        <w:t xml:space="preserve">", не только направлено на решение поставленных ПК-22 задач по совершенствованию внутренних процессов по устранению оперативной неэффективности, дублирования и замеченных случаев бюрократии, но и </w:t>
      </w:r>
      <w:r w:rsidRPr="00E13166">
        <w:rPr>
          <w:b/>
          <w:lang w:val="ru-RU"/>
        </w:rPr>
        <w:t>выходит за рамки деятельности</w:t>
      </w:r>
      <w:r w:rsidRPr="00E13166">
        <w:rPr>
          <w:bCs/>
          <w:lang w:val="ru-RU"/>
        </w:rPr>
        <w:t xml:space="preserve">, </w:t>
      </w:r>
      <w:r w:rsidRPr="00E13166">
        <w:rPr>
          <w:b/>
          <w:lang w:val="ru-RU"/>
        </w:rPr>
        <w:t>предписанной Конференцией</w:t>
      </w:r>
      <w:r w:rsidRPr="00E13166">
        <w:rPr>
          <w:lang w:val="ru-RU"/>
        </w:rPr>
        <w:t xml:space="preserve">, и представляет собой попытки рассмотреть и подвергнуть анализу саму структуру Союза, закрепленную в Статье 7 Устава МСЭ. </w:t>
      </w:r>
    </w:p>
    <w:p w14:paraId="1C9C3117" w14:textId="59F03CA5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 xml:space="preserve">Так, Резолюция 71 предусматривает разработку Плана трансформации </w:t>
      </w:r>
      <w:r w:rsidRPr="00E13166">
        <w:rPr>
          <w:b/>
          <w:lang w:val="ru-RU"/>
        </w:rPr>
        <w:t>только</w:t>
      </w:r>
      <w:r w:rsidRPr="00E13166">
        <w:rPr>
          <w:lang w:val="ru-RU"/>
        </w:rPr>
        <w:t xml:space="preserve"> </w:t>
      </w:r>
      <w:r w:rsidRPr="00E13166">
        <w:rPr>
          <w:b/>
          <w:lang w:val="ru-RU"/>
        </w:rPr>
        <w:t>культуры и навыков</w:t>
      </w:r>
      <w:r w:rsidRPr="00E13166">
        <w:rPr>
          <w:lang w:val="ru-RU"/>
        </w:rPr>
        <w:t xml:space="preserve"> и не содержит поручения разрабатывать План трансформации для достижения организационного совершенствования.</w:t>
      </w:r>
    </w:p>
    <w:p w14:paraId="2F140245" w14:textId="553CF636" w:rsidR="00E13166" w:rsidRPr="00E13166" w:rsidRDefault="00E13166" w:rsidP="00E13166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</w:r>
      <w:r w:rsidRPr="00E13166">
        <w:rPr>
          <w:lang w:val="ru-RU"/>
        </w:rPr>
        <w:t xml:space="preserve">В Документе </w:t>
      </w:r>
      <w:hyperlink r:id="rId28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 xml:space="preserve">, ссылающемся на Документ </w:t>
      </w:r>
      <w:hyperlink r:id="rId29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>, представлены рекомендации Совету, подготовленные на основе "</w:t>
      </w:r>
      <w:r w:rsidRPr="00E13166">
        <w:rPr>
          <w:i/>
          <w:lang w:val="ru-RU"/>
        </w:rPr>
        <w:t>процесса рассмотрения</w:t>
      </w:r>
      <w:r w:rsidRPr="00E13166">
        <w:rPr>
          <w:lang w:val="ru-RU"/>
        </w:rPr>
        <w:t xml:space="preserve">", который новая руководящая команда выбрала в качестве метода работы сразу после ПК-22, привлекая </w:t>
      </w:r>
      <w:r w:rsidR="00985165">
        <w:rPr>
          <w:lang w:val="ru-RU"/>
        </w:rPr>
        <w:t>к</w:t>
      </w:r>
      <w:r w:rsidRPr="00E13166">
        <w:rPr>
          <w:lang w:val="ru-RU"/>
        </w:rPr>
        <w:t xml:space="preserve"> нему </w:t>
      </w:r>
      <w:r w:rsidRPr="00E13166">
        <w:rPr>
          <w:b/>
          <w:lang w:val="ru-RU"/>
        </w:rPr>
        <w:t xml:space="preserve">ограниченный круг специалистов и сотрудников </w:t>
      </w:r>
      <w:r w:rsidRPr="00E13166">
        <w:rPr>
          <w:lang w:val="ru-RU"/>
        </w:rPr>
        <w:t>различных уровней из трех Бюро (65</w:t>
      </w:r>
      <w:r w:rsidR="003E1F53">
        <w:rPr>
          <w:lang w:val="ru-RU"/>
        </w:rPr>
        <w:t> </w:t>
      </w:r>
      <w:r w:rsidRPr="00E13166">
        <w:rPr>
          <w:lang w:val="ru-RU"/>
        </w:rPr>
        <w:t>человек), порядка 40 внешних заинтересованных сторон по всему миру, в состав которых вошли неназванные Государства – Члены МСЭ, частный сектор, агентства ООН и межправительственные организации, гражданское общество, научные круги и несколько неназванных известных личностей.</w:t>
      </w:r>
    </w:p>
    <w:p w14:paraId="2DA7CC69" w14:textId="4392612A" w:rsidR="00E13166" w:rsidRPr="00E13166" w:rsidRDefault="00E13166" w:rsidP="00E13166">
      <w:pPr>
        <w:rPr>
          <w:lang w:val="ru-RU"/>
        </w:rPr>
      </w:pPr>
      <w:r>
        <w:rPr>
          <w:lang w:val="ru-RU"/>
        </w:rPr>
        <w:t>2.4</w:t>
      </w:r>
      <w:r>
        <w:rPr>
          <w:lang w:val="ru-RU"/>
        </w:rPr>
        <w:tab/>
      </w:r>
      <w:r w:rsidRPr="00E13166">
        <w:rPr>
          <w:lang w:val="ru-RU"/>
        </w:rPr>
        <w:t xml:space="preserve">В Документе </w:t>
      </w:r>
      <w:hyperlink r:id="rId30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 xml:space="preserve"> отмечается, что новой руководящей командой был разработан план, согласованный со Стратегическим планом на 2024–2027 годы и указаниями, полученными от ПК-22. Однако дискуссии в рамках упомянутого в п. 2.3</w:t>
      </w:r>
      <w:r w:rsidR="003E1F53">
        <w:rPr>
          <w:lang w:val="ru-RU"/>
        </w:rPr>
        <w:t>,</w:t>
      </w:r>
      <w:r w:rsidRPr="00E13166">
        <w:rPr>
          <w:lang w:val="ru-RU"/>
        </w:rPr>
        <w:t xml:space="preserve"> выше</w:t>
      </w:r>
      <w:r w:rsidR="001312E6" w:rsidRPr="001312E6">
        <w:rPr>
          <w:lang w:val="ru-RU"/>
        </w:rPr>
        <w:t>,</w:t>
      </w:r>
      <w:r w:rsidRPr="00E13166">
        <w:rPr>
          <w:lang w:val="ru-RU"/>
        </w:rPr>
        <w:t xml:space="preserve"> "процесса рассмотрения" были сосредоточены на трех столпах, которые, очевидно, </w:t>
      </w:r>
      <w:r w:rsidRPr="00E13166">
        <w:rPr>
          <w:b/>
          <w:lang w:val="ru-RU"/>
        </w:rPr>
        <w:t>не имеют прямой взаимосвязи со Стратегическим планом Союза и не соответствуют утвержденным ПК-22</w:t>
      </w:r>
      <w:r w:rsidRPr="00E13166">
        <w:rPr>
          <w:lang w:val="ru-RU"/>
        </w:rPr>
        <w:t xml:space="preserve"> </w:t>
      </w:r>
      <w:r w:rsidRPr="00E13166">
        <w:rPr>
          <w:b/>
          <w:lang w:val="ru-RU"/>
        </w:rPr>
        <w:t>стратегическим целям и тематическим приоритетам, а также средствам достижения целей</w:t>
      </w:r>
      <w:r w:rsidRPr="00E13166">
        <w:rPr>
          <w:lang w:val="ru-RU"/>
        </w:rPr>
        <w:t>.</w:t>
      </w:r>
    </w:p>
    <w:p w14:paraId="1959AC97" w14:textId="49C94897" w:rsidR="00E13166" w:rsidRPr="00E13166" w:rsidRDefault="00E13166" w:rsidP="00E13166">
      <w:pPr>
        <w:rPr>
          <w:lang w:val="ru-RU"/>
        </w:rPr>
      </w:pPr>
      <w:r>
        <w:rPr>
          <w:lang w:val="ru-RU"/>
        </w:rPr>
        <w:t>2.5</w:t>
      </w:r>
      <w:r>
        <w:rPr>
          <w:lang w:val="ru-RU"/>
        </w:rPr>
        <w:tab/>
      </w:r>
      <w:r w:rsidRPr="00E13166">
        <w:rPr>
          <w:lang w:val="ru-RU"/>
        </w:rPr>
        <w:t>Стратегические цели Союза, представленные в Стратегическом плане (Резолюция</w:t>
      </w:r>
      <w:r w:rsidR="003E1F53">
        <w:rPr>
          <w:lang w:val="ru-RU"/>
        </w:rPr>
        <w:t> </w:t>
      </w:r>
      <w:r w:rsidRPr="00E13166">
        <w:rPr>
          <w:lang w:val="ru-RU"/>
        </w:rPr>
        <w:t xml:space="preserve">71 ПК-22), способствуют реализации МСЭ своей миссии и укреплению его роли в содействии прогрессу в реализации Направлений деятельности </w:t>
      </w:r>
      <w:r w:rsidRPr="00E13166">
        <w:rPr>
          <w:b/>
          <w:lang w:val="ru-RU"/>
        </w:rPr>
        <w:t>Всемирной встречи на высшем уровне по вопросам информационного общества</w:t>
      </w:r>
      <w:r w:rsidRPr="00E13166">
        <w:rPr>
          <w:lang w:val="ru-RU"/>
        </w:rPr>
        <w:t xml:space="preserve"> (ВВУИО) и </w:t>
      </w:r>
      <w:r w:rsidRPr="00E13166">
        <w:rPr>
          <w:b/>
          <w:lang w:val="ru-RU"/>
        </w:rPr>
        <w:t>Повестки дня в области устойчивого развития на период до 2030 года</w:t>
      </w:r>
      <w:r w:rsidRPr="00E13166">
        <w:rPr>
          <w:lang w:val="ru-RU"/>
        </w:rPr>
        <w:t>. В то</w:t>
      </w:r>
      <w:r w:rsidR="003E1F53">
        <w:rPr>
          <w:lang w:val="ru-RU"/>
        </w:rPr>
        <w:t xml:space="preserve"> </w:t>
      </w:r>
      <w:r w:rsidRPr="00E13166">
        <w:rPr>
          <w:lang w:val="ru-RU"/>
        </w:rPr>
        <w:t xml:space="preserve">же время предлагаемый Генеральным секретарем План </w:t>
      </w:r>
      <w:r w:rsidRPr="00E13166">
        <w:rPr>
          <w:lang w:val="ru-RU"/>
        </w:rPr>
        <w:lastRenderedPageBreak/>
        <w:t xml:space="preserve">трансформации для достижения организационного совершенствования </w:t>
      </w:r>
      <w:r w:rsidRPr="00E13166">
        <w:rPr>
          <w:b/>
          <w:lang w:val="ru-RU"/>
        </w:rPr>
        <w:t xml:space="preserve">сосредоточен на Целях устойчивого развития (ЦУР) и собственной Повестке МСЭ "Соединим к 2030 году" </w:t>
      </w:r>
      <w:r w:rsidRPr="00E13166">
        <w:rPr>
          <w:lang w:val="ru-RU"/>
        </w:rPr>
        <w:t xml:space="preserve">при игнорировании процесса ВВУИО, чья тесная взаимосвязь с достижение ЦУР отражена в соответствующей Матрице ВВУИО-ЦУР, и положений Резолюции 140 ПК-22 о роли МСЭ в выполнении решений ВВУИО </w:t>
      </w:r>
      <w:r w:rsidRPr="00E13166">
        <w:rPr>
          <w:bCs/>
          <w:lang w:val="ru-RU"/>
        </w:rPr>
        <w:t>и Повестки дня в области устойчивого развития на период до 2030 года, а также в принятии последующих мер и обзоре их выполнения</w:t>
      </w:r>
      <w:r w:rsidRPr="00E13166">
        <w:rPr>
          <w:lang w:val="ru-RU"/>
        </w:rPr>
        <w:t>.</w:t>
      </w:r>
    </w:p>
    <w:p w14:paraId="203EEB88" w14:textId="7F2F979D" w:rsidR="00E13166" w:rsidRPr="00E13166" w:rsidRDefault="00E13166" w:rsidP="00E13166">
      <w:pPr>
        <w:rPr>
          <w:lang w:val="ru-RU"/>
        </w:rPr>
      </w:pPr>
      <w:r>
        <w:rPr>
          <w:lang w:val="ru-RU"/>
        </w:rPr>
        <w:t>2.6</w:t>
      </w:r>
      <w:r>
        <w:rPr>
          <w:lang w:val="ru-RU"/>
        </w:rPr>
        <w:tab/>
      </w:r>
      <w:r w:rsidRPr="00E13166">
        <w:rPr>
          <w:lang w:val="ru-RU"/>
        </w:rPr>
        <w:t xml:space="preserve">Концепция единого МСЭ, представленная в Документе </w:t>
      </w:r>
      <w:hyperlink r:id="rId31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>, не соответствует Статье</w:t>
      </w:r>
      <w:r w:rsidR="003E1F53">
        <w:rPr>
          <w:lang w:val="ru-RU"/>
        </w:rPr>
        <w:t> </w:t>
      </w:r>
      <w:r w:rsidRPr="00E13166">
        <w:rPr>
          <w:lang w:val="ru-RU"/>
        </w:rPr>
        <w:t>7 Устава Союза.</w:t>
      </w:r>
    </w:p>
    <w:p w14:paraId="28DE8F9B" w14:textId="33103EE8" w:rsidR="00E13166" w:rsidRPr="00E13166" w:rsidRDefault="00E13166" w:rsidP="00E13166">
      <w:pPr>
        <w:rPr>
          <w:lang w:val="ru-RU"/>
        </w:rPr>
      </w:pPr>
      <w:r>
        <w:rPr>
          <w:lang w:val="ru-RU"/>
        </w:rPr>
        <w:t>2.7</w:t>
      </w:r>
      <w:r>
        <w:rPr>
          <w:lang w:val="ru-RU"/>
        </w:rPr>
        <w:tab/>
      </w:r>
      <w:r w:rsidRPr="00E13166">
        <w:rPr>
          <w:lang w:val="ru-RU"/>
        </w:rPr>
        <w:t xml:space="preserve">В Документе </w:t>
      </w:r>
      <w:hyperlink r:id="rId32" w:history="1">
        <w:r w:rsidRPr="00E13166">
          <w:rPr>
            <w:rStyle w:val="Hyperlink"/>
            <w:lang w:val="ru-RU"/>
          </w:rPr>
          <w:t>C23/52</w:t>
        </w:r>
      </w:hyperlink>
      <w:r w:rsidRPr="00E13166">
        <w:rPr>
          <w:lang w:val="ru-RU"/>
        </w:rPr>
        <w:t xml:space="preserve"> не указано, из каких источников будет обеспечено финансирование порядка 900 тыс</w:t>
      </w:r>
      <w:r w:rsidR="003E1F53">
        <w:rPr>
          <w:lang w:val="ru-RU"/>
        </w:rPr>
        <w:t>яч</w:t>
      </w:r>
      <w:r w:rsidRPr="00E13166">
        <w:rPr>
          <w:lang w:val="ru-RU"/>
        </w:rPr>
        <w:t xml:space="preserve"> швейцарских франков в год на создание и функционирование Офиса трансформации, особенно в условиях нехватки средств на уставные направления деятельности Союза, указанные в Статье 1 Устава МСЭ, а также на реализацию проекта по строительству нового здания штаб-квартиры Союза (Документ </w:t>
      </w:r>
      <w:hyperlink r:id="rId33" w:history="1">
        <w:r w:rsidRPr="00E13166">
          <w:rPr>
            <w:rStyle w:val="Hyperlink"/>
            <w:lang w:val="ru-RU"/>
          </w:rPr>
          <w:t>C23/7</w:t>
        </w:r>
      </w:hyperlink>
      <w:r w:rsidRPr="00E13166">
        <w:rPr>
          <w:lang w:val="ru-RU"/>
        </w:rPr>
        <w:t xml:space="preserve">). </w:t>
      </w:r>
    </w:p>
    <w:p w14:paraId="7D3806EB" w14:textId="59DA263F" w:rsidR="00E13166" w:rsidRPr="00E13166" w:rsidRDefault="00E13166" w:rsidP="00E13166">
      <w:pPr>
        <w:pStyle w:val="Heading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Pr="00E13166">
        <w:rPr>
          <w:lang w:val="ru-RU"/>
        </w:rPr>
        <w:t>Предложения</w:t>
      </w:r>
    </w:p>
    <w:p w14:paraId="696E6EDD" w14:textId="4DE42BC0" w:rsidR="00E13166" w:rsidRPr="00E13166" w:rsidRDefault="00E13166" w:rsidP="00E13166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</w:r>
      <w:r w:rsidRPr="00E13166">
        <w:rPr>
          <w:lang w:val="ru-RU"/>
        </w:rPr>
        <w:t>Совету предлагается не принимать никаких действий по документу до прояснения всех деталей и корректировки подходов управляющей команды МСЭ в строгом соответствии с У/К и решениями ПК.</w:t>
      </w:r>
    </w:p>
    <w:p w14:paraId="4C9FFA1D" w14:textId="53F18DBF" w:rsidR="00E13166" w:rsidRPr="00E13166" w:rsidRDefault="00E13166" w:rsidP="00E13166">
      <w:pPr>
        <w:rPr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</w:r>
      <w:r w:rsidRPr="00E13166">
        <w:rPr>
          <w:lang w:val="ru-RU"/>
        </w:rPr>
        <w:t>Усилия руководящей команды в рамках работы в области средств достижения целей "Развитие людских ресурсов и организационные инновации", в соответствии с Резолюцией 71 ПК-22, должны быть направлены на совершенствование внутренних процессов и ускорение принятия внутренних решений, устраняя оперативную неэффективность, дублирование и замеченные случаи бюрократии и отражая ценности прозрачности и подотчетности, и не затрагивать рассмотрение структуры МСЭ, закрепленной в Статье 7 Устава Союза.</w:t>
      </w:r>
    </w:p>
    <w:p w14:paraId="304AFE9B" w14:textId="736B7946" w:rsidR="00E13166" w:rsidRPr="00E13166" w:rsidRDefault="00E13166" w:rsidP="00E13166">
      <w:pPr>
        <w:rPr>
          <w:lang w:val="ru-RU"/>
        </w:rPr>
      </w:pPr>
      <w:r>
        <w:rPr>
          <w:lang w:val="ru-RU"/>
        </w:rPr>
        <w:t>3.3</w:t>
      </w:r>
      <w:r>
        <w:rPr>
          <w:lang w:val="ru-RU"/>
        </w:rPr>
        <w:tab/>
      </w:r>
      <w:r w:rsidRPr="00E13166">
        <w:rPr>
          <w:lang w:val="ru-RU"/>
        </w:rPr>
        <w:t xml:space="preserve">План трансформации должен быть сфокусирован на трансформации культуры и навыков и должен базироваться на четырех основных направлениях: </w:t>
      </w:r>
    </w:p>
    <w:p w14:paraId="48165281" w14:textId="28036DE6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стратегическое планирование;</w:t>
      </w:r>
    </w:p>
    <w:p w14:paraId="1B6802AC" w14:textId="45B2BF6B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цифровая трансформация;</w:t>
      </w:r>
    </w:p>
    <w:p w14:paraId="003B31DE" w14:textId="6CB8C960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 xml:space="preserve">инновации; и </w:t>
      </w:r>
    </w:p>
    <w:p w14:paraId="79F4B9A8" w14:textId="458B94E0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управление людскими ресурсами.</w:t>
      </w:r>
    </w:p>
    <w:p w14:paraId="3C836216" w14:textId="77777777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>При этом в полной мере должны соблюдаться положения Устава и Конвенции МСЭ, в частности Статья 7 Устава (Структура Союза).</w:t>
      </w:r>
    </w:p>
    <w:p w14:paraId="1756B831" w14:textId="025F7B02" w:rsidR="00E13166" w:rsidRPr="00E13166" w:rsidRDefault="00E13166" w:rsidP="00E13166">
      <w:pPr>
        <w:rPr>
          <w:lang w:val="ru-RU"/>
        </w:rPr>
      </w:pPr>
      <w:r>
        <w:rPr>
          <w:lang w:val="ru-RU"/>
        </w:rPr>
        <w:t>3.4</w:t>
      </w:r>
      <w:r>
        <w:rPr>
          <w:lang w:val="ru-RU"/>
        </w:rPr>
        <w:tab/>
      </w:r>
      <w:r w:rsidRPr="00E13166">
        <w:rPr>
          <w:lang w:val="ru-RU"/>
        </w:rPr>
        <w:t xml:space="preserve">Отчет Генерального секретаря "Ускорение реализации стратегического плана МСЭ на 2024–2027 годы" (Документ </w:t>
      </w:r>
      <w:hyperlink r:id="rId34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>) предлагается перенести из категории вкладов "С" в категорию информационных документов "INF".</w:t>
      </w:r>
    </w:p>
    <w:p w14:paraId="74E4ED3D" w14:textId="378D6E20" w:rsidR="00E13166" w:rsidRPr="00E13166" w:rsidRDefault="00E13166" w:rsidP="00E13166">
      <w:pPr>
        <w:rPr>
          <w:lang w:val="ru-RU"/>
        </w:rPr>
      </w:pPr>
      <w:r>
        <w:rPr>
          <w:lang w:val="ru-RU"/>
        </w:rPr>
        <w:t>3.5</w:t>
      </w:r>
      <w:r>
        <w:rPr>
          <w:lang w:val="ru-RU"/>
        </w:rPr>
        <w:tab/>
      </w:r>
      <w:r w:rsidRPr="00E13166">
        <w:rPr>
          <w:lang w:val="ru-RU"/>
        </w:rPr>
        <w:t xml:space="preserve">С целью подготовки рекомендаций Совету по внесению коррективов в Стратегический и Финансовый планы в соответствии с Резолюцией 71 ПК (Пересм. Бухарест, 2022 г.) Генеральному секретарю проводить консультации не с ограниченным количеством Государств-Членов, как это указано в Документе </w:t>
      </w:r>
      <w:hyperlink r:id="rId35" w:history="1">
        <w:r w:rsidRPr="00E13166">
          <w:rPr>
            <w:rStyle w:val="Hyperlink"/>
            <w:lang w:val="ru-RU"/>
          </w:rPr>
          <w:t>C23/36</w:t>
        </w:r>
      </w:hyperlink>
      <w:r w:rsidRPr="00E13166">
        <w:rPr>
          <w:lang w:val="ru-RU"/>
        </w:rPr>
        <w:t>, а на широкой и прозрачной основе, привлекая большинство Государств – Членов МСЭ в соответствии с пунктом 28 У/Ст.3.</w:t>
      </w:r>
    </w:p>
    <w:p w14:paraId="0D6E3B45" w14:textId="393B2E5D" w:rsidR="00E13166" w:rsidRPr="00E13166" w:rsidRDefault="00E13166" w:rsidP="00E13166">
      <w:pPr>
        <w:rPr>
          <w:lang w:val="ru-RU"/>
        </w:rPr>
      </w:pPr>
      <w:r>
        <w:rPr>
          <w:lang w:val="ru-RU"/>
        </w:rPr>
        <w:t>3.6</w:t>
      </w:r>
      <w:r>
        <w:rPr>
          <w:lang w:val="ru-RU"/>
        </w:rPr>
        <w:tab/>
      </w:r>
      <w:r w:rsidRPr="00E13166">
        <w:rPr>
          <w:lang w:val="ru-RU"/>
        </w:rPr>
        <w:t xml:space="preserve">В целях укрепления ведущей роли МСЭ и повышения финансовой устойчивости Союза, помимо работы по повышению эффективности деятельности, следует сфокусировать усилия на расширении диапазона и качестве продуктов и услуг МСЭ, которые применяются для поддержки работы Союза в рамках его тематических приоритетов (Резолюция 71 ПК-22). </w:t>
      </w:r>
    </w:p>
    <w:p w14:paraId="58E46E27" w14:textId="08F8BE8F" w:rsidR="00E13166" w:rsidRPr="00E13166" w:rsidRDefault="00E13166" w:rsidP="00E13166">
      <w:pPr>
        <w:keepNext/>
        <w:keepLines/>
        <w:rPr>
          <w:lang w:val="ru-RU"/>
        </w:rPr>
      </w:pPr>
      <w:r>
        <w:rPr>
          <w:lang w:val="ru-RU"/>
        </w:rPr>
        <w:lastRenderedPageBreak/>
        <w:t>3.7</w:t>
      </w:r>
      <w:r>
        <w:rPr>
          <w:lang w:val="ru-RU"/>
        </w:rPr>
        <w:tab/>
      </w:r>
      <w:r w:rsidRPr="00E13166">
        <w:rPr>
          <w:lang w:val="ru-RU"/>
        </w:rPr>
        <w:t>Считать нецелесообразным увеличение расходов на создание новых штатных единиц:</w:t>
      </w:r>
    </w:p>
    <w:p w14:paraId="4E62AED3" w14:textId="5C64C61A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подразделения трансформации, возглавляемого Директором на уровне D1 с бюджетом в 900 тыс</w:t>
      </w:r>
      <w:r w:rsidR="006665B9">
        <w:rPr>
          <w:lang w:val="ru-RU"/>
        </w:rPr>
        <w:t>яч</w:t>
      </w:r>
      <w:r w:rsidRPr="00E13166">
        <w:rPr>
          <w:lang w:val="ru-RU"/>
        </w:rPr>
        <w:t xml:space="preserve"> швейцарских франков в год; и</w:t>
      </w:r>
    </w:p>
    <w:p w14:paraId="3AD9BAA1" w14:textId="2CD952CD" w:rsidR="00E13166" w:rsidRPr="00E13166" w:rsidRDefault="00E13166" w:rsidP="00E13166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Pr="00E13166">
        <w:rPr>
          <w:lang w:val="ru-RU"/>
        </w:rPr>
        <w:t>подразделения надзора с руководителем на уровне D1, что потребует дополнительно около 280 тыс</w:t>
      </w:r>
      <w:r w:rsidR="006665B9">
        <w:rPr>
          <w:lang w:val="ru-RU"/>
        </w:rPr>
        <w:t>яч</w:t>
      </w:r>
      <w:r w:rsidRPr="00E13166">
        <w:rPr>
          <w:lang w:val="ru-RU"/>
        </w:rPr>
        <w:t xml:space="preserve"> швейцарских франков в год в условиях нехватки средств на уставные направления деятельности Союза, указанные в Статье 1 Устава МСЭ, а также на реализацию проекта по строительству нового здания штаб-квартиры Союза (Документ</w:t>
      </w:r>
      <w:r>
        <w:rPr>
          <w:lang w:val="ru-RU"/>
        </w:rPr>
        <w:t> </w:t>
      </w:r>
      <w:r w:rsidRPr="00E13166">
        <w:rPr>
          <w:lang w:val="ru-RU"/>
        </w:rPr>
        <w:t>C23/7).</w:t>
      </w:r>
    </w:p>
    <w:p w14:paraId="4DD9947E" w14:textId="2BDF4206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>3.8</w:t>
      </w:r>
      <w:r>
        <w:rPr>
          <w:lang w:val="ru-RU"/>
        </w:rPr>
        <w:tab/>
      </w:r>
      <w:r w:rsidRPr="00E13166">
        <w:rPr>
          <w:lang w:val="ru-RU"/>
        </w:rPr>
        <w:t>Учитывая имеющиеся финансовые трудности, указанные в пункте 3.7, создание Офиса по надзору, включая должность его руководителя уровня D1, требует дополнительных разъяснений и должно осуществляться исключительно за счет имеющихся ресурсов, в пределах бюджета Генерального секретариата.</w:t>
      </w:r>
    </w:p>
    <w:p w14:paraId="2F229618" w14:textId="3C1FD04C" w:rsidR="00E13166" w:rsidRPr="00E13166" w:rsidRDefault="00E13166" w:rsidP="00E13166">
      <w:pPr>
        <w:rPr>
          <w:lang w:val="ru-RU"/>
        </w:rPr>
      </w:pPr>
      <w:r w:rsidRPr="00E13166">
        <w:rPr>
          <w:lang w:val="ru-RU"/>
        </w:rPr>
        <w:t>3.9</w:t>
      </w:r>
      <w:r>
        <w:rPr>
          <w:lang w:val="ru-RU"/>
        </w:rPr>
        <w:tab/>
      </w:r>
      <w:r w:rsidRPr="00E13166">
        <w:rPr>
          <w:lang w:val="ru-RU"/>
        </w:rPr>
        <w:t>Генеральному секретарю МСЭ при разработке документов (планов, дорожных карт, рекомендаций Совету и пр.) по достижению стратегических целей Союза в рамках реализации Стратегического плана МСЭ на 2024–2027 годы руководствоваться ролью МСЭ по укреплению вклада Союза в содействие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</w:p>
    <w:p w14:paraId="3C992742" w14:textId="506972E9" w:rsidR="00A93151" w:rsidRPr="00E13166" w:rsidRDefault="00A93151" w:rsidP="00A93151">
      <w:pPr>
        <w:spacing w:before="720"/>
        <w:jc w:val="center"/>
        <w:rPr>
          <w:lang w:val="ru-RU"/>
        </w:rPr>
      </w:pPr>
      <w:r w:rsidRPr="00E13166">
        <w:rPr>
          <w:lang w:val="ru-RU"/>
        </w:rPr>
        <w:t>______________</w:t>
      </w:r>
    </w:p>
    <w:sectPr w:rsidR="00A93151" w:rsidRPr="00E13166" w:rsidSect="00796BD3">
      <w:footerReference w:type="default" r:id="rId36"/>
      <w:headerReference w:type="first" r:id="rId37"/>
      <w:footerReference w:type="first" r:id="rId3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6C4CA32A" w:rsidR="00672F8A" w:rsidRPr="00041BAF" w:rsidRDefault="00672F8A" w:rsidP="00672F8A">
          <w:pPr>
            <w:pStyle w:val="Header"/>
            <w:jc w:val="left"/>
            <w:rPr>
              <w:noProof/>
              <w:lang w:val="en-US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</w:t>
          </w:r>
          <w:r w:rsidR="00041BAF">
            <w:rPr>
              <w:noProof/>
              <w:lang w:val="en-US"/>
            </w:rPr>
            <w:t>61</w:t>
          </w:r>
        </w:p>
      </w:tc>
      <w:tc>
        <w:tcPr>
          <w:tcW w:w="8261" w:type="dxa"/>
        </w:tcPr>
        <w:p w14:paraId="58E7E4C6" w14:textId="355D092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41BAF">
            <w:rPr>
              <w:bCs/>
            </w:rPr>
            <w:t>90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320C4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74AD10D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41BAF">
            <w:rPr>
              <w:bCs/>
              <w:lang w:val="en-US"/>
            </w:rPr>
            <w:t>90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03F7D"/>
    <w:multiLevelType w:val="hybridMultilevel"/>
    <w:tmpl w:val="99C816FE"/>
    <w:lvl w:ilvl="0" w:tplc="A916287E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B16071"/>
    <w:multiLevelType w:val="hybridMultilevel"/>
    <w:tmpl w:val="6FCA24D0"/>
    <w:lvl w:ilvl="0" w:tplc="A916287E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46106"/>
    <w:multiLevelType w:val="multilevel"/>
    <w:tmpl w:val="81CE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4"/>
  </w:num>
  <w:num w:numId="3" w16cid:durableId="832523522">
    <w:abstractNumId w:val="3"/>
  </w:num>
  <w:num w:numId="4" w16cid:durableId="2121099616">
    <w:abstractNumId w:val="2"/>
  </w:num>
  <w:num w:numId="5" w16cid:durableId="124630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41BAF"/>
    <w:rsid w:val="000569B4"/>
    <w:rsid w:val="00080E82"/>
    <w:rsid w:val="000B2DE7"/>
    <w:rsid w:val="000B39BC"/>
    <w:rsid w:val="000E568E"/>
    <w:rsid w:val="001312E6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2D7634"/>
    <w:rsid w:val="00320C49"/>
    <w:rsid w:val="0033025A"/>
    <w:rsid w:val="00375D19"/>
    <w:rsid w:val="003B1374"/>
    <w:rsid w:val="003E1F53"/>
    <w:rsid w:val="003F099E"/>
    <w:rsid w:val="003F235E"/>
    <w:rsid w:val="004023E0"/>
    <w:rsid w:val="00403DD8"/>
    <w:rsid w:val="00430BC9"/>
    <w:rsid w:val="00442515"/>
    <w:rsid w:val="004513C8"/>
    <w:rsid w:val="004552D3"/>
    <w:rsid w:val="0045686C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665B9"/>
    <w:rsid w:val="00672F8A"/>
    <w:rsid w:val="00683952"/>
    <w:rsid w:val="006935E2"/>
    <w:rsid w:val="006B2B59"/>
    <w:rsid w:val="006E2D42"/>
    <w:rsid w:val="00702415"/>
    <w:rsid w:val="00703676"/>
    <w:rsid w:val="00706AF7"/>
    <w:rsid w:val="00707304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246C9"/>
    <w:rsid w:val="00933B01"/>
    <w:rsid w:val="00937D03"/>
    <w:rsid w:val="00940E96"/>
    <w:rsid w:val="00985165"/>
    <w:rsid w:val="0099131E"/>
    <w:rsid w:val="009B04C9"/>
    <w:rsid w:val="009B0BAE"/>
    <w:rsid w:val="009C1C89"/>
    <w:rsid w:val="009C6474"/>
    <w:rsid w:val="009E3248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C6565"/>
    <w:rsid w:val="00DD55FE"/>
    <w:rsid w:val="00DE112F"/>
    <w:rsid w:val="00DF3838"/>
    <w:rsid w:val="00E13166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INF-0011/en" TargetMode="External"/><Relationship Id="rId18" Type="http://schemas.openxmlformats.org/officeDocument/2006/relationships/hyperlink" Target="https://www.itu.int/md/S23-CL-C-0053/en" TargetMode="External"/><Relationship Id="rId26" Type="http://schemas.openxmlformats.org/officeDocument/2006/relationships/hyperlink" Target="https://www.itu.int/md/S23-CL-C-0052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3-CL-INF-0013/en" TargetMode="External"/><Relationship Id="rId34" Type="http://schemas.openxmlformats.org/officeDocument/2006/relationships/hyperlink" Target="https://www.itu.int/md/S23-CL-C-003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hyperlink" Target="https://www.itu.int/md/S23-CL-C-0052/en" TargetMode="External"/><Relationship Id="rId25" Type="http://schemas.openxmlformats.org/officeDocument/2006/relationships/hyperlink" Target="https://www.itu.int/md/S21-CL-C-0070/en" TargetMode="External"/><Relationship Id="rId33" Type="http://schemas.openxmlformats.org/officeDocument/2006/relationships/hyperlink" Target="https://www.itu.int/md/S23-CL-C-0007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0/en" TargetMode="External"/><Relationship Id="rId20" Type="http://schemas.openxmlformats.org/officeDocument/2006/relationships/hyperlink" Target="https://www.itu.int/md/S23-CL-INF-0011/en" TargetMode="External"/><Relationship Id="rId29" Type="http://schemas.openxmlformats.org/officeDocument/2006/relationships/hyperlink" Target="https://www.itu.int/md/S23-CL-C-003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3/en" TargetMode="External"/><Relationship Id="rId24" Type="http://schemas.openxmlformats.org/officeDocument/2006/relationships/hyperlink" Target="https://www.itu.int/md/S23-CL-C-0052/en" TargetMode="External"/><Relationship Id="rId32" Type="http://schemas.openxmlformats.org/officeDocument/2006/relationships/hyperlink" Target="https://www.itu.int/md/S23-CL-C-0052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36/en" TargetMode="External"/><Relationship Id="rId23" Type="http://schemas.openxmlformats.org/officeDocument/2006/relationships/hyperlink" Target="https://www.itu.int/md/S23-CL-C-0036/en" TargetMode="External"/><Relationship Id="rId28" Type="http://schemas.openxmlformats.org/officeDocument/2006/relationships/hyperlink" Target="https://www.itu.int/md/S23-CL-C-005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3-CL-C-0062/en" TargetMode="External"/><Relationship Id="rId31" Type="http://schemas.openxmlformats.org/officeDocument/2006/relationships/hyperlink" Target="https://www.itu.int/md/S23-CL-C-005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md/S23-CL-INF-0013/en" TargetMode="External"/><Relationship Id="rId22" Type="http://schemas.openxmlformats.org/officeDocument/2006/relationships/hyperlink" Target="https://www.itu.int/md/S23-CL-C-0052/en" TargetMode="External"/><Relationship Id="rId27" Type="http://schemas.openxmlformats.org/officeDocument/2006/relationships/hyperlink" Target="https://www.itu.int/md/S23-CL-C-0036/en" TargetMode="External"/><Relationship Id="rId30" Type="http://schemas.openxmlformats.org/officeDocument/2006/relationships/hyperlink" Target="https://www.itu.int/md/S23-CL-C-0036/en" TargetMode="External"/><Relationship Id="rId35" Type="http://schemas.openxmlformats.org/officeDocument/2006/relationships/hyperlink" Target="https://www.itu.int/md/S23-CL-C-0036/en" TargetMode="External"/><Relationship Id="rId8" Type="http://schemas.openxmlformats.org/officeDocument/2006/relationships/hyperlink" Target="https://www.itu.int/md/S23-CL-C-0036/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12058</Characters>
  <Application>Microsoft Office Word</Application>
  <DocSecurity>4</DocSecurity>
  <Lines>191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Comments on the Secretary-General's reports to the Council in documents C23/36, C23/52, C23/53, and C23/62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2023-07-10T12:42:00Z</dcterms:created>
  <dcterms:modified xsi:type="dcterms:W3CDTF">2023-07-10T12:42:00Z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