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2"/>
        <w:gridCol w:w="3117"/>
      </w:tblGrid>
      <w:tr w:rsidR="007B0AA0" w14:paraId="201251E9" w14:textId="77777777" w:rsidTr="00F363FE">
        <w:tc>
          <w:tcPr>
            <w:tcW w:w="6512" w:type="dxa"/>
          </w:tcPr>
          <w:p w14:paraId="57250C72" w14:textId="4D16522F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  <w:r w:rsidR="0011605B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11605B">
              <w:rPr>
                <w:b/>
                <w:bCs/>
                <w:lang w:bidi="ar-EG"/>
              </w:rPr>
              <w:t>PL 3</w:t>
            </w:r>
          </w:p>
        </w:tc>
        <w:tc>
          <w:tcPr>
            <w:tcW w:w="3117" w:type="dxa"/>
          </w:tcPr>
          <w:p w14:paraId="435B4928" w14:textId="5C5AB19F" w:rsidR="007B0AA0" w:rsidRPr="007B0AA0" w:rsidRDefault="0055406C" w:rsidP="0055406C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55406C">
              <w:rPr>
                <w:rFonts w:hint="cs"/>
                <w:b/>
                <w:bCs/>
                <w:rtl/>
                <w:lang w:bidi="ar-EG"/>
              </w:rPr>
              <w:t xml:space="preserve">التصويب </w:t>
            </w:r>
            <w:r w:rsidR="00AE27A7">
              <w:rPr>
                <w:b/>
                <w:bCs/>
                <w:lang w:bidi="ar-EG"/>
              </w:rPr>
              <w:t>2</w:t>
            </w:r>
            <w:r>
              <w:rPr>
                <w:b/>
                <w:bCs/>
                <w:rtl/>
                <w:lang w:bidi="ar-EG"/>
              </w:rPr>
              <w:tab/>
            </w:r>
            <w:r w:rsidRPr="0055406C">
              <w:rPr>
                <w:b/>
                <w:bCs/>
                <w:rtl/>
                <w:lang w:bidi="ar-EG"/>
              </w:rPr>
              <w:br/>
            </w:r>
            <w:r>
              <w:rPr>
                <w:rFonts w:hint="cs"/>
                <w:b/>
                <w:bCs/>
                <w:rtl/>
                <w:lang w:bidi="ar-EG"/>
              </w:rPr>
              <w:t>ل</w:t>
            </w:r>
            <w:r w:rsidR="007B0AA0" w:rsidRPr="007B0AA0">
              <w:rPr>
                <w:rFonts w:hint="cs"/>
                <w:b/>
                <w:bCs/>
                <w:rtl/>
                <w:lang w:bidi="ar-EG"/>
              </w:rPr>
              <w:t xml:space="preserve">لوثيقة </w:t>
            </w:r>
            <w:r w:rsidR="007B0AA0" w:rsidRPr="007B0AA0">
              <w:rPr>
                <w:b/>
                <w:bCs/>
                <w:lang w:bidi="ar-EG"/>
              </w:rPr>
              <w:t>C23/</w:t>
            </w:r>
            <w:r w:rsidR="0011605B">
              <w:rPr>
                <w:b/>
                <w:bCs/>
                <w:lang w:bidi="ar-EG"/>
              </w:rPr>
              <w:t>87</w:t>
            </w:r>
            <w:r w:rsidR="007B0AA0"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402C576F" w14:textId="77777777" w:rsidTr="00F363FE">
        <w:tc>
          <w:tcPr>
            <w:tcW w:w="6512" w:type="dxa"/>
          </w:tcPr>
          <w:p w14:paraId="79DD0AF8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2FFAB632" w14:textId="369C1204" w:rsidR="007B0AA0" w:rsidRPr="007B0AA0" w:rsidRDefault="00AE27A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20</w:t>
            </w:r>
            <w:r w:rsidR="0011605B">
              <w:rPr>
                <w:rFonts w:hint="cs"/>
                <w:b/>
                <w:bCs/>
                <w:rtl/>
                <w:lang w:bidi="ar-EG"/>
              </w:rPr>
              <w:t xml:space="preserve"> ي</w:t>
            </w:r>
            <w:r w:rsidR="0055406C">
              <w:rPr>
                <w:rFonts w:hint="cs"/>
                <w:b/>
                <w:bCs/>
                <w:rtl/>
                <w:lang w:bidi="ar-EG"/>
              </w:rPr>
              <w:t>وليو</w:t>
            </w:r>
            <w:r w:rsidR="0011605B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7B0AA0" w:rsidRPr="007B0AA0">
              <w:rPr>
                <w:b/>
                <w:bCs/>
                <w:lang w:bidi="ar-EG"/>
              </w:rPr>
              <w:t>2023</w:t>
            </w:r>
          </w:p>
        </w:tc>
      </w:tr>
      <w:tr w:rsidR="007B0AA0" w14:paraId="606F7EE4" w14:textId="77777777" w:rsidTr="00F363FE">
        <w:tc>
          <w:tcPr>
            <w:tcW w:w="6512" w:type="dxa"/>
          </w:tcPr>
          <w:p w14:paraId="00230ACE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5B622D44" w14:textId="236BAA49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الأصل: </w:t>
            </w:r>
            <w:r w:rsidR="0011605B">
              <w:rPr>
                <w:rFonts w:hint="cs"/>
                <w:b/>
                <w:bCs/>
                <w:rtl/>
                <w:lang w:bidi="ar-EG"/>
              </w:rPr>
              <w:t>بالروسية</w:t>
            </w:r>
          </w:p>
        </w:tc>
      </w:tr>
      <w:tr w:rsidR="007B0AA0" w14:paraId="364D8A55" w14:textId="77777777" w:rsidTr="00F363FE">
        <w:tc>
          <w:tcPr>
            <w:tcW w:w="6512" w:type="dxa"/>
          </w:tcPr>
          <w:p w14:paraId="3063DC5A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02093547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177E3364" w14:textId="77777777" w:rsidTr="00EE7446">
        <w:tc>
          <w:tcPr>
            <w:tcW w:w="9629" w:type="dxa"/>
            <w:gridSpan w:val="2"/>
          </w:tcPr>
          <w:p w14:paraId="57C0B8CB" w14:textId="783B0563" w:rsidR="007B0AA0" w:rsidRDefault="0011605B" w:rsidP="007B0AA0">
            <w:pPr>
              <w:pStyle w:val="Source"/>
              <w:jc w:val="lef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مساهمة</w:t>
            </w:r>
            <w:r w:rsidR="00EA428A">
              <w:rPr>
                <w:rFonts w:hint="cs"/>
                <w:rtl/>
                <w:lang w:bidi="ar-EG"/>
              </w:rPr>
              <w:t xml:space="preserve"> مقدمة</w:t>
            </w:r>
            <w:r>
              <w:rPr>
                <w:rFonts w:hint="cs"/>
                <w:rtl/>
                <w:lang w:bidi="ar-EG"/>
              </w:rPr>
              <w:t xml:space="preserve"> من</w:t>
            </w:r>
            <w:r w:rsidR="007675DF">
              <w:rPr>
                <w:rFonts w:hint="cs"/>
                <w:rtl/>
                <w:lang w:bidi="ar-EG"/>
              </w:rPr>
              <w:t xml:space="preserve">: جمهورية أرمينيا </w:t>
            </w:r>
            <w:r w:rsidR="00EA428A">
              <w:rPr>
                <w:rFonts w:hint="cs"/>
                <w:rtl/>
                <w:lang w:bidi="ar-EG"/>
              </w:rPr>
              <w:t>و</w:t>
            </w:r>
            <w:r w:rsidR="007675DF">
              <w:rPr>
                <w:rFonts w:hint="cs"/>
                <w:rtl/>
                <w:lang w:bidi="ar-EG"/>
              </w:rPr>
              <w:t>جمهورية بيلاروس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="00EA428A">
              <w:rPr>
                <w:rFonts w:hint="cs"/>
                <w:rtl/>
                <w:lang w:bidi="ar-EG"/>
              </w:rPr>
              <w:t>و</w:t>
            </w:r>
            <w:r>
              <w:rPr>
                <w:rFonts w:hint="cs"/>
                <w:rtl/>
                <w:lang w:bidi="ar-EG"/>
              </w:rPr>
              <w:t>الاتحاد الروسي</w:t>
            </w:r>
            <w:r w:rsidR="007675DF">
              <w:rPr>
                <w:rFonts w:hint="cs"/>
                <w:rtl/>
                <w:lang w:bidi="ar-EG"/>
              </w:rPr>
              <w:t xml:space="preserve"> و</w:t>
            </w:r>
            <w:r w:rsidR="007675DF" w:rsidRPr="007675DF">
              <w:rPr>
                <w:rtl/>
                <w:lang w:bidi="ar-EG"/>
              </w:rPr>
              <w:t>جمهورية</w:t>
            </w:r>
            <w:r w:rsidR="007675DF">
              <w:rPr>
                <w:rFonts w:hint="cs"/>
                <w:rtl/>
                <w:lang w:bidi="ar-EG"/>
              </w:rPr>
              <w:t> </w:t>
            </w:r>
            <w:r w:rsidR="007675DF" w:rsidRPr="007675DF">
              <w:rPr>
                <w:rtl/>
                <w:lang w:bidi="ar-EG"/>
              </w:rPr>
              <w:t>قيرغيزستان</w:t>
            </w:r>
            <w:r w:rsidR="00AE27A7">
              <w:rPr>
                <w:rFonts w:hint="cs"/>
                <w:rtl/>
                <w:lang w:bidi="ar-EG"/>
              </w:rPr>
              <w:t xml:space="preserve"> وجمهورية طاجيكستان</w:t>
            </w:r>
          </w:p>
        </w:tc>
      </w:tr>
      <w:tr w:rsidR="007B0AA0" w14:paraId="3EA5E3D5" w14:textId="77777777" w:rsidTr="00151A3D">
        <w:tc>
          <w:tcPr>
            <w:tcW w:w="9629" w:type="dxa"/>
            <w:gridSpan w:val="2"/>
          </w:tcPr>
          <w:p w14:paraId="5F864F87" w14:textId="6CEFE396" w:rsidR="007B0AA0" w:rsidRDefault="00E14684" w:rsidP="007B0AA0">
            <w:pPr>
              <w:pStyle w:val="Subtitle0"/>
            </w:pPr>
            <w:r w:rsidRPr="00E14684">
              <w:rPr>
                <w:rtl/>
              </w:rPr>
              <w:t>مقترحات بشأن إعداد جدول أعمال دورات مجلس الاتحاد وإدخال تحسينات على العملية التحضيرية للدورة واتخاذ القرارات فيها</w:t>
            </w:r>
          </w:p>
        </w:tc>
      </w:tr>
      <w:tr w:rsidR="00151A3D" w14:paraId="65C5AEDE" w14:textId="77777777" w:rsidTr="00151A3D">
        <w:tc>
          <w:tcPr>
            <w:tcW w:w="9629" w:type="dxa"/>
            <w:gridSpan w:val="2"/>
          </w:tcPr>
          <w:p w14:paraId="54C948ED" w14:textId="77777777" w:rsidR="00151A3D" w:rsidRDefault="00151A3D" w:rsidP="00151A3D">
            <w:pPr>
              <w:pStyle w:val="Normalaftertitle"/>
              <w:rPr>
                <w:rFonts w:ascii="Calibri" w:hAnsi="Calibri" w:cs="Traditional Arabic"/>
                <w:lang w:bidi="ar-EG"/>
              </w:rPr>
            </w:pPr>
            <w:r>
              <w:rPr>
                <w:rtl/>
              </w:rPr>
              <w:t>يُرجى</w:t>
            </w:r>
            <w:r>
              <w:rPr>
                <w:rFonts w:hint="cs"/>
                <w:rtl/>
                <w:lang w:bidi="ar-EG"/>
              </w:rPr>
              <w:t xml:space="preserve"> أخذ</w:t>
            </w:r>
            <w:r>
              <w:rPr>
                <w:rtl/>
              </w:rPr>
              <w:t xml:space="preserve"> العلم بأن </w:t>
            </w:r>
            <w:r w:rsidRPr="00137BF3">
              <w:rPr>
                <w:b/>
                <w:bCs/>
                <w:rtl/>
              </w:rPr>
              <w:t xml:space="preserve">جمهورية أرمينيا وجمهورية </w:t>
            </w:r>
            <w:r w:rsidRPr="00137BF3">
              <w:rPr>
                <w:rFonts w:hint="cs"/>
                <w:b/>
                <w:bCs/>
                <w:rtl/>
              </w:rPr>
              <w:t xml:space="preserve">بيلاروس </w:t>
            </w:r>
            <w:r w:rsidRPr="00137BF3">
              <w:rPr>
                <w:b/>
                <w:bCs/>
                <w:rtl/>
              </w:rPr>
              <w:t>وجمهورية قيرغيزستان</w:t>
            </w:r>
            <w:r>
              <w:rPr>
                <w:rFonts w:hint="cs"/>
                <w:b/>
                <w:bCs/>
                <w:rtl/>
              </w:rPr>
              <w:t xml:space="preserve"> وجمهورية طاجيكستان</w:t>
            </w:r>
            <w:r>
              <w:rPr>
                <w:rtl/>
              </w:rPr>
              <w:t xml:space="preserve"> من البلدان الموقعة أيضاً على الوثيقة</w:t>
            </w:r>
            <w:r>
              <w:rPr>
                <w:rFonts w:hint="cs"/>
                <w:rtl/>
              </w:rPr>
              <w:t> </w:t>
            </w:r>
            <w:r>
              <w:t>C23/87</w:t>
            </w:r>
            <w:r>
              <w:rPr>
                <w:rtl/>
                <w:lang w:bidi="ar-EG"/>
              </w:rPr>
              <w:t>.</w:t>
            </w:r>
          </w:p>
          <w:p w14:paraId="48FF9140" w14:textId="77777777" w:rsidR="00151A3D" w:rsidRDefault="00151A3D" w:rsidP="00151A3D">
            <w:pPr>
              <w:spacing w:before="600"/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ــــــــــــــــــــــــــــــــــــــــــــــــــــــــــــــــــــــــــــــــــــــــــــــــ</w:t>
            </w:r>
          </w:p>
          <w:p w14:paraId="600CCA9C" w14:textId="77777777" w:rsidR="00151A3D" w:rsidRPr="00E14684" w:rsidRDefault="00151A3D" w:rsidP="007B0AA0">
            <w:pPr>
              <w:pStyle w:val="Subtitle0"/>
              <w:rPr>
                <w:rtl/>
              </w:rPr>
            </w:pPr>
          </w:p>
        </w:tc>
      </w:tr>
    </w:tbl>
    <w:p w14:paraId="616C1114" w14:textId="419A95E9" w:rsidR="00F50E3F" w:rsidRDefault="00F50E3F" w:rsidP="00151A3D">
      <w:pPr>
        <w:rPr>
          <w:rtl/>
          <w:lang w:bidi="ar-EG"/>
        </w:rPr>
      </w:pPr>
    </w:p>
    <w:sectPr w:rsidR="00F50E3F" w:rsidSect="006C3242">
      <w:footerReference w:type="default" r:id="rId8"/>
      <w:headerReference w:type="first" r:id="rId9"/>
      <w:footerReference w:type="first" r:id="rId10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B0812" w14:textId="77777777" w:rsidR="0011605B" w:rsidRDefault="0011605B" w:rsidP="006C3242">
      <w:pPr>
        <w:spacing w:before="0" w:line="240" w:lineRule="auto"/>
      </w:pPr>
      <w:r>
        <w:separator/>
      </w:r>
    </w:p>
  </w:endnote>
  <w:endnote w:type="continuationSeparator" w:id="0">
    <w:p w14:paraId="3555F22B" w14:textId="77777777" w:rsidR="0011605B" w:rsidRDefault="0011605B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3"/>
      <w:gridCol w:w="7542"/>
      <w:gridCol w:w="424"/>
    </w:tblGrid>
    <w:tr w:rsidR="00F50E3F" w:rsidRPr="007B0AA0" w14:paraId="03693271" w14:textId="77777777" w:rsidTr="00357086">
      <w:trPr>
        <w:jc w:val="center"/>
      </w:trPr>
      <w:tc>
        <w:tcPr>
          <w:tcW w:w="868" w:type="pct"/>
          <w:vAlign w:val="center"/>
        </w:tcPr>
        <w:p w14:paraId="4315C53B" w14:textId="34891742" w:rsidR="00FA6E7A" w:rsidRPr="00FA6E7A" w:rsidRDefault="00F50E3F" w:rsidP="00FA6E7A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sz w:val="18"/>
              <w:szCs w:val="14"/>
              <w:lang w:val="fr-FR"/>
            </w:rPr>
          </w:pPr>
          <w:r w:rsidRPr="00F50E3F">
            <w:rPr>
              <w:rFonts w:ascii="Calibri" w:hAnsi="Calibri" w:cs="Arial"/>
              <w:sz w:val="18"/>
              <w:szCs w:val="14"/>
            </w:rPr>
            <w:t xml:space="preserve">DPS </w:t>
          </w:r>
          <w:r w:rsidR="00FA6E7A" w:rsidRPr="00FA6E7A">
            <w:rPr>
              <w:rFonts w:ascii="Calibri" w:hAnsi="Calibri" w:cs="Arial"/>
              <w:sz w:val="18"/>
              <w:szCs w:val="14"/>
              <w:lang w:val="fr-FR"/>
            </w:rPr>
            <w:t>525358</w:t>
          </w:r>
        </w:p>
      </w:tc>
      <w:tc>
        <w:tcPr>
          <w:tcW w:w="3912" w:type="pct"/>
        </w:tcPr>
        <w:p w14:paraId="353C316A" w14:textId="0D95BC76" w:rsidR="00F50E3F" w:rsidRPr="007B0AA0" w:rsidRDefault="00F50E3F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C23/</w:t>
          </w:r>
          <w:r w:rsidR="00FA6E7A">
            <w:rPr>
              <w:rFonts w:ascii="Calibri" w:hAnsi="Calibri" w:cs="Arial"/>
              <w:bCs/>
              <w:color w:val="7F7F7F"/>
              <w:sz w:val="18"/>
            </w:rPr>
            <w:t>87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61408633" w14:textId="77777777" w:rsidR="00F50E3F" w:rsidRPr="007B0AA0" w:rsidRDefault="00F50E3F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75C0B958" w14:textId="5B5EEC5C" w:rsidR="006C3242" w:rsidRPr="00FA6E7A" w:rsidRDefault="00FA6E7A" w:rsidP="00FA6E7A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CH"/>
      </w:rPr>
    </w:pPr>
    <w:r w:rsidRPr="0026373E">
      <w:rPr>
        <w:sz w:val="16"/>
        <w:szCs w:val="16"/>
        <w:lang w:val="fr-FR"/>
      </w:rPr>
      <w:fldChar w:fldCharType="begin"/>
    </w:r>
    <w:r w:rsidRPr="0026373E">
      <w:rPr>
        <w:sz w:val="16"/>
        <w:szCs w:val="16"/>
        <w:lang w:val="fr-FR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A73D3B">
      <w:rPr>
        <w:noProof/>
        <w:sz w:val="16"/>
        <w:szCs w:val="16"/>
        <w:lang w:val="fr-FR"/>
      </w:rPr>
      <w:t>P:\ARA\SG\CONSEIL\C23\000\087A.docx</w:t>
    </w:r>
    <w:r w:rsidRPr="0026373E">
      <w:rPr>
        <w:sz w:val="16"/>
        <w:szCs w:val="16"/>
      </w:rPr>
      <w:fldChar w:fldCharType="end"/>
    </w:r>
    <w:r w:rsidRPr="00FA6E7A">
      <w:rPr>
        <w:sz w:val="16"/>
        <w:szCs w:val="16"/>
        <w:lang w:val="fr-CH"/>
      </w:rPr>
      <w:t xml:space="preserve">  </w:t>
    </w:r>
    <w:r w:rsidRPr="0026373E">
      <w:rPr>
        <w:sz w:val="16"/>
        <w:szCs w:val="16"/>
        <w:lang w:val="fr-FR"/>
      </w:rPr>
      <w:t xml:space="preserve"> (</w:t>
    </w:r>
    <w:r>
      <w:rPr>
        <w:sz w:val="16"/>
        <w:szCs w:val="16"/>
        <w:lang w:val="fr-FR"/>
      </w:rPr>
      <w:t>525358</w:t>
    </w:r>
    <w:r w:rsidRPr="0026373E">
      <w:rPr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4"/>
      <w:gridCol w:w="7541"/>
      <w:gridCol w:w="424"/>
    </w:tblGrid>
    <w:tr w:rsidR="007B0AA0" w:rsidRPr="007B0AA0" w14:paraId="6C1F0E58" w14:textId="77777777" w:rsidTr="00F50E3F">
      <w:trPr>
        <w:jc w:val="center"/>
      </w:trPr>
      <w:tc>
        <w:tcPr>
          <w:tcW w:w="868" w:type="pct"/>
          <w:vAlign w:val="center"/>
        </w:tcPr>
        <w:p w14:paraId="0D1DEF1B" w14:textId="77777777" w:rsidR="007B0AA0" w:rsidRPr="007B0AA0" w:rsidRDefault="00151A3D" w:rsidP="00750D58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after="120" w:line="240" w:lineRule="auto"/>
            <w:jc w:val="left"/>
            <w:textAlignment w:val="baseline"/>
            <w:rPr>
              <w:rFonts w:ascii="Calibri" w:hAnsi="Calibri" w:cs="Arial"/>
              <w:noProof/>
              <w:color w:val="7F7F7F"/>
              <w:sz w:val="18"/>
            </w:rPr>
          </w:pPr>
          <w:hyperlink r:id="rId1" w:history="1">
            <w:r w:rsidR="007B0AA0" w:rsidRPr="007B0AA0">
              <w:rPr>
                <w:rFonts w:ascii="Calibri" w:hAnsi="Calibri" w:cs="Arial"/>
                <w:color w:val="0563C1"/>
                <w:sz w:val="18"/>
                <w:szCs w:val="14"/>
              </w:rPr>
              <w:t>www.itu.int/council</w:t>
            </w:r>
          </w:hyperlink>
        </w:p>
      </w:tc>
      <w:tc>
        <w:tcPr>
          <w:tcW w:w="3912" w:type="pct"/>
        </w:tcPr>
        <w:p w14:paraId="506A943B" w14:textId="55583428" w:rsidR="007B0AA0" w:rsidRPr="007B0AA0" w:rsidRDefault="007B0AA0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C23/</w:t>
          </w:r>
          <w:r w:rsidR="0011605B">
            <w:rPr>
              <w:rFonts w:ascii="Calibri" w:hAnsi="Calibri" w:cs="Arial"/>
              <w:bCs/>
              <w:color w:val="7F7F7F"/>
              <w:sz w:val="18"/>
            </w:rPr>
            <w:t>87</w:t>
          </w:r>
          <w:r w:rsidR="00833228">
            <w:rPr>
              <w:rFonts w:ascii="Calibri" w:hAnsi="Calibri" w:cs="Arial"/>
              <w:bCs/>
              <w:color w:val="7F7F7F"/>
              <w:sz w:val="18"/>
            </w:rPr>
            <w:t>(Cor.</w:t>
          </w:r>
          <w:r w:rsidR="00646187">
            <w:rPr>
              <w:rFonts w:ascii="Calibri" w:hAnsi="Calibri" w:cs="Arial"/>
              <w:bCs/>
              <w:color w:val="7F7F7F"/>
              <w:sz w:val="18"/>
            </w:rPr>
            <w:t>2</w:t>
          </w:r>
          <w:r w:rsidR="00833228">
            <w:rPr>
              <w:rFonts w:ascii="Calibri" w:hAnsi="Calibri" w:cs="Arial"/>
              <w:bCs/>
              <w:color w:val="7F7F7F"/>
              <w:sz w:val="18"/>
            </w:rPr>
            <w:t>)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23C588D5" w14:textId="77777777" w:rsidR="007B0AA0" w:rsidRPr="007B0AA0" w:rsidRDefault="00F50E3F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7E76444B" w14:textId="3223869B" w:rsidR="0006468A" w:rsidRPr="00FA6E7A" w:rsidRDefault="0006468A" w:rsidP="0006468A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CH"/>
      </w:rPr>
    </w:pPr>
    <w:r w:rsidRPr="0026373E">
      <w:rPr>
        <w:sz w:val="16"/>
        <w:szCs w:val="16"/>
        <w:lang w:val="fr-FR"/>
      </w:rPr>
      <w:fldChar w:fldCharType="begin"/>
    </w:r>
    <w:r w:rsidRPr="0026373E">
      <w:rPr>
        <w:sz w:val="16"/>
        <w:szCs w:val="16"/>
        <w:lang w:val="fr-FR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151A3D">
      <w:rPr>
        <w:noProof/>
        <w:sz w:val="16"/>
        <w:szCs w:val="16"/>
        <w:lang w:val="fr-FR"/>
      </w:rPr>
      <w:t>P:\ARA\SG\CONSEIL\C23\000\087COR2A.docx</w:t>
    </w:r>
    <w:r w:rsidRPr="0026373E">
      <w:rPr>
        <w:sz w:val="16"/>
        <w:szCs w:val="16"/>
      </w:rPr>
      <w:fldChar w:fldCharType="end"/>
    </w:r>
    <w:proofErr w:type="gramStart"/>
    <w:r w:rsidRPr="00FA6E7A">
      <w:rPr>
        <w:sz w:val="16"/>
        <w:szCs w:val="16"/>
        <w:lang w:val="fr-CH"/>
      </w:rPr>
      <w:t xml:space="preserve">  </w:t>
    </w:r>
    <w:r w:rsidRPr="0026373E">
      <w:rPr>
        <w:sz w:val="16"/>
        <w:szCs w:val="16"/>
        <w:lang w:val="fr-FR"/>
      </w:rPr>
      <w:t xml:space="preserve"> (</w:t>
    </w:r>
    <w:proofErr w:type="gramEnd"/>
    <w:r w:rsidR="00646187">
      <w:rPr>
        <w:rFonts w:hint="cs"/>
        <w:sz w:val="16"/>
        <w:szCs w:val="16"/>
        <w:rtl/>
        <w:lang w:val="fr-FR"/>
      </w:rPr>
      <w:t>526538</w:t>
    </w:r>
    <w:r w:rsidRPr="0026373E">
      <w:rPr>
        <w:sz w:val="16"/>
        <w:szCs w:val="16"/>
        <w:lang w:val="fr-F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81638" w14:textId="77777777" w:rsidR="0011605B" w:rsidRDefault="0011605B" w:rsidP="006C3242">
      <w:pPr>
        <w:spacing w:before="0" w:line="240" w:lineRule="auto"/>
      </w:pPr>
      <w:r>
        <w:separator/>
      </w:r>
    </w:p>
  </w:footnote>
  <w:footnote w:type="continuationSeparator" w:id="0">
    <w:p w14:paraId="3F3B3591" w14:textId="77777777" w:rsidR="0011605B" w:rsidRDefault="0011605B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3EA03" w14:textId="77777777" w:rsidR="007B0AA0" w:rsidRDefault="00D13941" w:rsidP="007B0AA0">
    <w:pPr>
      <w:pStyle w:val="Header"/>
      <w:spacing w:before="120" w:after="240"/>
    </w:pPr>
    <w:r>
      <w:rPr>
        <w:noProof/>
      </w:rPr>
      <w:drawing>
        <wp:inline distT="0" distB="0" distL="0" distR="0" wp14:anchorId="25AED90B" wp14:editId="3FC94EB1">
          <wp:extent cx="1908000" cy="536400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8345589">
    <w:abstractNumId w:val="9"/>
  </w:num>
  <w:num w:numId="2" w16cid:durableId="1774472849">
    <w:abstractNumId w:val="7"/>
  </w:num>
  <w:num w:numId="3" w16cid:durableId="923494626">
    <w:abstractNumId w:val="6"/>
  </w:num>
  <w:num w:numId="4" w16cid:durableId="442574474">
    <w:abstractNumId w:val="5"/>
  </w:num>
  <w:num w:numId="5" w16cid:durableId="1628318554">
    <w:abstractNumId w:val="4"/>
  </w:num>
  <w:num w:numId="6" w16cid:durableId="2075542342">
    <w:abstractNumId w:val="8"/>
  </w:num>
  <w:num w:numId="7" w16cid:durableId="1174762821">
    <w:abstractNumId w:val="3"/>
  </w:num>
  <w:num w:numId="8" w16cid:durableId="201795547">
    <w:abstractNumId w:val="2"/>
  </w:num>
  <w:num w:numId="9" w16cid:durableId="355010693">
    <w:abstractNumId w:val="1"/>
  </w:num>
  <w:num w:numId="10" w16cid:durableId="844200481">
    <w:abstractNumId w:val="0"/>
  </w:num>
  <w:num w:numId="11" w16cid:durableId="1104838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5B"/>
    <w:rsid w:val="00057722"/>
    <w:rsid w:val="0006468A"/>
    <w:rsid w:val="00090574"/>
    <w:rsid w:val="000933EF"/>
    <w:rsid w:val="000C1C0E"/>
    <w:rsid w:val="000C548A"/>
    <w:rsid w:val="0011605B"/>
    <w:rsid w:val="00137BF3"/>
    <w:rsid w:val="0014557E"/>
    <w:rsid w:val="00151A3D"/>
    <w:rsid w:val="001C0169"/>
    <w:rsid w:val="001C5170"/>
    <w:rsid w:val="001D1D50"/>
    <w:rsid w:val="001D6745"/>
    <w:rsid w:val="001E446E"/>
    <w:rsid w:val="002154EE"/>
    <w:rsid w:val="002276D2"/>
    <w:rsid w:val="0023283D"/>
    <w:rsid w:val="0026373E"/>
    <w:rsid w:val="00271C43"/>
    <w:rsid w:val="00272B01"/>
    <w:rsid w:val="00290728"/>
    <w:rsid w:val="002978F4"/>
    <w:rsid w:val="002B028D"/>
    <w:rsid w:val="002D07B4"/>
    <w:rsid w:val="002E6541"/>
    <w:rsid w:val="00334924"/>
    <w:rsid w:val="003409BC"/>
    <w:rsid w:val="00357185"/>
    <w:rsid w:val="00360D31"/>
    <w:rsid w:val="00365789"/>
    <w:rsid w:val="00374215"/>
    <w:rsid w:val="00381649"/>
    <w:rsid w:val="00383829"/>
    <w:rsid w:val="003F4B29"/>
    <w:rsid w:val="003F6B7A"/>
    <w:rsid w:val="0042686F"/>
    <w:rsid w:val="004317D8"/>
    <w:rsid w:val="00434183"/>
    <w:rsid w:val="00443869"/>
    <w:rsid w:val="00447F32"/>
    <w:rsid w:val="004B7334"/>
    <w:rsid w:val="004E11DC"/>
    <w:rsid w:val="00525DDD"/>
    <w:rsid w:val="005409AC"/>
    <w:rsid w:val="0055406C"/>
    <w:rsid w:val="0055516A"/>
    <w:rsid w:val="00555A82"/>
    <w:rsid w:val="0058491B"/>
    <w:rsid w:val="00592EA5"/>
    <w:rsid w:val="00594CA9"/>
    <w:rsid w:val="005A3170"/>
    <w:rsid w:val="00646187"/>
    <w:rsid w:val="00646971"/>
    <w:rsid w:val="00677396"/>
    <w:rsid w:val="0069200F"/>
    <w:rsid w:val="006A65CB"/>
    <w:rsid w:val="006C1386"/>
    <w:rsid w:val="006C3242"/>
    <w:rsid w:val="006C7CC0"/>
    <w:rsid w:val="006F23AB"/>
    <w:rsid w:val="006F63F7"/>
    <w:rsid w:val="007025C7"/>
    <w:rsid w:val="00706D7A"/>
    <w:rsid w:val="00722F0D"/>
    <w:rsid w:val="0074420E"/>
    <w:rsid w:val="00750D58"/>
    <w:rsid w:val="007675DF"/>
    <w:rsid w:val="00783E26"/>
    <w:rsid w:val="007841FC"/>
    <w:rsid w:val="007B0AA0"/>
    <w:rsid w:val="007B5E1A"/>
    <w:rsid w:val="007C3BC7"/>
    <w:rsid w:val="007C3BCD"/>
    <w:rsid w:val="007D11DD"/>
    <w:rsid w:val="007D4ACF"/>
    <w:rsid w:val="007F0787"/>
    <w:rsid w:val="00803673"/>
    <w:rsid w:val="00810B7B"/>
    <w:rsid w:val="0082358A"/>
    <w:rsid w:val="008235CD"/>
    <w:rsid w:val="008247DE"/>
    <w:rsid w:val="00833228"/>
    <w:rsid w:val="008339C0"/>
    <w:rsid w:val="00840B10"/>
    <w:rsid w:val="008476EB"/>
    <w:rsid w:val="008513CB"/>
    <w:rsid w:val="00867DDC"/>
    <w:rsid w:val="008A7F84"/>
    <w:rsid w:val="008D01E5"/>
    <w:rsid w:val="008E5B52"/>
    <w:rsid w:val="008F0164"/>
    <w:rsid w:val="0091702E"/>
    <w:rsid w:val="00923B0C"/>
    <w:rsid w:val="0094021C"/>
    <w:rsid w:val="00952F86"/>
    <w:rsid w:val="00982B28"/>
    <w:rsid w:val="009D313F"/>
    <w:rsid w:val="009D68F7"/>
    <w:rsid w:val="00A47A5A"/>
    <w:rsid w:val="00A6683B"/>
    <w:rsid w:val="00A679AE"/>
    <w:rsid w:val="00A73D3B"/>
    <w:rsid w:val="00A97F94"/>
    <w:rsid w:val="00AA7EA2"/>
    <w:rsid w:val="00AB1711"/>
    <w:rsid w:val="00AE27A7"/>
    <w:rsid w:val="00AE2872"/>
    <w:rsid w:val="00B03099"/>
    <w:rsid w:val="00B05BC8"/>
    <w:rsid w:val="00B269D3"/>
    <w:rsid w:val="00B64B47"/>
    <w:rsid w:val="00B95654"/>
    <w:rsid w:val="00BA1882"/>
    <w:rsid w:val="00BB206C"/>
    <w:rsid w:val="00BC5C8C"/>
    <w:rsid w:val="00BD63E9"/>
    <w:rsid w:val="00C002DE"/>
    <w:rsid w:val="00C037B8"/>
    <w:rsid w:val="00C06876"/>
    <w:rsid w:val="00C20079"/>
    <w:rsid w:val="00C25F68"/>
    <w:rsid w:val="00C53BF8"/>
    <w:rsid w:val="00C61EAE"/>
    <w:rsid w:val="00C66157"/>
    <w:rsid w:val="00C674FE"/>
    <w:rsid w:val="00C67501"/>
    <w:rsid w:val="00C711DD"/>
    <w:rsid w:val="00C75633"/>
    <w:rsid w:val="00CE2EE1"/>
    <w:rsid w:val="00CE3349"/>
    <w:rsid w:val="00CE36E5"/>
    <w:rsid w:val="00CF27F5"/>
    <w:rsid w:val="00CF3FFD"/>
    <w:rsid w:val="00D10CCF"/>
    <w:rsid w:val="00D13941"/>
    <w:rsid w:val="00D26F01"/>
    <w:rsid w:val="00D476B6"/>
    <w:rsid w:val="00D63735"/>
    <w:rsid w:val="00D641B2"/>
    <w:rsid w:val="00D77D0F"/>
    <w:rsid w:val="00DA1CF0"/>
    <w:rsid w:val="00DC1E02"/>
    <w:rsid w:val="00DC24B4"/>
    <w:rsid w:val="00DC5FB0"/>
    <w:rsid w:val="00DF16DC"/>
    <w:rsid w:val="00E14684"/>
    <w:rsid w:val="00E45211"/>
    <w:rsid w:val="00E473C5"/>
    <w:rsid w:val="00E61BE8"/>
    <w:rsid w:val="00E72CA9"/>
    <w:rsid w:val="00E92863"/>
    <w:rsid w:val="00EA428A"/>
    <w:rsid w:val="00EB796D"/>
    <w:rsid w:val="00EC1FA1"/>
    <w:rsid w:val="00EC4A06"/>
    <w:rsid w:val="00ED24DD"/>
    <w:rsid w:val="00F058DC"/>
    <w:rsid w:val="00F24FC4"/>
    <w:rsid w:val="00F2676C"/>
    <w:rsid w:val="00F363FE"/>
    <w:rsid w:val="00F50E3F"/>
    <w:rsid w:val="00F84366"/>
    <w:rsid w:val="00F85089"/>
    <w:rsid w:val="00F85B21"/>
    <w:rsid w:val="00F974C5"/>
    <w:rsid w:val="00FA1A2F"/>
    <w:rsid w:val="00FA3152"/>
    <w:rsid w:val="00FA6E7A"/>
    <w:rsid w:val="00FA6F46"/>
    <w:rsid w:val="00FC4592"/>
    <w:rsid w:val="00FD527F"/>
    <w:rsid w:val="00FE504D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63BDD"/>
  <w15:chartTrackingRefBased/>
  <w15:docId w15:val="{807F6633-D1B2-40EC-832E-CAD43909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qFormat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pPr>
      <w:spacing w:after="120"/>
    </w:pPr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1605B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4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8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Council 2023</dc:subject>
  <dc:creator>Arabic_GE</dc:creator>
  <cp:keywords>C2023, C23, Council-23</cp:keywords>
  <dc:description/>
  <cp:lastModifiedBy>Arabic-SA</cp:lastModifiedBy>
  <cp:revision>3</cp:revision>
  <dcterms:created xsi:type="dcterms:W3CDTF">2023-07-21T16:20:00Z</dcterms:created>
  <dcterms:modified xsi:type="dcterms:W3CDTF">2023-07-21T16:20:00Z</dcterms:modified>
  <cp:category>Conference document</cp:category>
</cp:coreProperties>
</file>