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96BD3" w:rsidRPr="00813E5E" w14:paraId="4D1C3EBA" w14:textId="77777777" w:rsidTr="00E31DCE">
        <w:trPr>
          <w:cantSplit/>
          <w:trHeight w:val="23"/>
        </w:trPr>
        <w:tc>
          <w:tcPr>
            <w:tcW w:w="3969" w:type="dxa"/>
            <w:vMerge w:val="restart"/>
            <w:tcMar>
              <w:left w:w="0" w:type="dxa"/>
            </w:tcMar>
          </w:tcPr>
          <w:p w14:paraId="63094E5F" w14:textId="3261B3E0" w:rsidR="00796BD3" w:rsidRPr="00A22D9F" w:rsidRDefault="0033025A" w:rsidP="0033025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33025A">
              <w:rPr>
                <w:b/>
              </w:rPr>
              <w:t>Пункт повестки дня:</w:t>
            </w:r>
            <w:r w:rsidR="00A22D9F">
              <w:rPr>
                <w:b/>
                <w:lang w:val="ru-RU"/>
              </w:rPr>
              <w:t xml:space="preserve"> </w:t>
            </w:r>
            <w:r w:rsidR="00A22D9F">
              <w:rPr>
                <w:b/>
                <w:lang w:val="ru-RU" w:bidi="ru-RU"/>
              </w:rPr>
              <w:t>ADM 1</w:t>
            </w:r>
          </w:p>
        </w:tc>
        <w:tc>
          <w:tcPr>
            <w:tcW w:w="5245" w:type="dxa"/>
          </w:tcPr>
          <w:p w14:paraId="77107317" w14:textId="5DF70579" w:rsidR="00796BD3" w:rsidRPr="00E85629" w:rsidRDefault="0033025A" w:rsidP="00E31DCE">
            <w:pPr>
              <w:tabs>
                <w:tab w:val="left" w:pos="851"/>
              </w:tabs>
              <w:spacing w:before="0" w:line="240" w:lineRule="atLeast"/>
              <w:jc w:val="right"/>
              <w:rPr>
                <w:b/>
              </w:rPr>
            </w:pPr>
            <w:r w:rsidRPr="0033025A">
              <w:rPr>
                <w:b/>
              </w:rPr>
              <w:t xml:space="preserve">Документ </w:t>
            </w:r>
            <w:r w:rsidR="00796BD3">
              <w:rPr>
                <w:b/>
              </w:rPr>
              <w:t>C23/</w:t>
            </w:r>
            <w:r w:rsidR="00A22D9F">
              <w:rPr>
                <w:b/>
                <w:lang w:val="ru-RU"/>
              </w:rPr>
              <w:t>82</w:t>
            </w:r>
            <w:r w:rsidR="00796BD3">
              <w:rPr>
                <w:b/>
              </w:rPr>
              <w:t>-R</w:t>
            </w:r>
          </w:p>
        </w:tc>
      </w:tr>
      <w:tr w:rsidR="00796BD3" w:rsidRPr="00813E5E" w14:paraId="6D20B162" w14:textId="77777777" w:rsidTr="00E31DCE">
        <w:trPr>
          <w:cantSplit/>
        </w:trPr>
        <w:tc>
          <w:tcPr>
            <w:tcW w:w="3969" w:type="dxa"/>
            <w:vMerge/>
          </w:tcPr>
          <w:p w14:paraId="4F9F4BB2" w14:textId="77777777" w:rsidR="00796BD3" w:rsidRPr="00813E5E" w:rsidRDefault="00796BD3" w:rsidP="00E31DCE">
            <w:pPr>
              <w:tabs>
                <w:tab w:val="left" w:pos="851"/>
              </w:tabs>
              <w:spacing w:line="240" w:lineRule="atLeast"/>
              <w:rPr>
                <w:b/>
              </w:rPr>
            </w:pPr>
            <w:bookmarkStart w:id="3" w:name="ddate" w:colFirst="1" w:colLast="1"/>
            <w:bookmarkEnd w:id="0"/>
            <w:bookmarkEnd w:id="1"/>
          </w:p>
        </w:tc>
        <w:tc>
          <w:tcPr>
            <w:tcW w:w="5245" w:type="dxa"/>
          </w:tcPr>
          <w:p w14:paraId="2D27DB9C" w14:textId="505C867D" w:rsidR="00796BD3" w:rsidRPr="00A22D9F" w:rsidRDefault="00A22D9F" w:rsidP="00E31DCE">
            <w:pPr>
              <w:tabs>
                <w:tab w:val="left" w:pos="851"/>
              </w:tabs>
              <w:spacing w:before="0"/>
              <w:jc w:val="right"/>
              <w:rPr>
                <w:b/>
                <w:lang w:val="ru-RU"/>
              </w:rPr>
            </w:pPr>
            <w:r>
              <w:rPr>
                <w:b/>
                <w:lang w:val="ru-RU"/>
              </w:rPr>
              <w:t>27 июня</w:t>
            </w:r>
            <w:r w:rsidR="00796BD3">
              <w:rPr>
                <w:b/>
              </w:rPr>
              <w:t xml:space="preserve"> 2023</w:t>
            </w:r>
            <w:r>
              <w:rPr>
                <w:b/>
                <w:lang w:val="ru-RU"/>
              </w:rPr>
              <w:t xml:space="preserve"> года</w:t>
            </w:r>
          </w:p>
        </w:tc>
      </w:tr>
      <w:tr w:rsidR="00796BD3" w:rsidRPr="00813E5E" w14:paraId="2A3BA1DF" w14:textId="77777777" w:rsidTr="00E31DCE">
        <w:trPr>
          <w:cantSplit/>
          <w:trHeight w:val="23"/>
        </w:trPr>
        <w:tc>
          <w:tcPr>
            <w:tcW w:w="3969" w:type="dxa"/>
            <w:vMerge/>
          </w:tcPr>
          <w:p w14:paraId="1A41E1E8" w14:textId="77777777" w:rsidR="00796BD3" w:rsidRPr="00813E5E" w:rsidRDefault="00796BD3" w:rsidP="00E31DCE">
            <w:pPr>
              <w:tabs>
                <w:tab w:val="left" w:pos="851"/>
              </w:tabs>
              <w:spacing w:line="240" w:lineRule="atLeast"/>
              <w:rPr>
                <w:b/>
              </w:rPr>
            </w:pPr>
            <w:bookmarkStart w:id="4" w:name="dorlang" w:colFirst="1" w:colLast="1"/>
            <w:bookmarkEnd w:id="3"/>
          </w:p>
        </w:tc>
        <w:tc>
          <w:tcPr>
            <w:tcW w:w="5245" w:type="dxa"/>
          </w:tcPr>
          <w:p w14:paraId="6C844AEF" w14:textId="68E6839B" w:rsidR="00796BD3" w:rsidRPr="00A22D9F" w:rsidRDefault="0033025A" w:rsidP="00E31DCE">
            <w:pPr>
              <w:tabs>
                <w:tab w:val="left" w:pos="851"/>
              </w:tabs>
              <w:spacing w:before="0" w:line="240" w:lineRule="atLeast"/>
              <w:jc w:val="right"/>
              <w:rPr>
                <w:b/>
                <w:lang w:val="ru-RU"/>
              </w:rPr>
            </w:pPr>
            <w:r w:rsidRPr="0033025A">
              <w:rPr>
                <w:b/>
              </w:rPr>
              <w:t xml:space="preserve">Оригинал: </w:t>
            </w:r>
            <w:r w:rsidR="00A22D9F">
              <w:rPr>
                <w:b/>
                <w:lang w:val="ru-RU"/>
              </w:rPr>
              <w:t>английский</w:t>
            </w:r>
          </w:p>
        </w:tc>
      </w:tr>
      <w:tr w:rsidR="00796BD3" w:rsidRPr="00813E5E" w14:paraId="19434816" w14:textId="77777777" w:rsidTr="00E31DCE">
        <w:trPr>
          <w:cantSplit/>
          <w:trHeight w:val="23"/>
        </w:trPr>
        <w:tc>
          <w:tcPr>
            <w:tcW w:w="3969" w:type="dxa"/>
          </w:tcPr>
          <w:p w14:paraId="4CBDA2FB" w14:textId="77777777" w:rsidR="00796BD3" w:rsidRPr="00813E5E" w:rsidRDefault="00796BD3" w:rsidP="00E31DCE">
            <w:pPr>
              <w:tabs>
                <w:tab w:val="left" w:pos="851"/>
              </w:tabs>
              <w:spacing w:line="240" w:lineRule="atLeast"/>
              <w:rPr>
                <w:b/>
              </w:rPr>
            </w:pPr>
          </w:p>
        </w:tc>
        <w:tc>
          <w:tcPr>
            <w:tcW w:w="5245" w:type="dxa"/>
          </w:tcPr>
          <w:p w14:paraId="22224F27" w14:textId="77777777" w:rsidR="00796BD3" w:rsidRDefault="00796BD3" w:rsidP="00E31DCE">
            <w:pPr>
              <w:tabs>
                <w:tab w:val="left" w:pos="851"/>
              </w:tabs>
              <w:spacing w:before="0" w:line="240" w:lineRule="atLeast"/>
              <w:jc w:val="right"/>
              <w:rPr>
                <w:b/>
              </w:rPr>
            </w:pPr>
          </w:p>
        </w:tc>
      </w:tr>
      <w:tr w:rsidR="00796BD3" w:rsidRPr="00BC77B0" w14:paraId="0DA3ABA7" w14:textId="77777777" w:rsidTr="00E31DCE">
        <w:trPr>
          <w:cantSplit/>
        </w:trPr>
        <w:tc>
          <w:tcPr>
            <w:tcW w:w="9214" w:type="dxa"/>
            <w:gridSpan w:val="2"/>
            <w:tcMar>
              <w:left w:w="0" w:type="dxa"/>
            </w:tcMar>
          </w:tcPr>
          <w:p w14:paraId="45314151" w14:textId="37A001CD" w:rsidR="00796BD3" w:rsidRPr="00A22D9F" w:rsidRDefault="00D31911" w:rsidP="00672F8A">
            <w:pPr>
              <w:pStyle w:val="Source"/>
              <w:jc w:val="left"/>
              <w:rPr>
                <w:sz w:val="32"/>
                <w:szCs w:val="32"/>
                <w:lang w:val="ru-RU"/>
              </w:rPr>
            </w:pPr>
            <w:bookmarkStart w:id="5" w:name="dsource" w:colFirst="0" w:colLast="0"/>
            <w:bookmarkEnd w:id="4"/>
            <w:r w:rsidRPr="00D31911">
              <w:rPr>
                <w:rFonts w:cstheme="minorHAnsi"/>
                <w:sz w:val="32"/>
                <w:szCs w:val="32"/>
                <w:lang w:val="ru-RU"/>
              </w:rPr>
              <w:t xml:space="preserve">Вклад </w:t>
            </w:r>
            <w:r w:rsidR="00A22D9F" w:rsidRPr="00A22D9F">
              <w:rPr>
                <w:rFonts w:cstheme="minorHAnsi"/>
                <w:sz w:val="32"/>
                <w:szCs w:val="32"/>
                <w:lang w:val="ru-RU"/>
              </w:rPr>
              <w:t>Канады и Соединенных Штатов Америки</w:t>
            </w:r>
          </w:p>
        </w:tc>
      </w:tr>
      <w:tr w:rsidR="00796BD3" w:rsidRPr="00BC77B0" w14:paraId="30B8D6E6" w14:textId="77777777" w:rsidTr="00E31DCE">
        <w:trPr>
          <w:cantSplit/>
        </w:trPr>
        <w:tc>
          <w:tcPr>
            <w:tcW w:w="9214" w:type="dxa"/>
            <w:gridSpan w:val="2"/>
            <w:tcMar>
              <w:left w:w="0" w:type="dxa"/>
            </w:tcMar>
          </w:tcPr>
          <w:p w14:paraId="5AFCD65F" w14:textId="7968359F" w:rsidR="00796BD3" w:rsidRPr="004D7EEA" w:rsidRDefault="00A22D9F" w:rsidP="00E31DCE">
            <w:pPr>
              <w:pStyle w:val="Subtitle"/>
              <w:framePr w:hSpace="0" w:wrap="auto" w:hAnchor="text" w:xAlign="left" w:yAlign="inline"/>
              <w:rPr>
                <w:sz w:val="32"/>
                <w:szCs w:val="32"/>
                <w:lang w:val="ru-RU"/>
              </w:rPr>
            </w:pPr>
            <w:bookmarkStart w:id="6" w:name="dtitle1" w:colFirst="0" w:colLast="0"/>
            <w:bookmarkEnd w:id="5"/>
            <w:r w:rsidRPr="004D7EEA">
              <w:rPr>
                <w:sz w:val="32"/>
                <w:szCs w:val="32"/>
                <w:lang w:val="ru-RU" w:bidi="ru-RU"/>
              </w:rPr>
              <w:t>ПОДДЕРЖКА ИССЛЕДОВАНИЯ О</w:t>
            </w:r>
            <w:r w:rsidR="00CE6FE7" w:rsidRPr="004D7EEA">
              <w:rPr>
                <w:sz w:val="32"/>
                <w:szCs w:val="32"/>
                <w:lang w:val="ru-RU" w:bidi="ru-RU"/>
              </w:rPr>
              <w:t xml:space="preserve">Б АДЕКВАТНОСТИ </w:t>
            </w:r>
            <w:r w:rsidRPr="004D7EEA">
              <w:rPr>
                <w:sz w:val="32"/>
                <w:szCs w:val="32"/>
                <w:lang w:val="ru-RU" w:bidi="ru-RU"/>
              </w:rPr>
              <w:t>РЕШЕНИЯ СОВЕТА 482 О ВОЗМЕЩЕНИИ ЗАТРАТ, СВЯЗАННЫХ С ОБРАБОТКОЙ ЗАЯВОК НА РЕГИСТРАЦИЮ СПУТНИКОВЫХ СЕТЕЙ</w:t>
            </w:r>
          </w:p>
        </w:tc>
      </w:tr>
      <w:tr w:rsidR="00796BD3" w:rsidRPr="00BC77B0" w14:paraId="76E16821" w14:textId="77777777" w:rsidTr="00E31DCE">
        <w:trPr>
          <w:cantSplit/>
        </w:trPr>
        <w:tc>
          <w:tcPr>
            <w:tcW w:w="9214" w:type="dxa"/>
            <w:gridSpan w:val="2"/>
            <w:tcBorders>
              <w:top w:val="single" w:sz="4" w:space="0" w:color="auto"/>
              <w:bottom w:val="single" w:sz="4" w:space="0" w:color="auto"/>
            </w:tcBorders>
            <w:tcMar>
              <w:left w:w="0" w:type="dxa"/>
            </w:tcMar>
          </w:tcPr>
          <w:p w14:paraId="3E190DF8" w14:textId="181974FC" w:rsidR="00796BD3" w:rsidRPr="00A22D9F" w:rsidRDefault="0033025A" w:rsidP="00E31DCE">
            <w:pPr>
              <w:spacing w:before="160"/>
              <w:rPr>
                <w:b/>
                <w:bCs/>
                <w:sz w:val="24"/>
                <w:szCs w:val="24"/>
                <w:lang w:val="ru-RU"/>
              </w:rPr>
            </w:pPr>
            <w:r w:rsidRPr="00A22D9F">
              <w:rPr>
                <w:b/>
                <w:bCs/>
                <w:sz w:val="24"/>
                <w:szCs w:val="24"/>
                <w:lang w:val="ru-RU"/>
              </w:rPr>
              <w:t>Назначение</w:t>
            </w:r>
          </w:p>
          <w:p w14:paraId="6239C9D2" w14:textId="4DB7C0C6" w:rsidR="00796BD3" w:rsidRPr="00A22D9F" w:rsidRDefault="00A22D9F" w:rsidP="00E31DCE">
            <w:pPr>
              <w:rPr>
                <w:lang w:val="ru-RU"/>
              </w:rPr>
            </w:pPr>
            <w:r>
              <w:rPr>
                <w:lang w:val="ru-RU" w:bidi="ru-RU"/>
              </w:rPr>
              <w:t xml:space="preserve">Настоящий вклад подготовлен в ответ на документ C23/19 Генерального секретаря "Исследование адекватности Решения 482 Совета о возмещении затрат, связанных с обработкой заявок на регистрацию спутниковых сетей". Канада и Соединенные Штаты Америки поддерживают создание </w:t>
            </w:r>
            <w:r w:rsidR="0030524D">
              <w:rPr>
                <w:lang w:val="ru-RU" w:bidi="ru-RU"/>
              </w:rPr>
              <w:t xml:space="preserve">Группы </w:t>
            </w:r>
            <w:r>
              <w:rPr>
                <w:lang w:val="ru-RU" w:bidi="ru-RU"/>
              </w:rPr>
              <w:t>экспертов Совета по Решению 482 и принятие круга ведения</w:t>
            </w:r>
            <w:r w:rsidR="00191263">
              <w:rPr>
                <w:lang w:val="ru-RU" w:bidi="ru-RU"/>
              </w:rPr>
              <w:t xml:space="preserve"> на основе </w:t>
            </w:r>
            <w:r>
              <w:rPr>
                <w:lang w:val="ru-RU" w:bidi="ru-RU"/>
              </w:rPr>
              <w:t>отчет</w:t>
            </w:r>
            <w:r w:rsidR="00191263">
              <w:rPr>
                <w:lang w:val="ru-RU" w:bidi="ru-RU"/>
              </w:rPr>
              <w:t>а</w:t>
            </w:r>
            <w:r>
              <w:rPr>
                <w:lang w:val="ru-RU" w:bidi="ru-RU"/>
              </w:rPr>
              <w:t xml:space="preserve"> о степени возмещения затрат, связанных с обработкой заявок на регистрацию спутниковых сетей.</w:t>
            </w:r>
          </w:p>
          <w:p w14:paraId="5E005840" w14:textId="77777777" w:rsidR="00796BD3" w:rsidRPr="00A22D9F" w:rsidRDefault="0033025A" w:rsidP="00E31DCE">
            <w:pPr>
              <w:spacing w:before="160"/>
              <w:rPr>
                <w:b/>
                <w:bCs/>
                <w:sz w:val="24"/>
                <w:szCs w:val="24"/>
                <w:lang w:val="ru-RU"/>
              </w:rPr>
            </w:pPr>
            <w:r w:rsidRPr="00A22D9F">
              <w:rPr>
                <w:b/>
                <w:bCs/>
                <w:sz w:val="24"/>
                <w:szCs w:val="24"/>
                <w:lang w:val="ru-RU"/>
              </w:rPr>
              <w:t>Необходимые действия Совета</w:t>
            </w:r>
          </w:p>
          <w:p w14:paraId="4E467CB8" w14:textId="3920D410" w:rsidR="00796BD3" w:rsidRPr="00A22D9F" w:rsidRDefault="00A22D9F" w:rsidP="00A22D9F">
            <w:pPr>
              <w:rPr>
                <w:lang w:val="ru-RU"/>
              </w:rPr>
            </w:pPr>
            <w:r>
              <w:rPr>
                <w:lang w:val="ru-RU" w:bidi="ru-RU"/>
              </w:rPr>
              <w:t xml:space="preserve">Совету предлагается </w:t>
            </w:r>
            <w:r>
              <w:rPr>
                <w:b/>
                <w:lang w:val="ru-RU" w:bidi="ru-RU"/>
              </w:rPr>
              <w:t xml:space="preserve">создать </w:t>
            </w:r>
            <w:r w:rsidR="0030524D">
              <w:rPr>
                <w:b/>
                <w:lang w:val="ru-RU" w:bidi="ru-RU"/>
              </w:rPr>
              <w:t xml:space="preserve">Группу </w:t>
            </w:r>
            <w:r>
              <w:rPr>
                <w:b/>
                <w:lang w:val="ru-RU" w:bidi="ru-RU"/>
              </w:rPr>
              <w:t xml:space="preserve">экспертов Совета </w:t>
            </w:r>
            <w:r>
              <w:rPr>
                <w:lang w:val="ru-RU" w:bidi="ru-RU"/>
              </w:rPr>
              <w:t>по</w:t>
            </w:r>
            <w:r>
              <w:rPr>
                <w:b/>
                <w:lang w:val="ru-RU" w:bidi="ru-RU"/>
              </w:rPr>
              <w:t xml:space="preserve"> Решению 482 </w:t>
            </w:r>
            <w:r>
              <w:rPr>
                <w:lang w:val="ru-RU" w:bidi="ru-RU"/>
              </w:rPr>
              <w:t>и</w:t>
            </w:r>
            <w:r>
              <w:rPr>
                <w:b/>
                <w:lang w:val="ru-RU" w:bidi="ru-RU"/>
              </w:rPr>
              <w:t xml:space="preserve"> определить ее круг ведения</w:t>
            </w:r>
            <w:r>
              <w:rPr>
                <w:lang w:val="ru-RU" w:bidi="ru-RU"/>
              </w:rPr>
              <w:t>.</w:t>
            </w:r>
          </w:p>
          <w:p w14:paraId="7B14D1B0" w14:textId="77777777" w:rsidR="00796BD3" w:rsidRPr="00A22D9F" w:rsidRDefault="00796BD3" w:rsidP="00E31DCE">
            <w:pPr>
              <w:spacing w:before="160"/>
              <w:rPr>
                <w:caps/>
                <w:sz w:val="20"/>
                <w:szCs w:val="18"/>
                <w:lang w:val="ru-RU"/>
              </w:rPr>
            </w:pPr>
            <w:r w:rsidRPr="00A22D9F">
              <w:rPr>
                <w:sz w:val="20"/>
                <w:szCs w:val="18"/>
                <w:lang w:val="ru-RU"/>
              </w:rPr>
              <w:t>__________________</w:t>
            </w:r>
          </w:p>
          <w:p w14:paraId="68BD48F1" w14:textId="77777777" w:rsidR="00796BD3" w:rsidRPr="00A22D9F" w:rsidRDefault="0033025A" w:rsidP="00E31DCE">
            <w:pPr>
              <w:spacing w:before="160"/>
              <w:rPr>
                <w:b/>
                <w:bCs/>
                <w:sz w:val="26"/>
                <w:szCs w:val="26"/>
                <w:lang w:val="ru-RU"/>
              </w:rPr>
            </w:pPr>
            <w:r w:rsidRPr="00A22D9F">
              <w:rPr>
                <w:b/>
                <w:bCs/>
                <w:sz w:val="24"/>
                <w:szCs w:val="24"/>
                <w:lang w:val="ru-RU"/>
              </w:rPr>
              <w:t>Справочные материалы</w:t>
            </w:r>
          </w:p>
          <w:p w14:paraId="40A43711" w14:textId="1DE03EEA" w:rsidR="00796BD3" w:rsidRPr="00A22D9F" w:rsidRDefault="00290523" w:rsidP="00E31DCE">
            <w:pPr>
              <w:spacing w:after="160"/>
              <w:rPr>
                <w:lang w:val="ru-RU"/>
              </w:rPr>
            </w:pPr>
            <w:hyperlink r:id="rId7" w:history="1">
              <w:r w:rsidR="00A22D9F" w:rsidRPr="00FC5ED5">
                <w:rPr>
                  <w:rStyle w:val="Hyperlink"/>
                  <w:lang w:val="ru-RU" w:bidi="ru-RU"/>
                </w:rPr>
                <w:t>C23/19 – Исследование адекватности Решения 482 Совета о возмещении затрат, связанных с обработкой заявок на регистрацию спутниковых сетей</w:t>
              </w:r>
            </w:hyperlink>
          </w:p>
        </w:tc>
      </w:tr>
      <w:bookmarkEnd w:id="2"/>
      <w:bookmarkEnd w:id="6"/>
    </w:tbl>
    <w:p w14:paraId="4064BBD7" w14:textId="77777777" w:rsidR="00796BD3" w:rsidRPr="00A22D9F" w:rsidRDefault="00796BD3" w:rsidP="00796BD3">
      <w:pPr>
        <w:rPr>
          <w:lang w:val="ru-RU"/>
        </w:rPr>
      </w:pPr>
    </w:p>
    <w:p w14:paraId="7386F8B3" w14:textId="77777777" w:rsidR="00165D06" w:rsidRPr="00A22D9F" w:rsidRDefault="00165D06">
      <w:pPr>
        <w:tabs>
          <w:tab w:val="clear" w:pos="794"/>
          <w:tab w:val="clear" w:pos="1191"/>
          <w:tab w:val="clear" w:pos="1588"/>
          <w:tab w:val="clear" w:pos="1985"/>
        </w:tabs>
        <w:overflowPunct/>
        <w:autoSpaceDE/>
        <w:autoSpaceDN/>
        <w:adjustRightInd/>
        <w:spacing w:before="0"/>
        <w:textAlignment w:val="auto"/>
        <w:rPr>
          <w:lang w:val="ru-RU"/>
        </w:rPr>
      </w:pPr>
      <w:r w:rsidRPr="00A22D9F">
        <w:rPr>
          <w:lang w:val="ru-RU"/>
        </w:rPr>
        <w:br w:type="page"/>
      </w:r>
    </w:p>
    <w:p w14:paraId="2DDB6FD9" w14:textId="77777777" w:rsidR="00A22D9F" w:rsidRPr="00233E20" w:rsidRDefault="00A22D9F" w:rsidP="004D7EEA">
      <w:pPr>
        <w:pStyle w:val="Headingb"/>
        <w:rPr>
          <w:rFonts w:asciiTheme="minorHAnsi" w:hAnsiTheme="minorHAnsi" w:cstheme="minorHAnsi"/>
          <w:bCs/>
          <w:szCs w:val="32"/>
          <w:lang w:val="ru-RU"/>
        </w:rPr>
      </w:pPr>
      <w:r w:rsidRPr="00413DA2">
        <w:rPr>
          <w:lang w:val="ru-RU" w:bidi="ru-RU"/>
        </w:rPr>
        <w:lastRenderedPageBreak/>
        <w:t>Введение</w:t>
      </w:r>
    </w:p>
    <w:p w14:paraId="565EA0F6" w14:textId="77A76014" w:rsidR="00A22D9F" w:rsidRPr="00A22D9F" w:rsidRDefault="00A22D9F" w:rsidP="00A22D9F">
      <w:pPr>
        <w:rPr>
          <w:lang w:val="ru-RU"/>
        </w:rPr>
      </w:pPr>
      <w:r>
        <w:rPr>
          <w:lang w:val="ru-RU" w:bidi="ru-RU"/>
        </w:rPr>
        <w:t xml:space="preserve">Канада и США выражают свою признательность и широкую поддержку в отношении отчета Генерального секретаря "Исследование </w:t>
      </w:r>
      <w:r w:rsidR="00CE6FE7">
        <w:rPr>
          <w:lang w:val="ru-RU" w:bidi="ru-RU"/>
        </w:rPr>
        <w:t>адекватности</w:t>
      </w:r>
      <w:r>
        <w:rPr>
          <w:lang w:val="ru-RU" w:bidi="ru-RU"/>
        </w:rPr>
        <w:t xml:space="preserve"> Решения 482 Совета о возмещении затрат, связанных с обработкой заявок на регистрацию спутниковых сетей" (Документ C23/19). На основании этого исследования Канада и США поддерживают создание </w:t>
      </w:r>
      <w:r w:rsidR="0030524D">
        <w:rPr>
          <w:lang w:val="ru-RU" w:bidi="ru-RU"/>
        </w:rPr>
        <w:t xml:space="preserve">Группы </w:t>
      </w:r>
      <w:r>
        <w:rPr>
          <w:lang w:val="ru-RU" w:bidi="ru-RU"/>
        </w:rPr>
        <w:t xml:space="preserve">экспертов Совета по Решению 482 с определенным кругом ведения, </w:t>
      </w:r>
      <w:r w:rsidR="00191263">
        <w:rPr>
          <w:lang w:val="ru-RU" w:bidi="ru-RU"/>
        </w:rPr>
        <w:t xml:space="preserve">который </w:t>
      </w:r>
      <w:r>
        <w:rPr>
          <w:lang w:val="ru-RU" w:bidi="ru-RU"/>
        </w:rPr>
        <w:t xml:space="preserve">ограничен конкретными вопросами, вытекающими из этого исследования, как указано ниже. </w:t>
      </w:r>
    </w:p>
    <w:p w14:paraId="0751E200" w14:textId="5BAEC45F" w:rsidR="00A22D9F" w:rsidRPr="00233E20" w:rsidRDefault="00A22D9F" w:rsidP="00A22D9F">
      <w:pPr>
        <w:rPr>
          <w:lang w:val="ru-RU"/>
        </w:rPr>
      </w:pPr>
      <w:r>
        <w:rPr>
          <w:lang w:val="ru-RU" w:bidi="ru-RU"/>
        </w:rPr>
        <w:t xml:space="preserve">Мы также подчеркиваем нашу поддержку в отношении заключения, сформулированного в </w:t>
      </w:r>
      <w:r w:rsidR="00191263">
        <w:rPr>
          <w:lang w:val="ru-RU" w:bidi="ru-RU"/>
        </w:rPr>
        <w:t xml:space="preserve">разделе </w:t>
      </w:r>
      <w:r>
        <w:rPr>
          <w:lang w:val="ru-RU" w:bidi="ru-RU"/>
        </w:rPr>
        <w:t>7 Приложения 1, о том, что то, что продолжает хорошо работать в Решении 482 Совета, не следует менять.</w:t>
      </w:r>
    </w:p>
    <w:p w14:paraId="6B57CB4D" w14:textId="701EFDDC" w:rsidR="00A22D9F" w:rsidRPr="00233E20" w:rsidRDefault="00A22D9F" w:rsidP="00A22D9F">
      <w:pPr>
        <w:rPr>
          <w:lang w:val="ru-RU"/>
        </w:rPr>
      </w:pPr>
      <w:r>
        <w:rPr>
          <w:lang w:val="ru-RU" w:bidi="ru-RU"/>
        </w:rPr>
        <w:t xml:space="preserve">В </w:t>
      </w:r>
      <w:hyperlink w:anchor="Annex1" w:history="1">
        <w:r w:rsidRPr="00C6309A">
          <w:rPr>
            <w:rStyle w:val="Hyperlink"/>
            <w:lang w:val="ru-RU" w:bidi="ru-RU"/>
          </w:rPr>
          <w:t>Приложении 1</w:t>
        </w:r>
      </w:hyperlink>
      <w:r>
        <w:rPr>
          <w:lang w:val="ru-RU" w:bidi="ru-RU"/>
        </w:rPr>
        <w:t xml:space="preserve"> к настоящему вкладу представлен наш подробный анализ выводов</w:t>
      </w:r>
      <w:r w:rsidR="00CE6FE7">
        <w:rPr>
          <w:lang w:val="ru-RU" w:bidi="ru-RU"/>
        </w:rPr>
        <w:t xml:space="preserve"> в рамках </w:t>
      </w:r>
      <w:r>
        <w:rPr>
          <w:lang w:val="ru-RU" w:bidi="ru-RU"/>
        </w:rPr>
        <w:t xml:space="preserve">исследования. В </w:t>
      </w:r>
      <w:hyperlink w:anchor="Annex2" w:history="1">
        <w:r w:rsidRPr="00C6309A">
          <w:rPr>
            <w:rStyle w:val="Hyperlink"/>
            <w:lang w:val="ru-RU" w:bidi="ru-RU"/>
          </w:rPr>
          <w:t>Приложении 2</w:t>
        </w:r>
      </w:hyperlink>
      <w:r>
        <w:rPr>
          <w:lang w:val="ru-RU" w:bidi="ru-RU"/>
        </w:rPr>
        <w:t xml:space="preserve"> приводится предлагаемый круг ведения </w:t>
      </w:r>
      <w:r w:rsidR="0030524D">
        <w:rPr>
          <w:lang w:val="ru-RU" w:bidi="ru-RU"/>
        </w:rPr>
        <w:t xml:space="preserve">Группы </w:t>
      </w:r>
      <w:r>
        <w:rPr>
          <w:lang w:val="ru-RU" w:bidi="ru-RU"/>
        </w:rPr>
        <w:t xml:space="preserve">экспертов Совета. </w:t>
      </w:r>
    </w:p>
    <w:p w14:paraId="221F36BF" w14:textId="77777777" w:rsidR="00A22D9F" w:rsidRDefault="00A22D9F" w:rsidP="004D7EEA">
      <w:pPr>
        <w:pStyle w:val="Headingb"/>
        <w:rPr>
          <w:lang w:val="ru-RU" w:bidi="ru-RU"/>
        </w:rPr>
      </w:pPr>
      <w:r w:rsidRPr="004D7EEA">
        <w:rPr>
          <w:lang w:val="ru-RU" w:bidi="ru-RU"/>
        </w:rPr>
        <w:t>Предложение</w:t>
      </w:r>
    </w:p>
    <w:p w14:paraId="2283F4E9" w14:textId="3F4A6971" w:rsidR="00A22D9F" w:rsidRPr="00A22D9F" w:rsidRDefault="00A22D9F" w:rsidP="00A22D9F">
      <w:pPr>
        <w:rPr>
          <w:lang w:val="ru-RU" w:bidi="ru-RU"/>
        </w:rPr>
      </w:pPr>
      <w:r>
        <w:rPr>
          <w:lang w:val="ru-RU" w:bidi="ru-RU"/>
        </w:rPr>
        <w:t xml:space="preserve">Канада и США убедительно просят Совет рассмотреть мнения, содержащиеся в Приложении 1, в качестве основы для создания </w:t>
      </w:r>
      <w:r w:rsidR="0030524D">
        <w:rPr>
          <w:lang w:val="ru-RU" w:bidi="ru-RU"/>
        </w:rPr>
        <w:t xml:space="preserve">Группы </w:t>
      </w:r>
      <w:r>
        <w:rPr>
          <w:lang w:val="ru-RU" w:bidi="ru-RU"/>
        </w:rPr>
        <w:t>экспертов Совета по Решению 482.</w:t>
      </w:r>
    </w:p>
    <w:p w14:paraId="3B5758F9" w14:textId="799B5B67" w:rsidR="00A22D9F" w:rsidRPr="00A22D9F" w:rsidRDefault="00A22D9F" w:rsidP="00A22D9F">
      <w:pPr>
        <w:rPr>
          <w:lang w:val="ru-RU" w:bidi="ru-RU"/>
        </w:rPr>
      </w:pPr>
      <w:r>
        <w:rPr>
          <w:lang w:val="ru-RU" w:bidi="ru-RU"/>
        </w:rPr>
        <w:t xml:space="preserve">Канада и США предлагают Совету учредить </w:t>
      </w:r>
      <w:r w:rsidR="0030524D">
        <w:rPr>
          <w:lang w:val="ru-RU" w:bidi="ru-RU"/>
        </w:rPr>
        <w:t xml:space="preserve">Группу </w:t>
      </w:r>
      <w:r>
        <w:rPr>
          <w:lang w:val="ru-RU" w:bidi="ru-RU"/>
        </w:rPr>
        <w:t>экспертов по Решению 482 с кругом ведения, представленным в Приложении 2.</w:t>
      </w:r>
    </w:p>
    <w:p w14:paraId="2B2D82DE" w14:textId="77777777" w:rsidR="00A22D9F" w:rsidRPr="00A22D9F" w:rsidRDefault="00A22D9F" w:rsidP="00A22D9F">
      <w:pPr>
        <w:overflowPunct/>
        <w:autoSpaceDE/>
        <w:autoSpaceDN/>
        <w:adjustRightInd/>
        <w:spacing w:before="0"/>
        <w:textAlignment w:val="auto"/>
        <w:rPr>
          <w:caps/>
          <w:sz w:val="28"/>
          <w:lang w:val="ru-RU"/>
        </w:rPr>
      </w:pPr>
      <w:r>
        <w:rPr>
          <w:lang w:val="ru-RU" w:bidi="ru-RU"/>
        </w:rPr>
        <w:br w:type="page"/>
      </w:r>
    </w:p>
    <w:p w14:paraId="0C024C0E" w14:textId="77777777" w:rsidR="00A22D9F" w:rsidRPr="00A22D9F" w:rsidRDefault="00A22D9F" w:rsidP="00A22D9F">
      <w:pPr>
        <w:pStyle w:val="AnnexNo"/>
        <w:rPr>
          <w:lang w:val="ru-RU"/>
        </w:rPr>
        <w:sectPr w:rsidR="00A22D9F" w:rsidRPr="00A22D9F" w:rsidSect="00EA6158">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4F2C5A8D" w14:textId="77777777" w:rsidR="00A22D9F" w:rsidRPr="00233E20" w:rsidRDefault="00A22D9F" w:rsidP="00BC77B0">
      <w:pPr>
        <w:pStyle w:val="AnnexNo"/>
        <w:spacing w:before="0"/>
        <w:rPr>
          <w:lang w:val="ru-RU"/>
        </w:rPr>
      </w:pPr>
      <w:r>
        <w:rPr>
          <w:lang w:val="ru-RU" w:bidi="ru-RU"/>
        </w:rPr>
        <w:lastRenderedPageBreak/>
        <w:t>Приложение 1</w:t>
      </w:r>
      <w:bookmarkStart w:id="7" w:name="Annex1"/>
      <w:bookmarkEnd w:id="7"/>
    </w:p>
    <w:p w14:paraId="739AA62A" w14:textId="77777777" w:rsidR="00A22D9F" w:rsidRPr="00233E20" w:rsidRDefault="00A22D9F" w:rsidP="00A22D9F">
      <w:pPr>
        <w:pStyle w:val="Annextitle"/>
        <w:rPr>
          <w:lang w:val="ru-RU"/>
        </w:rPr>
      </w:pPr>
      <w:bookmarkStart w:id="8" w:name="_Hlk134634550"/>
      <w:r>
        <w:rPr>
          <w:lang w:val="ru-RU" w:bidi="ru-RU"/>
        </w:rPr>
        <w:t>Обсуждение тем для исследования</w:t>
      </w:r>
      <w:bookmarkEnd w:id="8"/>
    </w:p>
    <w:p w14:paraId="0EE59C63" w14:textId="557A59D7" w:rsidR="00A22D9F" w:rsidRDefault="00A22D9F" w:rsidP="00BC77B0">
      <w:pPr>
        <w:spacing w:before="240" w:after="120"/>
      </w:pPr>
      <w:r>
        <w:rPr>
          <w:lang w:val="ru-RU" w:bidi="ru-RU"/>
        </w:rPr>
        <w:t xml:space="preserve">В настоящем Приложении Канада и США приводят подробные рассуждения на темы из Документа C23/19 и дают рекомендации по включению данной темы в круг ведения </w:t>
      </w:r>
      <w:r w:rsidR="0030524D">
        <w:rPr>
          <w:lang w:val="ru-RU" w:bidi="ru-RU"/>
        </w:rPr>
        <w:t xml:space="preserve">Группы </w:t>
      </w:r>
      <w:r>
        <w:rPr>
          <w:lang w:val="ru-RU" w:bidi="ru-RU"/>
        </w:rPr>
        <w:t>экспертов Совета по Решению 482 (см. Приложение 2).</w:t>
      </w:r>
    </w:p>
    <w:tbl>
      <w:tblPr>
        <w:tblStyle w:val="TableGrid"/>
        <w:tblW w:w="13178" w:type="dxa"/>
        <w:tblLook w:val="04A0" w:firstRow="1" w:lastRow="0" w:firstColumn="1" w:lastColumn="0" w:noHBand="0" w:noVBand="1"/>
      </w:tblPr>
      <w:tblGrid>
        <w:gridCol w:w="1696"/>
        <w:gridCol w:w="6096"/>
        <w:gridCol w:w="5386"/>
      </w:tblGrid>
      <w:tr w:rsidR="00A22D9F" w:rsidRPr="004D7EEA" w14:paraId="1DA78F57" w14:textId="77777777" w:rsidTr="004D7EEA">
        <w:trPr>
          <w:cantSplit/>
          <w:tblHeader/>
        </w:trPr>
        <w:tc>
          <w:tcPr>
            <w:tcW w:w="1696" w:type="dxa"/>
            <w:shd w:val="clear" w:color="auto" w:fill="D9D9D9" w:themeFill="background1" w:themeFillShade="D9"/>
            <w:vAlign w:val="center"/>
          </w:tcPr>
          <w:p w14:paraId="19AD30A6" w14:textId="77777777" w:rsidR="00A22D9F" w:rsidRPr="004D7EEA" w:rsidRDefault="00A22D9F" w:rsidP="004D7EEA">
            <w:pPr>
              <w:jc w:val="center"/>
              <w:rPr>
                <w:sz w:val="20"/>
                <w:szCs w:val="20"/>
              </w:rPr>
            </w:pPr>
            <w:r w:rsidRPr="004D7EEA">
              <w:rPr>
                <w:sz w:val="20"/>
                <w:szCs w:val="20"/>
                <w:lang w:val="ru-RU" w:bidi="ru-RU"/>
              </w:rPr>
              <w:t>Раздел ПРИЛОЖЕНИЯ 1 ДОКУМЕНТА C23/19</w:t>
            </w:r>
          </w:p>
        </w:tc>
        <w:tc>
          <w:tcPr>
            <w:tcW w:w="6096" w:type="dxa"/>
            <w:shd w:val="clear" w:color="auto" w:fill="D9D9D9" w:themeFill="background1" w:themeFillShade="D9"/>
            <w:vAlign w:val="center"/>
          </w:tcPr>
          <w:p w14:paraId="61FC7698" w14:textId="1FB793F7" w:rsidR="00A22D9F" w:rsidRPr="004D7EEA" w:rsidRDefault="00A22D9F" w:rsidP="004D7EEA">
            <w:pPr>
              <w:jc w:val="center"/>
              <w:rPr>
                <w:sz w:val="20"/>
                <w:szCs w:val="20"/>
              </w:rPr>
            </w:pPr>
            <w:r w:rsidRPr="004D7EEA">
              <w:rPr>
                <w:sz w:val="20"/>
                <w:szCs w:val="20"/>
                <w:lang w:val="ru-RU" w:bidi="ru-RU"/>
              </w:rPr>
              <w:t>Текст</w:t>
            </w:r>
            <w:r w:rsidR="00BC77B0" w:rsidRPr="004D7EEA">
              <w:rPr>
                <w:sz w:val="20"/>
                <w:szCs w:val="20"/>
                <w:lang w:val="en-US" w:bidi="ru-RU"/>
              </w:rPr>
              <w:t xml:space="preserve"> </w:t>
            </w:r>
            <w:r w:rsidRPr="004D7EEA">
              <w:rPr>
                <w:sz w:val="20"/>
                <w:szCs w:val="20"/>
                <w:lang w:val="ru-RU" w:bidi="ru-RU"/>
              </w:rPr>
              <w:t>C23/19</w:t>
            </w:r>
          </w:p>
        </w:tc>
        <w:tc>
          <w:tcPr>
            <w:tcW w:w="5386" w:type="dxa"/>
            <w:shd w:val="clear" w:color="auto" w:fill="D9D9D9" w:themeFill="background1" w:themeFillShade="D9"/>
            <w:vAlign w:val="center"/>
          </w:tcPr>
          <w:p w14:paraId="2D5E81D5" w14:textId="1B27A49F" w:rsidR="00A22D9F" w:rsidRPr="004D7EEA" w:rsidRDefault="00CE6FE7" w:rsidP="004D7EEA">
            <w:pPr>
              <w:jc w:val="center"/>
              <w:rPr>
                <w:sz w:val="20"/>
                <w:szCs w:val="20"/>
              </w:rPr>
            </w:pPr>
            <w:r w:rsidRPr="004D7EEA">
              <w:rPr>
                <w:sz w:val="20"/>
                <w:szCs w:val="20"/>
                <w:lang w:val="ru-RU" w:bidi="ru-RU"/>
              </w:rPr>
              <w:t>Обсуждение Канады/США</w:t>
            </w:r>
          </w:p>
        </w:tc>
      </w:tr>
      <w:tr w:rsidR="00A22D9F" w:rsidRPr="004D7EEA" w14:paraId="093E0CE0" w14:textId="77777777" w:rsidTr="004D7EEA">
        <w:trPr>
          <w:cantSplit/>
        </w:trPr>
        <w:tc>
          <w:tcPr>
            <w:tcW w:w="1696" w:type="dxa"/>
          </w:tcPr>
          <w:p w14:paraId="4032B09B" w14:textId="77777777" w:rsidR="00A22D9F" w:rsidRPr="004D7EEA" w:rsidRDefault="00A22D9F" w:rsidP="004D7EEA">
            <w:pPr>
              <w:jc w:val="center"/>
              <w:rPr>
                <w:sz w:val="20"/>
                <w:szCs w:val="20"/>
              </w:rPr>
            </w:pPr>
            <w:r w:rsidRPr="004D7EEA">
              <w:rPr>
                <w:sz w:val="20"/>
                <w:szCs w:val="20"/>
                <w:lang w:val="ru-RU" w:bidi="ru-RU"/>
              </w:rPr>
              <w:t>2.1</w:t>
            </w:r>
          </w:p>
        </w:tc>
        <w:tc>
          <w:tcPr>
            <w:tcW w:w="6096" w:type="dxa"/>
          </w:tcPr>
          <w:p w14:paraId="73AE0665" w14:textId="67DAD402" w:rsidR="00A22D9F" w:rsidRPr="004D7EEA" w:rsidRDefault="00CE6FE7" w:rsidP="008F26B2">
            <w:pPr>
              <w:jc w:val="both"/>
              <w:rPr>
                <w:sz w:val="20"/>
                <w:szCs w:val="20"/>
                <w:lang w:val="ru-RU"/>
              </w:rPr>
            </w:pPr>
            <w:r w:rsidRPr="004D7EEA">
              <w:rPr>
                <w:sz w:val="20"/>
                <w:szCs w:val="20"/>
                <w:lang w:val="ru-RU" w:bidi="ru-RU"/>
              </w:rPr>
              <w:t>И</w:t>
            </w:r>
            <w:r w:rsidR="00A22D9F" w:rsidRPr="004D7EEA">
              <w:rPr>
                <w:sz w:val="20"/>
                <w:szCs w:val="20"/>
                <w:lang w:val="ru-RU" w:bidi="ru-RU"/>
              </w:rPr>
              <w:t>меется пять случаев, в которых заявку следует считать "неприемлемой":</w:t>
            </w:r>
          </w:p>
          <w:p w14:paraId="76383398" w14:textId="16F9D0FD" w:rsidR="00A22D9F" w:rsidRPr="004D7EEA" w:rsidRDefault="004D7EEA" w:rsidP="004D7EEA">
            <w:pPr>
              <w:spacing w:before="80"/>
              <w:ind w:left="317" w:hanging="284"/>
              <w:rPr>
                <w:sz w:val="20"/>
                <w:szCs w:val="20"/>
                <w:lang w:val="ru-RU" w:bidi="ru-RU"/>
              </w:rPr>
            </w:pPr>
            <w:r w:rsidRPr="004D7EEA">
              <w:rPr>
                <w:sz w:val="20"/>
                <w:szCs w:val="20"/>
                <w:lang w:val="ru-RU" w:bidi="ru-RU"/>
              </w:rPr>
              <w:t>1</w:t>
            </w:r>
            <w:r>
              <w:rPr>
                <w:sz w:val="20"/>
                <w:szCs w:val="20"/>
                <w:lang w:val="ru-RU" w:bidi="ru-RU"/>
              </w:rPr>
              <w:tab/>
            </w:r>
            <w:r w:rsidR="00A22D9F" w:rsidRPr="004D7EEA">
              <w:rPr>
                <w:sz w:val="20"/>
                <w:szCs w:val="20"/>
                <w:lang w:val="ru-RU" w:bidi="ru-RU"/>
              </w:rPr>
              <w:t>согласно § 3.2 Правила процедуры, если заявляющая администрация представляет неверную информацию;</w:t>
            </w:r>
          </w:p>
          <w:p w14:paraId="6520456D" w14:textId="2BEAD953" w:rsidR="00A22D9F" w:rsidRPr="004D7EEA" w:rsidRDefault="004D7EEA" w:rsidP="004D7EEA">
            <w:pPr>
              <w:spacing w:before="80"/>
              <w:ind w:left="317" w:hanging="284"/>
              <w:rPr>
                <w:sz w:val="20"/>
                <w:szCs w:val="20"/>
                <w:lang w:val="ru-RU" w:bidi="ru-RU"/>
              </w:rPr>
            </w:pPr>
            <w:r w:rsidRPr="004D7EEA">
              <w:rPr>
                <w:sz w:val="20"/>
                <w:szCs w:val="20"/>
                <w:lang w:val="ru-RU" w:bidi="ru-RU"/>
              </w:rPr>
              <w:t>2</w:t>
            </w:r>
            <w:r w:rsidRPr="004D7EEA">
              <w:rPr>
                <w:sz w:val="20"/>
                <w:szCs w:val="20"/>
                <w:lang w:val="ru-RU" w:bidi="ru-RU"/>
              </w:rPr>
              <w:tab/>
            </w:r>
            <w:r w:rsidR="00A22D9F" w:rsidRPr="004D7EEA">
              <w:rPr>
                <w:sz w:val="20"/>
                <w:szCs w:val="20"/>
                <w:lang w:val="ru-RU" w:bidi="ru-RU"/>
              </w:rPr>
              <w:t>согласно § 3.3 Правила, если в представлении отсутствует обязательная информация, требующаяся в соответствии с Приложением 4 к Регламенту радиосвязи;</w:t>
            </w:r>
          </w:p>
          <w:p w14:paraId="22146681" w14:textId="74FAB42C" w:rsidR="00A22D9F" w:rsidRPr="004D7EEA" w:rsidRDefault="004D7EEA" w:rsidP="004D7EEA">
            <w:pPr>
              <w:spacing w:before="80"/>
              <w:ind w:left="317" w:hanging="284"/>
              <w:rPr>
                <w:sz w:val="20"/>
                <w:szCs w:val="20"/>
                <w:lang w:val="ru-RU" w:bidi="ru-RU"/>
              </w:rPr>
            </w:pPr>
            <w:r w:rsidRPr="004D7EEA">
              <w:rPr>
                <w:sz w:val="20"/>
                <w:szCs w:val="20"/>
                <w:lang w:val="ru-RU" w:bidi="ru-RU"/>
              </w:rPr>
              <w:t>3</w:t>
            </w:r>
            <w:r w:rsidRPr="004D7EEA">
              <w:rPr>
                <w:sz w:val="20"/>
                <w:szCs w:val="20"/>
                <w:lang w:val="ru-RU" w:bidi="ru-RU"/>
              </w:rPr>
              <w:tab/>
            </w:r>
            <w:r w:rsidR="00A22D9F" w:rsidRPr="004D7EEA">
              <w:rPr>
                <w:sz w:val="20"/>
                <w:szCs w:val="20"/>
                <w:lang w:val="ru-RU" w:bidi="ru-RU"/>
              </w:rPr>
              <w:t>согласно § 3.8 Правила, если в течение 30 дней с даты просьбы Бюро о разъяснении ответ не получен;</w:t>
            </w:r>
          </w:p>
          <w:p w14:paraId="03AD18AA" w14:textId="36F7EB3A" w:rsidR="00A22D9F" w:rsidRPr="004D7EEA" w:rsidRDefault="004D7EEA" w:rsidP="004D7EEA">
            <w:pPr>
              <w:spacing w:before="80"/>
              <w:ind w:left="317" w:hanging="284"/>
              <w:rPr>
                <w:sz w:val="20"/>
                <w:szCs w:val="20"/>
                <w:lang w:val="ru-RU" w:bidi="ru-RU"/>
              </w:rPr>
            </w:pPr>
            <w:r w:rsidRPr="004D7EEA">
              <w:rPr>
                <w:sz w:val="20"/>
                <w:szCs w:val="20"/>
                <w:lang w:val="ru-RU" w:bidi="ru-RU"/>
              </w:rPr>
              <w:t>4</w:t>
            </w:r>
            <w:r w:rsidRPr="004D7EEA">
              <w:rPr>
                <w:sz w:val="20"/>
                <w:szCs w:val="20"/>
                <w:lang w:val="ru-RU" w:bidi="ru-RU"/>
              </w:rPr>
              <w:tab/>
            </w:r>
            <w:r w:rsidR="00A22D9F" w:rsidRPr="004D7EEA">
              <w:rPr>
                <w:sz w:val="20"/>
                <w:szCs w:val="20"/>
                <w:lang w:val="ru-RU" w:bidi="ru-RU"/>
              </w:rPr>
              <w:t>согласно примечанию (*) к названию Правила, если не соблюдены условия для набора орбитальных характеристик в запросе о координации, касающемся негеостационарной спутниковой (НГСО) сети или системы.</w:t>
            </w:r>
          </w:p>
          <w:p w14:paraId="2297F545" w14:textId="4D968831" w:rsidR="00A22D9F" w:rsidRPr="004D7EEA" w:rsidRDefault="004D7EEA" w:rsidP="004D7EEA">
            <w:pPr>
              <w:spacing w:before="80"/>
              <w:ind w:left="317" w:hanging="284"/>
              <w:rPr>
                <w:sz w:val="20"/>
                <w:szCs w:val="20"/>
                <w:lang w:val="ru-RU"/>
              </w:rPr>
            </w:pPr>
            <w:r w:rsidRPr="004D7EEA">
              <w:rPr>
                <w:sz w:val="20"/>
                <w:szCs w:val="20"/>
                <w:lang w:val="ru-RU" w:bidi="ru-RU"/>
              </w:rPr>
              <w:t>5</w:t>
            </w:r>
            <w:r w:rsidRPr="004D7EEA">
              <w:rPr>
                <w:sz w:val="20"/>
                <w:szCs w:val="20"/>
                <w:lang w:val="ru-RU" w:bidi="ru-RU"/>
              </w:rPr>
              <w:tab/>
            </w:r>
            <w:r w:rsidR="00A22D9F" w:rsidRPr="004D7EEA">
              <w:rPr>
                <w:sz w:val="20"/>
                <w:szCs w:val="20"/>
                <w:lang w:val="ru-RU" w:bidi="ru-RU"/>
              </w:rPr>
              <w:t>согласно § 4 Правила, если не соблюдены различные другие условия.</w:t>
            </w:r>
          </w:p>
          <w:p w14:paraId="3AA924CB" w14:textId="0CB3D6AB" w:rsidR="00A22D9F" w:rsidRPr="004D7EEA" w:rsidRDefault="00A22D9F" w:rsidP="008F26B2">
            <w:pPr>
              <w:rPr>
                <w:i/>
                <w:iCs/>
                <w:sz w:val="20"/>
                <w:szCs w:val="20"/>
                <w:lang w:val="ru-RU"/>
              </w:rPr>
            </w:pPr>
            <w:r w:rsidRPr="004D7EEA">
              <w:rPr>
                <w:sz w:val="20"/>
                <w:szCs w:val="20"/>
                <w:lang w:val="ru-RU" w:bidi="ru-RU"/>
              </w:rPr>
              <w:t>Во втором случае рассмотрение Бюро может ограничиваться первоначальной проверкой, но во всех других случаях от Бюро требуется проводить проверку на полноту всей спутниковой сети, иногда включая ранее полученную(ые) и опубликованную(ые) заявку(и), в полном объеме</w:t>
            </w:r>
            <w:r w:rsidR="000569CC" w:rsidRPr="004D7EEA">
              <w:rPr>
                <w:sz w:val="20"/>
                <w:szCs w:val="20"/>
                <w:lang w:val="ru-RU" w:bidi="ru-RU"/>
              </w:rPr>
              <w:t>.</w:t>
            </w:r>
          </w:p>
        </w:tc>
        <w:tc>
          <w:tcPr>
            <w:tcW w:w="5386" w:type="dxa"/>
          </w:tcPr>
          <w:p w14:paraId="05F55997" w14:textId="77777777" w:rsidR="00A22D9F" w:rsidRPr="004D7EEA" w:rsidRDefault="00A22D9F" w:rsidP="008F26B2">
            <w:pPr>
              <w:rPr>
                <w:sz w:val="20"/>
                <w:szCs w:val="20"/>
                <w:lang w:val="ru-RU"/>
              </w:rPr>
            </w:pPr>
            <w:r w:rsidRPr="004D7EEA">
              <w:rPr>
                <w:sz w:val="20"/>
                <w:szCs w:val="20"/>
                <w:lang w:val="ru-RU" w:bidi="ru-RU"/>
              </w:rPr>
              <w:t>Канада/США поддерживают изучение руководящих указаний для условий, которые требуют от БР проведения проверки на полноту заявки на регистрацию, что может потребовать дополнительного возмещения затрат.</w:t>
            </w:r>
          </w:p>
          <w:p w14:paraId="6B85A1A5" w14:textId="77777777" w:rsidR="00A22D9F" w:rsidRPr="004D7EEA" w:rsidRDefault="00A22D9F" w:rsidP="008F26B2">
            <w:pPr>
              <w:rPr>
                <w:sz w:val="20"/>
                <w:szCs w:val="20"/>
                <w:lang w:val="ru-RU"/>
              </w:rPr>
            </w:pPr>
            <w:r w:rsidRPr="004D7EEA">
              <w:rPr>
                <w:sz w:val="20"/>
                <w:szCs w:val="20"/>
                <w:lang w:val="ru-RU" w:bidi="ru-RU"/>
              </w:rPr>
              <w:t>Данное руководство будет определять включение пунктов для исследования.</w:t>
            </w:r>
          </w:p>
          <w:p w14:paraId="426DCC29" w14:textId="76108020" w:rsidR="00A22D9F" w:rsidRPr="004D7EEA" w:rsidRDefault="00A22D9F" w:rsidP="008F26B2">
            <w:pPr>
              <w:rPr>
                <w:sz w:val="20"/>
                <w:szCs w:val="20"/>
              </w:rPr>
            </w:pPr>
            <w:r w:rsidRPr="004D7EEA">
              <w:rPr>
                <w:sz w:val="20"/>
                <w:szCs w:val="20"/>
                <w:lang w:val="ru-RU" w:bidi="ru-RU"/>
              </w:rPr>
              <w:t>См. также раздел 5.1</w:t>
            </w:r>
            <w:r w:rsidR="00CE5D46" w:rsidRPr="004D7EEA">
              <w:rPr>
                <w:sz w:val="20"/>
                <w:szCs w:val="20"/>
                <w:lang w:val="ru-RU" w:bidi="ru-RU"/>
              </w:rPr>
              <w:t>.</w:t>
            </w:r>
          </w:p>
        </w:tc>
      </w:tr>
      <w:tr w:rsidR="00A22D9F" w:rsidRPr="004D7EEA" w14:paraId="2CAA11F1" w14:textId="77777777" w:rsidTr="004D7EEA">
        <w:trPr>
          <w:cantSplit/>
        </w:trPr>
        <w:tc>
          <w:tcPr>
            <w:tcW w:w="1696" w:type="dxa"/>
          </w:tcPr>
          <w:p w14:paraId="2C80B35C" w14:textId="77777777" w:rsidR="00A22D9F" w:rsidRPr="004D7EEA" w:rsidRDefault="00A22D9F" w:rsidP="004D7EEA">
            <w:pPr>
              <w:jc w:val="center"/>
              <w:rPr>
                <w:sz w:val="20"/>
                <w:szCs w:val="20"/>
              </w:rPr>
            </w:pPr>
            <w:r w:rsidRPr="004D7EEA">
              <w:rPr>
                <w:sz w:val="20"/>
                <w:szCs w:val="20"/>
                <w:lang w:val="ru-RU" w:bidi="ru-RU"/>
              </w:rPr>
              <w:lastRenderedPageBreak/>
              <w:t>2.1</w:t>
            </w:r>
          </w:p>
        </w:tc>
        <w:tc>
          <w:tcPr>
            <w:tcW w:w="6096" w:type="dxa"/>
          </w:tcPr>
          <w:p w14:paraId="606D9CEC" w14:textId="77777777" w:rsidR="00A22D9F" w:rsidRPr="004D7EEA" w:rsidRDefault="00A22D9F" w:rsidP="008F26B2">
            <w:pPr>
              <w:rPr>
                <w:sz w:val="20"/>
                <w:szCs w:val="20"/>
                <w:lang w:val="ru-RU"/>
              </w:rPr>
            </w:pPr>
            <w:r w:rsidRPr="004D7EEA">
              <w:rPr>
                <w:sz w:val="20"/>
                <w:szCs w:val="20"/>
                <w:lang w:val="ru-RU" w:bidi="ru-RU"/>
              </w:rPr>
              <w:t>следует провести исследования с учетом того, что к заявкам на регистрацию спутниковых сетей, считающимся "неприемлемыми" ввиду отсутствия ответа на просьбу Бюро о разъяснении, должна также применяться плата в счет возмещения затрат, рассчитываемая в соответствии с каталогом цен, основанном на единицах и категории представленной заявки на регистрацию</w:t>
            </w:r>
          </w:p>
        </w:tc>
        <w:tc>
          <w:tcPr>
            <w:tcW w:w="5386" w:type="dxa"/>
          </w:tcPr>
          <w:p w14:paraId="6829F508" w14:textId="6A3F065B" w:rsidR="00A22D9F" w:rsidRPr="004D7EEA" w:rsidRDefault="00A22D9F" w:rsidP="008F26B2">
            <w:pPr>
              <w:rPr>
                <w:sz w:val="20"/>
                <w:szCs w:val="20"/>
                <w:lang w:val="ru-RU" w:bidi="ru-RU"/>
              </w:rPr>
            </w:pPr>
            <w:r w:rsidRPr="004D7EEA">
              <w:rPr>
                <w:sz w:val="20"/>
                <w:szCs w:val="20"/>
                <w:lang w:val="ru-RU" w:bidi="ru-RU"/>
              </w:rPr>
              <w:t>Это конкретная рекомендация для случая 3. Канада/США считают, что нецелесообразно взимать плату при подаче заявки на регистрацию, считаю</w:t>
            </w:r>
            <w:r w:rsidR="00CE6FE7" w:rsidRPr="004D7EEA">
              <w:rPr>
                <w:sz w:val="20"/>
                <w:szCs w:val="20"/>
                <w:lang w:val="ru-RU" w:bidi="ru-RU"/>
              </w:rPr>
              <w:t>щейся</w:t>
            </w:r>
            <w:r w:rsidRPr="004D7EEA">
              <w:rPr>
                <w:sz w:val="20"/>
                <w:szCs w:val="20"/>
                <w:lang w:val="ru-RU" w:bidi="ru-RU"/>
              </w:rPr>
              <w:t xml:space="preserve"> "неприемлем</w:t>
            </w:r>
            <w:r w:rsidR="00CE6FE7" w:rsidRPr="004D7EEA">
              <w:rPr>
                <w:sz w:val="20"/>
                <w:szCs w:val="20"/>
                <w:lang w:val="ru-RU" w:bidi="ru-RU"/>
              </w:rPr>
              <w:t>ой</w:t>
            </w:r>
            <w:r w:rsidRPr="004D7EEA">
              <w:rPr>
                <w:sz w:val="20"/>
                <w:szCs w:val="20"/>
                <w:lang w:val="ru-RU" w:bidi="ru-RU"/>
              </w:rPr>
              <w:t xml:space="preserve">", </w:t>
            </w:r>
            <w:r w:rsidR="00CE6FE7" w:rsidRPr="004D7EEA">
              <w:rPr>
                <w:sz w:val="20"/>
                <w:szCs w:val="20"/>
                <w:lang w:val="ru-RU" w:bidi="ru-RU"/>
              </w:rPr>
              <w:t>в размере</w:t>
            </w:r>
            <w:r w:rsidRPr="004D7EEA">
              <w:rPr>
                <w:sz w:val="20"/>
                <w:szCs w:val="20"/>
                <w:lang w:val="ru-RU" w:bidi="ru-RU"/>
              </w:rPr>
              <w:t xml:space="preserve"> т</w:t>
            </w:r>
            <w:r w:rsidR="00CE6FE7" w:rsidRPr="004D7EEA">
              <w:rPr>
                <w:sz w:val="20"/>
                <w:szCs w:val="20"/>
                <w:lang w:val="ru-RU" w:bidi="ru-RU"/>
              </w:rPr>
              <w:t>ой</w:t>
            </w:r>
            <w:r w:rsidRPr="004D7EEA">
              <w:rPr>
                <w:sz w:val="20"/>
                <w:szCs w:val="20"/>
                <w:lang w:val="ru-RU" w:bidi="ru-RU"/>
              </w:rPr>
              <w:t xml:space="preserve"> же сумм</w:t>
            </w:r>
            <w:r w:rsidR="00CE6FE7" w:rsidRPr="004D7EEA">
              <w:rPr>
                <w:sz w:val="20"/>
                <w:szCs w:val="20"/>
                <w:lang w:val="ru-RU" w:bidi="ru-RU"/>
              </w:rPr>
              <w:t>ы</w:t>
            </w:r>
            <w:r w:rsidRPr="004D7EEA">
              <w:rPr>
                <w:sz w:val="20"/>
                <w:szCs w:val="20"/>
                <w:lang w:val="ru-RU" w:bidi="ru-RU"/>
              </w:rPr>
              <w:t xml:space="preserve">, </w:t>
            </w:r>
            <w:r w:rsidR="00CE6FE7" w:rsidRPr="004D7EEA">
              <w:rPr>
                <w:sz w:val="20"/>
                <w:szCs w:val="20"/>
                <w:lang w:val="ru-RU" w:bidi="ru-RU"/>
              </w:rPr>
              <w:t>взимаемой с</w:t>
            </w:r>
            <w:r w:rsidRPr="004D7EEA">
              <w:rPr>
                <w:sz w:val="20"/>
                <w:szCs w:val="20"/>
                <w:lang w:val="ru-RU" w:bidi="ru-RU"/>
              </w:rPr>
              <w:t xml:space="preserve"> приемлемой заявки, для которой был проведен полный анализ (включая установление требований по координации). </w:t>
            </w:r>
            <w:r w:rsidR="00367B1E" w:rsidRPr="004D7EEA">
              <w:rPr>
                <w:sz w:val="20"/>
                <w:szCs w:val="20"/>
                <w:lang w:val="ru-RU" w:bidi="ru-RU"/>
              </w:rPr>
              <w:t xml:space="preserve">Для таких случаев </w:t>
            </w:r>
            <w:r w:rsidRPr="004D7EEA">
              <w:rPr>
                <w:sz w:val="20"/>
                <w:szCs w:val="20"/>
                <w:lang w:val="ru-RU" w:bidi="ru-RU"/>
              </w:rPr>
              <w:t>Канада/США могут согласиться изучить возможность взимания части суммы эквивалентной платы по приемлемой заявке</w:t>
            </w:r>
            <w:r w:rsidR="000569CC" w:rsidRPr="004D7EEA">
              <w:rPr>
                <w:sz w:val="20"/>
                <w:szCs w:val="20"/>
                <w:lang w:val="ru-RU" w:bidi="ru-RU"/>
              </w:rPr>
              <w:t>.</w:t>
            </w:r>
          </w:p>
        </w:tc>
      </w:tr>
      <w:tr w:rsidR="00A22D9F" w:rsidRPr="004D7EEA" w14:paraId="75407D4B" w14:textId="77777777" w:rsidTr="004D7EEA">
        <w:trPr>
          <w:cantSplit/>
        </w:trPr>
        <w:tc>
          <w:tcPr>
            <w:tcW w:w="1696" w:type="dxa"/>
          </w:tcPr>
          <w:p w14:paraId="137F22D2" w14:textId="77777777" w:rsidR="00A22D9F" w:rsidRPr="004D7EEA" w:rsidRDefault="00A22D9F" w:rsidP="004D7EEA">
            <w:pPr>
              <w:jc w:val="center"/>
              <w:rPr>
                <w:sz w:val="20"/>
                <w:szCs w:val="20"/>
              </w:rPr>
            </w:pPr>
            <w:r w:rsidRPr="004D7EEA">
              <w:rPr>
                <w:sz w:val="20"/>
                <w:szCs w:val="20"/>
                <w:lang w:val="ru-RU" w:bidi="ru-RU"/>
              </w:rPr>
              <w:t>3.1</w:t>
            </w:r>
          </w:p>
        </w:tc>
        <w:tc>
          <w:tcPr>
            <w:tcW w:w="6096" w:type="dxa"/>
          </w:tcPr>
          <w:p w14:paraId="0F6784B8" w14:textId="6CF91458" w:rsidR="00A22D9F" w:rsidRPr="004D7EEA" w:rsidRDefault="00A22D9F" w:rsidP="008F26B2">
            <w:pPr>
              <w:rPr>
                <w:sz w:val="20"/>
                <w:szCs w:val="20"/>
                <w:lang w:val="ru-RU"/>
              </w:rPr>
            </w:pPr>
            <w:r w:rsidRPr="004D7EEA">
              <w:rPr>
                <w:sz w:val="20"/>
                <w:szCs w:val="20"/>
                <w:lang w:val="ru-RU" w:bidi="ru-RU"/>
              </w:rPr>
              <w:t>"не начисляется плата за изменения, которые не приводят к дополнительному техническому или регламентарному рассмотрению Бюро радиосвязи". Характер и масштаб работы, которую должно выполнить Бюро, не претерпели значительных изменений; таким образом, следует продолжать применять освобождение от уплаты сборов</w:t>
            </w:r>
          </w:p>
        </w:tc>
        <w:tc>
          <w:tcPr>
            <w:tcW w:w="5386" w:type="dxa"/>
            <w:tcBorders>
              <w:bottom w:val="single" w:sz="4" w:space="0" w:color="auto"/>
            </w:tcBorders>
          </w:tcPr>
          <w:p w14:paraId="115B43B0" w14:textId="6D8C1D2C" w:rsidR="00A22D9F" w:rsidRPr="004D7EEA" w:rsidRDefault="00A22D9F" w:rsidP="008F26B2">
            <w:pPr>
              <w:rPr>
                <w:sz w:val="20"/>
                <w:szCs w:val="20"/>
                <w:lang w:val="ru-RU"/>
              </w:rPr>
            </w:pPr>
            <w:r w:rsidRPr="004D7EEA">
              <w:rPr>
                <w:sz w:val="20"/>
                <w:szCs w:val="20"/>
                <w:lang w:val="ru-RU" w:bidi="ru-RU"/>
              </w:rPr>
              <w:t xml:space="preserve">Канада/США согласны с тем, что данное освобождение от </w:t>
            </w:r>
            <w:r w:rsidR="00D5437D" w:rsidRPr="004D7EEA">
              <w:rPr>
                <w:sz w:val="20"/>
                <w:szCs w:val="20"/>
                <w:lang w:val="ru-RU" w:bidi="ru-RU"/>
              </w:rPr>
              <w:t>уплаты сборов</w:t>
            </w:r>
            <w:r w:rsidRPr="004D7EEA">
              <w:rPr>
                <w:sz w:val="20"/>
                <w:szCs w:val="20"/>
                <w:lang w:val="ru-RU" w:bidi="ru-RU"/>
              </w:rPr>
              <w:t xml:space="preserve"> должно применяться и далее; проведение исследования не требуется</w:t>
            </w:r>
            <w:r w:rsidR="000569CC" w:rsidRPr="004D7EEA">
              <w:rPr>
                <w:sz w:val="20"/>
                <w:szCs w:val="20"/>
                <w:lang w:val="ru-RU" w:bidi="ru-RU"/>
              </w:rPr>
              <w:t>.</w:t>
            </w:r>
          </w:p>
        </w:tc>
      </w:tr>
      <w:tr w:rsidR="00A22D9F" w:rsidRPr="004D7EEA" w14:paraId="590E8530" w14:textId="77777777" w:rsidTr="004D7EEA">
        <w:trPr>
          <w:cantSplit/>
        </w:trPr>
        <w:tc>
          <w:tcPr>
            <w:tcW w:w="1696" w:type="dxa"/>
          </w:tcPr>
          <w:p w14:paraId="46139597" w14:textId="77777777" w:rsidR="00A22D9F" w:rsidRPr="004D7EEA" w:rsidRDefault="00A22D9F" w:rsidP="004D7EEA">
            <w:pPr>
              <w:jc w:val="center"/>
              <w:rPr>
                <w:sz w:val="20"/>
                <w:szCs w:val="20"/>
              </w:rPr>
            </w:pPr>
            <w:r w:rsidRPr="004D7EEA">
              <w:rPr>
                <w:sz w:val="20"/>
                <w:szCs w:val="20"/>
                <w:lang w:val="ru-RU" w:bidi="ru-RU"/>
              </w:rPr>
              <w:t>3.2</w:t>
            </w:r>
          </w:p>
        </w:tc>
        <w:tc>
          <w:tcPr>
            <w:tcW w:w="6096" w:type="dxa"/>
          </w:tcPr>
          <w:p w14:paraId="785E98B2" w14:textId="139D99A7" w:rsidR="00A22D9F" w:rsidRPr="004D7EEA" w:rsidRDefault="00A22D9F" w:rsidP="008F26B2">
            <w:pPr>
              <w:rPr>
                <w:sz w:val="20"/>
                <w:szCs w:val="20"/>
                <w:lang w:val="ru-RU"/>
              </w:rPr>
            </w:pPr>
            <w:r w:rsidRPr="004D7EEA">
              <w:rPr>
                <w:sz w:val="20"/>
                <w:szCs w:val="20"/>
                <w:lang w:val="ru-RU" w:bidi="ru-RU"/>
              </w:rPr>
              <w:t>Следует провести анализ для оценки того, не следует ли ввести определенные ограничения на заявки, имеющие право на освобождение от оплаты, такие как ограничение возможности предоставления планируемых услуг заявками, имеющими национальную зону обслуживания, или исключение заявок на регистрацию систем НГСО с несколькими конфигурациями и/или заявок, к которым применяются пределы э.п.п.м., требующие существенного объема ресурсов Бюро радиосвязи</w:t>
            </w:r>
          </w:p>
        </w:tc>
        <w:tc>
          <w:tcPr>
            <w:tcW w:w="5386" w:type="dxa"/>
            <w:shd w:val="clear" w:color="auto" w:fill="auto"/>
          </w:tcPr>
          <w:p w14:paraId="6014D282" w14:textId="6A705FB2" w:rsidR="00A22D9F" w:rsidRPr="004D7EEA" w:rsidRDefault="00A22D9F" w:rsidP="008F26B2">
            <w:pPr>
              <w:rPr>
                <w:sz w:val="20"/>
                <w:szCs w:val="20"/>
                <w:lang w:val="ru-RU"/>
              </w:rPr>
            </w:pPr>
            <w:r w:rsidRPr="004D7EEA">
              <w:rPr>
                <w:sz w:val="20"/>
                <w:szCs w:val="20"/>
                <w:lang w:val="ru-RU" w:bidi="ru-RU"/>
              </w:rPr>
              <w:t>Для справки, в Документе C23/16 сообщается, что, по оценкам, стоимость заявок, зарегистрированных бесплатно, составляет 1</w:t>
            </w:r>
            <w:r w:rsidR="00DF566A" w:rsidRPr="004D7EEA">
              <w:rPr>
                <w:sz w:val="20"/>
                <w:szCs w:val="20"/>
                <w:lang w:val="ru-RU" w:bidi="ru-RU"/>
              </w:rPr>
              <w:t> </w:t>
            </w:r>
            <w:r w:rsidRPr="004D7EEA">
              <w:rPr>
                <w:sz w:val="20"/>
                <w:szCs w:val="20"/>
                <w:lang w:val="ru-RU" w:bidi="ru-RU"/>
              </w:rPr>
              <w:t>461</w:t>
            </w:r>
            <w:r w:rsidR="00DF566A" w:rsidRPr="004D7EEA">
              <w:rPr>
                <w:sz w:val="20"/>
                <w:szCs w:val="20"/>
                <w:lang w:val="ru-RU" w:bidi="ru-RU"/>
              </w:rPr>
              <w:t> </w:t>
            </w:r>
            <w:r w:rsidRPr="004D7EEA">
              <w:rPr>
                <w:sz w:val="20"/>
                <w:szCs w:val="20"/>
                <w:lang w:val="ru-RU" w:bidi="ru-RU"/>
              </w:rPr>
              <w:t>379 швейцарских франков в 2021 году и 1</w:t>
            </w:r>
            <w:r w:rsidR="00DF566A" w:rsidRPr="004D7EEA">
              <w:rPr>
                <w:sz w:val="20"/>
                <w:szCs w:val="20"/>
                <w:lang w:val="ru-RU" w:bidi="ru-RU"/>
              </w:rPr>
              <w:t> </w:t>
            </w:r>
            <w:r w:rsidRPr="004D7EEA">
              <w:rPr>
                <w:sz w:val="20"/>
                <w:szCs w:val="20"/>
                <w:lang w:val="ru-RU" w:bidi="ru-RU"/>
              </w:rPr>
              <w:t>301</w:t>
            </w:r>
            <w:r w:rsidR="00DF566A" w:rsidRPr="004D7EEA">
              <w:rPr>
                <w:sz w:val="20"/>
                <w:szCs w:val="20"/>
                <w:lang w:val="ru-RU" w:bidi="ru-RU"/>
              </w:rPr>
              <w:t> </w:t>
            </w:r>
            <w:r w:rsidRPr="004D7EEA">
              <w:rPr>
                <w:sz w:val="20"/>
                <w:szCs w:val="20"/>
                <w:lang w:val="ru-RU" w:bidi="ru-RU"/>
              </w:rPr>
              <w:t xml:space="preserve">909 швейцарских франков в 2022 году. </w:t>
            </w:r>
            <w:r w:rsidR="00BC5FC4" w:rsidRPr="004D7EEA">
              <w:rPr>
                <w:sz w:val="20"/>
                <w:szCs w:val="20"/>
                <w:lang w:val="ru-RU" w:bidi="ru-RU"/>
              </w:rPr>
              <w:t>В</w:t>
            </w:r>
            <w:r w:rsidR="00DF566A" w:rsidRPr="004D7EEA">
              <w:rPr>
                <w:sz w:val="20"/>
                <w:szCs w:val="20"/>
                <w:lang w:val="ru-RU" w:bidi="ru-RU"/>
              </w:rPr>
              <w:t> </w:t>
            </w:r>
            <w:r w:rsidRPr="004D7EEA">
              <w:rPr>
                <w:sz w:val="20"/>
                <w:szCs w:val="20"/>
                <w:lang w:val="ru-RU" w:bidi="ru-RU"/>
              </w:rPr>
              <w:t>2022 год</w:t>
            </w:r>
            <w:r w:rsidR="00BC5FC4" w:rsidRPr="004D7EEA">
              <w:rPr>
                <w:sz w:val="20"/>
                <w:szCs w:val="20"/>
                <w:lang w:val="ru-RU" w:bidi="ru-RU"/>
              </w:rPr>
              <w:t xml:space="preserve">у </w:t>
            </w:r>
            <w:r w:rsidR="00CE5D46" w:rsidRPr="004D7EEA">
              <w:rPr>
                <w:sz w:val="20"/>
                <w:szCs w:val="20"/>
                <w:lang w:val="ru-RU" w:bidi="ru-RU"/>
              </w:rPr>
              <w:t xml:space="preserve">их </w:t>
            </w:r>
            <w:r w:rsidR="00BC5FC4" w:rsidRPr="004D7EEA">
              <w:rPr>
                <w:sz w:val="20"/>
                <w:szCs w:val="20"/>
                <w:lang w:val="ru-RU" w:bidi="ru-RU"/>
              </w:rPr>
              <w:t xml:space="preserve">стоимость </w:t>
            </w:r>
            <w:r w:rsidRPr="004D7EEA">
              <w:rPr>
                <w:sz w:val="20"/>
                <w:szCs w:val="20"/>
                <w:lang w:val="ru-RU" w:bidi="ru-RU"/>
              </w:rPr>
              <w:t xml:space="preserve">составляет </w:t>
            </w:r>
            <w:r w:rsidR="00BC5FC4" w:rsidRPr="004D7EEA">
              <w:rPr>
                <w:sz w:val="20"/>
                <w:szCs w:val="20"/>
                <w:lang w:val="ru-RU" w:bidi="ru-RU"/>
              </w:rPr>
              <w:t xml:space="preserve">более </w:t>
            </w:r>
            <w:r w:rsidRPr="004D7EEA">
              <w:rPr>
                <w:sz w:val="20"/>
                <w:szCs w:val="20"/>
                <w:lang w:val="ru-RU" w:bidi="ru-RU"/>
              </w:rPr>
              <w:t xml:space="preserve">10% от </w:t>
            </w:r>
            <w:r w:rsidR="00CE5D46" w:rsidRPr="004D7EEA">
              <w:rPr>
                <w:sz w:val="20"/>
                <w:szCs w:val="20"/>
                <w:lang w:val="ru-RU" w:bidi="ru-RU"/>
              </w:rPr>
              <w:t>общего объема доходов по линии возмещения затрат</w:t>
            </w:r>
            <w:r w:rsidRPr="004D7EEA">
              <w:rPr>
                <w:sz w:val="20"/>
                <w:szCs w:val="20"/>
                <w:lang w:val="ru-RU" w:bidi="ru-RU"/>
              </w:rPr>
              <w:t>.</w:t>
            </w:r>
          </w:p>
          <w:p w14:paraId="02E2FCF2" w14:textId="555D4442" w:rsidR="00A22D9F" w:rsidRPr="004D7EEA" w:rsidRDefault="00A22D9F" w:rsidP="008F26B2">
            <w:pPr>
              <w:rPr>
                <w:sz w:val="20"/>
                <w:szCs w:val="20"/>
                <w:lang w:val="ru-RU"/>
              </w:rPr>
            </w:pPr>
            <w:r w:rsidRPr="004D7EEA">
              <w:rPr>
                <w:sz w:val="20"/>
                <w:szCs w:val="20"/>
                <w:lang w:val="ru-RU" w:bidi="ru-RU"/>
              </w:rPr>
              <w:t>Канада/США отмечают, что предложенные конкретные идеи представляют интерес, и возможность введения таких ограничений для заявок, имеющих право на освобождение от оплаты, требу</w:t>
            </w:r>
            <w:r w:rsidR="00BC5FC4" w:rsidRPr="004D7EEA">
              <w:rPr>
                <w:sz w:val="20"/>
                <w:szCs w:val="20"/>
                <w:lang w:val="ru-RU" w:bidi="ru-RU"/>
              </w:rPr>
              <w:t>е</w:t>
            </w:r>
            <w:r w:rsidRPr="004D7EEA">
              <w:rPr>
                <w:sz w:val="20"/>
                <w:szCs w:val="20"/>
                <w:lang w:val="ru-RU" w:bidi="ru-RU"/>
              </w:rPr>
              <w:t>т дальнейшего рассмотрения</w:t>
            </w:r>
            <w:r w:rsidR="00CE5D46" w:rsidRPr="004D7EEA">
              <w:rPr>
                <w:sz w:val="20"/>
                <w:szCs w:val="20"/>
                <w:lang w:val="ru-RU" w:bidi="ru-RU"/>
              </w:rPr>
              <w:t>.</w:t>
            </w:r>
          </w:p>
        </w:tc>
      </w:tr>
      <w:tr w:rsidR="00A22D9F" w:rsidRPr="004D7EEA" w14:paraId="080FFCA2" w14:textId="77777777" w:rsidTr="004D7EEA">
        <w:trPr>
          <w:cantSplit/>
        </w:trPr>
        <w:tc>
          <w:tcPr>
            <w:tcW w:w="1696" w:type="dxa"/>
          </w:tcPr>
          <w:p w14:paraId="1D1861E7" w14:textId="77777777" w:rsidR="00A22D9F" w:rsidRPr="004D7EEA" w:rsidRDefault="00A22D9F" w:rsidP="004D7EEA">
            <w:pPr>
              <w:jc w:val="center"/>
              <w:rPr>
                <w:sz w:val="20"/>
                <w:szCs w:val="20"/>
              </w:rPr>
            </w:pPr>
            <w:r w:rsidRPr="004D7EEA">
              <w:rPr>
                <w:sz w:val="20"/>
                <w:szCs w:val="20"/>
                <w:lang w:val="ru-RU" w:bidi="ru-RU"/>
              </w:rPr>
              <w:t>3.3.1</w:t>
            </w:r>
          </w:p>
        </w:tc>
        <w:tc>
          <w:tcPr>
            <w:tcW w:w="6096" w:type="dxa"/>
          </w:tcPr>
          <w:p w14:paraId="4B708EC5" w14:textId="201C55F8" w:rsidR="00A22D9F" w:rsidRPr="004D7EEA" w:rsidRDefault="00A22D9F" w:rsidP="008F26B2">
            <w:pPr>
              <w:rPr>
                <w:sz w:val="20"/>
                <w:szCs w:val="20"/>
                <w:lang w:val="ru-RU"/>
              </w:rPr>
            </w:pPr>
            <w:r w:rsidRPr="004D7EEA">
              <w:rPr>
                <w:sz w:val="20"/>
                <w:szCs w:val="20"/>
                <w:lang w:val="ru-RU" w:bidi="ru-RU"/>
              </w:rPr>
              <w:t>хотя принцип освобождения следует и далее применять к заявкам на регистрацию в любительской спутниковой службе, Государствам-Членам следует напомнить об условиях соответствия, изложенных в пп. 1.56 и 1.57 Регламента радиосвязи</w:t>
            </w:r>
          </w:p>
        </w:tc>
        <w:tc>
          <w:tcPr>
            <w:tcW w:w="5386" w:type="dxa"/>
          </w:tcPr>
          <w:p w14:paraId="3821E9B8" w14:textId="29058F75" w:rsidR="00A22D9F" w:rsidRPr="004D7EEA" w:rsidRDefault="00A22D9F" w:rsidP="008F26B2">
            <w:pPr>
              <w:rPr>
                <w:sz w:val="20"/>
                <w:szCs w:val="20"/>
                <w:lang w:val="ru-RU"/>
              </w:rPr>
            </w:pPr>
            <w:r w:rsidRPr="004D7EEA">
              <w:rPr>
                <w:sz w:val="20"/>
                <w:szCs w:val="20"/>
                <w:lang w:val="ru-RU" w:bidi="ru-RU"/>
              </w:rPr>
              <w:t xml:space="preserve">Канада/США согласны с тем, что это освобождение должно продолжать применяться и что напоминание является уместным. </w:t>
            </w:r>
            <w:r w:rsidR="00601C90" w:rsidRPr="004D7EEA">
              <w:rPr>
                <w:sz w:val="20"/>
                <w:szCs w:val="20"/>
                <w:lang w:val="ru-RU" w:bidi="ru-RU"/>
              </w:rPr>
              <w:t>И</w:t>
            </w:r>
            <w:r w:rsidRPr="004D7EEA">
              <w:rPr>
                <w:sz w:val="20"/>
                <w:szCs w:val="20"/>
                <w:lang w:val="ru-RU" w:bidi="ru-RU"/>
              </w:rPr>
              <w:t>сследовани</w:t>
            </w:r>
            <w:r w:rsidR="00601C90" w:rsidRPr="004D7EEA">
              <w:rPr>
                <w:sz w:val="20"/>
                <w:szCs w:val="20"/>
                <w:lang w:val="ru-RU" w:bidi="ru-RU"/>
              </w:rPr>
              <w:t>е</w:t>
            </w:r>
            <w:r w:rsidRPr="004D7EEA">
              <w:rPr>
                <w:sz w:val="20"/>
                <w:szCs w:val="20"/>
                <w:lang w:val="ru-RU" w:bidi="ru-RU"/>
              </w:rPr>
              <w:t xml:space="preserve"> не требуется</w:t>
            </w:r>
            <w:r w:rsidR="00CE5D46" w:rsidRPr="004D7EEA">
              <w:rPr>
                <w:sz w:val="20"/>
                <w:szCs w:val="20"/>
                <w:lang w:val="ru-RU" w:bidi="ru-RU"/>
              </w:rPr>
              <w:t>.</w:t>
            </w:r>
          </w:p>
        </w:tc>
      </w:tr>
      <w:tr w:rsidR="00A22D9F" w:rsidRPr="004D7EEA" w14:paraId="1CEB674F" w14:textId="77777777" w:rsidTr="004D7EEA">
        <w:trPr>
          <w:cantSplit/>
        </w:trPr>
        <w:tc>
          <w:tcPr>
            <w:tcW w:w="1696" w:type="dxa"/>
          </w:tcPr>
          <w:p w14:paraId="685B7C96" w14:textId="77777777" w:rsidR="00A22D9F" w:rsidRPr="004D7EEA" w:rsidRDefault="00A22D9F" w:rsidP="004D7EEA">
            <w:pPr>
              <w:jc w:val="center"/>
              <w:rPr>
                <w:sz w:val="20"/>
                <w:szCs w:val="20"/>
              </w:rPr>
            </w:pPr>
            <w:r w:rsidRPr="004D7EEA">
              <w:rPr>
                <w:sz w:val="20"/>
                <w:szCs w:val="20"/>
                <w:lang w:val="ru-RU" w:bidi="ru-RU"/>
              </w:rPr>
              <w:lastRenderedPageBreak/>
              <w:t>3.3.2</w:t>
            </w:r>
          </w:p>
        </w:tc>
        <w:tc>
          <w:tcPr>
            <w:tcW w:w="6096" w:type="dxa"/>
          </w:tcPr>
          <w:p w14:paraId="18C76701" w14:textId="2F584DDA" w:rsidR="00A22D9F" w:rsidRPr="004D7EEA" w:rsidRDefault="0085350F" w:rsidP="008F26B2">
            <w:pPr>
              <w:rPr>
                <w:sz w:val="20"/>
                <w:szCs w:val="20"/>
                <w:lang w:val="ru-RU"/>
              </w:rPr>
            </w:pPr>
            <w:r w:rsidRPr="004D7EEA">
              <w:rPr>
                <w:sz w:val="20"/>
                <w:szCs w:val="20"/>
                <w:lang w:val="ru-RU" w:bidi="ru-RU"/>
              </w:rPr>
              <w:t>&lt;</w:t>
            </w:r>
            <w:r w:rsidR="00A22D9F" w:rsidRPr="004D7EEA">
              <w:rPr>
                <w:sz w:val="20"/>
                <w:szCs w:val="20"/>
                <w:lang w:val="ru-RU" w:bidi="ru-RU"/>
              </w:rPr>
              <w:t>...</w:t>
            </w:r>
            <w:r w:rsidRPr="004D7EEA">
              <w:rPr>
                <w:sz w:val="20"/>
                <w:szCs w:val="20"/>
                <w:lang w:val="ru-RU" w:bidi="ru-RU"/>
              </w:rPr>
              <w:t xml:space="preserve">&gt; </w:t>
            </w:r>
            <w:r w:rsidR="00727151" w:rsidRPr="004D7EEA">
              <w:rPr>
                <w:sz w:val="20"/>
                <w:szCs w:val="20"/>
                <w:lang w:val="ru-RU" w:bidi="ru-RU"/>
              </w:rPr>
              <w:t>[Т]</w:t>
            </w:r>
            <w:r w:rsidR="00A22D9F" w:rsidRPr="004D7EEA">
              <w:rPr>
                <w:sz w:val="20"/>
                <w:szCs w:val="20"/>
                <w:lang w:val="ru-RU" w:bidi="ru-RU"/>
              </w:rPr>
              <w:t>олько 15 или менее администраций в год представляют заявления на земные станции</w:t>
            </w:r>
            <w:r w:rsidR="00727151" w:rsidRPr="004D7EEA">
              <w:rPr>
                <w:sz w:val="20"/>
                <w:szCs w:val="20"/>
                <w:lang w:val="ru-RU" w:bidi="ru-RU"/>
              </w:rPr>
              <w:t>…</w:t>
            </w:r>
            <w:r w:rsidR="00A22D9F" w:rsidRPr="004D7EEA">
              <w:rPr>
                <w:sz w:val="20"/>
                <w:szCs w:val="20"/>
                <w:lang w:val="ru-RU" w:bidi="ru-RU"/>
              </w:rPr>
              <w:t xml:space="preserve"> </w:t>
            </w:r>
            <w:r w:rsidR="00727151" w:rsidRPr="004D7EEA">
              <w:rPr>
                <w:sz w:val="20"/>
                <w:szCs w:val="20"/>
                <w:lang w:val="ru-RU" w:bidi="ru-RU"/>
              </w:rPr>
              <w:t>что означает, что работа Бюро радиосвязи приносит основную пользу лишь нескольким администрациям. Поэтому следует провести исследования для определения того, следует ли уплачивать специальные сборы, если одной и той же администрацией представлено более определенного количества (подлежит определению) заявлений на земные станции</w:t>
            </w:r>
          </w:p>
        </w:tc>
        <w:tc>
          <w:tcPr>
            <w:tcW w:w="5386" w:type="dxa"/>
          </w:tcPr>
          <w:p w14:paraId="5B63C0E1" w14:textId="72044630" w:rsidR="00A22D9F" w:rsidRPr="004D7EEA" w:rsidRDefault="00A22D9F" w:rsidP="008F26B2">
            <w:pPr>
              <w:rPr>
                <w:sz w:val="20"/>
                <w:szCs w:val="20"/>
                <w:lang w:val="ru-RU"/>
              </w:rPr>
            </w:pPr>
            <w:r w:rsidRPr="004D7EEA">
              <w:rPr>
                <w:sz w:val="20"/>
                <w:szCs w:val="20"/>
                <w:lang w:val="ru-RU" w:bidi="ru-RU"/>
              </w:rPr>
              <w:t xml:space="preserve">Канада/США согласны с тем, что этот вопрос следует сделать областью исследования. В рамках этого исследования мы просим Бюро предоставить информацию с подробным описанием объема работы в процессе заявления земных станций. </w:t>
            </w:r>
            <w:r w:rsidR="00DF566A" w:rsidRPr="004D7EEA">
              <w:rPr>
                <w:sz w:val="20"/>
                <w:szCs w:val="20"/>
                <w:lang w:val="ru-RU" w:bidi="ru-RU"/>
              </w:rPr>
              <w:t xml:space="preserve">Возможны следующие аспекты: каково </w:t>
            </w:r>
            <w:r w:rsidRPr="004D7EEA">
              <w:rPr>
                <w:sz w:val="20"/>
                <w:szCs w:val="20"/>
                <w:lang w:val="ru-RU" w:bidi="ru-RU"/>
              </w:rPr>
              <w:t>количество ЗС</w:t>
            </w:r>
            <w:r w:rsidR="00DF566A" w:rsidRPr="004D7EEA">
              <w:rPr>
                <w:sz w:val="20"/>
                <w:szCs w:val="20"/>
                <w:lang w:val="ru-RU" w:bidi="ru-RU"/>
              </w:rPr>
              <w:t>;</w:t>
            </w:r>
            <w:r w:rsidRPr="004D7EEA">
              <w:rPr>
                <w:sz w:val="20"/>
                <w:szCs w:val="20"/>
                <w:lang w:val="ru-RU" w:bidi="ru-RU"/>
              </w:rPr>
              <w:t xml:space="preserve"> </w:t>
            </w:r>
            <w:r w:rsidR="00DF566A" w:rsidRPr="004D7EEA">
              <w:rPr>
                <w:sz w:val="20"/>
                <w:szCs w:val="20"/>
                <w:lang w:val="ru-RU" w:bidi="ru-RU"/>
              </w:rPr>
              <w:t xml:space="preserve">являются ли они </w:t>
            </w:r>
            <w:r w:rsidRPr="004D7EEA">
              <w:rPr>
                <w:sz w:val="20"/>
                <w:szCs w:val="20"/>
                <w:lang w:val="ru-RU" w:bidi="ru-RU"/>
              </w:rPr>
              <w:t>конкретны</w:t>
            </w:r>
            <w:r w:rsidR="00DF566A" w:rsidRPr="004D7EEA">
              <w:rPr>
                <w:sz w:val="20"/>
                <w:szCs w:val="20"/>
                <w:lang w:val="ru-RU" w:bidi="ru-RU"/>
              </w:rPr>
              <w:t>ми</w:t>
            </w:r>
            <w:r w:rsidRPr="004D7EEA">
              <w:rPr>
                <w:sz w:val="20"/>
                <w:szCs w:val="20"/>
                <w:lang w:val="ru-RU" w:bidi="ru-RU"/>
              </w:rPr>
              <w:t xml:space="preserve"> или типовы</w:t>
            </w:r>
            <w:r w:rsidR="00DF566A" w:rsidRPr="004D7EEA">
              <w:rPr>
                <w:sz w:val="20"/>
                <w:szCs w:val="20"/>
                <w:lang w:val="ru-RU" w:bidi="ru-RU"/>
              </w:rPr>
              <w:t>ми;</w:t>
            </w:r>
            <w:r w:rsidRPr="004D7EEA">
              <w:rPr>
                <w:sz w:val="20"/>
                <w:szCs w:val="20"/>
                <w:lang w:val="ru-RU" w:bidi="ru-RU"/>
              </w:rPr>
              <w:t xml:space="preserve"> связана ли ЗС с заявкой на регистрацию космического аппарата или </w:t>
            </w:r>
            <w:r w:rsidR="000569CC" w:rsidRPr="004D7EEA">
              <w:rPr>
                <w:sz w:val="20"/>
                <w:szCs w:val="20"/>
                <w:lang w:val="ru-RU" w:bidi="ru-RU"/>
              </w:rPr>
              <w:t xml:space="preserve">является </w:t>
            </w:r>
            <w:r w:rsidRPr="004D7EEA">
              <w:rPr>
                <w:sz w:val="20"/>
                <w:szCs w:val="20"/>
                <w:lang w:val="ru-RU" w:bidi="ru-RU"/>
              </w:rPr>
              <w:t xml:space="preserve">отдельной </w:t>
            </w:r>
            <w:r w:rsidR="000569CC" w:rsidRPr="004D7EEA">
              <w:rPr>
                <w:sz w:val="20"/>
                <w:szCs w:val="20"/>
                <w:lang w:val="ru-RU" w:bidi="ru-RU"/>
              </w:rPr>
              <w:t>ЗС, на которую подается заявка</w:t>
            </w:r>
            <w:r w:rsidR="00DF566A" w:rsidRPr="004D7EEA">
              <w:rPr>
                <w:sz w:val="20"/>
                <w:szCs w:val="20"/>
                <w:lang w:val="ru-RU" w:bidi="ru-RU"/>
              </w:rPr>
              <w:t>;</w:t>
            </w:r>
            <w:r w:rsidRPr="004D7EEA">
              <w:rPr>
                <w:sz w:val="20"/>
                <w:szCs w:val="20"/>
                <w:lang w:val="ru-RU" w:bidi="ru-RU"/>
              </w:rPr>
              <w:t xml:space="preserve"> пода</w:t>
            </w:r>
            <w:r w:rsidR="00DF566A" w:rsidRPr="004D7EEA">
              <w:rPr>
                <w:sz w:val="20"/>
                <w:szCs w:val="20"/>
                <w:lang w:val="ru-RU" w:bidi="ru-RU"/>
              </w:rPr>
              <w:t xml:space="preserve">ется </w:t>
            </w:r>
            <w:r w:rsidRPr="004D7EEA">
              <w:rPr>
                <w:sz w:val="20"/>
                <w:szCs w:val="20"/>
                <w:lang w:val="ru-RU" w:bidi="ru-RU"/>
              </w:rPr>
              <w:t xml:space="preserve">ли заявка на регистрацию ЗС администрацией, </w:t>
            </w:r>
            <w:r w:rsidR="00DF566A" w:rsidRPr="004D7EEA">
              <w:rPr>
                <w:sz w:val="20"/>
                <w:szCs w:val="20"/>
                <w:lang w:val="ru-RU" w:bidi="ru-RU"/>
              </w:rPr>
              <w:t xml:space="preserve">не являющейся </w:t>
            </w:r>
            <w:r w:rsidRPr="004D7EEA">
              <w:rPr>
                <w:sz w:val="20"/>
                <w:szCs w:val="20"/>
                <w:lang w:val="ru-RU" w:bidi="ru-RU"/>
              </w:rPr>
              <w:t>заявляющ</w:t>
            </w:r>
            <w:r w:rsidR="00DF566A" w:rsidRPr="004D7EEA">
              <w:rPr>
                <w:sz w:val="20"/>
                <w:szCs w:val="20"/>
                <w:lang w:val="ru-RU" w:bidi="ru-RU"/>
              </w:rPr>
              <w:t>ей</w:t>
            </w:r>
            <w:r w:rsidRPr="004D7EEA">
              <w:rPr>
                <w:sz w:val="20"/>
                <w:szCs w:val="20"/>
                <w:lang w:val="ru-RU" w:bidi="ru-RU"/>
              </w:rPr>
              <w:t xml:space="preserve"> администраци</w:t>
            </w:r>
            <w:r w:rsidR="00DF566A" w:rsidRPr="004D7EEA">
              <w:rPr>
                <w:sz w:val="20"/>
                <w:szCs w:val="20"/>
                <w:lang w:val="ru-RU" w:bidi="ru-RU"/>
              </w:rPr>
              <w:t>ей</w:t>
            </w:r>
            <w:r w:rsidRPr="004D7EEA">
              <w:rPr>
                <w:sz w:val="20"/>
                <w:szCs w:val="20"/>
                <w:lang w:val="ru-RU" w:bidi="ru-RU"/>
              </w:rPr>
              <w:t xml:space="preserve"> космической системы</w:t>
            </w:r>
            <w:r w:rsidR="00DF566A" w:rsidRPr="004D7EEA">
              <w:rPr>
                <w:sz w:val="20"/>
                <w:szCs w:val="20"/>
                <w:lang w:val="ru-RU" w:bidi="ru-RU"/>
              </w:rPr>
              <w:t>;</w:t>
            </w:r>
            <w:r w:rsidRPr="004D7EEA">
              <w:rPr>
                <w:sz w:val="20"/>
                <w:szCs w:val="20"/>
                <w:lang w:val="ru-RU" w:bidi="ru-RU"/>
              </w:rPr>
              <w:t xml:space="preserve"> </w:t>
            </w:r>
            <w:r w:rsidRPr="004D7EEA">
              <w:rPr>
                <w:iCs/>
                <w:sz w:val="20"/>
                <w:szCs w:val="20"/>
                <w:lang w:val="ru-RU" w:bidi="ru-RU"/>
              </w:rPr>
              <w:t>и т. д.</w:t>
            </w:r>
            <w:r w:rsidRPr="004D7EEA">
              <w:rPr>
                <w:sz w:val="20"/>
                <w:szCs w:val="20"/>
                <w:lang w:val="ru-RU" w:bidi="ru-RU"/>
              </w:rPr>
              <w:t xml:space="preserve"> Также см. раздел 6.1</w:t>
            </w:r>
            <w:r w:rsidR="00CE5D46" w:rsidRPr="004D7EEA">
              <w:rPr>
                <w:sz w:val="20"/>
                <w:szCs w:val="20"/>
                <w:lang w:val="ru-RU" w:bidi="ru-RU"/>
              </w:rPr>
              <w:t>.</w:t>
            </w:r>
          </w:p>
        </w:tc>
      </w:tr>
      <w:tr w:rsidR="00A22D9F" w:rsidRPr="004D7EEA" w14:paraId="48F86DAF" w14:textId="77777777" w:rsidTr="004D7EEA">
        <w:trPr>
          <w:cantSplit/>
        </w:trPr>
        <w:tc>
          <w:tcPr>
            <w:tcW w:w="1696" w:type="dxa"/>
          </w:tcPr>
          <w:p w14:paraId="0DE706F0" w14:textId="77777777" w:rsidR="00A22D9F" w:rsidRPr="004D7EEA" w:rsidRDefault="00A22D9F" w:rsidP="004D7EEA">
            <w:pPr>
              <w:jc w:val="center"/>
              <w:rPr>
                <w:sz w:val="20"/>
                <w:szCs w:val="20"/>
              </w:rPr>
            </w:pPr>
            <w:r w:rsidRPr="004D7EEA">
              <w:rPr>
                <w:sz w:val="20"/>
                <w:szCs w:val="20"/>
                <w:lang w:val="ru-RU" w:bidi="ru-RU"/>
              </w:rPr>
              <w:t>3.3.3</w:t>
            </w:r>
          </w:p>
        </w:tc>
        <w:tc>
          <w:tcPr>
            <w:tcW w:w="6096" w:type="dxa"/>
          </w:tcPr>
          <w:p w14:paraId="7301D25E" w14:textId="78DA6F31" w:rsidR="00A22D9F" w:rsidRPr="004D7EEA" w:rsidRDefault="00A22D9F" w:rsidP="008F26B2">
            <w:pPr>
              <w:rPr>
                <w:sz w:val="20"/>
                <w:szCs w:val="20"/>
                <w:lang w:val="ru-RU"/>
              </w:rPr>
            </w:pPr>
            <w:r w:rsidRPr="004D7EEA">
              <w:rPr>
                <w:sz w:val="20"/>
                <w:szCs w:val="20"/>
                <w:lang w:val="ru-RU" w:bidi="ru-RU"/>
              </w:rPr>
              <w:t>следует сохранить освобождение от оплаты для преобразования, пока оно остается в пределах национального выделения</w:t>
            </w:r>
          </w:p>
        </w:tc>
        <w:tc>
          <w:tcPr>
            <w:tcW w:w="5386" w:type="dxa"/>
            <w:shd w:val="clear" w:color="auto" w:fill="auto"/>
          </w:tcPr>
          <w:p w14:paraId="27F04E4B" w14:textId="09E6B040" w:rsidR="00A22D9F" w:rsidRPr="004D7EEA" w:rsidRDefault="00A22D9F" w:rsidP="008F26B2">
            <w:pPr>
              <w:rPr>
                <w:sz w:val="20"/>
                <w:szCs w:val="20"/>
                <w:lang w:val="ru-RU"/>
              </w:rPr>
            </w:pPr>
            <w:r w:rsidRPr="004D7EEA">
              <w:rPr>
                <w:sz w:val="20"/>
                <w:szCs w:val="20"/>
                <w:lang w:val="ru-RU" w:bidi="ru-RU"/>
              </w:rPr>
              <w:t>Канада/США согласны с тем, что это освобождение от оплаты должно продолжать применяться и что в проведении исследования нет необходимости</w:t>
            </w:r>
            <w:r w:rsidR="00CE5D46" w:rsidRPr="004D7EEA">
              <w:rPr>
                <w:sz w:val="20"/>
                <w:szCs w:val="20"/>
                <w:lang w:val="ru-RU" w:bidi="ru-RU"/>
              </w:rPr>
              <w:t>.</w:t>
            </w:r>
          </w:p>
        </w:tc>
      </w:tr>
      <w:tr w:rsidR="00A22D9F" w:rsidRPr="004D7EEA" w14:paraId="19D2D27C" w14:textId="77777777" w:rsidTr="004D7EEA">
        <w:trPr>
          <w:cantSplit/>
        </w:trPr>
        <w:tc>
          <w:tcPr>
            <w:tcW w:w="1696" w:type="dxa"/>
          </w:tcPr>
          <w:p w14:paraId="7D94B5A0" w14:textId="77777777" w:rsidR="00A22D9F" w:rsidRPr="004D7EEA" w:rsidRDefault="00A22D9F" w:rsidP="004D7EEA">
            <w:pPr>
              <w:jc w:val="center"/>
              <w:rPr>
                <w:sz w:val="20"/>
                <w:szCs w:val="20"/>
              </w:rPr>
            </w:pPr>
            <w:r w:rsidRPr="004D7EEA">
              <w:rPr>
                <w:sz w:val="20"/>
                <w:szCs w:val="20"/>
                <w:lang w:val="ru-RU" w:bidi="ru-RU"/>
              </w:rPr>
              <w:t>3.3.4</w:t>
            </w:r>
          </w:p>
        </w:tc>
        <w:tc>
          <w:tcPr>
            <w:tcW w:w="6096" w:type="dxa"/>
          </w:tcPr>
          <w:p w14:paraId="4D08C046" w14:textId="6EE8A635" w:rsidR="00A22D9F" w:rsidRPr="004D7EEA" w:rsidRDefault="00A22D9F" w:rsidP="008F26B2">
            <w:pPr>
              <w:rPr>
                <w:sz w:val="20"/>
                <w:szCs w:val="20"/>
                <w:lang w:val="ru-RU"/>
              </w:rPr>
            </w:pPr>
            <w:r w:rsidRPr="004D7EEA">
              <w:rPr>
                <w:sz w:val="20"/>
                <w:szCs w:val="20"/>
                <w:lang w:val="ru-RU" w:bidi="ru-RU"/>
              </w:rPr>
              <w:t>Это освобождение также связано с основным правом каждого Государства-Члена, вытекающим из Статьи 44 Устава МСЭ. В связи с этим для них следует сохранить освобождение от оплаты</w:t>
            </w:r>
          </w:p>
        </w:tc>
        <w:tc>
          <w:tcPr>
            <w:tcW w:w="5386" w:type="dxa"/>
          </w:tcPr>
          <w:p w14:paraId="63C50EBA" w14:textId="4AE68E1C" w:rsidR="00A22D9F" w:rsidRPr="004D7EEA" w:rsidRDefault="00A22D9F" w:rsidP="008F26B2">
            <w:pPr>
              <w:rPr>
                <w:sz w:val="20"/>
                <w:szCs w:val="20"/>
                <w:lang w:val="ru-RU"/>
              </w:rPr>
            </w:pPr>
            <w:r w:rsidRPr="004D7EEA">
              <w:rPr>
                <w:sz w:val="20"/>
                <w:szCs w:val="20"/>
                <w:lang w:val="ru-RU" w:bidi="ru-RU"/>
              </w:rPr>
              <w:t xml:space="preserve">Канада/США согласны с тем, что данное освобождение не следует продолжать применять и что </w:t>
            </w:r>
            <w:r w:rsidR="00727151" w:rsidRPr="004D7EEA">
              <w:rPr>
                <w:sz w:val="20"/>
                <w:szCs w:val="20"/>
                <w:lang w:val="ru-RU" w:bidi="ru-RU"/>
              </w:rPr>
              <w:t>в проведении исследования нет необходимости</w:t>
            </w:r>
            <w:r w:rsidR="00CE5D46" w:rsidRPr="004D7EEA">
              <w:rPr>
                <w:sz w:val="20"/>
                <w:szCs w:val="20"/>
                <w:lang w:val="ru-RU" w:bidi="ru-RU"/>
              </w:rPr>
              <w:t>.</w:t>
            </w:r>
          </w:p>
        </w:tc>
      </w:tr>
      <w:tr w:rsidR="00A22D9F" w:rsidRPr="004D7EEA" w14:paraId="44019B2C" w14:textId="77777777" w:rsidTr="004D7EEA">
        <w:trPr>
          <w:cantSplit/>
        </w:trPr>
        <w:tc>
          <w:tcPr>
            <w:tcW w:w="1696" w:type="dxa"/>
          </w:tcPr>
          <w:p w14:paraId="47E19B84" w14:textId="77777777" w:rsidR="00A22D9F" w:rsidRPr="004D7EEA" w:rsidRDefault="00A22D9F" w:rsidP="004D7EEA">
            <w:pPr>
              <w:jc w:val="center"/>
              <w:rPr>
                <w:sz w:val="20"/>
                <w:szCs w:val="20"/>
              </w:rPr>
            </w:pPr>
            <w:r w:rsidRPr="004D7EEA">
              <w:rPr>
                <w:sz w:val="20"/>
                <w:szCs w:val="20"/>
                <w:lang w:val="ru-RU" w:bidi="ru-RU"/>
              </w:rPr>
              <w:t>5.1</w:t>
            </w:r>
          </w:p>
        </w:tc>
        <w:tc>
          <w:tcPr>
            <w:tcW w:w="6096" w:type="dxa"/>
          </w:tcPr>
          <w:p w14:paraId="3517E0D5" w14:textId="6F7C22D6" w:rsidR="00A22D9F" w:rsidRPr="004D7EEA" w:rsidRDefault="00A22D9F" w:rsidP="008F26B2">
            <w:pPr>
              <w:rPr>
                <w:sz w:val="20"/>
                <w:szCs w:val="20"/>
                <w:lang w:val="ru-RU"/>
              </w:rPr>
            </w:pPr>
            <w:r w:rsidRPr="004D7EEA">
              <w:rPr>
                <w:sz w:val="20"/>
                <w:szCs w:val="20"/>
                <w:lang w:val="ru-RU" w:bidi="ru-RU"/>
              </w:rPr>
              <w:t>в настоящее время повторные представления, как правило, требуют большего объема работы, чем это было первоначально предусмотрено в 2005 году, в связи с дополнительной информацией, содержащейся в этих повторных представлениях, что делает необходимым проведение новых рассмотрений</w:t>
            </w:r>
            <w:r w:rsidR="00344D51" w:rsidRPr="004D7EEA">
              <w:rPr>
                <w:sz w:val="20"/>
                <w:szCs w:val="20"/>
                <w:lang w:val="ru-RU" w:bidi="ru-RU"/>
              </w:rPr>
              <w:t>.</w:t>
            </w:r>
          </w:p>
          <w:p w14:paraId="701928F6" w14:textId="7BE7649D" w:rsidR="00A22D9F" w:rsidRPr="004D7EEA" w:rsidRDefault="00344D51" w:rsidP="008F26B2">
            <w:pPr>
              <w:rPr>
                <w:sz w:val="20"/>
                <w:szCs w:val="20"/>
                <w:lang w:val="ru-RU"/>
              </w:rPr>
            </w:pPr>
            <w:r w:rsidRPr="004D7EEA">
              <w:rPr>
                <w:sz w:val="20"/>
                <w:szCs w:val="20"/>
                <w:lang w:val="ru-RU" w:bidi="ru-RU"/>
              </w:rPr>
              <w:t>&lt;</w:t>
            </w:r>
            <w:r w:rsidR="00A22D9F" w:rsidRPr="004D7EEA">
              <w:rPr>
                <w:sz w:val="20"/>
                <w:szCs w:val="20"/>
                <w:lang w:val="ru-RU" w:bidi="ru-RU"/>
              </w:rPr>
              <w:t>…</w:t>
            </w:r>
            <w:r w:rsidRPr="004D7EEA">
              <w:rPr>
                <w:sz w:val="20"/>
                <w:szCs w:val="20"/>
                <w:lang w:val="ru-RU" w:bidi="ru-RU"/>
              </w:rPr>
              <w:t>&gt;</w:t>
            </w:r>
          </w:p>
          <w:p w14:paraId="1045608D" w14:textId="42A7D861" w:rsidR="00A22D9F" w:rsidRPr="004D7EEA" w:rsidRDefault="00A22D9F" w:rsidP="008F26B2">
            <w:pPr>
              <w:rPr>
                <w:sz w:val="20"/>
                <w:szCs w:val="20"/>
                <w:lang w:val="ru-RU"/>
              </w:rPr>
            </w:pPr>
            <w:r w:rsidRPr="004D7EEA">
              <w:rPr>
                <w:sz w:val="20"/>
                <w:szCs w:val="20"/>
                <w:lang w:val="ru-RU" w:bidi="ru-RU"/>
              </w:rPr>
              <w:t>Таким образом, было бы полезно провести более глубокое исследование по возмещению затрат на повторные представления, с тем чтобы привести фактические затраты в соответствие с возмещаемыми суммами</w:t>
            </w:r>
          </w:p>
        </w:tc>
        <w:tc>
          <w:tcPr>
            <w:tcW w:w="5386" w:type="dxa"/>
          </w:tcPr>
          <w:p w14:paraId="5095CC60" w14:textId="77777777" w:rsidR="00A22D9F" w:rsidRPr="004D7EEA" w:rsidRDefault="00A22D9F" w:rsidP="008F26B2">
            <w:pPr>
              <w:rPr>
                <w:sz w:val="20"/>
                <w:szCs w:val="20"/>
                <w:lang w:val="ru-RU"/>
              </w:rPr>
            </w:pPr>
            <w:r w:rsidRPr="004D7EEA">
              <w:rPr>
                <w:sz w:val="20"/>
                <w:szCs w:val="20"/>
                <w:lang w:val="ru-RU" w:bidi="ru-RU"/>
              </w:rPr>
              <w:t>Канада/США согласны с тем, что такое исследование необходимо.</w:t>
            </w:r>
          </w:p>
          <w:p w14:paraId="113F49DF" w14:textId="1D9A7E28" w:rsidR="00A22D9F" w:rsidRPr="004D7EEA" w:rsidRDefault="00A22D9F" w:rsidP="008F26B2">
            <w:pPr>
              <w:rPr>
                <w:sz w:val="20"/>
                <w:szCs w:val="20"/>
                <w:lang w:val="ru-RU"/>
              </w:rPr>
            </w:pPr>
            <w:r w:rsidRPr="004D7EEA">
              <w:rPr>
                <w:sz w:val="20"/>
                <w:szCs w:val="20"/>
                <w:lang w:val="ru-RU" w:bidi="ru-RU"/>
              </w:rPr>
              <w:t>См. также раздел 2.1, случаи 1, 3, 4 и 5</w:t>
            </w:r>
            <w:r w:rsidR="00CE5D46" w:rsidRPr="004D7EEA">
              <w:rPr>
                <w:sz w:val="20"/>
                <w:szCs w:val="20"/>
                <w:lang w:val="ru-RU" w:bidi="ru-RU"/>
              </w:rPr>
              <w:t>.</w:t>
            </w:r>
          </w:p>
        </w:tc>
      </w:tr>
      <w:tr w:rsidR="00A22D9F" w:rsidRPr="004D7EEA" w14:paraId="7E8F191C" w14:textId="77777777" w:rsidTr="004D7EEA">
        <w:trPr>
          <w:cantSplit/>
        </w:trPr>
        <w:tc>
          <w:tcPr>
            <w:tcW w:w="1696" w:type="dxa"/>
          </w:tcPr>
          <w:p w14:paraId="0CAAB271" w14:textId="77777777" w:rsidR="00A22D9F" w:rsidRPr="004D7EEA" w:rsidRDefault="00A22D9F" w:rsidP="004D7EEA">
            <w:pPr>
              <w:jc w:val="center"/>
              <w:rPr>
                <w:sz w:val="20"/>
                <w:szCs w:val="20"/>
              </w:rPr>
            </w:pPr>
            <w:r w:rsidRPr="004D7EEA">
              <w:rPr>
                <w:sz w:val="20"/>
                <w:szCs w:val="20"/>
                <w:lang w:val="ru-RU" w:bidi="ru-RU"/>
              </w:rPr>
              <w:lastRenderedPageBreak/>
              <w:t>5.2</w:t>
            </w:r>
          </w:p>
        </w:tc>
        <w:tc>
          <w:tcPr>
            <w:tcW w:w="6096" w:type="dxa"/>
          </w:tcPr>
          <w:p w14:paraId="0B8C4929" w14:textId="085164FB" w:rsidR="00A22D9F" w:rsidRPr="004D7EEA" w:rsidRDefault="00A22D9F" w:rsidP="008F26B2">
            <w:pPr>
              <w:rPr>
                <w:sz w:val="20"/>
                <w:szCs w:val="20"/>
                <w:lang w:val="ru-RU"/>
              </w:rPr>
            </w:pPr>
            <w:r w:rsidRPr="004D7EEA">
              <w:rPr>
                <w:sz w:val="20"/>
                <w:szCs w:val="20"/>
                <w:lang w:val="ru-RU" w:bidi="ru-RU"/>
              </w:rPr>
              <w:t>За их применение можно по-прежнему взимать плату, как и за заявление, но следует провести пересмотр затрат, связанных с этими дополнительными положениями</w:t>
            </w:r>
          </w:p>
        </w:tc>
        <w:tc>
          <w:tcPr>
            <w:tcW w:w="5386" w:type="dxa"/>
          </w:tcPr>
          <w:p w14:paraId="1FDF4E89" w14:textId="25A68062" w:rsidR="00A22D9F" w:rsidRPr="004D7EEA" w:rsidRDefault="00A22D9F" w:rsidP="008F26B2">
            <w:pPr>
              <w:rPr>
                <w:sz w:val="20"/>
                <w:szCs w:val="20"/>
                <w:lang w:val="ru-RU"/>
              </w:rPr>
            </w:pPr>
            <w:r w:rsidRPr="004D7EEA">
              <w:rPr>
                <w:sz w:val="20"/>
                <w:szCs w:val="20"/>
                <w:lang w:val="ru-RU" w:bidi="ru-RU"/>
              </w:rPr>
              <w:t>Это относится к Резолюциям 4 и 49, пп. 11.32A (см. примечание a), 11.41, 11.47, 11.49, подраздел</w:t>
            </w:r>
            <w:r w:rsidR="003A4F95" w:rsidRPr="004D7EEA">
              <w:rPr>
                <w:sz w:val="20"/>
                <w:szCs w:val="20"/>
                <w:lang w:val="ru-RU" w:bidi="ru-RU"/>
              </w:rPr>
              <w:t>у</w:t>
            </w:r>
            <w:r w:rsidRPr="004D7EEA">
              <w:rPr>
                <w:sz w:val="20"/>
                <w:szCs w:val="20"/>
                <w:lang w:val="ru-RU" w:bidi="ru-RU"/>
              </w:rPr>
              <w:t xml:space="preserve"> IID Статьи 9, </w:t>
            </w:r>
            <w:r w:rsidR="00CE5D46" w:rsidRPr="004D7EEA">
              <w:rPr>
                <w:sz w:val="20"/>
                <w:szCs w:val="20"/>
                <w:lang w:val="ru-RU" w:bidi="ru-RU"/>
              </w:rPr>
              <w:t xml:space="preserve">разделам </w:t>
            </w:r>
            <w:r w:rsidRPr="004D7EEA">
              <w:rPr>
                <w:sz w:val="20"/>
                <w:szCs w:val="20"/>
                <w:lang w:val="ru-RU" w:bidi="ru-RU"/>
              </w:rPr>
              <w:t>1 и 2 Статьи 13, Стать</w:t>
            </w:r>
            <w:r w:rsidR="003A4F95" w:rsidRPr="004D7EEA">
              <w:rPr>
                <w:sz w:val="20"/>
                <w:szCs w:val="20"/>
                <w:lang w:val="ru-RU" w:bidi="ru-RU"/>
              </w:rPr>
              <w:t>е</w:t>
            </w:r>
            <w:r w:rsidRPr="004D7EEA">
              <w:rPr>
                <w:sz w:val="20"/>
                <w:szCs w:val="20"/>
                <w:lang w:val="ru-RU" w:bidi="ru-RU"/>
              </w:rPr>
              <w:t xml:space="preserve"> 14.</w:t>
            </w:r>
          </w:p>
          <w:p w14:paraId="54D4B0CA" w14:textId="10E789B4" w:rsidR="00A22D9F" w:rsidRPr="004D7EEA" w:rsidRDefault="00A22D9F" w:rsidP="008F26B2">
            <w:pPr>
              <w:rPr>
                <w:sz w:val="20"/>
                <w:szCs w:val="20"/>
                <w:lang w:val="ru-RU"/>
              </w:rPr>
            </w:pPr>
            <w:r w:rsidRPr="004D7EEA">
              <w:rPr>
                <w:sz w:val="20"/>
                <w:szCs w:val="20"/>
                <w:lang w:val="ru-RU" w:bidi="ru-RU"/>
              </w:rPr>
              <w:t>Канада/США согласны с тем, что этот вопрос следует сделать областью исследования. В рамках этого исследования Канада/США просят Бюро предоставить подробную информацию о стоимости применения этих положений</w:t>
            </w:r>
            <w:r w:rsidR="00CE5D46" w:rsidRPr="004D7EEA">
              <w:rPr>
                <w:sz w:val="20"/>
                <w:szCs w:val="20"/>
                <w:lang w:val="ru-RU" w:bidi="ru-RU"/>
              </w:rPr>
              <w:t>.</w:t>
            </w:r>
          </w:p>
        </w:tc>
      </w:tr>
      <w:tr w:rsidR="00A22D9F" w:rsidRPr="004D7EEA" w14:paraId="1CBE77D0" w14:textId="77777777" w:rsidTr="004D7EEA">
        <w:trPr>
          <w:cantSplit/>
        </w:trPr>
        <w:tc>
          <w:tcPr>
            <w:tcW w:w="1696" w:type="dxa"/>
          </w:tcPr>
          <w:p w14:paraId="52C33E4F" w14:textId="77777777" w:rsidR="00A22D9F" w:rsidRPr="004D7EEA" w:rsidRDefault="00A22D9F" w:rsidP="004D7EEA">
            <w:pPr>
              <w:jc w:val="center"/>
              <w:rPr>
                <w:sz w:val="20"/>
                <w:szCs w:val="20"/>
              </w:rPr>
            </w:pPr>
            <w:r w:rsidRPr="004D7EEA">
              <w:rPr>
                <w:sz w:val="20"/>
                <w:szCs w:val="20"/>
                <w:lang w:val="ru-RU" w:bidi="ru-RU"/>
              </w:rPr>
              <w:t>6.1</w:t>
            </w:r>
          </w:p>
        </w:tc>
        <w:tc>
          <w:tcPr>
            <w:tcW w:w="6096" w:type="dxa"/>
          </w:tcPr>
          <w:p w14:paraId="273A2F59" w14:textId="03874A11" w:rsidR="00A22D9F" w:rsidRPr="004D7EEA" w:rsidRDefault="00A22D9F" w:rsidP="008F26B2">
            <w:pPr>
              <w:rPr>
                <w:sz w:val="20"/>
                <w:szCs w:val="20"/>
              </w:rPr>
            </w:pPr>
            <w:r w:rsidRPr="004D7EEA">
              <w:rPr>
                <w:sz w:val="20"/>
                <w:szCs w:val="20"/>
                <w:lang w:val="ru-RU" w:bidi="ru-RU"/>
              </w:rPr>
              <w:t>В то же время с 1 июля 2019 года Бюро радиосвязи получило пять заявок на регистрацию систем НГСО, содержащих более чем 75</w:t>
            </w:r>
            <w:r w:rsidR="00CE5D46" w:rsidRPr="004D7EEA">
              <w:rPr>
                <w:sz w:val="20"/>
                <w:szCs w:val="20"/>
                <w:lang w:val="ru-RU" w:bidi="ru-RU"/>
              </w:rPr>
              <w:t> </w:t>
            </w:r>
            <w:r w:rsidRPr="004D7EEA">
              <w:rPr>
                <w:sz w:val="20"/>
                <w:szCs w:val="20"/>
                <w:lang w:val="ru-RU" w:bidi="ru-RU"/>
              </w:rPr>
              <w:t>000 единиц. Кроме того, в формуле расчета единиц для систем НГСО не учитывается число различных орбитальных высот, число спутников, число земных станций и другие характеристики, влияющие на объем работы при рассмотрении. Поэтому эти аспекты следует изучить дополнительно</w:t>
            </w:r>
          </w:p>
        </w:tc>
        <w:tc>
          <w:tcPr>
            <w:tcW w:w="5386" w:type="dxa"/>
          </w:tcPr>
          <w:p w14:paraId="7E372A37" w14:textId="684CA9A6" w:rsidR="00A22D9F" w:rsidRPr="004D7EEA" w:rsidRDefault="00A22D9F" w:rsidP="008F26B2">
            <w:pPr>
              <w:rPr>
                <w:sz w:val="20"/>
                <w:szCs w:val="20"/>
                <w:lang w:val="ru-RU"/>
              </w:rPr>
            </w:pPr>
            <w:r w:rsidRPr="004D7EEA">
              <w:rPr>
                <w:sz w:val="20"/>
                <w:szCs w:val="20"/>
                <w:lang w:val="ru-RU" w:bidi="ru-RU"/>
              </w:rPr>
              <w:t xml:space="preserve">Несмотря на то что количество таких очень крупных систем НГСО на сегодняшний день ограничено, Канада/США согласны с тем, что это следует сделать </w:t>
            </w:r>
            <w:r w:rsidR="00F946A8" w:rsidRPr="004D7EEA">
              <w:rPr>
                <w:sz w:val="20"/>
                <w:szCs w:val="20"/>
                <w:lang w:val="ru-RU" w:bidi="ru-RU"/>
              </w:rPr>
              <w:t>предметом</w:t>
            </w:r>
            <w:r w:rsidRPr="004D7EEA">
              <w:rPr>
                <w:sz w:val="20"/>
                <w:szCs w:val="20"/>
                <w:lang w:val="ru-RU" w:bidi="ru-RU"/>
              </w:rPr>
              <w:t xml:space="preserve"> исследования. В рамках этого исследования мы просим Бюро предоставить информацию о </w:t>
            </w:r>
            <w:r w:rsidR="00F946A8" w:rsidRPr="004D7EEA">
              <w:rPr>
                <w:sz w:val="20"/>
                <w:szCs w:val="20"/>
                <w:lang w:val="ru-RU" w:bidi="ru-RU"/>
              </w:rPr>
              <w:t>воздействии</w:t>
            </w:r>
            <w:r w:rsidRPr="004D7EEA">
              <w:rPr>
                <w:sz w:val="20"/>
                <w:szCs w:val="20"/>
                <w:lang w:val="ru-RU" w:bidi="ru-RU"/>
              </w:rPr>
              <w:t xml:space="preserve"> количества различных орбитальных высот, количества спутников, </w:t>
            </w:r>
            <w:r w:rsidR="00F946A8" w:rsidRPr="004D7EEA">
              <w:rPr>
                <w:sz w:val="20"/>
                <w:szCs w:val="20"/>
                <w:lang w:val="ru-RU" w:bidi="ru-RU"/>
              </w:rPr>
              <w:t>числа</w:t>
            </w:r>
            <w:r w:rsidRPr="004D7EEA">
              <w:rPr>
                <w:sz w:val="20"/>
                <w:szCs w:val="20"/>
                <w:lang w:val="ru-RU" w:bidi="ru-RU"/>
              </w:rPr>
              <w:t xml:space="preserve"> земных станций или других характеристик, влияющих на объем работы при рассмотрении.</w:t>
            </w:r>
          </w:p>
          <w:p w14:paraId="440C08E8" w14:textId="2E733FCB" w:rsidR="00A22D9F" w:rsidRPr="004D7EEA" w:rsidRDefault="00A22D9F" w:rsidP="008F26B2">
            <w:pPr>
              <w:rPr>
                <w:sz w:val="20"/>
                <w:szCs w:val="20"/>
              </w:rPr>
            </w:pPr>
            <w:r w:rsidRPr="004D7EEA">
              <w:rPr>
                <w:sz w:val="20"/>
                <w:szCs w:val="20"/>
                <w:lang w:val="ru-RU" w:bidi="ru-RU"/>
              </w:rPr>
              <w:t>См. также разделы 3.3.2 и 9.1</w:t>
            </w:r>
          </w:p>
        </w:tc>
      </w:tr>
      <w:tr w:rsidR="00A22D9F" w:rsidRPr="004D7EEA" w14:paraId="0935979B" w14:textId="77777777" w:rsidTr="004D7EEA">
        <w:trPr>
          <w:cantSplit/>
        </w:trPr>
        <w:tc>
          <w:tcPr>
            <w:tcW w:w="1696" w:type="dxa"/>
          </w:tcPr>
          <w:p w14:paraId="52071DA2" w14:textId="77777777" w:rsidR="00A22D9F" w:rsidRPr="004D7EEA" w:rsidRDefault="00A22D9F" w:rsidP="004D7EEA">
            <w:pPr>
              <w:jc w:val="center"/>
              <w:rPr>
                <w:sz w:val="20"/>
                <w:szCs w:val="20"/>
              </w:rPr>
            </w:pPr>
            <w:r w:rsidRPr="004D7EEA">
              <w:rPr>
                <w:sz w:val="20"/>
                <w:szCs w:val="20"/>
                <w:lang w:val="ru-RU" w:bidi="ru-RU"/>
              </w:rPr>
              <w:t>6.2</w:t>
            </w:r>
          </w:p>
        </w:tc>
        <w:tc>
          <w:tcPr>
            <w:tcW w:w="6096" w:type="dxa"/>
          </w:tcPr>
          <w:p w14:paraId="7608BD18" w14:textId="16631841" w:rsidR="00A22D9F" w:rsidRPr="004D7EEA" w:rsidRDefault="00A22D9F" w:rsidP="008F26B2">
            <w:pPr>
              <w:rPr>
                <w:sz w:val="20"/>
                <w:szCs w:val="20"/>
                <w:lang w:val="ru-RU"/>
              </w:rPr>
            </w:pPr>
            <w:r w:rsidRPr="004D7EEA">
              <w:rPr>
                <w:sz w:val="20"/>
                <w:szCs w:val="20"/>
                <w:lang w:val="ru-RU" w:bidi="ru-RU"/>
              </w:rPr>
              <w:t>качество полученных заявок на регистрацию стало ниже, чем ранее, когда они были в основном подготовлены опытными операторами спутниковых сетей. По этим случаям следует провести исследования, с тем чтобы рассмотреть вопрос о введении единиц для категорий А1 и N4, при этом в зависимости от количества единиц будут взиматься разные сборы</w:t>
            </w:r>
          </w:p>
        </w:tc>
        <w:tc>
          <w:tcPr>
            <w:tcW w:w="5386" w:type="dxa"/>
          </w:tcPr>
          <w:p w14:paraId="484B3B7A" w14:textId="78312864" w:rsidR="00A22D9F" w:rsidRPr="004D7EEA" w:rsidRDefault="00A22D9F" w:rsidP="008F26B2">
            <w:pPr>
              <w:rPr>
                <w:sz w:val="20"/>
                <w:szCs w:val="20"/>
                <w:lang w:val="ru-RU"/>
              </w:rPr>
            </w:pPr>
            <w:r w:rsidRPr="004D7EEA">
              <w:rPr>
                <w:sz w:val="20"/>
                <w:szCs w:val="20"/>
                <w:lang w:val="ru-RU" w:bidi="ru-RU"/>
              </w:rPr>
              <w:t xml:space="preserve">Канада/США согласны с тем, что </w:t>
            </w:r>
            <w:r w:rsidR="00F946A8" w:rsidRPr="004D7EEA">
              <w:rPr>
                <w:sz w:val="20"/>
                <w:szCs w:val="20"/>
                <w:lang w:val="ru-RU" w:bidi="ru-RU"/>
              </w:rPr>
              <w:t>это</w:t>
            </w:r>
            <w:r w:rsidRPr="004D7EEA">
              <w:rPr>
                <w:sz w:val="20"/>
                <w:szCs w:val="20"/>
                <w:lang w:val="ru-RU" w:bidi="ru-RU"/>
              </w:rPr>
              <w:t xml:space="preserve"> исследование необходимо</w:t>
            </w:r>
            <w:r w:rsidR="00CE5D46" w:rsidRPr="004D7EEA">
              <w:rPr>
                <w:sz w:val="20"/>
                <w:szCs w:val="20"/>
                <w:lang w:val="ru-RU" w:bidi="ru-RU"/>
              </w:rPr>
              <w:t>.</w:t>
            </w:r>
          </w:p>
        </w:tc>
      </w:tr>
      <w:tr w:rsidR="00A22D9F" w:rsidRPr="004D7EEA" w14:paraId="07451289" w14:textId="77777777" w:rsidTr="004D7EEA">
        <w:trPr>
          <w:cantSplit/>
        </w:trPr>
        <w:tc>
          <w:tcPr>
            <w:tcW w:w="1696" w:type="dxa"/>
          </w:tcPr>
          <w:p w14:paraId="6805D871" w14:textId="77777777" w:rsidR="00A22D9F" w:rsidRPr="004D7EEA" w:rsidRDefault="00A22D9F" w:rsidP="004D7EEA">
            <w:pPr>
              <w:jc w:val="center"/>
              <w:rPr>
                <w:sz w:val="20"/>
                <w:szCs w:val="20"/>
              </w:rPr>
            </w:pPr>
            <w:r w:rsidRPr="004D7EEA">
              <w:rPr>
                <w:sz w:val="20"/>
                <w:szCs w:val="20"/>
                <w:lang w:val="ru-RU" w:bidi="ru-RU"/>
              </w:rPr>
              <w:lastRenderedPageBreak/>
              <w:t>6.3</w:t>
            </w:r>
          </w:p>
        </w:tc>
        <w:tc>
          <w:tcPr>
            <w:tcW w:w="6096" w:type="dxa"/>
          </w:tcPr>
          <w:p w14:paraId="434D5DAA" w14:textId="77777777" w:rsidR="00A22D9F" w:rsidRPr="004D7EEA" w:rsidRDefault="00A22D9F" w:rsidP="008F26B2">
            <w:pPr>
              <w:rPr>
                <w:sz w:val="20"/>
                <w:szCs w:val="20"/>
                <w:lang w:val="ru-RU"/>
              </w:rPr>
            </w:pPr>
            <w:r w:rsidRPr="004D7EEA">
              <w:rPr>
                <w:sz w:val="20"/>
                <w:szCs w:val="20"/>
                <w:lang w:val="ru-RU" w:bidi="ru-RU"/>
              </w:rPr>
              <w:t xml:space="preserve">Для систем НГСО, к которым применяются пределы э.п.п.м., по-прежнему требуются значительные дополнительные ресурсы не только для вычисления кривых э.п.п.м., но и для подготовки данных и анализа результатов. </w:t>
            </w:r>
          </w:p>
          <w:p w14:paraId="0A0F0AD8" w14:textId="2F974305" w:rsidR="00A22D9F" w:rsidRPr="004D7EEA" w:rsidRDefault="00344D51" w:rsidP="008F26B2">
            <w:pPr>
              <w:rPr>
                <w:sz w:val="20"/>
                <w:szCs w:val="20"/>
                <w:lang w:val="ru-RU"/>
              </w:rPr>
            </w:pPr>
            <w:r w:rsidRPr="004D7EEA">
              <w:rPr>
                <w:sz w:val="20"/>
                <w:szCs w:val="20"/>
                <w:lang w:val="ru-RU" w:bidi="ru-RU"/>
              </w:rPr>
              <w:t>&lt;</w:t>
            </w:r>
            <w:r w:rsidR="00A22D9F" w:rsidRPr="004D7EEA">
              <w:rPr>
                <w:sz w:val="20"/>
                <w:szCs w:val="20"/>
                <w:lang w:val="ru-RU" w:bidi="ru-RU"/>
              </w:rPr>
              <w:t>…</w:t>
            </w:r>
            <w:r w:rsidRPr="004D7EEA">
              <w:rPr>
                <w:sz w:val="20"/>
                <w:szCs w:val="20"/>
                <w:lang w:val="ru-RU" w:bidi="ru-RU"/>
              </w:rPr>
              <w:t>&gt;</w:t>
            </w:r>
          </w:p>
          <w:p w14:paraId="7E1FA9E7" w14:textId="77777777" w:rsidR="00A22D9F" w:rsidRPr="004D7EEA" w:rsidRDefault="00A22D9F" w:rsidP="008F26B2">
            <w:pPr>
              <w:rPr>
                <w:sz w:val="20"/>
                <w:szCs w:val="20"/>
                <w:lang w:val="ru-RU"/>
              </w:rPr>
            </w:pPr>
            <w:r w:rsidRPr="004D7EEA">
              <w:rPr>
                <w:sz w:val="20"/>
                <w:szCs w:val="20"/>
                <w:lang w:val="ru-RU" w:bidi="ru-RU"/>
              </w:rPr>
              <w:t>Вследствие этого следует изучить возможность введения специального дополнительного сбора на возмещение затрат на рассмотрение запросов о координации и заявлений в отношении э.п.п.м.</w:t>
            </w:r>
          </w:p>
        </w:tc>
        <w:tc>
          <w:tcPr>
            <w:tcW w:w="5386" w:type="dxa"/>
          </w:tcPr>
          <w:p w14:paraId="1FC5EDEB" w14:textId="721037E5" w:rsidR="00A22D9F" w:rsidRPr="004D7EEA" w:rsidRDefault="00A22D9F" w:rsidP="008F26B2">
            <w:pPr>
              <w:rPr>
                <w:sz w:val="20"/>
                <w:szCs w:val="20"/>
                <w:lang w:val="ru-RU"/>
              </w:rPr>
            </w:pPr>
            <w:r w:rsidRPr="004D7EEA">
              <w:rPr>
                <w:sz w:val="20"/>
                <w:szCs w:val="20"/>
                <w:lang w:val="ru-RU" w:bidi="ru-RU"/>
              </w:rPr>
              <w:t xml:space="preserve">Канада/США согласны с тем, что </w:t>
            </w:r>
            <w:r w:rsidR="00152802" w:rsidRPr="004D7EEA">
              <w:rPr>
                <w:sz w:val="20"/>
                <w:szCs w:val="20"/>
                <w:lang w:val="ru-RU" w:bidi="ru-RU"/>
              </w:rPr>
              <w:t xml:space="preserve">следует провести исследование </w:t>
            </w:r>
            <w:r w:rsidRPr="004D7EEA">
              <w:rPr>
                <w:sz w:val="20"/>
                <w:szCs w:val="20"/>
                <w:lang w:val="ru-RU" w:bidi="ru-RU"/>
              </w:rPr>
              <w:t>это</w:t>
            </w:r>
            <w:r w:rsidR="00152802" w:rsidRPr="004D7EEA">
              <w:rPr>
                <w:sz w:val="20"/>
                <w:szCs w:val="20"/>
                <w:lang w:val="ru-RU" w:bidi="ru-RU"/>
              </w:rPr>
              <w:t>го</w:t>
            </w:r>
            <w:r w:rsidRPr="004D7EEA">
              <w:rPr>
                <w:sz w:val="20"/>
                <w:szCs w:val="20"/>
                <w:lang w:val="ru-RU" w:bidi="ru-RU"/>
              </w:rPr>
              <w:t xml:space="preserve"> дополнительн</w:t>
            </w:r>
            <w:r w:rsidR="00152802" w:rsidRPr="004D7EEA">
              <w:rPr>
                <w:sz w:val="20"/>
                <w:szCs w:val="20"/>
                <w:lang w:val="ru-RU" w:bidi="ru-RU"/>
              </w:rPr>
              <w:t>ого</w:t>
            </w:r>
            <w:r w:rsidRPr="004D7EEA">
              <w:rPr>
                <w:sz w:val="20"/>
                <w:szCs w:val="20"/>
                <w:lang w:val="ru-RU" w:bidi="ru-RU"/>
              </w:rPr>
              <w:t xml:space="preserve"> сбор</w:t>
            </w:r>
            <w:r w:rsidR="00152802" w:rsidRPr="004D7EEA">
              <w:rPr>
                <w:sz w:val="20"/>
                <w:szCs w:val="20"/>
                <w:lang w:val="ru-RU" w:bidi="ru-RU"/>
              </w:rPr>
              <w:t>а</w:t>
            </w:r>
            <w:r w:rsidRPr="004D7EEA">
              <w:rPr>
                <w:sz w:val="20"/>
                <w:szCs w:val="20"/>
                <w:lang w:val="ru-RU" w:bidi="ru-RU"/>
              </w:rPr>
              <w:t xml:space="preserve"> на возмещение затрат на рассмотрение запросов о координации и заявлений в отношении э.п.п.м. В рамках этого исследования Канада/США просят Бюро предоставить информацию о </w:t>
            </w:r>
            <w:r w:rsidR="00152802" w:rsidRPr="004D7EEA">
              <w:rPr>
                <w:sz w:val="20"/>
                <w:szCs w:val="20"/>
                <w:lang w:val="ru-RU" w:bidi="ru-RU"/>
              </w:rPr>
              <w:t>стоимости</w:t>
            </w:r>
            <w:r w:rsidRPr="004D7EEA">
              <w:rPr>
                <w:sz w:val="20"/>
                <w:szCs w:val="20"/>
                <w:lang w:val="ru-RU" w:bidi="ru-RU"/>
              </w:rPr>
              <w:t xml:space="preserve"> анализа э.п.п.м. (См. раздел 3.2)</w:t>
            </w:r>
            <w:r w:rsidR="00CE5D46" w:rsidRPr="004D7EEA">
              <w:rPr>
                <w:sz w:val="20"/>
                <w:szCs w:val="20"/>
                <w:lang w:val="ru-RU" w:bidi="ru-RU"/>
              </w:rPr>
              <w:t>.</w:t>
            </w:r>
          </w:p>
        </w:tc>
      </w:tr>
      <w:tr w:rsidR="00A22D9F" w:rsidRPr="004D7EEA" w14:paraId="48A87B2D" w14:textId="77777777" w:rsidTr="004D7EEA">
        <w:trPr>
          <w:cantSplit/>
        </w:trPr>
        <w:tc>
          <w:tcPr>
            <w:tcW w:w="1696" w:type="dxa"/>
          </w:tcPr>
          <w:p w14:paraId="7FE4D427" w14:textId="77777777" w:rsidR="00A22D9F" w:rsidRPr="004D7EEA" w:rsidRDefault="00A22D9F" w:rsidP="004D7EEA">
            <w:pPr>
              <w:jc w:val="center"/>
              <w:rPr>
                <w:sz w:val="20"/>
                <w:szCs w:val="20"/>
              </w:rPr>
            </w:pPr>
            <w:r w:rsidRPr="004D7EEA">
              <w:rPr>
                <w:sz w:val="20"/>
                <w:szCs w:val="20"/>
                <w:lang w:val="ru-RU" w:bidi="ru-RU"/>
              </w:rPr>
              <w:t>6.3</w:t>
            </w:r>
          </w:p>
        </w:tc>
        <w:tc>
          <w:tcPr>
            <w:tcW w:w="6096" w:type="dxa"/>
          </w:tcPr>
          <w:p w14:paraId="08ABD9D4" w14:textId="624FF419" w:rsidR="00A22D9F" w:rsidRPr="004D7EEA" w:rsidRDefault="00344D51" w:rsidP="008F26B2">
            <w:pPr>
              <w:rPr>
                <w:sz w:val="20"/>
                <w:szCs w:val="20"/>
                <w:lang w:val="ru-RU"/>
              </w:rPr>
            </w:pPr>
            <w:r w:rsidRPr="004D7EEA">
              <w:rPr>
                <w:sz w:val="20"/>
                <w:szCs w:val="20"/>
                <w:lang w:val="ru-RU" w:bidi="ru-RU"/>
              </w:rPr>
              <w:t>&lt;</w:t>
            </w:r>
            <w:r w:rsidR="00A22D9F" w:rsidRPr="004D7EEA">
              <w:rPr>
                <w:sz w:val="20"/>
                <w:szCs w:val="20"/>
                <w:lang w:val="ru-RU" w:bidi="ru-RU"/>
              </w:rPr>
              <w:t>…</w:t>
            </w:r>
            <w:r w:rsidRPr="004D7EEA">
              <w:rPr>
                <w:sz w:val="20"/>
                <w:szCs w:val="20"/>
                <w:lang w:val="ru-RU" w:bidi="ru-RU"/>
              </w:rPr>
              <w:t>&gt;</w:t>
            </w:r>
          </w:p>
          <w:p w14:paraId="43D03EA8" w14:textId="6C99FC7B" w:rsidR="00A22D9F" w:rsidRPr="004D7EEA" w:rsidRDefault="00A22D9F" w:rsidP="008F26B2">
            <w:pPr>
              <w:rPr>
                <w:sz w:val="20"/>
                <w:szCs w:val="20"/>
                <w:lang w:val="ru-RU"/>
              </w:rPr>
            </w:pPr>
            <w:r w:rsidRPr="004D7EEA">
              <w:rPr>
                <w:sz w:val="20"/>
                <w:szCs w:val="20"/>
                <w:lang w:val="ru-RU" w:bidi="ru-RU"/>
              </w:rPr>
              <w:t>Кроме того, увеличение числа и сложности систем НГСО, к которым применяются пределы э.п.п.м., приводит к необходимости почти постоянного обновления методики проверки э.п.п.м. МСЭ-R, содержащейся в Рекомендации МСЭ-R S.1503, что влечет за собой изменения в обработке и рассмотрении. Все эти аспекты требуют разработки и частого обновления специального программного обеспечения</w:t>
            </w:r>
          </w:p>
          <w:p w14:paraId="2700860E" w14:textId="02B7451D" w:rsidR="00A22D9F" w:rsidRPr="004D7EEA" w:rsidRDefault="00344D51" w:rsidP="008F26B2">
            <w:pPr>
              <w:rPr>
                <w:sz w:val="20"/>
                <w:szCs w:val="20"/>
                <w:lang w:val="en-US"/>
              </w:rPr>
            </w:pPr>
            <w:r w:rsidRPr="004D7EEA">
              <w:rPr>
                <w:sz w:val="20"/>
                <w:szCs w:val="20"/>
                <w:lang w:val="en-US" w:bidi="ru-RU"/>
              </w:rPr>
              <w:t>&lt;</w:t>
            </w:r>
            <w:r w:rsidR="00A22D9F" w:rsidRPr="004D7EEA">
              <w:rPr>
                <w:sz w:val="20"/>
                <w:szCs w:val="20"/>
                <w:lang w:val="ru-RU" w:bidi="ru-RU"/>
              </w:rPr>
              <w:t>…</w:t>
            </w:r>
            <w:r w:rsidRPr="004D7EEA">
              <w:rPr>
                <w:sz w:val="20"/>
                <w:szCs w:val="20"/>
                <w:lang w:val="en-US" w:bidi="ru-RU"/>
              </w:rPr>
              <w:t>&gt;</w:t>
            </w:r>
          </w:p>
        </w:tc>
        <w:tc>
          <w:tcPr>
            <w:tcW w:w="5386" w:type="dxa"/>
          </w:tcPr>
          <w:p w14:paraId="5A238473" w14:textId="77777777" w:rsidR="00A22D9F" w:rsidRPr="004D7EEA" w:rsidRDefault="00A22D9F" w:rsidP="008F26B2">
            <w:pPr>
              <w:rPr>
                <w:sz w:val="20"/>
                <w:szCs w:val="20"/>
                <w:lang w:val="ru-RU"/>
              </w:rPr>
            </w:pPr>
            <w:r w:rsidRPr="004D7EEA">
              <w:rPr>
                <w:sz w:val="20"/>
                <w:szCs w:val="20"/>
                <w:lang w:val="ru-RU" w:bidi="ru-RU"/>
              </w:rPr>
              <w:t>Канада/США считают разумным вывод о том, что дополнительная нагрузка на ресурсы, связанная с обновлением/пересмотром программного обеспечения, должна покрываться за счет дополнительного сбора за рассмотрение э.п.п.м.</w:t>
            </w:r>
          </w:p>
          <w:p w14:paraId="6AEAB180" w14:textId="733D3829" w:rsidR="00A22D9F" w:rsidRPr="004D7EEA" w:rsidRDefault="00A22D9F" w:rsidP="008F26B2">
            <w:pPr>
              <w:rPr>
                <w:sz w:val="20"/>
                <w:szCs w:val="20"/>
              </w:rPr>
            </w:pPr>
            <w:r w:rsidRPr="004D7EEA">
              <w:rPr>
                <w:sz w:val="20"/>
                <w:szCs w:val="20"/>
                <w:lang w:val="ru-RU" w:bidi="ru-RU"/>
              </w:rPr>
              <w:t>См. раздел 9.1</w:t>
            </w:r>
            <w:r w:rsidR="00CE5D46" w:rsidRPr="004D7EEA">
              <w:rPr>
                <w:sz w:val="20"/>
                <w:szCs w:val="20"/>
                <w:lang w:val="ru-RU" w:bidi="ru-RU"/>
              </w:rPr>
              <w:t>.</w:t>
            </w:r>
          </w:p>
        </w:tc>
      </w:tr>
      <w:tr w:rsidR="00A22D9F" w:rsidRPr="004D7EEA" w14:paraId="3DC0EC12" w14:textId="77777777" w:rsidTr="004D7EEA">
        <w:trPr>
          <w:cantSplit/>
        </w:trPr>
        <w:tc>
          <w:tcPr>
            <w:tcW w:w="1696" w:type="dxa"/>
          </w:tcPr>
          <w:p w14:paraId="028A5AF9" w14:textId="77777777" w:rsidR="00A22D9F" w:rsidRPr="004D7EEA" w:rsidRDefault="00A22D9F" w:rsidP="004D7EEA">
            <w:pPr>
              <w:jc w:val="center"/>
              <w:rPr>
                <w:sz w:val="20"/>
                <w:szCs w:val="20"/>
              </w:rPr>
            </w:pPr>
            <w:r w:rsidRPr="004D7EEA">
              <w:rPr>
                <w:sz w:val="20"/>
                <w:szCs w:val="20"/>
                <w:lang w:val="ru-RU" w:bidi="ru-RU"/>
              </w:rPr>
              <w:t>6.4</w:t>
            </w:r>
          </w:p>
        </w:tc>
        <w:tc>
          <w:tcPr>
            <w:tcW w:w="6096" w:type="dxa"/>
          </w:tcPr>
          <w:p w14:paraId="10D0ABF8" w14:textId="6A77EA66" w:rsidR="00A22D9F" w:rsidRPr="004D7EEA" w:rsidRDefault="00A22D9F" w:rsidP="008F26B2">
            <w:pPr>
              <w:rPr>
                <w:sz w:val="20"/>
                <w:szCs w:val="20"/>
              </w:rPr>
            </w:pPr>
            <w:r w:rsidRPr="004D7EEA">
              <w:rPr>
                <w:sz w:val="20"/>
                <w:szCs w:val="20"/>
                <w:lang w:val="ru-RU" w:bidi="ru-RU"/>
              </w:rPr>
              <w:t>Начиная с 2005 года ВКР также ввели ряд изменений в Планы космических служб (например, возможность второго рассмотрения при обработке представлений по Части B или дополнительных видов деятельности, связанных с поддержанием плановых частотных присвоений способом, аналогичным описанным в разделе 6.2). Следует также изучить последствия этих изменений для каталога цен</w:t>
            </w:r>
          </w:p>
        </w:tc>
        <w:tc>
          <w:tcPr>
            <w:tcW w:w="5386" w:type="dxa"/>
          </w:tcPr>
          <w:p w14:paraId="306214B3" w14:textId="0EA0735C" w:rsidR="00A22D9F" w:rsidRPr="004D7EEA" w:rsidRDefault="00A22D9F" w:rsidP="008F26B2">
            <w:pPr>
              <w:rPr>
                <w:sz w:val="20"/>
                <w:szCs w:val="20"/>
                <w:lang w:val="ru-RU"/>
              </w:rPr>
            </w:pPr>
            <w:r w:rsidRPr="004D7EEA">
              <w:rPr>
                <w:sz w:val="20"/>
                <w:szCs w:val="20"/>
                <w:lang w:val="ru-RU" w:bidi="ru-RU"/>
              </w:rPr>
              <w:t xml:space="preserve">Канада/США согласны с тем, что </w:t>
            </w:r>
            <w:r w:rsidR="00DA7A08" w:rsidRPr="004D7EEA">
              <w:rPr>
                <w:sz w:val="20"/>
                <w:szCs w:val="20"/>
                <w:lang w:val="ru-RU" w:bidi="ru-RU"/>
              </w:rPr>
              <w:t>следует</w:t>
            </w:r>
            <w:r w:rsidRPr="004D7EEA">
              <w:rPr>
                <w:sz w:val="20"/>
                <w:szCs w:val="20"/>
                <w:lang w:val="ru-RU" w:bidi="ru-RU"/>
              </w:rPr>
              <w:t xml:space="preserve"> провести исследование последствий этих изменений в Планах космических служб</w:t>
            </w:r>
            <w:r w:rsidR="00CE5D46" w:rsidRPr="004D7EEA">
              <w:rPr>
                <w:sz w:val="20"/>
                <w:szCs w:val="20"/>
                <w:lang w:val="ru-RU" w:bidi="ru-RU"/>
              </w:rPr>
              <w:t>.</w:t>
            </w:r>
          </w:p>
        </w:tc>
      </w:tr>
      <w:tr w:rsidR="00A22D9F" w:rsidRPr="004D7EEA" w14:paraId="5E4C6E53" w14:textId="77777777" w:rsidTr="004D7EEA">
        <w:trPr>
          <w:cantSplit/>
        </w:trPr>
        <w:tc>
          <w:tcPr>
            <w:tcW w:w="1696" w:type="dxa"/>
          </w:tcPr>
          <w:p w14:paraId="2D2D4E99" w14:textId="77777777" w:rsidR="00A22D9F" w:rsidRPr="004D7EEA" w:rsidRDefault="00A22D9F" w:rsidP="004D7EEA">
            <w:pPr>
              <w:jc w:val="center"/>
              <w:rPr>
                <w:sz w:val="20"/>
                <w:szCs w:val="20"/>
              </w:rPr>
            </w:pPr>
            <w:r w:rsidRPr="004D7EEA">
              <w:rPr>
                <w:sz w:val="20"/>
                <w:szCs w:val="20"/>
                <w:lang w:val="ru-RU" w:bidi="ru-RU"/>
              </w:rPr>
              <w:t>7</w:t>
            </w:r>
          </w:p>
        </w:tc>
        <w:tc>
          <w:tcPr>
            <w:tcW w:w="6096" w:type="dxa"/>
          </w:tcPr>
          <w:p w14:paraId="3E2D182D" w14:textId="77777777" w:rsidR="00A22D9F" w:rsidRPr="004D7EEA" w:rsidRDefault="00A22D9F" w:rsidP="008F26B2">
            <w:pPr>
              <w:rPr>
                <w:sz w:val="20"/>
                <w:szCs w:val="20"/>
                <w:lang w:val="ru-RU"/>
              </w:rPr>
            </w:pPr>
            <w:r w:rsidRPr="004D7EEA">
              <w:rPr>
                <w:sz w:val="20"/>
                <w:szCs w:val="20"/>
                <w:lang w:val="ru-RU" w:bidi="ru-RU"/>
              </w:rPr>
              <w:t>Что хорошо работает в Решении 482 Совета и что не следует менять</w:t>
            </w:r>
          </w:p>
        </w:tc>
        <w:tc>
          <w:tcPr>
            <w:tcW w:w="5386" w:type="dxa"/>
          </w:tcPr>
          <w:p w14:paraId="630552F5" w14:textId="3C764AA4" w:rsidR="00A22D9F" w:rsidRPr="004D7EEA" w:rsidRDefault="00A22D9F" w:rsidP="008F26B2">
            <w:pPr>
              <w:rPr>
                <w:sz w:val="20"/>
                <w:szCs w:val="20"/>
                <w:lang w:val="ru-RU"/>
              </w:rPr>
            </w:pPr>
            <w:r w:rsidRPr="004D7EEA">
              <w:rPr>
                <w:sz w:val="20"/>
                <w:szCs w:val="20"/>
                <w:lang w:val="ru-RU" w:bidi="ru-RU"/>
              </w:rPr>
              <w:t>Канада/США согласны с тем, что аспекты Решения 482 Совета, которые работают хорошо, не следует менять или рассматривать</w:t>
            </w:r>
            <w:r w:rsidR="00CE5D46" w:rsidRPr="004D7EEA">
              <w:rPr>
                <w:sz w:val="20"/>
                <w:szCs w:val="20"/>
                <w:lang w:val="ru-RU" w:bidi="ru-RU"/>
              </w:rPr>
              <w:t>.</w:t>
            </w:r>
          </w:p>
        </w:tc>
      </w:tr>
      <w:tr w:rsidR="00A22D9F" w:rsidRPr="004D7EEA" w14:paraId="17921CFC" w14:textId="77777777" w:rsidTr="004D7EEA">
        <w:trPr>
          <w:cantSplit/>
        </w:trPr>
        <w:tc>
          <w:tcPr>
            <w:tcW w:w="1696" w:type="dxa"/>
          </w:tcPr>
          <w:p w14:paraId="35314084" w14:textId="77777777" w:rsidR="00A22D9F" w:rsidRPr="004D7EEA" w:rsidRDefault="00A22D9F" w:rsidP="004D7EEA">
            <w:pPr>
              <w:jc w:val="center"/>
              <w:rPr>
                <w:sz w:val="20"/>
                <w:szCs w:val="20"/>
              </w:rPr>
            </w:pPr>
            <w:r w:rsidRPr="004D7EEA">
              <w:rPr>
                <w:sz w:val="20"/>
                <w:szCs w:val="20"/>
                <w:lang w:val="ru-RU" w:bidi="ru-RU"/>
              </w:rPr>
              <w:lastRenderedPageBreak/>
              <w:t>8.1</w:t>
            </w:r>
          </w:p>
        </w:tc>
        <w:tc>
          <w:tcPr>
            <w:tcW w:w="6096" w:type="dxa"/>
          </w:tcPr>
          <w:p w14:paraId="3D84E40A" w14:textId="42D59AC3" w:rsidR="00A22D9F" w:rsidRPr="004D7EEA" w:rsidRDefault="00A22D9F" w:rsidP="008F26B2">
            <w:pPr>
              <w:rPr>
                <w:sz w:val="20"/>
                <w:szCs w:val="20"/>
                <w:lang w:val="ru-RU"/>
              </w:rPr>
            </w:pPr>
            <w:r w:rsidRPr="004D7EEA">
              <w:rPr>
                <w:sz w:val="20"/>
                <w:szCs w:val="20"/>
                <w:lang w:val="ru-RU" w:bidi="ru-RU"/>
              </w:rPr>
              <w:t>группа экспертов Совета могла бы изучить вопрос о том, можно ли также использовать сборы за обработку заявок на регистрацию спутниковых сетей для возмещения затрат, понесенных МСЭ при оказании всем странам, в особенности развивающимся, помощи в использовании спутников для обеспечения универсальной возможности установления соединений и устойчивой цифровой трансформации, в том числе в разработке цифровых или программных инструментов для этой цели</w:t>
            </w:r>
          </w:p>
        </w:tc>
        <w:tc>
          <w:tcPr>
            <w:tcW w:w="5386" w:type="dxa"/>
            <w:shd w:val="clear" w:color="auto" w:fill="auto"/>
          </w:tcPr>
          <w:p w14:paraId="2E2D368A" w14:textId="211A5497" w:rsidR="00A22D9F" w:rsidRPr="004D7EEA" w:rsidRDefault="00A22D9F" w:rsidP="008F26B2">
            <w:pPr>
              <w:rPr>
                <w:i/>
                <w:iCs/>
                <w:sz w:val="20"/>
                <w:szCs w:val="20"/>
                <w:lang w:val="ru-RU"/>
              </w:rPr>
            </w:pPr>
            <w:r w:rsidRPr="004D7EEA">
              <w:rPr>
                <w:sz w:val="20"/>
                <w:szCs w:val="20"/>
                <w:lang w:val="ru-RU" w:bidi="ru-RU"/>
              </w:rPr>
              <w:t xml:space="preserve">Канада/США всегда утверждали, что возмещение затрат на </w:t>
            </w:r>
            <w:r w:rsidR="00DA7A08" w:rsidRPr="004D7EEA">
              <w:rPr>
                <w:sz w:val="20"/>
                <w:szCs w:val="20"/>
                <w:lang w:val="ru-RU" w:bidi="ru-RU"/>
              </w:rPr>
              <w:t>регистрацию спутников</w:t>
            </w:r>
            <w:r w:rsidR="00844750" w:rsidRPr="004D7EEA">
              <w:rPr>
                <w:sz w:val="20"/>
                <w:szCs w:val="20"/>
                <w:lang w:val="ru-RU" w:bidi="ru-RU"/>
              </w:rPr>
              <w:t xml:space="preserve">ой сети </w:t>
            </w:r>
            <w:r w:rsidRPr="004D7EEA">
              <w:rPr>
                <w:sz w:val="20"/>
                <w:szCs w:val="20"/>
                <w:lang w:val="ru-RU" w:bidi="ru-RU"/>
              </w:rPr>
              <w:t>должно быть направлено на возмещение фактических затрат сотрудников БР, обрабатывающих заявки на регистрацию спутников</w:t>
            </w:r>
            <w:r w:rsidR="00DA7A08" w:rsidRPr="004D7EEA">
              <w:rPr>
                <w:sz w:val="20"/>
                <w:szCs w:val="20"/>
                <w:lang w:val="ru-RU" w:bidi="ru-RU"/>
              </w:rPr>
              <w:t>ы</w:t>
            </w:r>
            <w:r w:rsidR="00844750" w:rsidRPr="004D7EEA">
              <w:rPr>
                <w:sz w:val="20"/>
                <w:szCs w:val="20"/>
                <w:lang w:val="ru-RU" w:bidi="ru-RU"/>
              </w:rPr>
              <w:t>х сетей</w:t>
            </w:r>
            <w:r w:rsidRPr="004D7EEA">
              <w:rPr>
                <w:sz w:val="20"/>
                <w:szCs w:val="20"/>
                <w:lang w:val="ru-RU" w:bidi="ru-RU"/>
              </w:rPr>
              <w:t xml:space="preserve">. Поддержку стран со стороны БР следует </w:t>
            </w:r>
            <w:r w:rsidR="007456BD" w:rsidRPr="004D7EEA">
              <w:rPr>
                <w:sz w:val="20"/>
                <w:szCs w:val="20"/>
                <w:lang w:val="ru-RU" w:bidi="ru-RU"/>
              </w:rPr>
              <w:t>осуществлять</w:t>
            </w:r>
            <w:r w:rsidRPr="004D7EEA">
              <w:rPr>
                <w:sz w:val="20"/>
                <w:szCs w:val="20"/>
                <w:lang w:val="ru-RU" w:bidi="ru-RU"/>
              </w:rPr>
              <w:t xml:space="preserve"> в ходе обычной деятельности БР и следует покрывать из общего бюджета МСЭ-R, а не в составе сумм возмещения затрат. Эту область не следует включать в сферу исследования</w:t>
            </w:r>
            <w:r w:rsidR="00CE5D46" w:rsidRPr="004D7EEA">
              <w:rPr>
                <w:sz w:val="20"/>
                <w:szCs w:val="20"/>
                <w:lang w:val="ru-RU" w:bidi="ru-RU"/>
              </w:rPr>
              <w:t>.</w:t>
            </w:r>
          </w:p>
        </w:tc>
      </w:tr>
      <w:tr w:rsidR="00A22D9F" w:rsidRPr="004D7EEA" w14:paraId="1BDA9BC1" w14:textId="77777777" w:rsidTr="004D7EEA">
        <w:trPr>
          <w:cantSplit/>
        </w:trPr>
        <w:tc>
          <w:tcPr>
            <w:tcW w:w="1696" w:type="dxa"/>
          </w:tcPr>
          <w:p w14:paraId="5B6EA2A6" w14:textId="77777777" w:rsidR="00A22D9F" w:rsidRPr="004D7EEA" w:rsidRDefault="00A22D9F" w:rsidP="004D7EEA">
            <w:pPr>
              <w:jc w:val="center"/>
              <w:rPr>
                <w:sz w:val="20"/>
                <w:szCs w:val="20"/>
              </w:rPr>
            </w:pPr>
            <w:r w:rsidRPr="004D7EEA">
              <w:rPr>
                <w:sz w:val="20"/>
                <w:szCs w:val="20"/>
                <w:lang w:val="ru-RU" w:bidi="ru-RU"/>
              </w:rPr>
              <w:t>9.1</w:t>
            </w:r>
          </w:p>
        </w:tc>
        <w:tc>
          <w:tcPr>
            <w:tcW w:w="6096" w:type="dxa"/>
          </w:tcPr>
          <w:p w14:paraId="3E628F80" w14:textId="2B82DE95" w:rsidR="00A22D9F" w:rsidRPr="004D7EEA" w:rsidRDefault="00A22D9F" w:rsidP="008F26B2">
            <w:pPr>
              <w:rPr>
                <w:sz w:val="20"/>
                <w:szCs w:val="20"/>
                <w:lang w:val="ru-RU"/>
              </w:rPr>
            </w:pPr>
            <w:r w:rsidRPr="004D7EEA">
              <w:rPr>
                <w:sz w:val="20"/>
                <w:szCs w:val="20"/>
                <w:lang w:val="ru-RU" w:bidi="ru-RU"/>
              </w:rPr>
              <w:t>На сессии КГР 2023 года был сделан вывод о том, что у Бюро радиосвязи нет достаточных выделенных ресурсов, необходимых для постоянного обновления и модернизации приложений программного обеспечения Бюро, используемого для заявок на спутниковые и наземные системы... Группе экспертов Совета также может быть поручено изучить возможные механизмы решения этой проблемы нехватки ресурсов</w:t>
            </w:r>
          </w:p>
        </w:tc>
        <w:tc>
          <w:tcPr>
            <w:tcW w:w="5386" w:type="dxa"/>
          </w:tcPr>
          <w:p w14:paraId="6627E921" w14:textId="03DAF814" w:rsidR="00A22D9F" w:rsidRPr="004D7EEA" w:rsidRDefault="00A22D9F" w:rsidP="008F26B2">
            <w:pPr>
              <w:rPr>
                <w:sz w:val="20"/>
                <w:szCs w:val="20"/>
                <w:lang w:val="ru-RU"/>
              </w:rPr>
            </w:pPr>
            <w:r w:rsidRPr="004D7EEA">
              <w:rPr>
                <w:sz w:val="20"/>
                <w:szCs w:val="20"/>
                <w:lang w:val="ru-RU" w:bidi="ru-RU"/>
              </w:rPr>
              <w:t xml:space="preserve">Канада/США согласны с тем, что </w:t>
            </w:r>
            <w:r w:rsidR="0030524D" w:rsidRPr="004D7EEA">
              <w:rPr>
                <w:sz w:val="20"/>
                <w:szCs w:val="20"/>
                <w:lang w:val="ru-RU" w:bidi="ru-RU"/>
              </w:rPr>
              <w:t xml:space="preserve">Группа </w:t>
            </w:r>
            <w:r w:rsidRPr="004D7EEA">
              <w:rPr>
                <w:sz w:val="20"/>
                <w:szCs w:val="20"/>
                <w:lang w:val="ru-RU" w:bidi="ru-RU"/>
              </w:rPr>
              <w:t>экспертов Совета по возмещению затрат</w:t>
            </w:r>
            <w:r w:rsidR="00CE5D46" w:rsidRPr="004D7EEA">
              <w:rPr>
                <w:sz w:val="20"/>
                <w:szCs w:val="20"/>
                <w:lang w:val="ru-RU" w:bidi="ru-RU"/>
              </w:rPr>
              <w:t xml:space="preserve"> на</w:t>
            </w:r>
            <w:r w:rsidRPr="004D7EEA">
              <w:rPr>
                <w:sz w:val="20"/>
                <w:szCs w:val="20"/>
                <w:lang w:val="ru-RU" w:bidi="ru-RU"/>
              </w:rPr>
              <w:t xml:space="preserve"> обработку заявок на регистрацию спутниковых </w:t>
            </w:r>
            <w:r w:rsidR="00844750" w:rsidRPr="004D7EEA">
              <w:rPr>
                <w:sz w:val="20"/>
                <w:szCs w:val="20"/>
                <w:lang w:val="ru-RU" w:bidi="ru-RU"/>
              </w:rPr>
              <w:t>сетей</w:t>
            </w:r>
            <w:r w:rsidRPr="004D7EEA">
              <w:rPr>
                <w:sz w:val="20"/>
                <w:szCs w:val="20"/>
                <w:lang w:val="ru-RU" w:bidi="ru-RU"/>
              </w:rPr>
              <w:t xml:space="preserve"> могла бы рассмотреть вопрос о выделении ресурсов, необходимых для постоянного обновления и модернизации программного обеспечения Бюро, используемого для обработки заявок на регистрацию спутниковых </w:t>
            </w:r>
            <w:r w:rsidR="00844750" w:rsidRPr="004D7EEA">
              <w:rPr>
                <w:sz w:val="20"/>
                <w:szCs w:val="20"/>
                <w:lang w:val="ru-RU" w:bidi="ru-RU"/>
              </w:rPr>
              <w:t>сетей</w:t>
            </w:r>
            <w:r w:rsidRPr="004D7EEA">
              <w:rPr>
                <w:sz w:val="20"/>
                <w:szCs w:val="20"/>
                <w:lang w:val="ru-RU" w:bidi="ru-RU"/>
              </w:rPr>
              <w:t xml:space="preserve">. Однако, как отмечалось выше, возмещение затрат на обработку заявок на регистрацию спутниковых </w:t>
            </w:r>
            <w:r w:rsidR="00844750" w:rsidRPr="004D7EEA">
              <w:rPr>
                <w:sz w:val="20"/>
                <w:szCs w:val="20"/>
                <w:lang w:val="ru-RU" w:bidi="ru-RU"/>
              </w:rPr>
              <w:t>сетей</w:t>
            </w:r>
            <w:r w:rsidRPr="004D7EEA">
              <w:rPr>
                <w:sz w:val="20"/>
                <w:szCs w:val="20"/>
                <w:lang w:val="ru-RU" w:bidi="ru-RU"/>
              </w:rPr>
              <w:t xml:space="preserve"> ограничено возмещением затрат, связанных с обработкой БР заявок на регистрацию спутниковых </w:t>
            </w:r>
            <w:r w:rsidR="00844750" w:rsidRPr="004D7EEA">
              <w:rPr>
                <w:sz w:val="20"/>
                <w:szCs w:val="20"/>
                <w:lang w:val="ru-RU" w:bidi="ru-RU"/>
              </w:rPr>
              <w:t>сетей</w:t>
            </w:r>
            <w:r w:rsidRPr="004D7EEA">
              <w:rPr>
                <w:sz w:val="20"/>
                <w:szCs w:val="20"/>
                <w:lang w:val="ru-RU" w:bidi="ru-RU"/>
              </w:rPr>
              <w:t>. Таким образом, его не следует использовать для финансирования разработки инструментов программного обеспечения для обработки заявок на наземные службы, и его не следует учитывать для дальнейшего исследования.</w:t>
            </w:r>
          </w:p>
          <w:p w14:paraId="242789B5" w14:textId="7E54179B" w:rsidR="00A22D9F" w:rsidRPr="004D7EEA" w:rsidRDefault="00A22D9F" w:rsidP="008F26B2">
            <w:pPr>
              <w:rPr>
                <w:sz w:val="20"/>
                <w:szCs w:val="20"/>
              </w:rPr>
            </w:pPr>
            <w:r w:rsidRPr="004D7EEA">
              <w:rPr>
                <w:sz w:val="20"/>
                <w:szCs w:val="20"/>
                <w:lang w:val="ru-RU" w:bidi="ru-RU"/>
              </w:rPr>
              <w:t>См. разделы 6.1 и 6.3</w:t>
            </w:r>
            <w:r w:rsidR="00CE5D46" w:rsidRPr="004D7EEA">
              <w:rPr>
                <w:sz w:val="20"/>
                <w:szCs w:val="20"/>
                <w:lang w:val="ru-RU" w:bidi="ru-RU"/>
              </w:rPr>
              <w:t>.</w:t>
            </w:r>
          </w:p>
        </w:tc>
      </w:tr>
    </w:tbl>
    <w:p w14:paraId="2C95FB07" w14:textId="77777777" w:rsidR="00A22D9F" w:rsidRDefault="00A22D9F" w:rsidP="00A22D9F">
      <w:r>
        <w:rPr>
          <w:lang w:val="ru-RU" w:bidi="ru-RU"/>
        </w:rPr>
        <w:br w:type="page"/>
      </w:r>
    </w:p>
    <w:tbl>
      <w:tblPr>
        <w:tblStyle w:val="TableGrid"/>
        <w:tblW w:w="0" w:type="auto"/>
        <w:tblLook w:val="04A0" w:firstRow="1" w:lastRow="0" w:firstColumn="1" w:lastColumn="0" w:noHBand="0" w:noVBand="1"/>
      </w:tblPr>
      <w:tblGrid>
        <w:gridCol w:w="1165"/>
        <w:gridCol w:w="6840"/>
        <w:gridCol w:w="4945"/>
      </w:tblGrid>
      <w:tr w:rsidR="00A22D9F" w14:paraId="00040649" w14:textId="77777777" w:rsidTr="008F26B2">
        <w:trPr>
          <w:cantSplit/>
        </w:trPr>
        <w:tc>
          <w:tcPr>
            <w:tcW w:w="12950" w:type="dxa"/>
            <w:gridSpan w:val="3"/>
          </w:tcPr>
          <w:p w14:paraId="10CC1310" w14:textId="77777777" w:rsidR="00A22D9F" w:rsidRDefault="00A22D9F" w:rsidP="008F26B2">
            <w:r>
              <w:rPr>
                <w:lang w:val="ru-RU" w:bidi="ru-RU"/>
              </w:rPr>
              <w:lastRenderedPageBreak/>
              <w:t>ПРИЛОЖЕНИЕ 2</w:t>
            </w:r>
          </w:p>
        </w:tc>
      </w:tr>
      <w:tr w:rsidR="00A22D9F" w:rsidRPr="00BC77B0" w14:paraId="724D66C7" w14:textId="77777777" w:rsidTr="008F26B2">
        <w:trPr>
          <w:cantSplit/>
        </w:trPr>
        <w:tc>
          <w:tcPr>
            <w:tcW w:w="1165" w:type="dxa"/>
          </w:tcPr>
          <w:p w14:paraId="3571DE36" w14:textId="77777777" w:rsidR="00A22D9F" w:rsidRDefault="00A22D9F" w:rsidP="008F26B2"/>
        </w:tc>
        <w:tc>
          <w:tcPr>
            <w:tcW w:w="6840" w:type="dxa"/>
          </w:tcPr>
          <w:p w14:paraId="6C66803A" w14:textId="77777777" w:rsidR="00A22D9F" w:rsidRPr="006A67B6" w:rsidRDefault="00A22D9F" w:rsidP="008F26B2">
            <w:r>
              <w:rPr>
                <w:lang w:val="ru-RU" w:bidi="ru-RU"/>
              </w:rPr>
              <w:t>Проект круга ведения</w:t>
            </w:r>
          </w:p>
        </w:tc>
        <w:tc>
          <w:tcPr>
            <w:tcW w:w="4945" w:type="dxa"/>
          </w:tcPr>
          <w:p w14:paraId="33522B21" w14:textId="7EC3305F" w:rsidR="00A22D9F" w:rsidRPr="00233E20" w:rsidRDefault="00A22D9F" w:rsidP="008F26B2">
            <w:pPr>
              <w:rPr>
                <w:lang w:val="ru-RU"/>
              </w:rPr>
            </w:pPr>
            <w:r>
              <w:rPr>
                <w:lang w:val="ru-RU" w:bidi="ru-RU"/>
              </w:rPr>
              <w:t xml:space="preserve">На основании Документов C23/19, C23/16, вкладов для Совета и обсуждений в ходе Совета, в итоговом/окончательном круге ведения должны быть перечислены конкретные вопросы для исследования </w:t>
            </w:r>
            <w:r w:rsidR="0030524D">
              <w:rPr>
                <w:lang w:val="ru-RU" w:bidi="ru-RU"/>
              </w:rPr>
              <w:t>Группой экспертов Совета.</w:t>
            </w:r>
          </w:p>
        </w:tc>
      </w:tr>
    </w:tbl>
    <w:p w14:paraId="1E6CDFAC" w14:textId="77777777" w:rsidR="00A22D9F" w:rsidRPr="00233E20" w:rsidRDefault="00A22D9F" w:rsidP="00A22D9F">
      <w:pPr>
        <w:rPr>
          <w:lang w:val="ru-RU"/>
        </w:rPr>
        <w:sectPr w:rsidR="00A22D9F" w:rsidRPr="00233E20" w:rsidSect="00BA1F8D">
          <w:footerReference w:type="default" r:id="rId12"/>
          <w:pgSz w:w="15840" w:h="12240" w:orient="landscape"/>
          <w:pgMar w:top="1440" w:right="1440" w:bottom="1440" w:left="1440" w:header="720" w:footer="720" w:gutter="0"/>
          <w:cols w:space="720"/>
          <w:docGrid w:linePitch="360"/>
        </w:sectPr>
      </w:pPr>
    </w:p>
    <w:p w14:paraId="51CD9B3B" w14:textId="77777777" w:rsidR="00A22D9F" w:rsidRPr="00233E20" w:rsidRDefault="00A22D9F" w:rsidP="004D7EEA">
      <w:pPr>
        <w:pStyle w:val="AnnexNo"/>
        <w:spacing w:before="0"/>
        <w:rPr>
          <w:lang w:val="ru-RU"/>
        </w:rPr>
      </w:pPr>
      <w:r>
        <w:rPr>
          <w:lang w:val="ru-RU" w:bidi="ru-RU"/>
        </w:rPr>
        <w:lastRenderedPageBreak/>
        <w:t>Приложение 2</w:t>
      </w:r>
      <w:bookmarkStart w:id="9" w:name="Annex2"/>
      <w:bookmarkEnd w:id="9"/>
    </w:p>
    <w:p w14:paraId="57C906CA" w14:textId="09E2B8A7" w:rsidR="00A22D9F" w:rsidRPr="00A22D9F" w:rsidRDefault="00A22D9F" w:rsidP="00A22D9F">
      <w:pPr>
        <w:pStyle w:val="Annextitle"/>
        <w:rPr>
          <w:lang w:val="ru-RU"/>
        </w:rPr>
      </w:pPr>
      <w:r>
        <w:rPr>
          <w:lang w:val="ru-RU" w:bidi="ru-RU"/>
        </w:rPr>
        <w:t xml:space="preserve">Круг ведения </w:t>
      </w:r>
      <w:r w:rsidR="00CE5D46">
        <w:rPr>
          <w:lang w:val="ru-RU" w:bidi="ru-RU"/>
        </w:rPr>
        <w:t xml:space="preserve">Группы </w:t>
      </w:r>
      <w:r>
        <w:rPr>
          <w:lang w:val="ru-RU" w:bidi="ru-RU"/>
        </w:rPr>
        <w:t>экспертов Совета по Решению 482</w:t>
      </w:r>
    </w:p>
    <w:p w14:paraId="561663D9" w14:textId="43545207" w:rsidR="00A22D9F" w:rsidRPr="00A22D9F" w:rsidRDefault="00A22D9F" w:rsidP="00A22D9F">
      <w:pPr>
        <w:rPr>
          <w:lang w:val="ru-RU"/>
        </w:rPr>
      </w:pPr>
      <w:r>
        <w:rPr>
          <w:lang w:val="ru-RU" w:bidi="ru-RU"/>
        </w:rPr>
        <w:t xml:space="preserve">Круг ведения </w:t>
      </w:r>
      <w:r w:rsidR="00CE5D46">
        <w:rPr>
          <w:lang w:val="ru-RU" w:bidi="ru-RU"/>
        </w:rPr>
        <w:t xml:space="preserve">Группы </w:t>
      </w:r>
      <w:r>
        <w:rPr>
          <w:lang w:val="ru-RU" w:bidi="ru-RU"/>
        </w:rPr>
        <w:t>экспертов Совета по Решению 482 включает следующие положения:</w:t>
      </w:r>
    </w:p>
    <w:p w14:paraId="34016E53" w14:textId="1C2BFF81" w:rsidR="00A22D9F" w:rsidRPr="00A22D9F" w:rsidRDefault="00A22D9F" w:rsidP="00A22D9F">
      <w:pPr>
        <w:rPr>
          <w:lang w:val="ru-RU"/>
        </w:rPr>
      </w:pPr>
      <w:r>
        <w:rPr>
          <w:lang w:val="ru-RU" w:bidi="ru-RU"/>
        </w:rPr>
        <w:t>1</w:t>
      </w:r>
      <w:r>
        <w:rPr>
          <w:lang w:val="ru-RU" w:bidi="ru-RU"/>
        </w:rPr>
        <w:tab/>
        <w:t xml:space="preserve">Группа экспертов Совета по Решению 482 </w:t>
      </w:r>
      <w:r w:rsidR="004C1977">
        <w:rPr>
          <w:lang w:val="ru-RU" w:bidi="ru-RU"/>
        </w:rPr>
        <w:t>проводит исследование</w:t>
      </w:r>
      <w:r>
        <w:rPr>
          <w:lang w:val="ru-RU" w:bidi="ru-RU"/>
        </w:rPr>
        <w:t xml:space="preserve"> </w:t>
      </w:r>
      <w:r w:rsidR="004C1977">
        <w:rPr>
          <w:lang w:val="ru-RU" w:bidi="ru-RU"/>
        </w:rPr>
        <w:t>перечисленных</w:t>
      </w:r>
      <w:r>
        <w:rPr>
          <w:lang w:val="ru-RU" w:bidi="ru-RU"/>
        </w:rPr>
        <w:t xml:space="preserve"> ниже вопрос</w:t>
      </w:r>
      <w:r w:rsidR="004C1977">
        <w:rPr>
          <w:lang w:val="ru-RU" w:bidi="ru-RU"/>
        </w:rPr>
        <w:t>ов</w:t>
      </w:r>
      <w:r>
        <w:rPr>
          <w:lang w:val="ru-RU" w:bidi="ru-RU"/>
        </w:rPr>
        <w:t xml:space="preserve"> (в соответствии с Приложением 1 к Документу C23/19) на основании вкладов, представленных на ее собраниях. </w:t>
      </w:r>
    </w:p>
    <w:p w14:paraId="35F22E9C" w14:textId="5880F721" w:rsidR="00A22D9F" w:rsidRPr="00233E20" w:rsidRDefault="00A22D9F" w:rsidP="004D7EEA">
      <w:pPr>
        <w:pStyle w:val="enumlev1"/>
        <w:rPr>
          <w:lang w:val="ru-RU"/>
        </w:rPr>
      </w:pPr>
      <w:r>
        <w:rPr>
          <w:lang w:val="ru-RU" w:bidi="ru-RU"/>
        </w:rPr>
        <w:t>a</w:t>
      </w:r>
      <w:r w:rsidR="004D7EEA" w:rsidRPr="004D7EEA">
        <w:rPr>
          <w:lang w:val="ru-RU" w:bidi="ru-RU"/>
        </w:rPr>
        <w:t>)</w:t>
      </w:r>
      <w:r w:rsidR="004D7EEA">
        <w:rPr>
          <w:lang w:val="ru-RU" w:bidi="ru-RU"/>
        </w:rPr>
        <w:tab/>
      </w:r>
      <w:r>
        <w:rPr>
          <w:lang w:val="ru-RU" w:bidi="ru-RU"/>
        </w:rPr>
        <w:t>В случае подачи неприемлемых заявок</w:t>
      </w:r>
      <w:r w:rsidR="00080463">
        <w:rPr>
          <w:lang w:val="ru-RU" w:bidi="ru-RU"/>
        </w:rPr>
        <w:t>,</w:t>
      </w:r>
      <w:r>
        <w:rPr>
          <w:lang w:val="ru-RU" w:bidi="ru-RU"/>
        </w:rPr>
        <w:t xml:space="preserve"> возможность взимания части суммы, эквивалентной</w:t>
      </w:r>
      <w:r w:rsidR="004C1977">
        <w:rPr>
          <w:lang w:val="ru-RU" w:bidi="ru-RU"/>
        </w:rPr>
        <w:t xml:space="preserve"> сумме в отношении</w:t>
      </w:r>
      <w:r>
        <w:rPr>
          <w:lang w:val="ru-RU" w:bidi="ru-RU"/>
        </w:rPr>
        <w:t xml:space="preserve"> приемлемой заявки для таких случаев.</w:t>
      </w:r>
    </w:p>
    <w:p w14:paraId="26F2E2F3" w14:textId="669591C4" w:rsidR="00A22D9F" w:rsidRPr="00233E20" w:rsidRDefault="00A22D9F" w:rsidP="004D7EEA">
      <w:pPr>
        <w:pStyle w:val="enumlev1"/>
        <w:rPr>
          <w:lang w:val="ru-RU"/>
        </w:rPr>
      </w:pPr>
      <w:r>
        <w:rPr>
          <w:lang w:val="ru-RU" w:bidi="ru-RU"/>
        </w:rPr>
        <w:t>b</w:t>
      </w:r>
      <w:r w:rsidR="004D7EEA" w:rsidRPr="004D7EEA">
        <w:rPr>
          <w:lang w:val="ru-RU" w:bidi="ru-RU"/>
        </w:rPr>
        <w:t>)</w:t>
      </w:r>
      <w:r w:rsidR="004D7EEA">
        <w:rPr>
          <w:lang w:val="ru-RU" w:bidi="ru-RU"/>
        </w:rPr>
        <w:tab/>
      </w:r>
      <w:r>
        <w:rPr>
          <w:lang w:val="ru-RU" w:bidi="ru-RU"/>
        </w:rPr>
        <w:t xml:space="preserve">Исследование возможности реализации конкретных идей, содержащихся в Документе C23/19, в качестве ограничений </w:t>
      </w:r>
      <w:r w:rsidR="004C1977">
        <w:rPr>
          <w:lang w:val="ru-RU" w:bidi="ru-RU"/>
        </w:rPr>
        <w:t>на подачу</w:t>
      </w:r>
      <w:r>
        <w:rPr>
          <w:lang w:val="ru-RU" w:bidi="ru-RU"/>
        </w:rPr>
        <w:t xml:space="preserve"> заяв</w:t>
      </w:r>
      <w:r w:rsidR="004C1977">
        <w:rPr>
          <w:lang w:val="ru-RU" w:bidi="ru-RU"/>
        </w:rPr>
        <w:t>ок</w:t>
      </w:r>
      <w:r>
        <w:rPr>
          <w:lang w:val="ru-RU" w:bidi="ru-RU"/>
        </w:rPr>
        <w:t>, имеющих право на освобождение от оплаты.</w:t>
      </w:r>
    </w:p>
    <w:p w14:paraId="4EF95AAB" w14:textId="792A1DE7" w:rsidR="00A22D9F" w:rsidRPr="00233E20" w:rsidRDefault="00A22D9F" w:rsidP="004D7EEA">
      <w:pPr>
        <w:pStyle w:val="enumlev1"/>
        <w:rPr>
          <w:lang w:val="ru-RU"/>
        </w:rPr>
      </w:pPr>
      <w:r>
        <w:rPr>
          <w:lang w:val="ru-RU" w:bidi="ru-RU"/>
        </w:rPr>
        <w:t>c</w:t>
      </w:r>
      <w:r w:rsidR="004D7EEA" w:rsidRPr="004D7EEA">
        <w:rPr>
          <w:lang w:val="ru-RU" w:bidi="ru-RU"/>
        </w:rPr>
        <w:t>)</w:t>
      </w:r>
      <w:r w:rsidR="004D7EEA">
        <w:rPr>
          <w:lang w:val="ru-RU" w:bidi="ru-RU"/>
        </w:rPr>
        <w:tab/>
      </w:r>
      <w:r>
        <w:rPr>
          <w:lang w:val="ru-RU" w:bidi="ru-RU"/>
        </w:rPr>
        <w:t>Вопрос о том, следует ли уплачивать специальные сборы, если одной и той же администрацией представлено более определенного количества (подлежит определению) заявлений на земные станции. Данное исследование будет проводиться на основании информации, полученной от Бюро.</w:t>
      </w:r>
    </w:p>
    <w:p w14:paraId="4F183C85" w14:textId="2DA958A9" w:rsidR="00A22D9F" w:rsidRPr="00233E20" w:rsidRDefault="00A22D9F" w:rsidP="004D7EEA">
      <w:pPr>
        <w:pStyle w:val="enumlev1"/>
        <w:rPr>
          <w:lang w:val="ru-RU"/>
        </w:rPr>
      </w:pPr>
      <w:r>
        <w:rPr>
          <w:lang w:val="ru-RU" w:bidi="ru-RU"/>
        </w:rPr>
        <w:t>d</w:t>
      </w:r>
      <w:r w:rsidR="004D7EEA" w:rsidRPr="004D7EEA">
        <w:rPr>
          <w:lang w:val="ru-RU" w:bidi="ru-RU"/>
        </w:rPr>
        <w:t>)</w:t>
      </w:r>
      <w:r w:rsidR="004D7EEA">
        <w:rPr>
          <w:lang w:val="ru-RU" w:bidi="ru-RU"/>
        </w:rPr>
        <w:tab/>
      </w:r>
      <w:r>
        <w:rPr>
          <w:lang w:val="ru-RU" w:bidi="ru-RU"/>
        </w:rPr>
        <w:t>Затраты на обработку повторно представляемых запросов о заявлении.</w:t>
      </w:r>
    </w:p>
    <w:p w14:paraId="6FD69175" w14:textId="5E8FD876" w:rsidR="00A22D9F" w:rsidRPr="00A22D9F" w:rsidRDefault="00A22D9F" w:rsidP="004D7EEA">
      <w:pPr>
        <w:pStyle w:val="enumlev1"/>
        <w:rPr>
          <w:lang w:val="ru-RU"/>
        </w:rPr>
      </w:pPr>
      <w:r>
        <w:rPr>
          <w:lang w:val="ru-RU" w:bidi="ru-RU"/>
        </w:rPr>
        <w:t>e</w:t>
      </w:r>
      <w:r w:rsidR="004D7EEA" w:rsidRPr="004D7EEA">
        <w:rPr>
          <w:lang w:val="ru-RU" w:bidi="ru-RU"/>
        </w:rPr>
        <w:t>)</w:t>
      </w:r>
      <w:r w:rsidR="004D7EEA">
        <w:rPr>
          <w:lang w:val="ru-RU" w:bidi="ru-RU"/>
        </w:rPr>
        <w:tab/>
      </w:r>
      <w:r>
        <w:rPr>
          <w:lang w:val="ru-RU" w:bidi="ru-RU"/>
        </w:rPr>
        <w:t xml:space="preserve">Затраты, связанные с </w:t>
      </w:r>
      <w:r w:rsidR="00080463">
        <w:rPr>
          <w:lang w:val="ru-RU" w:bidi="ru-RU"/>
        </w:rPr>
        <w:t xml:space="preserve">реализацией БР </w:t>
      </w:r>
      <w:r>
        <w:rPr>
          <w:lang w:val="ru-RU" w:bidi="ru-RU"/>
        </w:rPr>
        <w:t>дополнительных положений: Резолюции 4 и 49, пп. 11.32A (см. примечание a), 11.41, 11.47, 11.49, подраздел</w:t>
      </w:r>
      <w:r w:rsidR="004C1977">
        <w:rPr>
          <w:lang w:val="ru-RU" w:bidi="ru-RU"/>
        </w:rPr>
        <w:t>а</w:t>
      </w:r>
      <w:r>
        <w:rPr>
          <w:lang w:val="ru-RU" w:bidi="ru-RU"/>
        </w:rPr>
        <w:t xml:space="preserve"> IID Статьи 9, </w:t>
      </w:r>
      <w:r w:rsidR="00080463">
        <w:rPr>
          <w:lang w:val="ru-RU" w:bidi="ru-RU"/>
        </w:rPr>
        <w:t xml:space="preserve">разделов </w:t>
      </w:r>
      <w:r>
        <w:rPr>
          <w:lang w:val="ru-RU" w:bidi="ru-RU"/>
        </w:rPr>
        <w:t>1 и 2 Статьи 13, Стать</w:t>
      </w:r>
      <w:r w:rsidR="004C1977">
        <w:rPr>
          <w:lang w:val="ru-RU" w:bidi="ru-RU"/>
        </w:rPr>
        <w:t>и</w:t>
      </w:r>
      <w:r>
        <w:rPr>
          <w:lang w:val="ru-RU" w:bidi="ru-RU"/>
        </w:rPr>
        <w:t xml:space="preserve"> 14. Данное исследование будет проводиться на основании информации, полученной от Бюро.</w:t>
      </w:r>
    </w:p>
    <w:p w14:paraId="159718DD" w14:textId="7ABB9E4E" w:rsidR="00A22D9F" w:rsidRPr="00233E20" w:rsidRDefault="00A22D9F" w:rsidP="004D7EEA">
      <w:pPr>
        <w:pStyle w:val="enumlev1"/>
        <w:rPr>
          <w:lang w:val="ru-RU"/>
        </w:rPr>
      </w:pPr>
      <w:r>
        <w:rPr>
          <w:lang w:val="ru-RU" w:bidi="ru-RU"/>
        </w:rPr>
        <w:t>f</w:t>
      </w:r>
      <w:r w:rsidR="004D7EEA" w:rsidRPr="004D7EEA">
        <w:rPr>
          <w:lang w:val="ru-RU" w:bidi="ru-RU"/>
        </w:rPr>
        <w:t>)</w:t>
      </w:r>
      <w:r w:rsidR="004D7EEA">
        <w:rPr>
          <w:lang w:val="ru-RU" w:bidi="ru-RU"/>
        </w:rPr>
        <w:tab/>
      </w:r>
      <w:r>
        <w:rPr>
          <w:lang w:val="ru-RU" w:bidi="ru-RU"/>
        </w:rPr>
        <w:t>Заявки на регистрацию систем НГСО, содержащи</w:t>
      </w:r>
      <w:r w:rsidR="00080463">
        <w:rPr>
          <w:lang w:val="ru-RU" w:bidi="ru-RU"/>
        </w:rPr>
        <w:t>е</w:t>
      </w:r>
      <w:r>
        <w:rPr>
          <w:lang w:val="ru-RU" w:bidi="ru-RU"/>
        </w:rPr>
        <w:t xml:space="preserve"> более 75 000 единиц. Данное исследование будет проводиться на основании информации, полученной от Бюро.</w:t>
      </w:r>
    </w:p>
    <w:p w14:paraId="60A1845D" w14:textId="0CE3030C" w:rsidR="00A22D9F" w:rsidRPr="00233E20" w:rsidRDefault="00A22D9F" w:rsidP="004D7EEA">
      <w:pPr>
        <w:pStyle w:val="enumlev1"/>
        <w:rPr>
          <w:lang w:val="ru-RU"/>
        </w:rPr>
      </w:pPr>
      <w:r>
        <w:rPr>
          <w:lang w:val="ru-RU" w:bidi="ru-RU"/>
        </w:rPr>
        <w:t>g</w:t>
      </w:r>
      <w:r w:rsidR="004D7EEA" w:rsidRPr="004D7EEA">
        <w:rPr>
          <w:lang w:val="ru-RU" w:bidi="ru-RU"/>
        </w:rPr>
        <w:t>)</w:t>
      </w:r>
      <w:r w:rsidR="004D7EEA">
        <w:rPr>
          <w:lang w:val="ru-RU" w:bidi="ru-RU"/>
        </w:rPr>
        <w:tab/>
      </w:r>
      <w:r>
        <w:rPr>
          <w:lang w:val="ru-RU" w:bidi="ru-RU"/>
        </w:rPr>
        <w:t>Рассмотрение вопроса о введении единиц для категорий А1 и N4, при этом в зависимости от количества единиц будут взиматься разные сборы в отношении более сложных или крупных систем.</w:t>
      </w:r>
    </w:p>
    <w:p w14:paraId="2F5FD8D3" w14:textId="307DAB0E" w:rsidR="00A22D9F" w:rsidRPr="00233E20" w:rsidRDefault="00A22D9F" w:rsidP="004D7EEA">
      <w:pPr>
        <w:pStyle w:val="enumlev1"/>
        <w:rPr>
          <w:lang w:val="ru-RU"/>
        </w:rPr>
      </w:pPr>
      <w:r w:rsidRPr="00076ECC">
        <w:rPr>
          <w:lang w:val="ru-RU" w:bidi="ru-RU"/>
        </w:rPr>
        <w:t>h</w:t>
      </w:r>
      <w:r w:rsidR="004D7EEA" w:rsidRPr="004D7EEA">
        <w:rPr>
          <w:lang w:val="ru-RU" w:bidi="ru-RU"/>
        </w:rPr>
        <w:t>)</w:t>
      </w:r>
      <w:r w:rsidR="004D7EEA">
        <w:rPr>
          <w:lang w:val="ru-RU" w:bidi="ru-RU"/>
        </w:rPr>
        <w:tab/>
      </w:r>
      <w:r w:rsidRPr="00076ECC">
        <w:rPr>
          <w:lang w:val="ru-RU" w:bidi="ru-RU"/>
        </w:rPr>
        <w:t>Дополнительный сбор на возмещение затрат на рассмотрение запросов о координации и заявлений в отношении э.п.п.м. Данное исследование будет проводиться на основании информации, полученной от Бюро.</w:t>
      </w:r>
    </w:p>
    <w:p w14:paraId="0B0DE5DB" w14:textId="3927CBB8" w:rsidR="00A22D9F" w:rsidRPr="00233E20" w:rsidRDefault="00A22D9F" w:rsidP="004D7EEA">
      <w:pPr>
        <w:pStyle w:val="enumlev1"/>
        <w:rPr>
          <w:lang w:val="ru-RU"/>
        </w:rPr>
      </w:pPr>
      <w:r w:rsidRPr="00076ECC">
        <w:rPr>
          <w:lang w:val="ru-RU" w:bidi="ru-RU"/>
        </w:rPr>
        <w:t>i</w:t>
      </w:r>
      <w:r w:rsidR="004D7EEA" w:rsidRPr="004D7EEA">
        <w:rPr>
          <w:lang w:val="ru-RU" w:bidi="ru-RU"/>
        </w:rPr>
        <w:t>)</w:t>
      </w:r>
      <w:r w:rsidR="004D7EEA">
        <w:rPr>
          <w:lang w:val="ru-RU" w:bidi="ru-RU"/>
        </w:rPr>
        <w:tab/>
      </w:r>
      <w:r w:rsidRPr="00076ECC">
        <w:rPr>
          <w:lang w:val="ru-RU" w:bidi="ru-RU"/>
        </w:rPr>
        <w:t>Последствия изменений, внесенных ВКР-07 и последующими ВКР в положения, регулирующие Планы космических служб.</w:t>
      </w:r>
    </w:p>
    <w:p w14:paraId="2F37B5D0" w14:textId="36543DC3" w:rsidR="00A22D9F" w:rsidRPr="00233E20" w:rsidRDefault="00A22D9F" w:rsidP="004D7EEA">
      <w:pPr>
        <w:pStyle w:val="enumlev1"/>
        <w:rPr>
          <w:lang w:val="ru-RU"/>
        </w:rPr>
      </w:pPr>
      <w:r>
        <w:rPr>
          <w:lang w:val="ru-RU" w:bidi="ru-RU"/>
        </w:rPr>
        <w:t>j</w:t>
      </w:r>
      <w:r w:rsidR="004D7EEA" w:rsidRPr="004D7EEA">
        <w:rPr>
          <w:lang w:val="ru-RU" w:bidi="ru-RU"/>
        </w:rPr>
        <w:t>)</w:t>
      </w:r>
      <w:r w:rsidR="004D7EEA">
        <w:rPr>
          <w:lang w:val="ru-RU" w:bidi="ru-RU"/>
        </w:rPr>
        <w:tab/>
      </w:r>
      <w:r>
        <w:rPr>
          <w:lang w:val="ru-RU" w:bidi="ru-RU"/>
        </w:rPr>
        <w:t>Стоимость выделенных ресурсов для постоянного обновления и модернизации программных приложений БР, используемых для заявок на регистрацию спутников</w:t>
      </w:r>
      <w:r w:rsidR="00844750">
        <w:rPr>
          <w:lang w:val="ru-RU" w:bidi="ru-RU"/>
        </w:rPr>
        <w:t>ых сетей</w:t>
      </w:r>
      <w:r>
        <w:rPr>
          <w:lang w:val="ru-RU" w:bidi="ru-RU"/>
        </w:rPr>
        <w:t>. Однако возмещение затрат на регистрацию спутников</w:t>
      </w:r>
      <w:r w:rsidR="00844750">
        <w:rPr>
          <w:lang w:val="ru-RU" w:bidi="ru-RU"/>
        </w:rPr>
        <w:t xml:space="preserve">ых сетей </w:t>
      </w:r>
      <w:r>
        <w:rPr>
          <w:lang w:val="ru-RU" w:bidi="ru-RU"/>
        </w:rPr>
        <w:t>не следует использовать для финансирования разработки инструментов программного обеспечения для обработки заявок на регистрацию наземных служб.</w:t>
      </w:r>
    </w:p>
    <w:p w14:paraId="0746A955" w14:textId="5EF5C94F" w:rsidR="00A22D9F" w:rsidRPr="00233E20" w:rsidRDefault="00A22D9F" w:rsidP="00A22D9F">
      <w:pPr>
        <w:rPr>
          <w:lang w:val="ru-RU"/>
        </w:rPr>
      </w:pPr>
      <w:r>
        <w:rPr>
          <w:lang w:val="ru-RU" w:bidi="ru-RU"/>
        </w:rPr>
        <w:t>2</w:t>
      </w:r>
      <w:r>
        <w:rPr>
          <w:lang w:val="ru-RU" w:bidi="ru-RU"/>
        </w:rPr>
        <w:tab/>
        <w:t>Группа должна готовить отчет, содержащий рекомендации по возможному пересмотру Решения 482, для представления на сессии Совета МСЭ 2024 года для принятия решения.</w:t>
      </w:r>
    </w:p>
    <w:p w14:paraId="3CDAE145" w14:textId="1638C68D" w:rsidR="00A22D9F" w:rsidRPr="00233E20" w:rsidRDefault="00A22D9F" w:rsidP="00A22D9F">
      <w:pPr>
        <w:rPr>
          <w:lang w:val="ru-RU"/>
        </w:rPr>
      </w:pPr>
      <w:r>
        <w:rPr>
          <w:lang w:val="ru-RU" w:bidi="ru-RU"/>
        </w:rPr>
        <w:t>3</w:t>
      </w:r>
      <w:r>
        <w:rPr>
          <w:lang w:val="ru-RU" w:bidi="ru-RU"/>
        </w:rPr>
        <w:tab/>
        <w:t>Группа должна быть открыта для всех Государств – Членов и Членов Секторов МСЭ и вести работу на английском языке. По возможности, Группа должна проводить свои очные собрания параллельно с собраниями Рабочей группы 4A МСЭ-R</w:t>
      </w:r>
      <w:r w:rsidR="00844750">
        <w:rPr>
          <w:lang w:val="ru-RU" w:bidi="ru-RU"/>
        </w:rPr>
        <w:t xml:space="preserve"> или рабочих групп Совета</w:t>
      </w:r>
      <w:r>
        <w:rPr>
          <w:lang w:val="ru-RU" w:bidi="ru-RU"/>
        </w:rPr>
        <w:t>.</w:t>
      </w:r>
    </w:p>
    <w:p w14:paraId="78F12E3C" w14:textId="0A2E4B7A" w:rsidR="00D07F49" w:rsidRDefault="004D7EEA" w:rsidP="004D7EEA">
      <w:pPr>
        <w:spacing w:before="240"/>
        <w:jc w:val="center"/>
      </w:pPr>
      <w:r>
        <w:t>______________</w:t>
      </w:r>
    </w:p>
    <w:sectPr w:rsidR="00D07F49" w:rsidSect="00796BD3">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6700" w14:textId="77777777" w:rsidR="00AB38DF" w:rsidRDefault="00AB38DF">
      <w:r>
        <w:separator/>
      </w:r>
    </w:p>
  </w:endnote>
  <w:endnote w:type="continuationSeparator" w:id="0">
    <w:p w14:paraId="234DBAAD" w14:textId="77777777" w:rsidR="00AB38DF" w:rsidRDefault="00AB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8261"/>
    </w:tblGrid>
    <w:tr w:rsidR="00A22D9F" w:rsidRPr="00C6309A" w14:paraId="38B626B1" w14:textId="77777777" w:rsidTr="00A22D9F">
      <w:trPr>
        <w:jc w:val="center"/>
      </w:trPr>
      <w:tc>
        <w:tcPr>
          <w:tcW w:w="2694" w:type="dxa"/>
          <w:vAlign w:val="center"/>
        </w:tcPr>
        <w:p w14:paraId="5999DEA9" w14:textId="77777777" w:rsidR="00A22D9F" w:rsidRPr="00C6309A" w:rsidRDefault="00A22D9F" w:rsidP="00C6309A">
          <w:pPr>
            <w:spacing w:before="0"/>
            <w:rPr>
              <w:noProof/>
              <w:color w:val="7F7F7F" w:themeColor="text1" w:themeTint="80"/>
              <w:sz w:val="18"/>
            </w:rPr>
          </w:pPr>
          <w:r w:rsidRPr="00C6309A">
            <w:rPr>
              <w:noProof/>
              <w:color w:val="7F7F7F" w:themeColor="text1" w:themeTint="80"/>
              <w:sz w:val="18"/>
              <w:lang w:val="ru-RU" w:bidi="ru-RU"/>
            </w:rPr>
            <w:t>DPS 525353</w:t>
          </w:r>
        </w:p>
      </w:tc>
      <w:tc>
        <w:tcPr>
          <w:tcW w:w="8261" w:type="dxa"/>
        </w:tcPr>
        <w:p w14:paraId="7EFFDC5F" w14:textId="39F9EF1C" w:rsidR="00A22D9F" w:rsidRPr="00C6309A" w:rsidRDefault="00A22D9F" w:rsidP="00A22D9F">
          <w:pPr>
            <w:tabs>
              <w:tab w:val="clear" w:pos="794"/>
              <w:tab w:val="clear" w:pos="1191"/>
              <w:tab w:val="clear" w:pos="1588"/>
              <w:tab w:val="left" w:pos="4145"/>
              <w:tab w:val="left" w:pos="7070"/>
              <w:tab w:val="right" w:pos="8505"/>
              <w:tab w:val="right" w:pos="9639"/>
            </w:tabs>
            <w:spacing w:before="0"/>
            <w:ind w:firstLine="4570"/>
            <w:rPr>
              <w:rFonts w:ascii="Arial" w:hAnsi="Arial" w:cs="Arial"/>
              <w:b/>
              <w:bCs/>
              <w:color w:val="7F7F7F" w:themeColor="text1" w:themeTint="80"/>
              <w:sz w:val="18"/>
              <w:szCs w:val="18"/>
            </w:rPr>
          </w:pPr>
          <w:r w:rsidRPr="00C6309A">
            <w:rPr>
              <w:color w:val="7F7F7F" w:themeColor="text1" w:themeTint="80"/>
              <w:sz w:val="18"/>
              <w:lang w:val="ru-RU" w:bidi="ru-RU"/>
            </w:rPr>
            <w:tab/>
            <w:t>C23/82-</w:t>
          </w:r>
          <w:r>
            <w:rPr>
              <w:color w:val="7F7F7F" w:themeColor="text1" w:themeTint="80"/>
              <w:sz w:val="18"/>
              <w:lang w:val="en-US" w:bidi="ru-RU"/>
            </w:rPr>
            <w:t>R</w:t>
          </w:r>
          <w:r w:rsidRPr="00C6309A">
            <w:rPr>
              <w:color w:val="7F7F7F" w:themeColor="text1" w:themeTint="80"/>
              <w:sz w:val="18"/>
              <w:lang w:val="ru-RU" w:bidi="ru-RU"/>
            </w:rPr>
            <w:tab/>
          </w:r>
          <w:r w:rsidRPr="00C6309A">
            <w:rPr>
              <w:color w:val="7F7F7F" w:themeColor="text1" w:themeTint="80"/>
              <w:sz w:val="18"/>
              <w:lang w:val="ru-RU" w:bidi="ru-RU"/>
            </w:rPr>
            <w:fldChar w:fldCharType="begin"/>
          </w:r>
          <w:r w:rsidRPr="00C6309A">
            <w:rPr>
              <w:color w:val="7F7F7F" w:themeColor="text1" w:themeTint="80"/>
              <w:sz w:val="18"/>
              <w:lang w:val="ru-RU" w:bidi="ru-RU"/>
            </w:rPr>
            <w:instrText>PAGE</w:instrText>
          </w:r>
          <w:r w:rsidRPr="00C6309A">
            <w:rPr>
              <w:color w:val="7F7F7F" w:themeColor="text1" w:themeTint="80"/>
              <w:sz w:val="18"/>
              <w:lang w:val="ru-RU" w:bidi="ru-RU"/>
            </w:rPr>
            <w:fldChar w:fldCharType="separate"/>
          </w:r>
          <w:r w:rsidRPr="00C6309A">
            <w:rPr>
              <w:color w:val="7F7F7F" w:themeColor="text1" w:themeTint="80"/>
              <w:sz w:val="18"/>
              <w:lang w:val="ru-RU" w:bidi="ru-RU"/>
            </w:rPr>
            <w:t>1</w:t>
          </w:r>
          <w:r w:rsidRPr="00C6309A">
            <w:rPr>
              <w:noProof/>
              <w:color w:val="7F7F7F" w:themeColor="text1" w:themeTint="80"/>
              <w:sz w:val="18"/>
              <w:lang w:val="ru-RU" w:bidi="ru-RU"/>
            </w:rPr>
            <w:fldChar w:fldCharType="end"/>
          </w:r>
        </w:p>
      </w:tc>
    </w:tr>
  </w:tbl>
  <w:p w14:paraId="3EF729A5" w14:textId="77777777" w:rsidR="00A22D9F" w:rsidRDefault="00A22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22D9F" w:rsidRPr="00784011" w14:paraId="27D8DB85" w14:textId="77777777" w:rsidTr="001629BD">
      <w:trPr>
        <w:jc w:val="center"/>
      </w:trPr>
      <w:tc>
        <w:tcPr>
          <w:tcW w:w="1803" w:type="dxa"/>
          <w:vAlign w:val="center"/>
        </w:tcPr>
        <w:p w14:paraId="633D4FBA" w14:textId="77777777" w:rsidR="00A22D9F" w:rsidRDefault="00290523" w:rsidP="00E50A8D">
          <w:pPr>
            <w:pStyle w:val="Header"/>
            <w:jc w:val="left"/>
            <w:rPr>
              <w:noProof/>
            </w:rPr>
          </w:pPr>
          <w:hyperlink r:id="rId1" w:history="1">
            <w:r w:rsidR="00A22D9F" w:rsidRPr="00A514A4">
              <w:rPr>
                <w:rStyle w:val="Hyperlink"/>
                <w:lang w:val="ru-RU" w:bidi="ru-RU"/>
              </w:rPr>
              <w:t>www.itu.int/council</w:t>
            </w:r>
          </w:hyperlink>
        </w:p>
      </w:tc>
      <w:tc>
        <w:tcPr>
          <w:tcW w:w="8261" w:type="dxa"/>
        </w:tcPr>
        <w:p w14:paraId="4228873C" w14:textId="1C9B64A8" w:rsidR="00A22D9F" w:rsidRPr="00C6309A" w:rsidRDefault="00A22D9F" w:rsidP="00C6309A">
          <w:pPr>
            <w:pStyle w:val="Header"/>
            <w:tabs>
              <w:tab w:val="left" w:pos="7070"/>
              <w:tab w:val="right" w:pos="8505"/>
              <w:tab w:val="right" w:pos="9639"/>
            </w:tabs>
            <w:ind w:left="6170"/>
            <w:jc w:val="right"/>
            <w:rPr>
              <w:rFonts w:ascii="Arial" w:hAnsi="Arial" w:cs="Arial"/>
              <w:szCs w:val="18"/>
            </w:rPr>
          </w:pPr>
          <w:r w:rsidRPr="00623AE3">
            <w:rPr>
              <w:lang w:val="ru-RU" w:bidi="ru-RU"/>
            </w:rPr>
            <w:t>C23/82-</w:t>
          </w:r>
          <w:r>
            <w:rPr>
              <w:lang w:val="en-US" w:bidi="ru-RU"/>
            </w:rPr>
            <w:t>R</w:t>
          </w:r>
          <w:r w:rsidRPr="00623AE3">
            <w:rPr>
              <w:lang w:val="ru-RU" w:bidi="ru-RU"/>
            </w:rPr>
            <w:tab/>
          </w:r>
          <w:r>
            <w:rPr>
              <w:lang w:val="ru-RU" w:bidi="ru-RU"/>
            </w:rPr>
            <w:fldChar w:fldCharType="begin"/>
          </w:r>
          <w:r>
            <w:rPr>
              <w:lang w:val="ru-RU" w:bidi="ru-RU"/>
            </w:rPr>
            <w:instrText>PAGE</w:instrText>
          </w:r>
          <w:r>
            <w:rPr>
              <w:lang w:val="ru-RU" w:bidi="ru-RU"/>
            </w:rPr>
            <w:fldChar w:fldCharType="separate"/>
          </w:r>
          <w:r>
            <w:rPr>
              <w:lang w:val="ru-RU" w:bidi="ru-RU"/>
            </w:rPr>
            <w:t>1</w:t>
          </w:r>
          <w:r>
            <w:rPr>
              <w:noProof/>
              <w:lang w:val="ru-RU" w:bidi="ru-RU"/>
            </w:rPr>
            <w:fldChar w:fldCharType="end"/>
          </w:r>
        </w:p>
      </w:tc>
    </w:tr>
  </w:tbl>
  <w:p w14:paraId="456A452C" w14:textId="77777777" w:rsidR="00A22D9F" w:rsidRPr="00623AE3" w:rsidRDefault="00A22D9F" w:rsidP="00E50A8D">
    <w:pPr>
      <w:pStyle w:val="Header"/>
      <w:tabs>
        <w:tab w:val="left" w:pos="8080"/>
        <w:tab w:val="right" w:pos="9072"/>
      </w:tabs>
      <w:jc w:val="right"/>
      <w:rPr>
        <w:bCs/>
      </w:rPr>
    </w:pPr>
  </w:p>
  <w:p w14:paraId="18EC8A3E" w14:textId="77777777" w:rsidR="00A22D9F" w:rsidRDefault="00A22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1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0489"/>
    </w:tblGrid>
    <w:tr w:rsidR="00C111A7" w:rsidRPr="00C6309A" w14:paraId="5DDC7E51" w14:textId="77777777" w:rsidTr="00C111A7">
      <w:trPr>
        <w:jc w:val="center"/>
      </w:trPr>
      <w:tc>
        <w:tcPr>
          <w:tcW w:w="2694" w:type="dxa"/>
          <w:vAlign w:val="center"/>
        </w:tcPr>
        <w:p w14:paraId="03DC67B0" w14:textId="77777777" w:rsidR="00C111A7" w:rsidRPr="00C6309A" w:rsidRDefault="00C111A7" w:rsidP="00C6309A">
          <w:pPr>
            <w:spacing w:before="0"/>
            <w:rPr>
              <w:noProof/>
              <w:color w:val="7F7F7F" w:themeColor="text1" w:themeTint="80"/>
              <w:sz w:val="18"/>
            </w:rPr>
          </w:pPr>
          <w:r w:rsidRPr="00C6309A">
            <w:rPr>
              <w:noProof/>
              <w:color w:val="7F7F7F" w:themeColor="text1" w:themeTint="80"/>
              <w:sz w:val="18"/>
              <w:lang w:val="ru-RU" w:bidi="ru-RU"/>
            </w:rPr>
            <w:t>DPS 525353</w:t>
          </w:r>
        </w:p>
      </w:tc>
      <w:tc>
        <w:tcPr>
          <w:tcW w:w="10489" w:type="dxa"/>
        </w:tcPr>
        <w:p w14:paraId="39827C04" w14:textId="77777777" w:rsidR="00C111A7" w:rsidRPr="00C6309A" w:rsidRDefault="00C111A7" w:rsidP="00C111A7">
          <w:pPr>
            <w:tabs>
              <w:tab w:val="clear" w:pos="794"/>
              <w:tab w:val="clear" w:pos="1191"/>
              <w:tab w:val="clear" w:pos="1588"/>
              <w:tab w:val="left" w:pos="4145"/>
              <w:tab w:val="left" w:pos="8966"/>
              <w:tab w:val="right" w:pos="10100"/>
            </w:tabs>
            <w:spacing w:before="0"/>
            <w:ind w:firstLine="4570"/>
            <w:rPr>
              <w:rFonts w:ascii="Arial" w:hAnsi="Arial" w:cs="Arial"/>
              <w:b/>
              <w:bCs/>
              <w:color w:val="7F7F7F" w:themeColor="text1" w:themeTint="80"/>
              <w:sz w:val="18"/>
              <w:szCs w:val="18"/>
            </w:rPr>
          </w:pPr>
          <w:r w:rsidRPr="00C6309A">
            <w:rPr>
              <w:color w:val="7F7F7F" w:themeColor="text1" w:themeTint="80"/>
              <w:sz w:val="18"/>
              <w:lang w:val="ru-RU" w:bidi="ru-RU"/>
            </w:rPr>
            <w:tab/>
            <w:t>C23/82-</w:t>
          </w:r>
          <w:r>
            <w:rPr>
              <w:color w:val="7F7F7F" w:themeColor="text1" w:themeTint="80"/>
              <w:sz w:val="18"/>
              <w:lang w:val="en-US" w:bidi="ru-RU"/>
            </w:rPr>
            <w:t>R</w:t>
          </w:r>
          <w:r w:rsidRPr="00C6309A">
            <w:rPr>
              <w:color w:val="7F7F7F" w:themeColor="text1" w:themeTint="80"/>
              <w:sz w:val="18"/>
              <w:lang w:val="ru-RU" w:bidi="ru-RU"/>
            </w:rPr>
            <w:tab/>
          </w:r>
          <w:r w:rsidRPr="00C6309A">
            <w:rPr>
              <w:color w:val="7F7F7F" w:themeColor="text1" w:themeTint="80"/>
              <w:sz w:val="18"/>
              <w:lang w:val="ru-RU" w:bidi="ru-RU"/>
            </w:rPr>
            <w:fldChar w:fldCharType="begin"/>
          </w:r>
          <w:r w:rsidRPr="00C6309A">
            <w:rPr>
              <w:color w:val="7F7F7F" w:themeColor="text1" w:themeTint="80"/>
              <w:sz w:val="18"/>
              <w:lang w:val="ru-RU" w:bidi="ru-RU"/>
            </w:rPr>
            <w:instrText>PAGE</w:instrText>
          </w:r>
          <w:r w:rsidRPr="00C6309A">
            <w:rPr>
              <w:color w:val="7F7F7F" w:themeColor="text1" w:themeTint="80"/>
              <w:sz w:val="18"/>
              <w:lang w:val="ru-RU" w:bidi="ru-RU"/>
            </w:rPr>
            <w:fldChar w:fldCharType="separate"/>
          </w:r>
          <w:r w:rsidRPr="00C6309A">
            <w:rPr>
              <w:color w:val="7F7F7F" w:themeColor="text1" w:themeTint="80"/>
              <w:sz w:val="18"/>
              <w:lang w:val="ru-RU" w:bidi="ru-RU"/>
            </w:rPr>
            <w:t>1</w:t>
          </w:r>
          <w:r w:rsidRPr="00C6309A">
            <w:rPr>
              <w:noProof/>
              <w:color w:val="7F7F7F" w:themeColor="text1" w:themeTint="80"/>
              <w:sz w:val="18"/>
              <w:lang w:val="ru-RU" w:bidi="ru-RU"/>
            </w:rPr>
            <w:fldChar w:fldCharType="end"/>
          </w:r>
        </w:p>
      </w:tc>
    </w:tr>
  </w:tbl>
  <w:p w14:paraId="6EE6D399" w14:textId="77777777" w:rsidR="00C111A7" w:rsidRDefault="00C111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018F34C9" w14:textId="77777777" w:rsidTr="00E31DCE">
      <w:trPr>
        <w:jc w:val="center"/>
      </w:trPr>
      <w:tc>
        <w:tcPr>
          <w:tcW w:w="1803" w:type="dxa"/>
          <w:vAlign w:val="center"/>
        </w:tcPr>
        <w:p w14:paraId="1DDA355E" w14:textId="4C255268" w:rsidR="00672F8A" w:rsidRDefault="00672F8A" w:rsidP="00672F8A">
          <w:pPr>
            <w:pStyle w:val="Header"/>
            <w:jc w:val="left"/>
            <w:rPr>
              <w:noProof/>
            </w:rPr>
          </w:pPr>
          <w:r>
            <w:rPr>
              <w:noProof/>
            </w:rPr>
            <w:t xml:space="preserve">DPS </w:t>
          </w:r>
          <w:r w:rsidR="00A22D9F" w:rsidRPr="00C6309A">
            <w:rPr>
              <w:noProof/>
              <w:color w:val="7F7F7F" w:themeColor="text1" w:themeTint="80"/>
              <w:lang w:val="ru-RU" w:bidi="ru-RU"/>
            </w:rPr>
            <w:t>525353</w:t>
          </w:r>
        </w:p>
      </w:tc>
      <w:tc>
        <w:tcPr>
          <w:tcW w:w="8261" w:type="dxa"/>
        </w:tcPr>
        <w:p w14:paraId="573E0694" w14:textId="76872FA7"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22D9F">
            <w:rPr>
              <w:bCs/>
            </w:rPr>
            <w:t>82</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6DE8AE67" w14:textId="77777777" w:rsidR="000E568E" w:rsidRPr="00672F8A" w:rsidRDefault="000E568E" w:rsidP="00672F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7F4E63A7" w14:textId="77777777" w:rsidTr="00E31DCE">
      <w:trPr>
        <w:jc w:val="center"/>
      </w:trPr>
      <w:tc>
        <w:tcPr>
          <w:tcW w:w="1803" w:type="dxa"/>
          <w:vAlign w:val="center"/>
        </w:tcPr>
        <w:p w14:paraId="09839B81" w14:textId="191AD315" w:rsidR="00672F8A" w:rsidRPr="00C111A7" w:rsidRDefault="00C111A7" w:rsidP="00C111A7">
          <w:pPr>
            <w:pStyle w:val="Header"/>
            <w:tabs>
              <w:tab w:val="left" w:pos="7070"/>
              <w:tab w:val="right" w:pos="8505"/>
              <w:tab w:val="right" w:pos="9639"/>
            </w:tabs>
            <w:jc w:val="left"/>
            <w:rPr>
              <w:bCs/>
            </w:rPr>
          </w:pPr>
          <w:r w:rsidRPr="00C111A7">
            <w:rPr>
              <w:bCs/>
            </w:rPr>
            <w:t>DPS 525353</w:t>
          </w:r>
          <w:hyperlink r:id="rId1" w:history="1"/>
        </w:p>
      </w:tc>
      <w:tc>
        <w:tcPr>
          <w:tcW w:w="8261" w:type="dxa"/>
        </w:tcPr>
        <w:p w14:paraId="18F16222" w14:textId="49EB33EB"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22D9F">
            <w:rPr>
              <w:bCs/>
            </w:rPr>
            <w:t>82</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7D51EB6F"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8DE62" w14:textId="77777777" w:rsidR="00AB38DF" w:rsidRDefault="00AB38DF">
      <w:r>
        <w:t>____________________</w:t>
      </w:r>
    </w:p>
  </w:footnote>
  <w:footnote w:type="continuationSeparator" w:id="0">
    <w:p w14:paraId="241A82CD" w14:textId="77777777" w:rsidR="00AB38DF" w:rsidRDefault="00AB3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04F1" w14:textId="77777777" w:rsidR="00A22D9F" w:rsidRDefault="00A22D9F" w:rsidP="00B20FD7">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22D9F" w:rsidRPr="00C6309A" w14:paraId="774AC07E" w14:textId="77777777" w:rsidTr="003D200C">
      <w:trPr>
        <w:trHeight w:val="1104"/>
        <w:jc w:val="center"/>
      </w:trPr>
      <w:tc>
        <w:tcPr>
          <w:tcW w:w="4390" w:type="dxa"/>
          <w:vAlign w:val="center"/>
        </w:tcPr>
        <w:p w14:paraId="0B5389B4" w14:textId="77777777" w:rsidR="00A22D9F" w:rsidRPr="00C6309A" w:rsidRDefault="00A22D9F" w:rsidP="00C6309A">
          <w:pPr>
            <w:spacing w:before="0"/>
            <w:rPr>
              <w:rFonts w:ascii="Arial" w:hAnsi="Arial" w:cs="Arial"/>
              <w:b/>
              <w:bCs/>
              <w:color w:val="009CD6"/>
              <w:sz w:val="36"/>
              <w:szCs w:val="36"/>
            </w:rPr>
          </w:pPr>
          <w:r w:rsidRPr="00C6309A">
            <w:rPr>
              <w:noProof/>
              <w:color w:val="7F7F7F" w:themeColor="text1" w:themeTint="80"/>
              <w:sz w:val="18"/>
              <w:lang w:val="ru-RU" w:bidi="ru-RU"/>
            </w:rPr>
            <w:drawing>
              <wp:inline distT="0" distB="0" distL="0" distR="0" wp14:anchorId="63C4FEB7" wp14:editId="176CA5CC">
                <wp:extent cx="1906471" cy="534171"/>
                <wp:effectExtent l="0" t="0" r="0" b="0"/>
                <wp:docPr id="6" name="Graphic 6" descr="Logo&#10;&#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Logo"/>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1ED67624" w14:textId="77777777" w:rsidR="00A22D9F" w:rsidRPr="00C6309A" w:rsidRDefault="00A22D9F" w:rsidP="00C6309A">
          <w:pPr>
            <w:spacing w:before="0"/>
            <w:jc w:val="right"/>
            <w:rPr>
              <w:rFonts w:ascii="Arial" w:hAnsi="Arial" w:cs="Arial"/>
              <w:b/>
              <w:bCs/>
              <w:color w:val="009CD6"/>
              <w:sz w:val="18"/>
              <w:szCs w:val="18"/>
            </w:rPr>
          </w:pPr>
        </w:p>
        <w:p w14:paraId="247EFBF3" w14:textId="77777777" w:rsidR="00A22D9F" w:rsidRPr="00C6309A" w:rsidRDefault="00A22D9F" w:rsidP="00C6309A">
          <w:pPr>
            <w:spacing w:before="0"/>
            <w:jc w:val="right"/>
            <w:rPr>
              <w:rFonts w:ascii="Arial" w:hAnsi="Arial" w:cs="Arial"/>
              <w:b/>
              <w:bCs/>
              <w:color w:val="009CD6"/>
              <w:sz w:val="18"/>
              <w:szCs w:val="18"/>
            </w:rPr>
          </w:pPr>
        </w:p>
        <w:p w14:paraId="36946DF2" w14:textId="77777777" w:rsidR="00A22D9F" w:rsidRPr="00C6309A" w:rsidRDefault="00A22D9F" w:rsidP="00C6309A">
          <w:pPr>
            <w:spacing w:before="0"/>
            <w:jc w:val="right"/>
            <w:rPr>
              <w:rFonts w:ascii="Arial" w:hAnsi="Arial" w:cs="Arial"/>
              <w:color w:val="009CD6"/>
              <w:sz w:val="18"/>
              <w:szCs w:val="18"/>
            </w:rPr>
          </w:pPr>
          <w:r w:rsidRPr="00C6309A">
            <w:rPr>
              <w:b/>
              <w:color w:val="009CD6"/>
              <w:sz w:val="18"/>
              <w:lang w:val="ru-RU" w:bidi="ru-RU"/>
            </w:rPr>
            <w:t xml:space="preserve"> </w:t>
          </w:r>
        </w:p>
      </w:tc>
    </w:tr>
  </w:tbl>
  <w:p w14:paraId="09C78AFA" w14:textId="77777777" w:rsidR="00A22D9F" w:rsidRDefault="00A22D9F" w:rsidP="00EA6158">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A2B9"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CEE9D0B" wp14:editId="290B774E">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B03FB"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8E15519"/>
    <w:multiLevelType w:val="hybridMultilevel"/>
    <w:tmpl w:val="674095AA"/>
    <w:lvl w:ilvl="0" w:tplc="041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5A5338"/>
    <w:multiLevelType w:val="multilevel"/>
    <w:tmpl w:val="6BE84324"/>
    <w:styleLink w:v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4693786">
    <w:abstractNumId w:val="0"/>
  </w:num>
  <w:num w:numId="2" w16cid:durableId="1057048738">
    <w:abstractNumId w:val="1"/>
  </w:num>
  <w:num w:numId="3" w16cid:durableId="1598324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56"/>
    <w:rsid w:val="00005BE0"/>
    <w:rsid w:val="0002183E"/>
    <w:rsid w:val="000569B4"/>
    <w:rsid w:val="000569CC"/>
    <w:rsid w:val="00080463"/>
    <w:rsid w:val="00080E82"/>
    <w:rsid w:val="000B2DE7"/>
    <w:rsid w:val="000E568E"/>
    <w:rsid w:val="0014734F"/>
    <w:rsid w:val="00152802"/>
    <w:rsid w:val="0015710D"/>
    <w:rsid w:val="00163A32"/>
    <w:rsid w:val="00165D06"/>
    <w:rsid w:val="00191263"/>
    <w:rsid w:val="00192B41"/>
    <w:rsid w:val="001B7B09"/>
    <w:rsid w:val="001E6719"/>
    <w:rsid w:val="001E7F50"/>
    <w:rsid w:val="00225368"/>
    <w:rsid w:val="00227FF0"/>
    <w:rsid w:val="00290523"/>
    <w:rsid w:val="00291EB6"/>
    <w:rsid w:val="002D2F57"/>
    <w:rsid w:val="002D48C5"/>
    <w:rsid w:val="0030524D"/>
    <w:rsid w:val="0033025A"/>
    <w:rsid w:val="00344D51"/>
    <w:rsid w:val="00367B1E"/>
    <w:rsid w:val="003A4F95"/>
    <w:rsid w:val="003F099E"/>
    <w:rsid w:val="003F235E"/>
    <w:rsid w:val="004023E0"/>
    <w:rsid w:val="00403DD8"/>
    <w:rsid w:val="00442515"/>
    <w:rsid w:val="0045686C"/>
    <w:rsid w:val="004869B1"/>
    <w:rsid w:val="004918C4"/>
    <w:rsid w:val="00497703"/>
    <w:rsid w:val="004A0374"/>
    <w:rsid w:val="004A45B5"/>
    <w:rsid w:val="004C1977"/>
    <w:rsid w:val="004D0129"/>
    <w:rsid w:val="004D7EEA"/>
    <w:rsid w:val="004F35D2"/>
    <w:rsid w:val="005A64D5"/>
    <w:rsid w:val="005B3DEC"/>
    <w:rsid w:val="00601994"/>
    <w:rsid w:val="00601C90"/>
    <w:rsid w:val="00672F8A"/>
    <w:rsid w:val="006E2D42"/>
    <w:rsid w:val="006F0B3F"/>
    <w:rsid w:val="00703676"/>
    <w:rsid w:val="00707304"/>
    <w:rsid w:val="00727151"/>
    <w:rsid w:val="00732269"/>
    <w:rsid w:val="007456BD"/>
    <w:rsid w:val="00762555"/>
    <w:rsid w:val="00785ABD"/>
    <w:rsid w:val="00796BD3"/>
    <w:rsid w:val="007A2DD4"/>
    <w:rsid w:val="007C2E56"/>
    <w:rsid w:val="007D38B5"/>
    <w:rsid w:val="007E7EA0"/>
    <w:rsid w:val="00807255"/>
    <w:rsid w:val="0081023E"/>
    <w:rsid w:val="008173AA"/>
    <w:rsid w:val="00840A14"/>
    <w:rsid w:val="00844750"/>
    <w:rsid w:val="0085350F"/>
    <w:rsid w:val="008B62B4"/>
    <w:rsid w:val="008D2D7B"/>
    <w:rsid w:val="008E0737"/>
    <w:rsid w:val="008E3056"/>
    <w:rsid w:val="008F7C2C"/>
    <w:rsid w:val="00940E96"/>
    <w:rsid w:val="009B0BAE"/>
    <w:rsid w:val="009C1C89"/>
    <w:rsid w:val="009F3448"/>
    <w:rsid w:val="00A01CF9"/>
    <w:rsid w:val="00A22D9F"/>
    <w:rsid w:val="00A71773"/>
    <w:rsid w:val="00AB38DF"/>
    <w:rsid w:val="00AE2C85"/>
    <w:rsid w:val="00AF4411"/>
    <w:rsid w:val="00B12A37"/>
    <w:rsid w:val="00B34CB1"/>
    <w:rsid w:val="00B41837"/>
    <w:rsid w:val="00B63EF2"/>
    <w:rsid w:val="00B64D78"/>
    <w:rsid w:val="00B72D42"/>
    <w:rsid w:val="00BA7D89"/>
    <w:rsid w:val="00BC0D39"/>
    <w:rsid w:val="00BC5FC4"/>
    <w:rsid w:val="00BC77B0"/>
    <w:rsid w:val="00BC7BC0"/>
    <w:rsid w:val="00BD57B7"/>
    <w:rsid w:val="00BE63E2"/>
    <w:rsid w:val="00C111A7"/>
    <w:rsid w:val="00CD2009"/>
    <w:rsid w:val="00CE5D46"/>
    <w:rsid w:val="00CE6FE7"/>
    <w:rsid w:val="00CF629C"/>
    <w:rsid w:val="00D07F49"/>
    <w:rsid w:val="00D31911"/>
    <w:rsid w:val="00D5437D"/>
    <w:rsid w:val="00D92EEA"/>
    <w:rsid w:val="00DA5D4E"/>
    <w:rsid w:val="00DA7A08"/>
    <w:rsid w:val="00DF566A"/>
    <w:rsid w:val="00E176BA"/>
    <w:rsid w:val="00E423EC"/>
    <w:rsid w:val="00E55121"/>
    <w:rsid w:val="00EB4FCB"/>
    <w:rsid w:val="00EC6BC5"/>
    <w:rsid w:val="00F35898"/>
    <w:rsid w:val="00F5225B"/>
    <w:rsid w:val="00F946A8"/>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6307C"/>
  <w15:docId w15:val="{910FA730-66E4-4685-92A8-694E69F5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uiPriority w:val="99"/>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paragraph" w:styleId="ListParagraph">
    <w:name w:val="List Paragraph"/>
    <w:basedOn w:val="Normal"/>
    <w:uiPriority w:val="34"/>
    <w:qFormat/>
    <w:rsid w:val="00A22D9F"/>
    <w:pPr>
      <w:tabs>
        <w:tab w:val="clear" w:pos="794"/>
        <w:tab w:val="clear" w:pos="1191"/>
        <w:tab w:val="clear" w:pos="1588"/>
        <w:tab w:val="clear" w:pos="1985"/>
        <w:tab w:val="left" w:pos="567"/>
        <w:tab w:val="left" w:pos="1134"/>
        <w:tab w:val="left" w:pos="1701"/>
        <w:tab w:val="left" w:pos="2268"/>
        <w:tab w:val="left" w:pos="2835"/>
      </w:tabs>
      <w:ind w:left="720"/>
      <w:contextualSpacing/>
    </w:pPr>
    <w:rPr>
      <w:sz w:val="24"/>
    </w:rPr>
  </w:style>
  <w:style w:type="character" w:customStyle="1" w:styleId="FooterChar">
    <w:name w:val="Footer Char"/>
    <w:basedOn w:val="DefaultParagraphFont"/>
    <w:link w:val="Footer"/>
    <w:uiPriority w:val="99"/>
    <w:rsid w:val="00A22D9F"/>
    <w:rPr>
      <w:rFonts w:ascii="Calibri" w:hAnsi="Calibri"/>
      <w:caps/>
      <w:noProof/>
      <w:sz w:val="16"/>
      <w:lang w:val="fr-FR" w:eastAsia="en-US"/>
    </w:rPr>
  </w:style>
  <w:style w:type="numbering" w:customStyle="1" w:styleId="1">
    <w:name w:val="Текущий список1"/>
    <w:uiPriority w:val="99"/>
    <w:rsid w:val="00CE6FE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www.itu.int/md/S23-CL-C-0019/en"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PR_Council23.dotx</Template>
  <TotalTime>0</TotalTime>
  <Pages>10</Pages>
  <Words>2319</Words>
  <Characters>15065</Characters>
  <Application>Microsoft Office Word</Application>
  <DocSecurity>4</DocSecurity>
  <Lines>125</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17350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Canada and the United States of America - Support for the study on the appropriateness of Council Decision 482 to recover costs associated with the processing of Satellite Network Filings</dc:title>
  <dc:subject>Council 2023</dc:subject>
  <dc:creator>Xue, Kun</dc:creator>
  <cp:keywords>C2023, C23, Council-23</cp:keywords>
  <dc:description/>
  <cp:lastModifiedBy>Xue, Kun</cp:lastModifiedBy>
  <cp:revision>2</cp:revision>
  <cp:lastPrinted>2006-03-28T16:12:00Z</cp:lastPrinted>
  <dcterms:created xsi:type="dcterms:W3CDTF">2023-07-07T18:12:00Z</dcterms:created>
  <dcterms:modified xsi:type="dcterms:W3CDTF">2023-07-07T18:12:00Z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