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A7794A" w14:paraId="2365C1AB" w14:textId="77777777">
        <w:trPr>
          <w:cantSplit/>
          <w:trHeight w:val="23"/>
        </w:trPr>
        <w:tc>
          <w:tcPr>
            <w:tcW w:w="3969" w:type="dxa"/>
            <w:vMerge w:val="restart"/>
            <w:tcMar>
              <w:left w:w="0" w:type="dxa"/>
            </w:tcMar>
          </w:tcPr>
          <w:p w14:paraId="51C1739B" w14:textId="77777777" w:rsidR="00A7794A" w:rsidRDefault="00810898">
            <w:pPr>
              <w:tabs>
                <w:tab w:val="left" w:pos="851"/>
              </w:tabs>
              <w:spacing w:before="0" w:line="240" w:lineRule="atLeast"/>
              <w:rPr>
                <w:b/>
                <w:bCs/>
                <w:lang w:val="en-US" w:eastAsia="zh-CN"/>
              </w:rPr>
            </w:pPr>
            <w:bookmarkStart w:id="0" w:name="dmeeting" w:colFirst="0" w:colLast="0"/>
            <w:bookmarkStart w:id="1" w:name="dnum" w:colFirst="1" w:colLast="1"/>
            <w:bookmarkStart w:id="2" w:name="_Hlk133421839"/>
            <w:proofErr w:type="spellStart"/>
            <w:r>
              <w:rPr>
                <w:rFonts w:cstheme="minorHAnsi" w:hint="eastAsia"/>
                <w:b/>
                <w:bCs/>
                <w:lang w:val="ru-RU"/>
              </w:rPr>
              <w:t>议项：</w:t>
            </w:r>
            <w:r>
              <w:rPr>
                <w:rFonts w:cstheme="minorHAnsi" w:hint="eastAsia"/>
                <w:b/>
                <w:bCs/>
                <w:lang w:val="en-US" w:eastAsia="zh-CN"/>
              </w:rPr>
              <w:t>ADM</w:t>
            </w:r>
            <w:proofErr w:type="spellEnd"/>
            <w:r>
              <w:rPr>
                <w:rFonts w:cstheme="minorHAnsi" w:hint="eastAsia"/>
                <w:b/>
                <w:bCs/>
                <w:lang w:val="en-US" w:eastAsia="zh-CN"/>
              </w:rPr>
              <w:t xml:space="preserve"> 1</w:t>
            </w:r>
          </w:p>
        </w:tc>
        <w:tc>
          <w:tcPr>
            <w:tcW w:w="5245" w:type="dxa"/>
          </w:tcPr>
          <w:p w14:paraId="057CE4E4" w14:textId="3E400DC7" w:rsidR="00A7794A" w:rsidRDefault="00810898">
            <w:pPr>
              <w:tabs>
                <w:tab w:val="left" w:pos="851"/>
              </w:tabs>
              <w:spacing w:before="0" w:line="240" w:lineRule="atLeast"/>
              <w:jc w:val="right"/>
              <w:rPr>
                <w:b/>
                <w:lang w:val="fr-CH"/>
              </w:rPr>
            </w:pPr>
            <w:proofErr w:type="spellStart"/>
            <w:r>
              <w:rPr>
                <w:rFonts w:cstheme="minorHAnsi"/>
                <w:b/>
                <w:bCs/>
                <w:lang w:val="ru-RU"/>
              </w:rPr>
              <w:t>文件</w:t>
            </w:r>
            <w:proofErr w:type="spellEnd"/>
            <w:r>
              <w:rPr>
                <w:rFonts w:cstheme="minorHAnsi" w:hint="eastAsia"/>
                <w:b/>
                <w:bCs/>
                <w:lang w:val="ru-RU"/>
              </w:rPr>
              <w:t xml:space="preserve"> </w:t>
            </w:r>
            <w:r>
              <w:rPr>
                <w:b/>
                <w:lang w:val="fr-CH"/>
              </w:rPr>
              <w:t>C23/80-C</w:t>
            </w:r>
          </w:p>
        </w:tc>
      </w:tr>
      <w:tr w:rsidR="00A7794A" w14:paraId="3CDCE0B1" w14:textId="77777777">
        <w:trPr>
          <w:cantSplit/>
        </w:trPr>
        <w:tc>
          <w:tcPr>
            <w:tcW w:w="3969" w:type="dxa"/>
            <w:vMerge/>
          </w:tcPr>
          <w:p w14:paraId="11C37180" w14:textId="77777777" w:rsidR="00A7794A" w:rsidRDefault="00A7794A">
            <w:pPr>
              <w:tabs>
                <w:tab w:val="left" w:pos="851"/>
              </w:tabs>
              <w:spacing w:line="240" w:lineRule="atLeast"/>
              <w:rPr>
                <w:b/>
                <w:lang w:val="fr-CH"/>
              </w:rPr>
            </w:pPr>
            <w:bookmarkStart w:id="3" w:name="ddate" w:colFirst="1" w:colLast="1"/>
            <w:bookmarkEnd w:id="0"/>
            <w:bookmarkEnd w:id="1"/>
          </w:p>
        </w:tc>
        <w:tc>
          <w:tcPr>
            <w:tcW w:w="5245" w:type="dxa"/>
          </w:tcPr>
          <w:p w14:paraId="11E5EDB5" w14:textId="38A715FE" w:rsidR="00A7794A" w:rsidRDefault="00810898">
            <w:pPr>
              <w:tabs>
                <w:tab w:val="left" w:pos="851"/>
              </w:tabs>
              <w:spacing w:before="0"/>
              <w:jc w:val="right"/>
              <w:rPr>
                <w:b/>
                <w:lang w:eastAsia="zh-CN"/>
              </w:rPr>
            </w:pPr>
            <w:r>
              <w:rPr>
                <w:b/>
              </w:rPr>
              <w:t>2023</w:t>
            </w:r>
            <w:r>
              <w:rPr>
                <w:rFonts w:hint="eastAsia"/>
                <w:b/>
                <w:lang w:eastAsia="zh-CN"/>
              </w:rPr>
              <w:t>年</w:t>
            </w:r>
            <w:r>
              <w:rPr>
                <w:rFonts w:hint="eastAsia"/>
                <w:b/>
                <w:lang w:eastAsia="zh-CN"/>
              </w:rPr>
              <w:t>6</w:t>
            </w:r>
            <w:r>
              <w:rPr>
                <w:rFonts w:hint="eastAsia"/>
                <w:b/>
                <w:lang w:eastAsia="zh-CN"/>
              </w:rPr>
              <w:t>月</w:t>
            </w:r>
            <w:r>
              <w:rPr>
                <w:rFonts w:hint="eastAsia"/>
                <w:b/>
                <w:lang w:eastAsia="zh-CN"/>
              </w:rPr>
              <w:t>2</w:t>
            </w:r>
            <w:r>
              <w:rPr>
                <w:b/>
                <w:lang w:eastAsia="zh-CN"/>
              </w:rPr>
              <w:t>7</w:t>
            </w:r>
            <w:r>
              <w:rPr>
                <w:rFonts w:hint="eastAsia"/>
                <w:b/>
                <w:lang w:eastAsia="zh-CN"/>
              </w:rPr>
              <w:t>日</w:t>
            </w:r>
          </w:p>
        </w:tc>
      </w:tr>
      <w:tr w:rsidR="00A7794A" w14:paraId="1BC4B188" w14:textId="77777777">
        <w:trPr>
          <w:cantSplit/>
          <w:trHeight w:val="23"/>
        </w:trPr>
        <w:tc>
          <w:tcPr>
            <w:tcW w:w="3969" w:type="dxa"/>
            <w:vMerge/>
          </w:tcPr>
          <w:p w14:paraId="00A4B907" w14:textId="77777777" w:rsidR="00A7794A" w:rsidRDefault="00A7794A">
            <w:pPr>
              <w:tabs>
                <w:tab w:val="left" w:pos="851"/>
              </w:tabs>
              <w:spacing w:line="240" w:lineRule="atLeast"/>
              <w:rPr>
                <w:b/>
              </w:rPr>
            </w:pPr>
            <w:bookmarkStart w:id="4" w:name="dorlang" w:colFirst="1" w:colLast="1"/>
            <w:bookmarkEnd w:id="3"/>
          </w:p>
        </w:tc>
        <w:tc>
          <w:tcPr>
            <w:tcW w:w="5245" w:type="dxa"/>
          </w:tcPr>
          <w:p w14:paraId="4A5AE309" w14:textId="77777777" w:rsidR="00A7794A" w:rsidRDefault="00810898">
            <w:pPr>
              <w:tabs>
                <w:tab w:val="left" w:pos="851"/>
              </w:tabs>
              <w:spacing w:before="0" w:line="240" w:lineRule="atLeast"/>
              <w:jc w:val="right"/>
              <w:rPr>
                <w:b/>
                <w:lang w:val="en-US" w:eastAsia="zh-CN"/>
              </w:rPr>
            </w:pPr>
            <w:proofErr w:type="spellStart"/>
            <w:r>
              <w:rPr>
                <w:rFonts w:cstheme="minorHAnsi"/>
                <w:b/>
                <w:bCs/>
                <w:lang w:val="ru-RU"/>
              </w:rPr>
              <w:t>原文</w:t>
            </w:r>
            <w:proofErr w:type="spellEnd"/>
            <w:r>
              <w:rPr>
                <w:rFonts w:cstheme="minorHAnsi"/>
                <w:b/>
                <w:bCs/>
                <w:lang w:val="ru-RU"/>
              </w:rPr>
              <w:t>：</w:t>
            </w:r>
            <w:r>
              <w:rPr>
                <w:rFonts w:cstheme="minorHAnsi" w:hint="eastAsia"/>
                <w:b/>
                <w:bCs/>
                <w:lang w:val="en-US" w:eastAsia="zh-CN"/>
              </w:rPr>
              <w:t>中文</w:t>
            </w:r>
          </w:p>
        </w:tc>
      </w:tr>
      <w:tr w:rsidR="00A7794A" w14:paraId="3996BB7E" w14:textId="77777777">
        <w:trPr>
          <w:cantSplit/>
          <w:trHeight w:val="23"/>
        </w:trPr>
        <w:tc>
          <w:tcPr>
            <w:tcW w:w="3969" w:type="dxa"/>
          </w:tcPr>
          <w:p w14:paraId="63DB6481" w14:textId="77777777" w:rsidR="00A7794A" w:rsidRDefault="00A7794A">
            <w:pPr>
              <w:tabs>
                <w:tab w:val="left" w:pos="851"/>
              </w:tabs>
              <w:spacing w:line="240" w:lineRule="atLeast"/>
              <w:rPr>
                <w:b/>
              </w:rPr>
            </w:pPr>
          </w:p>
        </w:tc>
        <w:tc>
          <w:tcPr>
            <w:tcW w:w="5245" w:type="dxa"/>
          </w:tcPr>
          <w:p w14:paraId="72AB883F" w14:textId="77777777" w:rsidR="00A7794A" w:rsidRDefault="00A7794A">
            <w:pPr>
              <w:tabs>
                <w:tab w:val="left" w:pos="851"/>
              </w:tabs>
              <w:spacing w:before="0" w:line="240" w:lineRule="atLeast"/>
              <w:jc w:val="right"/>
              <w:rPr>
                <w:b/>
              </w:rPr>
            </w:pPr>
          </w:p>
        </w:tc>
      </w:tr>
      <w:tr w:rsidR="00A7794A" w14:paraId="300E981F" w14:textId="77777777">
        <w:trPr>
          <w:cantSplit/>
        </w:trPr>
        <w:tc>
          <w:tcPr>
            <w:tcW w:w="9214" w:type="dxa"/>
            <w:gridSpan w:val="2"/>
            <w:tcMar>
              <w:left w:w="0" w:type="dxa"/>
            </w:tcMar>
          </w:tcPr>
          <w:p w14:paraId="66A3AC1C" w14:textId="77777777" w:rsidR="00A7794A" w:rsidRDefault="00810898" w:rsidP="00810898">
            <w:pPr>
              <w:pStyle w:val="Source"/>
              <w:spacing w:after="0" w:line="240" w:lineRule="auto"/>
              <w:jc w:val="left"/>
              <w:rPr>
                <w:sz w:val="34"/>
                <w:szCs w:val="34"/>
                <w:lang w:eastAsia="zh-CN"/>
              </w:rPr>
            </w:pPr>
            <w:bookmarkStart w:id="5" w:name="dsource" w:colFirst="0" w:colLast="0"/>
            <w:bookmarkEnd w:id="4"/>
            <w:r w:rsidRPr="00810898">
              <w:rPr>
                <w:rFonts w:cstheme="minorHAnsi" w:hint="eastAsia"/>
                <w:sz w:val="34"/>
                <w:szCs w:val="34"/>
                <w:lang w:val="ru-RU" w:eastAsia="zh-CN"/>
              </w:rPr>
              <w:t>中华人民共和国</w:t>
            </w:r>
            <w:r>
              <w:rPr>
                <w:rFonts w:cstheme="minorHAnsi" w:hint="eastAsia"/>
                <w:sz w:val="34"/>
                <w:szCs w:val="34"/>
                <w:lang w:val="ru-RU" w:eastAsia="zh-CN"/>
              </w:rPr>
              <w:t>的文稿</w:t>
            </w:r>
          </w:p>
        </w:tc>
      </w:tr>
      <w:tr w:rsidR="00A7794A" w14:paraId="72077CB8" w14:textId="77777777">
        <w:trPr>
          <w:cantSplit/>
        </w:trPr>
        <w:tc>
          <w:tcPr>
            <w:tcW w:w="9214" w:type="dxa"/>
            <w:gridSpan w:val="2"/>
            <w:tcMar>
              <w:left w:w="0" w:type="dxa"/>
            </w:tcMar>
          </w:tcPr>
          <w:p w14:paraId="3AEEB0F5" w14:textId="77777777" w:rsidR="00A7794A" w:rsidRPr="00810898" w:rsidRDefault="00810898" w:rsidP="00810898">
            <w:pPr>
              <w:pStyle w:val="Subtitle"/>
              <w:framePr w:hSpace="0" w:wrap="auto" w:hAnchor="text" w:xAlign="left" w:yAlign="inline"/>
              <w:spacing w:line="240" w:lineRule="auto"/>
              <w:rPr>
                <w:rFonts w:asciiTheme="minorHAnsi" w:eastAsia="SimSun" w:hAnsiTheme="minorHAnsi" w:cstheme="minorHAnsi"/>
                <w:sz w:val="24"/>
                <w:szCs w:val="24"/>
                <w:lang w:eastAsia="zh-CN"/>
              </w:rPr>
            </w:pPr>
            <w:bookmarkStart w:id="6" w:name="dtitle1" w:colFirst="0" w:colLast="0"/>
            <w:bookmarkEnd w:id="5"/>
            <w:r w:rsidRPr="00810898">
              <w:rPr>
                <w:rFonts w:asciiTheme="minorHAnsi" w:eastAsia="SimSun" w:hAnsiTheme="minorHAnsi" w:cstheme="minorHAnsi"/>
                <w:lang w:eastAsia="zh-CN"/>
              </w:rPr>
              <w:t>关于支持落实世界电信发展大会（</w:t>
            </w:r>
            <w:r w:rsidRPr="00810898">
              <w:rPr>
                <w:rFonts w:asciiTheme="minorHAnsi" w:eastAsia="SimSun" w:hAnsiTheme="minorHAnsi" w:cstheme="minorHAnsi"/>
                <w:lang w:eastAsia="zh-CN"/>
              </w:rPr>
              <w:t>WTDC-22</w:t>
            </w:r>
            <w:r w:rsidRPr="00810898">
              <w:rPr>
                <w:rFonts w:asciiTheme="minorHAnsi" w:eastAsia="SimSun" w:hAnsiTheme="minorHAnsi" w:cstheme="minorHAnsi"/>
                <w:lang w:eastAsia="zh-CN"/>
              </w:rPr>
              <w:t>）批准的区域举措的建议</w:t>
            </w:r>
          </w:p>
        </w:tc>
      </w:tr>
      <w:tr w:rsidR="00A7794A" w14:paraId="31588343" w14:textId="77777777">
        <w:trPr>
          <w:cantSplit/>
        </w:trPr>
        <w:tc>
          <w:tcPr>
            <w:tcW w:w="9214" w:type="dxa"/>
            <w:gridSpan w:val="2"/>
            <w:tcBorders>
              <w:top w:val="single" w:sz="4" w:space="0" w:color="auto"/>
              <w:bottom w:val="single" w:sz="4" w:space="0" w:color="auto"/>
            </w:tcBorders>
            <w:tcMar>
              <w:left w:w="0" w:type="dxa"/>
            </w:tcMar>
          </w:tcPr>
          <w:p w14:paraId="24489741" w14:textId="40D4C56A" w:rsidR="00A7794A" w:rsidRDefault="00810898">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b/>
                <w:bCs/>
                <w:sz w:val="26"/>
                <w:szCs w:val="26"/>
                <w:lang w:eastAsia="zh-CN"/>
              </w:rPr>
              <w:t>目的</w:t>
            </w:r>
          </w:p>
          <w:p w14:paraId="0FDF6E8F" w14:textId="77777777" w:rsidR="00A7794A" w:rsidRPr="00810898" w:rsidRDefault="00810898">
            <w:pPr>
              <w:pStyle w:val="Subtitle"/>
              <w:framePr w:hSpace="0" w:wrap="auto" w:hAnchor="text" w:xAlign="left" w:yAlign="inline"/>
              <w:rPr>
                <w:rFonts w:ascii="SimSun" w:eastAsia="SimSun" w:hAnsi="SimSun" w:cstheme="minorHAnsi"/>
                <w:sz w:val="24"/>
                <w:szCs w:val="24"/>
                <w:lang w:eastAsia="zh-CN"/>
              </w:rPr>
            </w:pPr>
            <w:r w:rsidRPr="00810898">
              <w:rPr>
                <w:rFonts w:ascii="SimSun" w:eastAsia="SimSun" w:hAnsi="SimSun" w:cstheme="minorHAnsi" w:hint="eastAsia"/>
                <w:sz w:val="24"/>
                <w:szCs w:val="24"/>
                <w:lang w:eastAsia="zh-CN"/>
              </w:rPr>
              <w:t>中华人民共和国主管部门邀请理事会考虑关于落实世界电信发展大会（</w:t>
            </w:r>
            <w:r w:rsidRPr="003E6316">
              <w:rPr>
                <w:rFonts w:asciiTheme="minorHAnsi" w:eastAsia="SimSun" w:hAnsiTheme="minorHAnsi" w:cstheme="minorHAnsi"/>
                <w:sz w:val="24"/>
                <w:szCs w:val="24"/>
                <w:lang w:eastAsia="zh-CN"/>
              </w:rPr>
              <w:t>WTDC-22</w:t>
            </w:r>
            <w:r w:rsidRPr="00810898">
              <w:rPr>
                <w:rFonts w:ascii="SimSun" w:eastAsia="SimSun" w:hAnsi="SimSun" w:cstheme="minorHAnsi" w:hint="eastAsia"/>
                <w:sz w:val="24"/>
                <w:szCs w:val="24"/>
                <w:lang w:eastAsia="zh-CN"/>
              </w:rPr>
              <w:t>）批准的区域举措的建议。</w:t>
            </w:r>
          </w:p>
          <w:p w14:paraId="09A1248B" w14:textId="77777777" w:rsidR="00A7794A" w:rsidRDefault="00810898">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b/>
                <w:bCs/>
                <w:sz w:val="26"/>
                <w:szCs w:val="26"/>
                <w:lang w:eastAsia="zh-CN"/>
              </w:rPr>
              <w:t>理事会需采取的行动</w:t>
            </w:r>
          </w:p>
          <w:p w14:paraId="06038BA4" w14:textId="77777777" w:rsidR="00A7794A" w:rsidRPr="00810898" w:rsidRDefault="00810898">
            <w:pPr>
              <w:pStyle w:val="Subtitle"/>
              <w:framePr w:hSpace="0" w:wrap="auto" w:hAnchor="text" w:xAlign="left" w:yAlign="inline"/>
              <w:rPr>
                <w:rFonts w:ascii="SimSun" w:eastAsia="SimSun" w:hAnsi="SimSun" w:cstheme="minorHAnsi"/>
                <w:sz w:val="24"/>
                <w:szCs w:val="24"/>
                <w:lang w:val="en" w:eastAsia="zh-CN"/>
              </w:rPr>
            </w:pPr>
            <w:r w:rsidRPr="00810898">
              <w:rPr>
                <w:rFonts w:ascii="SimSun" w:eastAsia="SimSun" w:hAnsi="SimSun" w:cstheme="minorHAnsi" w:hint="eastAsia"/>
                <w:sz w:val="24"/>
                <w:szCs w:val="24"/>
                <w:lang w:val="en-US" w:eastAsia="zh-CN"/>
              </w:rPr>
              <w:t>请理事会</w:t>
            </w:r>
            <w:r w:rsidRPr="00810898">
              <w:rPr>
                <w:rFonts w:ascii="SimSun" w:eastAsia="SimSun" w:hAnsi="SimSun" w:cstheme="minorHAnsi" w:hint="eastAsia"/>
                <w:b/>
                <w:bCs/>
                <w:sz w:val="24"/>
                <w:szCs w:val="24"/>
                <w:lang w:val="en-US" w:eastAsia="zh-CN"/>
              </w:rPr>
              <w:t>酌情考虑</w:t>
            </w:r>
            <w:r w:rsidRPr="00810898">
              <w:rPr>
                <w:rFonts w:ascii="SimSun" w:eastAsia="SimSun" w:hAnsi="SimSun" w:cstheme="minorHAnsi" w:hint="eastAsia"/>
                <w:sz w:val="24"/>
                <w:szCs w:val="24"/>
                <w:lang w:val="en-US" w:eastAsia="zh-CN"/>
              </w:rPr>
              <w:t>文稿建议并</w:t>
            </w:r>
            <w:r w:rsidRPr="00810898">
              <w:rPr>
                <w:rFonts w:ascii="SimSun" w:eastAsia="SimSun" w:hAnsi="SimSun" w:cstheme="minorHAnsi" w:hint="eastAsia"/>
                <w:b/>
                <w:bCs/>
                <w:sz w:val="24"/>
                <w:szCs w:val="24"/>
                <w:lang w:val="en-US" w:eastAsia="zh-CN"/>
              </w:rPr>
              <w:t>采取有关行动</w:t>
            </w:r>
            <w:r w:rsidRPr="00810898">
              <w:rPr>
                <w:rFonts w:ascii="SimSun" w:eastAsia="SimSun" w:hAnsi="SimSun" w:cstheme="minorHAnsi" w:hint="eastAsia"/>
                <w:sz w:val="24"/>
                <w:szCs w:val="24"/>
                <w:lang w:val="en-US" w:eastAsia="zh-CN"/>
              </w:rPr>
              <w:t>。</w:t>
            </w:r>
          </w:p>
          <w:p w14:paraId="09D554EC" w14:textId="77777777" w:rsidR="003E6316" w:rsidRDefault="003E6316">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110CD52" w14:textId="1A5D56BD" w:rsidR="00A7794A" w:rsidRDefault="00810898">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参考文件</w:t>
            </w:r>
          </w:p>
          <w:p w14:paraId="0CA1AC37" w14:textId="7DA1110A" w:rsidR="00A7794A" w:rsidRDefault="00810898">
            <w:pPr>
              <w:rPr>
                <w:lang w:val="en-US" w:eastAsia="zh-CN"/>
              </w:rPr>
            </w:pPr>
            <w:r>
              <w:rPr>
                <w:rFonts w:hint="eastAsia"/>
                <w:lang w:val="en-US" w:eastAsia="zh-CN"/>
              </w:rPr>
              <w:t>2023</w:t>
            </w:r>
            <w:r>
              <w:rPr>
                <w:rFonts w:hint="eastAsia"/>
                <w:lang w:val="en-US" w:eastAsia="zh-CN"/>
              </w:rPr>
              <w:t>年理事会第</w:t>
            </w:r>
            <w:r>
              <w:rPr>
                <w:rFonts w:hint="eastAsia"/>
                <w:lang w:val="en-US" w:eastAsia="zh-CN"/>
              </w:rPr>
              <w:t>26</w:t>
            </w:r>
            <w:r>
              <w:rPr>
                <w:rFonts w:hint="eastAsia"/>
                <w:lang w:val="en-US" w:eastAsia="zh-CN"/>
              </w:rPr>
              <w:t>号文件（</w:t>
            </w:r>
            <w:r w:rsidR="00B30005">
              <w:fldChar w:fldCharType="begin"/>
            </w:r>
            <w:r w:rsidR="00B30005">
              <w:rPr>
                <w:lang w:eastAsia="zh-CN"/>
              </w:rPr>
              <w:instrText>HYPERLINK "https://www.itu.int/md/S23-CL-C-0026/en"</w:instrText>
            </w:r>
            <w:r w:rsidR="00B30005">
              <w:fldChar w:fldCharType="separate"/>
            </w:r>
            <w:r w:rsidRPr="00810898">
              <w:rPr>
                <w:rStyle w:val="Hyperlink"/>
                <w:rFonts w:hint="eastAsia"/>
                <w:lang w:val="en-US" w:eastAsia="zh-CN"/>
              </w:rPr>
              <w:t>C23/26</w:t>
            </w:r>
            <w:r w:rsidR="00B30005">
              <w:rPr>
                <w:rStyle w:val="Hyperlink"/>
                <w:lang w:val="en-US" w:eastAsia="zh-CN"/>
              </w:rPr>
              <w:fldChar w:fldCharType="end"/>
            </w:r>
            <w:r>
              <w:rPr>
                <w:rFonts w:hint="eastAsia"/>
                <w:lang w:val="en-US" w:eastAsia="zh-CN"/>
              </w:rPr>
              <w:t>）。</w:t>
            </w:r>
          </w:p>
        </w:tc>
      </w:tr>
      <w:bookmarkEnd w:id="2"/>
      <w:bookmarkEnd w:id="6"/>
    </w:tbl>
    <w:p w14:paraId="2BB06D8B" w14:textId="77777777" w:rsidR="00A7794A" w:rsidRDefault="00A7794A">
      <w:pPr>
        <w:tabs>
          <w:tab w:val="clear" w:pos="794"/>
          <w:tab w:val="clear" w:pos="1191"/>
          <w:tab w:val="clear" w:pos="1588"/>
          <w:tab w:val="clear" w:pos="1985"/>
        </w:tabs>
        <w:overflowPunct/>
        <w:autoSpaceDE/>
        <w:autoSpaceDN/>
        <w:adjustRightInd/>
        <w:spacing w:before="0"/>
        <w:textAlignment w:val="auto"/>
        <w:rPr>
          <w:lang w:eastAsia="zh-CN"/>
        </w:rPr>
      </w:pPr>
    </w:p>
    <w:p w14:paraId="2A673CEC" w14:textId="77777777" w:rsidR="00A7794A" w:rsidRDefault="0081089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7848E98" w14:textId="30007930" w:rsidR="00A7794A" w:rsidRDefault="00810898" w:rsidP="00810898">
      <w:pPr>
        <w:spacing w:before="240" w:after="0" w:line="240" w:lineRule="auto"/>
        <w:jc w:val="both"/>
        <w:rPr>
          <w:rFonts w:ascii="Times New Roman" w:hAnsi="Times New Roman"/>
          <w:b/>
          <w:bCs/>
          <w:sz w:val="28"/>
          <w:szCs w:val="36"/>
          <w:lang w:val="en-US" w:eastAsia="zh-CN"/>
        </w:rPr>
      </w:pPr>
      <w:r>
        <w:rPr>
          <w:rFonts w:ascii="Times New Roman" w:hAnsi="Times New Roman"/>
          <w:b/>
          <w:bCs/>
          <w:sz w:val="28"/>
          <w:szCs w:val="36"/>
          <w:lang w:val="en-US" w:eastAsia="zh-CN"/>
        </w:rPr>
        <w:lastRenderedPageBreak/>
        <w:tab/>
      </w:r>
      <w:r>
        <w:rPr>
          <w:rFonts w:ascii="Times New Roman" w:hAnsi="Times New Roman"/>
          <w:b/>
          <w:bCs/>
          <w:sz w:val="28"/>
          <w:szCs w:val="36"/>
          <w:lang w:val="en-US" w:eastAsia="zh-CN"/>
        </w:rPr>
        <w:t>一、有关背景</w:t>
      </w:r>
    </w:p>
    <w:p w14:paraId="635F4418" w14:textId="77777777" w:rsidR="00A7794A" w:rsidRPr="00810898" w:rsidRDefault="00810898" w:rsidP="003E6316">
      <w:pPr>
        <w:spacing w:after="0" w:line="240" w:lineRule="auto"/>
        <w:ind w:firstLine="560"/>
        <w:jc w:val="both"/>
        <w:rPr>
          <w:rFonts w:asciiTheme="minorHAnsi" w:hAnsiTheme="minorHAnsi" w:cstheme="minorHAnsi"/>
          <w:szCs w:val="24"/>
          <w:lang w:val="en-US" w:eastAsia="zh-CN"/>
        </w:rPr>
      </w:pPr>
      <w:r w:rsidRPr="00810898">
        <w:rPr>
          <w:rFonts w:asciiTheme="minorHAnsi" w:hAnsiTheme="minorHAnsi" w:cstheme="minorHAnsi"/>
          <w:szCs w:val="24"/>
          <w:lang w:val="en-US" w:eastAsia="zh-CN"/>
        </w:rPr>
        <w:t>第八届世界电信发展大会于</w:t>
      </w:r>
      <w:r w:rsidRPr="00810898">
        <w:rPr>
          <w:rFonts w:asciiTheme="minorHAnsi" w:hAnsiTheme="minorHAnsi" w:cstheme="minorHAnsi"/>
          <w:szCs w:val="24"/>
          <w:lang w:val="en-US" w:eastAsia="zh-CN"/>
        </w:rPr>
        <w:t>2022</w:t>
      </w:r>
      <w:r w:rsidRPr="00810898">
        <w:rPr>
          <w:rFonts w:asciiTheme="minorHAnsi" w:hAnsiTheme="minorHAnsi" w:cstheme="minorHAnsi"/>
          <w:szCs w:val="24"/>
          <w:lang w:val="en-US" w:eastAsia="zh-CN"/>
        </w:rPr>
        <w:t>年</w:t>
      </w:r>
      <w:r w:rsidRPr="00810898">
        <w:rPr>
          <w:rFonts w:asciiTheme="minorHAnsi" w:hAnsiTheme="minorHAnsi" w:cstheme="minorHAnsi"/>
          <w:szCs w:val="24"/>
          <w:lang w:val="en-US" w:eastAsia="zh-CN"/>
        </w:rPr>
        <w:t>6</w:t>
      </w:r>
      <w:r w:rsidRPr="00810898">
        <w:rPr>
          <w:rFonts w:asciiTheme="minorHAnsi" w:hAnsiTheme="minorHAnsi" w:cstheme="minorHAnsi"/>
          <w:szCs w:val="24"/>
          <w:lang w:val="en-US" w:eastAsia="zh-CN"/>
        </w:rPr>
        <w:t>月</w:t>
      </w:r>
      <w:r w:rsidRPr="00810898">
        <w:rPr>
          <w:rFonts w:asciiTheme="minorHAnsi" w:hAnsiTheme="minorHAnsi" w:cstheme="minorHAnsi"/>
          <w:szCs w:val="24"/>
          <w:lang w:val="en-US" w:eastAsia="zh-CN"/>
        </w:rPr>
        <w:t>6-16</w:t>
      </w:r>
      <w:r w:rsidRPr="00810898">
        <w:rPr>
          <w:rFonts w:asciiTheme="minorHAnsi" w:hAnsiTheme="minorHAnsi" w:cstheme="minorHAnsi"/>
          <w:szCs w:val="24"/>
          <w:lang w:val="en-US" w:eastAsia="zh-CN"/>
        </w:rPr>
        <w:t>日在卢旺达首都基加利举行，批准了六大区域的</w:t>
      </w:r>
      <w:r w:rsidRPr="00810898">
        <w:rPr>
          <w:rFonts w:asciiTheme="minorHAnsi" w:hAnsiTheme="minorHAnsi" w:cstheme="minorHAnsi"/>
          <w:szCs w:val="24"/>
          <w:lang w:val="en-US" w:eastAsia="zh-CN"/>
        </w:rPr>
        <w:t>28</w:t>
      </w:r>
      <w:r w:rsidRPr="00810898">
        <w:rPr>
          <w:rFonts w:asciiTheme="minorHAnsi" w:hAnsiTheme="minorHAnsi" w:cstheme="minorHAnsi"/>
          <w:szCs w:val="24"/>
          <w:lang w:val="en-US" w:eastAsia="zh-CN"/>
        </w:rPr>
        <w:t>项区域举措，反映了各区域达成一致的重点工作领域，对提升各区域信息通信发展水平具有重要意义。同时，我们也注意到落实区域举措尚未获得资金支持。</w:t>
      </w:r>
    </w:p>
    <w:p w14:paraId="58C4359E" w14:textId="20AF693A" w:rsidR="00A7794A" w:rsidRPr="00810898" w:rsidRDefault="00810898" w:rsidP="003E6316">
      <w:pPr>
        <w:spacing w:after="0" w:line="240" w:lineRule="auto"/>
        <w:ind w:firstLine="567"/>
        <w:jc w:val="both"/>
        <w:rPr>
          <w:rFonts w:asciiTheme="minorHAnsi" w:hAnsiTheme="minorHAnsi" w:cstheme="minorHAnsi"/>
          <w:szCs w:val="24"/>
          <w:lang w:val="en-US" w:eastAsia="zh-CN"/>
        </w:rPr>
      </w:pPr>
      <w:r w:rsidRPr="00810898">
        <w:rPr>
          <w:rFonts w:asciiTheme="minorHAnsi" w:hAnsiTheme="minorHAnsi" w:cstheme="minorHAnsi"/>
          <w:szCs w:val="24"/>
          <w:lang w:val="en-US" w:eastAsia="zh-CN"/>
        </w:rPr>
        <w:t>2018</w:t>
      </w:r>
      <w:r w:rsidRPr="00810898">
        <w:rPr>
          <w:rFonts w:asciiTheme="minorHAnsi" w:hAnsiTheme="minorHAnsi" w:cstheme="minorHAnsi"/>
          <w:szCs w:val="24"/>
          <w:lang w:val="en-US" w:eastAsia="zh-CN"/>
        </w:rPr>
        <w:t>年理事会期间，秘书长向会议提交了一份报告（</w:t>
      </w:r>
      <w:r w:rsidR="00B30005">
        <w:fldChar w:fldCharType="begin"/>
      </w:r>
      <w:r w:rsidR="00B30005">
        <w:rPr>
          <w:lang w:eastAsia="zh-CN"/>
        </w:rPr>
        <w:instrText>HYPERLINK "https://www.itu.int/md/S18-CL-C-0066/en"</w:instrText>
      </w:r>
      <w:r w:rsidR="00B30005">
        <w:fldChar w:fldCharType="separate"/>
      </w:r>
      <w:r w:rsidRPr="003E6316">
        <w:rPr>
          <w:rStyle w:val="Hyperlink"/>
          <w:rFonts w:asciiTheme="minorHAnsi" w:hAnsiTheme="minorHAnsi" w:cstheme="minorHAnsi"/>
          <w:szCs w:val="24"/>
          <w:lang w:val="en-US" w:eastAsia="zh-CN"/>
        </w:rPr>
        <w:t>C18/66</w:t>
      </w:r>
      <w:r w:rsidR="00B30005">
        <w:rPr>
          <w:rStyle w:val="Hyperlink"/>
          <w:rFonts w:asciiTheme="minorHAnsi" w:hAnsiTheme="minorHAnsi" w:cstheme="minorHAnsi"/>
          <w:szCs w:val="24"/>
          <w:lang w:val="en-US" w:eastAsia="zh-CN"/>
        </w:rPr>
        <w:fldChar w:fldCharType="end"/>
      </w:r>
      <w:r w:rsidRPr="00810898">
        <w:rPr>
          <w:rFonts w:asciiTheme="minorHAnsi" w:hAnsiTheme="minorHAnsi" w:cstheme="minorHAnsi"/>
          <w:szCs w:val="24"/>
          <w:lang w:val="en-US" w:eastAsia="zh-CN"/>
        </w:rPr>
        <w:t>），提出</w:t>
      </w:r>
      <w:r w:rsidRPr="00810898">
        <w:rPr>
          <w:rFonts w:asciiTheme="minorHAnsi" w:hAnsiTheme="minorHAnsi" w:cstheme="minorHAnsi"/>
          <w:szCs w:val="24"/>
          <w:lang w:val="en-US" w:eastAsia="zh-CN"/>
        </w:rPr>
        <w:t>4</w:t>
      </w:r>
      <w:r w:rsidRPr="00810898">
        <w:rPr>
          <w:rFonts w:asciiTheme="minorHAnsi" w:hAnsiTheme="minorHAnsi" w:cstheme="minorHAnsi"/>
          <w:szCs w:val="24"/>
          <w:lang w:val="en-US" w:eastAsia="zh-CN"/>
        </w:rPr>
        <w:t>个为区域性举措实施划拨额外资源的备选方案。最终经会议讨论决定（</w:t>
      </w:r>
      <w:r w:rsidR="00B30005">
        <w:fldChar w:fldCharType="begin"/>
      </w:r>
      <w:r w:rsidR="00B30005">
        <w:rPr>
          <w:lang w:eastAsia="zh-CN"/>
        </w:rPr>
        <w:instrText>HYPERLINK "https://www.itu.</w:instrText>
      </w:r>
      <w:r w:rsidR="00B30005">
        <w:rPr>
          <w:lang w:eastAsia="zh-CN"/>
        </w:rPr>
        <w:instrText>int/md/S18-CL-C-0121/en"</w:instrText>
      </w:r>
      <w:r w:rsidR="00B30005">
        <w:fldChar w:fldCharType="separate"/>
      </w:r>
      <w:r w:rsidRPr="003E6316">
        <w:rPr>
          <w:rStyle w:val="Hyperlink"/>
          <w:rFonts w:asciiTheme="minorHAnsi" w:hAnsiTheme="minorHAnsi" w:cstheme="minorHAnsi"/>
          <w:szCs w:val="24"/>
          <w:lang w:val="en-US" w:eastAsia="zh-CN"/>
        </w:rPr>
        <w:t>C18/121</w:t>
      </w:r>
      <w:r w:rsidR="00B30005">
        <w:rPr>
          <w:rStyle w:val="Hyperlink"/>
          <w:rFonts w:asciiTheme="minorHAnsi" w:hAnsiTheme="minorHAnsi" w:cstheme="minorHAnsi"/>
          <w:szCs w:val="24"/>
          <w:lang w:val="en-US" w:eastAsia="zh-CN"/>
        </w:rPr>
        <w:fldChar w:fldCharType="end"/>
      </w:r>
      <w:r w:rsidRPr="00810898">
        <w:rPr>
          <w:rFonts w:asciiTheme="minorHAnsi" w:hAnsiTheme="minorHAnsi" w:cstheme="minorHAnsi"/>
          <w:szCs w:val="24"/>
          <w:lang w:val="en-US" w:eastAsia="zh-CN"/>
        </w:rPr>
        <w:t>），为区域举措划拨</w:t>
      </w:r>
      <w:r w:rsidRPr="00810898">
        <w:rPr>
          <w:rFonts w:asciiTheme="minorHAnsi" w:hAnsiTheme="minorHAnsi" w:cstheme="minorHAnsi"/>
          <w:szCs w:val="24"/>
          <w:lang w:val="en-US" w:eastAsia="zh-CN"/>
        </w:rPr>
        <w:t>500</w:t>
      </w:r>
      <w:r w:rsidRPr="00810898">
        <w:rPr>
          <w:rFonts w:asciiTheme="minorHAnsi" w:hAnsiTheme="minorHAnsi" w:cstheme="minorHAnsi"/>
          <w:szCs w:val="24"/>
          <w:lang w:val="en-US" w:eastAsia="zh-CN"/>
        </w:rPr>
        <w:t>万瑞郎，其中</w:t>
      </w:r>
      <w:r w:rsidRPr="00810898">
        <w:rPr>
          <w:rFonts w:asciiTheme="minorHAnsi" w:hAnsiTheme="minorHAnsi" w:cstheme="minorHAnsi"/>
          <w:szCs w:val="24"/>
          <w:lang w:val="en-US" w:eastAsia="zh-CN"/>
        </w:rPr>
        <w:t>200</w:t>
      </w:r>
      <w:r w:rsidRPr="00810898">
        <w:rPr>
          <w:rFonts w:asciiTheme="minorHAnsi" w:hAnsiTheme="minorHAnsi" w:cstheme="minorHAnsi"/>
          <w:szCs w:val="24"/>
          <w:lang w:val="en-US" w:eastAsia="zh-CN"/>
        </w:rPr>
        <w:t>万瑞郎由</w:t>
      </w:r>
      <w:r w:rsidRPr="00810898">
        <w:rPr>
          <w:rFonts w:asciiTheme="minorHAnsi" w:hAnsiTheme="minorHAnsi" w:cstheme="minorHAnsi"/>
          <w:szCs w:val="24"/>
          <w:lang w:val="en-US" w:eastAsia="zh-CN"/>
        </w:rPr>
        <w:t>2017</w:t>
      </w:r>
      <w:r w:rsidRPr="00810898">
        <w:rPr>
          <w:rFonts w:asciiTheme="minorHAnsi" w:hAnsiTheme="minorHAnsi" w:cstheme="minorHAnsi"/>
          <w:szCs w:val="24"/>
          <w:lang w:val="en-US" w:eastAsia="zh-CN"/>
        </w:rPr>
        <w:t>年结余资金支付，其余</w:t>
      </w:r>
      <w:r w:rsidRPr="00810898">
        <w:rPr>
          <w:rFonts w:asciiTheme="minorHAnsi" w:hAnsiTheme="minorHAnsi" w:cstheme="minorHAnsi"/>
          <w:szCs w:val="24"/>
          <w:lang w:val="en-US" w:eastAsia="zh-CN"/>
        </w:rPr>
        <w:t>300</w:t>
      </w:r>
      <w:r w:rsidRPr="00810898">
        <w:rPr>
          <w:rFonts w:asciiTheme="minorHAnsi" w:hAnsiTheme="minorHAnsi" w:cstheme="minorHAnsi"/>
          <w:szCs w:val="24"/>
          <w:lang w:val="en-US" w:eastAsia="zh-CN"/>
        </w:rPr>
        <w:t>万列入</w:t>
      </w:r>
      <w:r w:rsidRPr="00810898">
        <w:rPr>
          <w:rFonts w:asciiTheme="minorHAnsi" w:hAnsiTheme="minorHAnsi" w:cstheme="minorHAnsi"/>
          <w:szCs w:val="24"/>
          <w:lang w:val="en-US" w:eastAsia="zh-CN"/>
        </w:rPr>
        <w:t>2020-2023</w:t>
      </w:r>
      <w:r w:rsidRPr="00810898">
        <w:rPr>
          <w:rFonts w:asciiTheme="minorHAnsi" w:hAnsiTheme="minorHAnsi" w:cstheme="minorHAnsi"/>
          <w:szCs w:val="24"/>
          <w:lang w:val="en-US" w:eastAsia="zh-CN"/>
        </w:rPr>
        <w:t>年财务规划中的</w:t>
      </w:r>
      <w:r w:rsidRPr="00810898">
        <w:rPr>
          <w:rFonts w:asciiTheme="minorHAnsi" w:hAnsiTheme="minorHAnsi" w:cstheme="minorHAnsi"/>
          <w:szCs w:val="24"/>
          <w:lang w:val="en-US" w:eastAsia="zh-CN"/>
        </w:rPr>
        <w:t>2020-2021</w:t>
      </w:r>
      <w:r w:rsidRPr="00810898">
        <w:rPr>
          <w:rFonts w:asciiTheme="minorHAnsi" w:hAnsiTheme="minorHAnsi" w:cstheme="minorHAnsi"/>
          <w:szCs w:val="24"/>
          <w:lang w:val="en-US" w:eastAsia="zh-CN"/>
        </w:rPr>
        <w:t>双年度预算。</w:t>
      </w:r>
    </w:p>
    <w:p w14:paraId="7A49D3A0" w14:textId="77777777" w:rsidR="00A7794A" w:rsidRPr="00810898" w:rsidRDefault="00810898" w:rsidP="003E6316">
      <w:pPr>
        <w:spacing w:after="0" w:line="240" w:lineRule="auto"/>
        <w:ind w:firstLine="560"/>
        <w:jc w:val="both"/>
        <w:rPr>
          <w:rFonts w:asciiTheme="minorHAnsi" w:hAnsiTheme="minorHAnsi" w:cstheme="minorHAnsi"/>
          <w:szCs w:val="24"/>
          <w:lang w:val="en-US" w:eastAsia="zh-CN"/>
        </w:rPr>
      </w:pPr>
      <w:r w:rsidRPr="00810898">
        <w:rPr>
          <w:rFonts w:asciiTheme="minorHAnsi" w:hAnsiTheme="minorHAnsi" w:cstheme="minorHAnsi"/>
          <w:szCs w:val="24"/>
          <w:lang w:val="en-US" w:eastAsia="zh-CN"/>
        </w:rPr>
        <w:t>在</w:t>
      </w:r>
      <w:r w:rsidRPr="00810898">
        <w:rPr>
          <w:rFonts w:asciiTheme="minorHAnsi" w:hAnsiTheme="minorHAnsi" w:cstheme="minorHAnsi"/>
          <w:szCs w:val="24"/>
          <w:lang w:val="en-US" w:eastAsia="zh-CN"/>
        </w:rPr>
        <w:t>2019</w:t>
      </w:r>
      <w:r w:rsidRPr="00810898">
        <w:rPr>
          <w:rFonts w:asciiTheme="minorHAnsi" w:hAnsiTheme="minorHAnsi" w:cstheme="minorHAnsi"/>
          <w:szCs w:val="24"/>
          <w:lang w:val="en-US" w:eastAsia="zh-CN"/>
        </w:rPr>
        <w:t>年以来，我们注意到通过落实区域举措实施了诸多大中型项目，对提升区域信息通信水平做出了重要贡献。以亚太区为例，在斐济、瑙鲁、萨摩亚等九个太平洋岛国实施的卫星连接项目，有效改善了这些国家的连通性，增强了抵御灾害的能力；在亚太区部分国家开展的关于数字政府、网络安全、应急通信等领域培训，有效协助这些国家提升了相关领域战略制定能力。我们相信，在其他区域通过开展区域举措框架下的项目合作，也对当地信息通信发展起到了积极的作用。</w:t>
      </w:r>
    </w:p>
    <w:p w14:paraId="7D488A2C" w14:textId="1C53F036" w:rsidR="00A7794A" w:rsidRDefault="00810898" w:rsidP="003E6316">
      <w:pPr>
        <w:spacing w:after="0" w:line="240" w:lineRule="auto"/>
        <w:ind w:firstLine="560"/>
        <w:jc w:val="both"/>
        <w:rPr>
          <w:rFonts w:ascii="Times New Roman" w:hAnsi="Times New Roman"/>
          <w:sz w:val="28"/>
          <w:szCs w:val="36"/>
          <w:lang w:val="en-US" w:eastAsia="zh-CN"/>
        </w:rPr>
      </w:pPr>
      <w:r w:rsidRPr="00810898">
        <w:rPr>
          <w:rFonts w:asciiTheme="minorHAnsi" w:hAnsiTheme="minorHAnsi" w:cstheme="minorHAnsi"/>
          <w:szCs w:val="24"/>
          <w:lang w:val="en-US" w:eastAsia="zh-CN"/>
        </w:rPr>
        <w:t>我们也注意到在刚刚结束的</w:t>
      </w:r>
      <w:r w:rsidR="003E6316">
        <w:rPr>
          <w:rFonts w:asciiTheme="minorHAnsi" w:hAnsiTheme="minorHAnsi" w:cstheme="minorHAnsi" w:hint="eastAsia"/>
          <w:szCs w:val="24"/>
          <w:lang w:val="en-US" w:eastAsia="zh-CN"/>
        </w:rPr>
        <w:t>电信发展顾问组（</w:t>
      </w:r>
      <w:r w:rsidRPr="00810898">
        <w:rPr>
          <w:rFonts w:asciiTheme="minorHAnsi" w:hAnsiTheme="minorHAnsi" w:cstheme="minorHAnsi"/>
          <w:szCs w:val="24"/>
          <w:lang w:val="en-US" w:eastAsia="zh-CN"/>
        </w:rPr>
        <w:t>TDAG</w:t>
      </w:r>
      <w:r w:rsidR="003E6316">
        <w:rPr>
          <w:rFonts w:asciiTheme="minorHAnsi" w:hAnsiTheme="minorHAnsi" w:cstheme="minorHAnsi" w:hint="eastAsia"/>
          <w:szCs w:val="24"/>
          <w:lang w:val="en-US" w:eastAsia="zh-CN"/>
        </w:rPr>
        <w:t>）</w:t>
      </w:r>
      <w:r w:rsidRPr="00810898">
        <w:rPr>
          <w:rFonts w:asciiTheme="minorHAnsi" w:hAnsiTheme="minorHAnsi" w:cstheme="minorHAnsi"/>
          <w:szCs w:val="24"/>
          <w:lang w:val="en-US" w:eastAsia="zh-CN"/>
        </w:rPr>
        <w:t>会议上，成员国一致认为区域举措非常重要，国际电联有必要为落实区域举措提供资金支持。</w:t>
      </w:r>
    </w:p>
    <w:p w14:paraId="62E9AD4C" w14:textId="6BAC7149" w:rsidR="00A7794A" w:rsidRDefault="00810898" w:rsidP="00810898">
      <w:pPr>
        <w:spacing w:before="240" w:after="0" w:line="240" w:lineRule="auto"/>
        <w:jc w:val="both"/>
        <w:rPr>
          <w:rFonts w:ascii="Times New Roman" w:hAnsi="Times New Roman"/>
          <w:b/>
          <w:bCs/>
          <w:sz w:val="28"/>
          <w:szCs w:val="36"/>
          <w:lang w:val="en-US" w:eastAsia="zh-CN"/>
        </w:rPr>
      </w:pPr>
      <w:r>
        <w:rPr>
          <w:rFonts w:ascii="Times New Roman" w:hAnsi="Times New Roman"/>
          <w:b/>
          <w:bCs/>
          <w:sz w:val="28"/>
          <w:szCs w:val="36"/>
          <w:lang w:val="en-US" w:eastAsia="zh-CN"/>
        </w:rPr>
        <w:tab/>
      </w:r>
      <w:r>
        <w:rPr>
          <w:rFonts w:ascii="Times New Roman" w:hAnsi="Times New Roman" w:hint="eastAsia"/>
          <w:b/>
          <w:bCs/>
          <w:sz w:val="28"/>
          <w:szCs w:val="36"/>
          <w:lang w:val="en-US" w:eastAsia="zh-CN"/>
        </w:rPr>
        <w:t>二、建议</w:t>
      </w:r>
    </w:p>
    <w:p w14:paraId="39AA2B6E" w14:textId="77777777" w:rsidR="00A7794A" w:rsidRPr="00810898" w:rsidRDefault="00810898" w:rsidP="003E6316">
      <w:pPr>
        <w:spacing w:after="120" w:line="240" w:lineRule="auto"/>
        <w:ind w:firstLine="426"/>
        <w:jc w:val="both"/>
        <w:rPr>
          <w:rFonts w:asciiTheme="minorHAnsi" w:hAnsiTheme="minorHAnsi" w:cstheme="minorHAnsi"/>
          <w:szCs w:val="24"/>
          <w:lang w:val="en-US" w:eastAsia="zh-CN"/>
        </w:rPr>
      </w:pPr>
      <w:r w:rsidRPr="00810898">
        <w:rPr>
          <w:rFonts w:asciiTheme="minorHAnsi" w:hAnsiTheme="minorHAnsi" w:cstheme="minorHAnsi"/>
          <w:szCs w:val="24"/>
          <w:lang w:val="en-US" w:eastAsia="zh-CN"/>
        </w:rPr>
        <w:t>考虑到区域举措反映了各区域达成一致的重点工作领域和主要发展诉求，对提升各区域信息通信发展水平具有重要意义，同时考虑到目前国际电</w:t>
      </w:r>
      <w:proofErr w:type="gramStart"/>
      <w:r w:rsidRPr="00810898">
        <w:rPr>
          <w:rFonts w:asciiTheme="minorHAnsi" w:hAnsiTheme="minorHAnsi" w:cstheme="minorHAnsi"/>
          <w:szCs w:val="24"/>
          <w:lang w:val="en-US" w:eastAsia="zh-CN"/>
        </w:rPr>
        <w:t>联面临</w:t>
      </w:r>
      <w:proofErr w:type="gramEnd"/>
      <w:r w:rsidRPr="00810898">
        <w:rPr>
          <w:rFonts w:asciiTheme="minorHAnsi" w:hAnsiTheme="minorHAnsi" w:cstheme="minorHAnsi"/>
          <w:szCs w:val="24"/>
          <w:lang w:val="en-US" w:eastAsia="zh-CN"/>
        </w:rPr>
        <w:t>的财务挑战，中方建议</w:t>
      </w:r>
      <w:r w:rsidRPr="00810898">
        <w:rPr>
          <w:rFonts w:asciiTheme="minorHAnsi" w:hAnsiTheme="minorHAnsi" w:cstheme="minorHAnsi"/>
          <w:szCs w:val="24"/>
          <w:lang w:val="en-US" w:eastAsia="zh-CN"/>
        </w:rPr>
        <w:t>:</w:t>
      </w:r>
    </w:p>
    <w:p w14:paraId="5050E73D" w14:textId="38E3DC70" w:rsidR="00A7794A" w:rsidRPr="00810898" w:rsidRDefault="00810898" w:rsidP="003E6316">
      <w:pPr>
        <w:spacing w:after="120" w:line="240" w:lineRule="auto"/>
        <w:ind w:firstLine="426"/>
        <w:jc w:val="both"/>
        <w:rPr>
          <w:rFonts w:asciiTheme="minorHAnsi" w:hAnsiTheme="minorHAnsi" w:cstheme="minorHAnsi"/>
          <w:szCs w:val="24"/>
          <w:lang w:val="en-US" w:eastAsia="zh-CN"/>
        </w:rPr>
      </w:pPr>
      <w:r w:rsidRPr="00810898">
        <w:rPr>
          <w:rFonts w:asciiTheme="minorHAnsi" w:hAnsiTheme="minorHAnsi" w:cstheme="minorHAnsi"/>
          <w:szCs w:val="24"/>
          <w:lang w:val="en-US" w:eastAsia="zh-CN"/>
        </w:rPr>
        <w:t>1.</w:t>
      </w:r>
      <w:r w:rsidRPr="00810898">
        <w:rPr>
          <w:rFonts w:asciiTheme="minorHAnsi" w:hAnsiTheme="minorHAnsi" w:cstheme="minorHAnsi"/>
          <w:szCs w:val="24"/>
          <w:lang w:val="en-US" w:eastAsia="zh-CN"/>
        </w:rPr>
        <w:t>请理事会积极考虑</w:t>
      </w:r>
      <w:r w:rsidRPr="00810898">
        <w:rPr>
          <w:rFonts w:asciiTheme="minorHAnsi" w:hAnsiTheme="minorHAnsi" w:cstheme="minorHAnsi"/>
          <w:szCs w:val="24"/>
          <w:lang w:val="en" w:eastAsia="zh-CN"/>
        </w:rPr>
        <w:t>2023</w:t>
      </w:r>
      <w:r w:rsidRPr="00810898">
        <w:rPr>
          <w:rFonts w:asciiTheme="minorHAnsi" w:hAnsiTheme="minorHAnsi" w:cstheme="minorHAnsi"/>
          <w:szCs w:val="24"/>
          <w:lang w:val="en" w:eastAsia="zh-CN"/>
        </w:rPr>
        <w:t>年</w:t>
      </w:r>
      <w:r w:rsidRPr="00810898">
        <w:rPr>
          <w:rFonts w:asciiTheme="minorHAnsi" w:hAnsiTheme="minorHAnsi" w:cstheme="minorHAnsi"/>
          <w:szCs w:val="24"/>
          <w:lang w:val="en-US" w:eastAsia="zh-CN"/>
        </w:rPr>
        <w:t>TDAG</w:t>
      </w:r>
      <w:r w:rsidRPr="00810898">
        <w:rPr>
          <w:rFonts w:asciiTheme="minorHAnsi" w:hAnsiTheme="minorHAnsi" w:cstheme="minorHAnsi"/>
          <w:szCs w:val="24"/>
          <w:lang w:val="en-US" w:eastAsia="zh-CN"/>
        </w:rPr>
        <w:t>会议提出的有关方案，为落实</w:t>
      </w:r>
      <w:r w:rsidRPr="00810898">
        <w:rPr>
          <w:rFonts w:asciiTheme="minorHAnsi" w:hAnsiTheme="minorHAnsi" w:cstheme="minorHAnsi"/>
          <w:szCs w:val="24"/>
          <w:lang w:val="en-US" w:eastAsia="zh-CN"/>
        </w:rPr>
        <w:t>WTDC-22</w:t>
      </w:r>
      <w:r w:rsidRPr="00810898">
        <w:rPr>
          <w:rFonts w:asciiTheme="minorHAnsi" w:hAnsiTheme="minorHAnsi" w:cstheme="minorHAnsi"/>
          <w:szCs w:val="24"/>
          <w:lang w:val="en-US" w:eastAsia="zh-CN"/>
        </w:rPr>
        <w:t>批准的区域举措提供资金支持。</w:t>
      </w:r>
    </w:p>
    <w:p w14:paraId="4AC3E58D" w14:textId="77777777" w:rsidR="00A7794A" w:rsidRPr="00810898" w:rsidRDefault="00810898" w:rsidP="003E6316">
      <w:pPr>
        <w:spacing w:after="120" w:line="240" w:lineRule="auto"/>
        <w:ind w:firstLine="426"/>
        <w:jc w:val="both"/>
        <w:rPr>
          <w:rFonts w:asciiTheme="minorHAnsi" w:hAnsiTheme="minorHAnsi" w:cstheme="minorHAnsi"/>
          <w:szCs w:val="24"/>
          <w:lang w:val="en-US" w:eastAsia="zh-CN"/>
        </w:rPr>
      </w:pPr>
      <w:r w:rsidRPr="00810898">
        <w:rPr>
          <w:rFonts w:asciiTheme="minorHAnsi" w:hAnsiTheme="minorHAnsi" w:cstheme="minorHAnsi"/>
          <w:szCs w:val="24"/>
          <w:lang w:val="en-US" w:eastAsia="zh-CN"/>
        </w:rPr>
        <w:t>2.</w:t>
      </w:r>
      <w:r w:rsidRPr="00810898">
        <w:rPr>
          <w:rFonts w:asciiTheme="minorHAnsi" w:hAnsiTheme="minorHAnsi" w:cstheme="minorHAnsi"/>
          <w:szCs w:val="24"/>
          <w:lang w:val="en-US" w:eastAsia="zh-CN"/>
        </w:rPr>
        <w:t>请电信发展局主任积极开展有关区域性举措落实的协调工作，包括确定各项区域举措优先顺序，优先考虑和安排与</w:t>
      </w:r>
      <w:r w:rsidRPr="00810898">
        <w:rPr>
          <w:rFonts w:asciiTheme="minorHAnsi" w:hAnsiTheme="minorHAnsi" w:cstheme="minorHAnsi"/>
          <w:szCs w:val="24"/>
          <w:lang w:val="en-US" w:eastAsia="zh-CN"/>
        </w:rPr>
        <w:t>ITU-D</w:t>
      </w:r>
      <w:r w:rsidRPr="00810898">
        <w:rPr>
          <w:rFonts w:asciiTheme="minorHAnsi" w:hAnsiTheme="minorHAnsi" w:cstheme="minorHAnsi"/>
          <w:szCs w:val="24"/>
          <w:lang w:val="en-US" w:eastAsia="zh-CN"/>
        </w:rPr>
        <w:t>重点工作领域和《基加利宣言》落实框架相关项目，同时考虑与最不发达国家、小岛屿发展中国家、内陆发展中国家和经济转型国家最不发达国家需求，确保将有限资源用于最为紧迫的项目。</w:t>
      </w:r>
    </w:p>
    <w:p w14:paraId="584A3C9F" w14:textId="77777777" w:rsidR="00A7794A" w:rsidRDefault="00810898" w:rsidP="003E6316">
      <w:pPr>
        <w:spacing w:after="120" w:line="240" w:lineRule="auto"/>
        <w:ind w:firstLine="426"/>
        <w:jc w:val="both"/>
        <w:rPr>
          <w:rFonts w:asciiTheme="minorHAnsi" w:hAnsiTheme="minorHAnsi" w:cstheme="minorHAnsi"/>
          <w:szCs w:val="24"/>
          <w:lang w:val="en-US" w:eastAsia="zh-CN"/>
        </w:rPr>
      </w:pPr>
      <w:r w:rsidRPr="00810898">
        <w:rPr>
          <w:rFonts w:asciiTheme="minorHAnsi" w:hAnsiTheme="minorHAnsi" w:cstheme="minorHAnsi"/>
          <w:szCs w:val="24"/>
          <w:lang w:val="en-US" w:eastAsia="zh-CN"/>
        </w:rPr>
        <w:t>3.</w:t>
      </w:r>
      <w:r w:rsidRPr="00810898">
        <w:rPr>
          <w:rFonts w:asciiTheme="minorHAnsi" w:hAnsiTheme="minorHAnsi" w:cstheme="minorHAnsi"/>
          <w:szCs w:val="24"/>
          <w:lang w:val="en-US" w:eastAsia="zh-CN"/>
        </w:rPr>
        <w:t>请电信发展局主任继续积极推动落实数字化发展创新创业联盟举措，与各类成员建立更加广泛和紧密的合作伙伴关系，不断提升项目管理能力和执行效率，进一步放大国际电联预算资金对外部投资的带动效应。</w:t>
      </w:r>
    </w:p>
    <w:p w14:paraId="038A70D3" w14:textId="4C3DDA0A" w:rsidR="00810898" w:rsidRDefault="00810898" w:rsidP="00810898">
      <w:pPr>
        <w:spacing w:before="840" w:after="0" w:line="240" w:lineRule="auto"/>
        <w:ind w:firstLine="641"/>
        <w:jc w:val="center"/>
        <w:rPr>
          <w:rFonts w:ascii="Times New Roman" w:hAnsi="Times New Roman"/>
          <w:sz w:val="28"/>
          <w:szCs w:val="36"/>
          <w:lang w:val="en-US" w:eastAsia="zh-CN"/>
        </w:rPr>
      </w:pPr>
      <w:r>
        <w:rPr>
          <w:rFonts w:asciiTheme="minorHAnsi" w:hAnsiTheme="minorHAnsi" w:cstheme="minorHAnsi" w:hint="eastAsia"/>
          <w:szCs w:val="24"/>
          <w:lang w:val="en-US" w:eastAsia="zh-CN"/>
        </w:rPr>
        <w:t>_</w:t>
      </w:r>
      <w:r>
        <w:rPr>
          <w:rFonts w:asciiTheme="minorHAnsi" w:hAnsiTheme="minorHAnsi" w:cstheme="minorHAnsi"/>
          <w:szCs w:val="24"/>
          <w:lang w:val="en-US" w:eastAsia="zh-CN"/>
        </w:rPr>
        <w:t>____________</w:t>
      </w:r>
    </w:p>
    <w:sectPr w:rsidR="00810898">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4225" w14:textId="77777777" w:rsidR="004F6338" w:rsidRDefault="00810898">
      <w:pPr>
        <w:spacing w:before="0" w:after="0" w:line="240" w:lineRule="auto"/>
      </w:pPr>
      <w:r>
        <w:separator/>
      </w:r>
    </w:p>
  </w:endnote>
  <w:endnote w:type="continuationSeparator" w:id="0">
    <w:p w14:paraId="602702B9" w14:textId="77777777" w:rsidR="004F6338" w:rsidRDefault="008108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Nimbus Roman No9 L"/>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微软雅黑 Light"/>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7794A" w14:paraId="526A24FB" w14:textId="77777777">
      <w:trPr>
        <w:jc w:val="center"/>
      </w:trPr>
      <w:tc>
        <w:tcPr>
          <w:tcW w:w="1803" w:type="dxa"/>
          <w:vAlign w:val="center"/>
        </w:tcPr>
        <w:p w14:paraId="49F1BD6D" w14:textId="0F2FFB34" w:rsidR="00A7794A" w:rsidRDefault="00810898">
          <w:pPr>
            <w:pStyle w:val="Header"/>
            <w:jc w:val="left"/>
          </w:pPr>
          <w:r>
            <w:t>DPS 525351</w:t>
          </w:r>
        </w:p>
      </w:tc>
      <w:tc>
        <w:tcPr>
          <w:tcW w:w="8261" w:type="dxa"/>
        </w:tcPr>
        <w:p w14:paraId="59FCCDA5" w14:textId="43461508" w:rsidR="00A7794A" w:rsidRDefault="00810898">
          <w:pPr>
            <w:pStyle w:val="Header"/>
            <w:tabs>
              <w:tab w:val="left" w:pos="7070"/>
              <w:tab w:val="right" w:pos="8505"/>
              <w:tab w:val="right" w:pos="9639"/>
            </w:tabs>
            <w:jc w:val="left"/>
            <w:rPr>
              <w:rFonts w:ascii="Arial" w:hAnsi="Arial" w:cs="Arial"/>
              <w:b/>
              <w:bCs/>
              <w:szCs w:val="18"/>
            </w:rPr>
          </w:pPr>
          <w:r>
            <w:rPr>
              <w:bCs/>
            </w:rPr>
            <w:tab/>
            <w:t>C23/80-C</w:t>
          </w:r>
          <w:r>
            <w:rPr>
              <w:bCs/>
            </w:rPr>
            <w:tab/>
          </w:r>
          <w:r>
            <w:fldChar w:fldCharType="begin"/>
          </w:r>
          <w:r>
            <w:instrText>PAGE</w:instrText>
          </w:r>
          <w:r>
            <w:fldChar w:fldCharType="separate"/>
          </w:r>
          <w:r>
            <w:t>1</w:t>
          </w:r>
          <w:r>
            <w:fldChar w:fldCharType="end"/>
          </w:r>
        </w:p>
      </w:tc>
    </w:tr>
  </w:tbl>
  <w:p w14:paraId="4D199C8E" w14:textId="77777777" w:rsidR="00A7794A" w:rsidRDefault="00A7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7794A" w14:paraId="681871DD" w14:textId="77777777">
      <w:trPr>
        <w:jc w:val="center"/>
      </w:trPr>
      <w:tc>
        <w:tcPr>
          <w:tcW w:w="1803" w:type="dxa"/>
          <w:vAlign w:val="center"/>
        </w:tcPr>
        <w:p w14:paraId="58D36D97" w14:textId="77777777" w:rsidR="00A7794A" w:rsidRDefault="00B30005">
          <w:pPr>
            <w:pStyle w:val="Header"/>
            <w:jc w:val="left"/>
          </w:pPr>
          <w:hyperlink r:id="rId1" w:history="1">
            <w:r w:rsidR="00810898">
              <w:rPr>
                <w:rStyle w:val="Hyperlink"/>
                <w:szCs w:val="14"/>
              </w:rPr>
              <w:t>www.itu.int/council</w:t>
            </w:r>
          </w:hyperlink>
        </w:p>
      </w:tc>
      <w:tc>
        <w:tcPr>
          <w:tcW w:w="8261" w:type="dxa"/>
        </w:tcPr>
        <w:p w14:paraId="42203184" w14:textId="0EBEB5BC" w:rsidR="00A7794A" w:rsidRDefault="00810898">
          <w:pPr>
            <w:pStyle w:val="Header"/>
            <w:tabs>
              <w:tab w:val="left" w:pos="7070"/>
              <w:tab w:val="right" w:pos="8505"/>
              <w:tab w:val="right" w:pos="9639"/>
            </w:tabs>
            <w:jc w:val="left"/>
            <w:rPr>
              <w:rFonts w:ascii="Arial" w:hAnsi="Arial" w:cs="Arial"/>
              <w:b/>
              <w:bCs/>
              <w:szCs w:val="18"/>
            </w:rPr>
          </w:pPr>
          <w:r>
            <w:rPr>
              <w:bCs/>
            </w:rPr>
            <w:tab/>
            <w:t>C23/80-C</w:t>
          </w:r>
          <w:r>
            <w:rPr>
              <w:bCs/>
            </w:rPr>
            <w:tab/>
          </w:r>
          <w:r>
            <w:fldChar w:fldCharType="begin"/>
          </w:r>
          <w:r>
            <w:instrText>PAGE</w:instrText>
          </w:r>
          <w:r>
            <w:fldChar w:fldCharType="separate"/>
          </w:r>
          <w:r>
            <w:t>1</w:t>
          </w:r>
          <w:r>
            <w:fldChar w:fldCharType="end"/>
          </w:r>
        </w:p>
      </w:tc>
    </w:tr>
  </w:tbl>
  <w:p w14:paraId="0CD50E1E" w14:textId="77777777" w:rsidR="00A7794A" w:rsidRDefault="00A7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76E8" w14:textId="77777777" w:rsidR="004F6338" w:rsidRDefault="00810898">
      <w:pPr>
        <w:spacing w:before="0" w:after="0" w:line="240" w:lineRule="auto"/>
      </w:pPr>
      <w:r>
        <w:separator/>
      </w:r>
    </w:p>
  </w:footnote>
  <w:footnote w:type="continuationSeparator" w:id="0">
    <w:p w14:paraId="6C1DD4B9" w14:textId="77777777" w:rsidR="004F6338" w:rsidRDefault="008108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7794A" w14:paraId="775C1FF9" w14:textId="77777777">
      <w:trPr>
        <w:trHeight w:val="1104"/>
        <w:jc w:val="center"/>
      </w:trPr>
      <w:tc>
        <w:tcPr>
          <w:tcW w:w="4390" w:type="dxa"/>
          <w:vAlign w:val="center"/>
        </w:tcPr>
        <w:p w14:paraId="5E5CED00" w14:textId="77777777" w:rsidR="00A7794A" w:rsidRDefault="00810898">
          <w:pPr>
            <w:pStyle w:val="Header"/>
            <w:jc w:val="left"/>
            <w:rPr>
              <w:rFonts w:ascii="Arial" w:hAnsi="Arial" w:cs="Arial"/>
              <w:b/>
              <w:bCs/>
              <w:color w:val="009CD6"/>
              <w:sz w:val="36"/>
              <w:szCs w:val="36"/>
            </w:rPr>
          </w:pPr>
          <w:bookmarkStart w:id="7" w:name="_Hlk133422111"/>
          <w:r>
            <w:rPr>
              <w:noProof/>
            </w:rPr>
            <w:drawing>
              <wp:inline distT="0" distB="0" distL="0" distR="0" wp14:anchorId="477CED8F" wp14:editId="1EB2521B">
                <wp:extent cx="1917700"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35064" cy="543808"/>
                        </a:xfrm>
                        <a:prstGeom prst="rect">
                          <a:avLst/>
                        </a:prstGeom>
                        <a:noFill/>
                        <a:ln>
                          <a:noFill/>
                        </a:ln>
                      </pic:spPr>
                    </pic:pic>
                  </a:graphicData>
                </a:graphic>
              </wp:inline>
            </w:drawing>
          </w:r>
        </w:p>
      </w:tc>
      <w:tc>
        <w:tcPr>
          <w:tcW w:w="5630" w:type="dxa"/>
        </w:tcPr>
        <w:p w14:paraId="2DFCF22B" w14:textId="77777777" w:rsidR="00A7794A" w:rsidRDefault="00A7794A">
          <w:pPr>
            <w:pStyle w:val="Header"/>
            <w:jc w:val="right"/>
            <w:rPr>
              <w:rFonts w:ascii="Arial" w:hAnsi="Arial" w:cs="Arial"/>
              <w:b/>
              <w:bCs/>
              <w:color w:val="009CD6"/>
              <w:szCs w:val="18"/>
            </w:rPr>
          </w:pPr>
        </w:p>
        <w:p w14:paraId="5BE314F1" w14:textId="77777777" w:rsidR="00A7794A" w:rsidRDefault="00A7794A">
          <w:pPr>
            <w:pStyle w:val="Header"/>
            <w:jc w:val="right"/>
            <w:rPr>
              <w:rFonts w:ascii="Arial" w:hAnsi="Arial" w:cs="Arial"/>
              <w:b/>
              <w:bCs/>
              <w:color w:val="009CD6"/>
              <w:szCs w:val="18"/>
            </w:rPr>
          </w:pPr>
        </w:p>
        <w:p w14:paraId="31A739AB" w14:textId="77777777" w:rsidR="00A7794A" w:rsidRDefault="00810898">
          <w:pPr>
            <w:pStyle w:val="Header"/>
            <w:jc w:val="right"/>
            <w:rPr>
              <w:rFonts w:ascii="Arial" w:hAnsi="Arial" w:cs="Arial"/>
              <w:color w:val="009CD6"/>
              <w:szCs w:val="18"/>
            </w:rPr>
          </w:pPr>
          <w:r>
            <w:rPr>
              <w:rFonts w:ascii="Arial" w:hAnsi="Arial" w:cs="Arial"/>
              <w:b/>
              <w:bCs/>
              <w:color w:val="009CD6"/>
              <w:szCs w:val="18"/>
            </w:rPr>
            <w:t xml:space="preserve"> </w:t>
          </w:r>
        </w:p>
      </w:tc>
    </w:tr>
  </w:tbl>
  <w:bookmarkEnd w:id="7"/>
  <w:p w14:paraId="24437EE8" w14:textId="77777777" w:rsidR="00A7794A" w:rsidRDefault="00810898">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A049067" wp14:editId="5C249AE7">
              <wp:simplePos x="0" y="0"/>
              <wp:positionH relativeFrom="page">
                <wp:posOffset>22225</wp:posOffset>
              </wp:positionH>
              <wp:positionV relativeFrom="topMargin">
                <wp:posOffset>617220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75pt;margin-top:48.6pt;height:28.4pt;width:7.25pt;mso-position-horizontal-relative:page;mso-position-vertical-relative:page;z-index:251659264;mso-width-relative:page;mso-height-relative:page;" fillcolor="#009CD5" filled="t" stroked="f" coordsize="21600,21600" o:gfxdata="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dKap3YAAAABwEAAA8AAAAAAAAA&#10;AQAgAAAAOAAAAGRycy9kb3ducmV2LnhtbFBLAQIUABQAAAAIAIdO4kBT63yM+wEAAOMDAAAOAAAA&#10;AAAAAAEAIAAAAD0BAABkcnMvZTJvRG9jLnhtbFBLBQYAAAAABgAGAFkBAACqBQ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1MTA2MjU3ODgzMDhkMzE0ZTU0MjU4NGU4NDljNDMifQ=="/>
  </w:docVars>
  <w:rsids>
    <w:rsidRoot w:val="00630DD5"/>
    <w:rsid w:val="B3D1BDE1"/>
    <w:rsid w:val="B9272B97"/>
    <w:rsid w:val="EDDDB9E2"/>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E6316"/>
    <w:rsid w:val="003F1415"/>
    <w:rsid w:val="0040144C"/>
    <w:rsid w:val="00403EB7"/>
    <w:rsid w:val="00430BF0"/>
    <w:rsid w:val="004672E6"/>
    <w:rsid w:val="00474ED1"/>
    <w:rsid w:val="00493085"/>
    <w:rsid w:val="004A36EC"/>
    <w:rsid w:val="004D163F"/>
    <w:rsid w:val="004E4BFF"/>
    <w:rsid w:val="004F2598"/>
    <w:rsid w:val="004F6338"/>
    <w:rsid w:val="005403F7"/>
    <w:rsid w:val="00540632"/>
    <w:rsid w:val="00541CF4"/>
    <w:rsid w:val="005451E8"/>
    <w:rsid w:val="005507F2"/>
    <w:rsid w:val="005759CC"/>
    <w:rsid w:val="005A72E1"/>
    <w:rsid w:val="005C6632"/>
    <w:rsid w:val="005D1C9E"/>
    <w:rsid w:val="00630DD5"/>
    <w:rsid w:val="00654257"/>
    <w:rsid w:val="0065435A"/>
    <w:rsid w:val="0068729E"/>
    <w:rsid w:val="006A2DD3"/>
    <w:rsid w:val="006A5AF8"/>
    <w:rsid w:val="006C36CD"/>
    <w:rsid w:val="00700D1F"/>
    <w:rsid w:val="007205CB"/>
    <w:rsid w:val="00726073"/>
    <w:rsid w:val="00734FE8"/>
    <w:rsid w:val="007360CE"/>
    <w:rsid w:val="00772315"/>
    <w:rsid w:val="00775157"/>
    <w:rsid w:val="007813AE"/>
    <w:rsid w:val="007A37DB"/>
    <w:rsid w:val="007E189D"/>
    <w:rsid w:val="00810898"/>
    <w:rsid w:val="00811259"/>
    <w:rsid w:val="00813AA2"/>
    <w:rsid w:val="008173A3"/>
    <w:rsid w:val="008418F5"/>
    <w:rsid w:val="0086059C"/>
    <w:rsid w:val="00864589"/>
    <w:rsid w:val="00890AFB"/>
    <w:rsid w:val="00890FC4"/>
    <w:rsid w:val="00895905"/>
    <w:rsid w:val="00911867"/>
    <w:rsid w:val="009164A9"/>
    <w:rsid w:val="009258CB"/>
    <w:rsid w:val="0093362E"/>
    <w:rsid w:val="009442A9"/>
    <w:rsid w:val="00944563"/>
    <w:rsid w:val="00953160"/>
    <w:rsid w:val="009625D8"/>
    <w:rsid w:val="0098459B"/>
    <w:rsid w:val="00997185"/>
    <w:rsid w:val="009C2458"/>
    <w:rsid w:val="009C4A7B"/>
    <w:rsid w:val="009C6123"/>
    <w:rsid w:val="009F1E3E"/>
    <w:rsid w:val="00A1213C"/>
    <w:rsid w:val="00A272FF"/>
    <w:rsid w:val="00A5354B"/>
    <w:rsid w:val="00A71B57"/>
    <w:rsid w:val="00A7794A"/>
    <w:rsid w:val="00AB42C1"/>
    <w:rsid w:val="00AC516F"/>
    <w:rsid w:val="00AE195F"/>
    <w:rsid w:val="00AE2926"/>
    <w:rsid w:val="00B0184B"/>
    <w:rsid w:val="00B035CD"/>
    <w:rsid w:val="00B0769D"/>
    <w:rsid w:val="00B217F8"/>
    <w:rsid w:val="00B30005"/>
    <w:rsid w:val="00B332EA"/>
    <w:rsid w:val="00B40A53"/>
    <w:rsid w:val="00B45365"/>
    <w:rsid w:val="00B46A65"/>
    <w:rsid w:val="00B60184"/>
    <w:rsid w:val="00B62D20"/>
    <w:rsid w:val="00B81E75"/>
    <w:rsid w:val="00BD0954"/>
    <w:rsid w:val="00BD1A5A"/>
    <w:rsid w:val="00BD7A9B"/>
    <w:rsid w:val="00BD7BE1"/>
    <w:rsid w:val="00BF416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6817"/>
    <w:rsid w:val="00D453EE"/>
    <w:rsid w:val="00D5666C"/>
    <w:rsid w:val="00D6391F"/>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78F7AF5"/>
    <w:rsid w:val="0A9450C5"/>
    <w:rsid w:val="0FEF18E1"/>
    <w:rsid w:val="1DB96EC4"/>
    <w:rsid w:val="38B64F6A"/>
    <w:rsid w:val="3F673A6C"/>
    <w:rsid w:val="442742D8"/>
    <w:rsid w:val="46470C62"/>
    <w:rsid w:val="4BFC8EB3"/>
    <w:rsid w:val="5060304C"/>
    <w:rsid w:val="774D5CE4"/>
    <w:rsid w:val="77BBE6EB"/>
    <w:rsid w:val="7877341F"/>
    <w:rsid w:val="79D4022D"/>
    <w:rsid w:val="7ADAE0C8"/>
    <w:rsid w:val="7BB978DA"/>
    <w:rsid w:val="7EDA53A2"/>
    <w:rsid w:val="7F6F3CF8"/>
    <w:rsid w:val="7FDE84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1B54A"/>
  <w15:docId w15:val="{71F6C2D0-221D-4A13-BC7C-A04159D4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spacing w:before="80"/>
    </w:pPr>
  </w:style>
  <w:style w:type="paragraph" w:styleId="TOC3">
    <w:name w:val="toc 3"/>
    <w:basedOn w:val="TOC2"/>
    <w:next w:val="Normal"/>
    <w:semiHidden/>
    <w:qFormat/>
  </w:style>
  <w:style w:type="paragraph" w:styleId="TOC2">
    <w:name w:val="toc 2"/>
    <w:basedOn w:val="TOC1"/>
    <w:next w:val="Normal"/>
    <w:semiHidden/>
    <w:qFormat/>
    <w:pPr>
      <w:spacing w:before="160"/>
    </w:pPr>
  </w:style>
  <w:style w:type="paragraph" w:styleId="TOC1">
    <w:name w:val="toc 1"/>
    <w:basedOn w:val="Normal"/>
    <w:next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semiHidden/>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Index2">
    <w:name w:val="index 2"/>
    <w:basedOn w:val="Normal"/>
    <w:next w:val="Normal"/>
    <w:semiHidden/>
    <w:qFormat/>
    <w:pPr>
      <w:ind w:left="283"/>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qFormat/>
    <w:rPr>
      <w:rFonts w:ascii="Calibri" w:hAnsi="Calibri"/>
      <w:color w:val="0000FF"/>
      <w:u w:val="single"/>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semiHidden/>
    <w:qFormat/>
    <w:rPr>
      <w:rFonts w:ascii="Calibri" w:hAnsi="Calibri"/>
      <w:sz w:val="24"/>
      <w:lang w:val="en-GB" w:eastAsia="en-US"/>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qFormat/>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HeaderChar">
    <w:name w:val="Header Char"/>
    <w:basedOn w:val="DefaultParagraphFont"/>
    <w:link w:val="Header"/>
    <w:uiPriority w:val="99"/>
    <w:qFormat/>
    <w:rPr>
      <w:rFonts w:ascii="Calibri" w:hAnsi="Calibri"/>
      <w:sz w:val="18"/>
      <w:lang w:val="fr-FR" w:eastAsia="en-US"/>
    </w:rPr>
  </w:style>
  <w:style w:type="paragraph" w:customStyle="1" w:styleId="Subtitle">
    <w:name w:val="Sub_title"/>
    <w:basedOn w:val="Title1"/>
    <w:qFormat/>
    <w:pPr>
      <w:framePr w:hSpace="180" w:wrap="around" w:hAnchor="page" w:x="1821" w:y="2317"/>
      <w:spacing w:before="120"/>
      <w:jc w:val="left"/>
    </w:pPr>
    <w:rPr>
      <w:rFonts w:eastAsia="Times New Roman"/>
      <w:caps w:val="0"/>
      <w:sz w:val="34"/>
    </w:rPr>
  </w:style>
  <w:style w:type="character" w:styleId="UnresolvedMention">
    <w:name w:val="Unresolved Mention"/>
    <w:basedOn w:val="DefaultParagraphFont"/>
    <w:uiPriority w:val="99"/>
    <w:semiHidden/>
    <w:unhideWhenUsed/>
    <w:rsid w:val="0081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999</Words>
  <Characters>341</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关于支持落实世界电信发展大会（WTDC-22）批准的区域举措的建议</dc:title>
  <dc:subject>Council 2023</dc:subject>
  <dc:creator>Xue, Kun</dc:creator>
  <cp:keywords>C2023, C23, Council-23</cp:keywords>
  <cp:lastModifiedBy>Xue, Kun</cp:lastModifiedBy>
  <cp:revision>5</cp:revision>
  <cp:lastPrinted>2015-02-26T21:23:00Z</cp:lastPrinted>
  <dcterms:created xsi:type="dcterms:W3CDTF">2023-06-27T20:55:00Z</dcterms:created>
  <dcterms:modified xsi:type="dcterms:W3CDTF">2023-06-28T08:03:00Z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0x0101001E46BE2403204D4E844191C3480CD35B</vt:lpwstr>
  </property>
  <property fmtid="{D5CDD505-2E9C-101B-9397-08002B2CF9AE}" pid="9" name="KSOProductBuildVer">
    <vt:lpwstr>2052-11.8.2.10337</vt:lpwstr>
  </property>
  <property fmtid="{D5CDD505-2E9C-101B-9397-08002B2CF9AE}" pid="10" name="ICV">
    <vt:lpwstr>6FC981F13B8D4918A40AF5CFFB103A43_13</vt:lpwstr>
  </property>
</Properties>
</file>