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C00766" w:rsidRPr="00E43425" w14:paraId="68599486" w14:textId="77777777">
        <w:trPr>
          <w:cantSplit/>
          <w:trHeight w:val="23"/>
        </w:trPr>
        <w:tc>
          <w:tcPr>
            <w:tcW w:w="3969" w:type="dxa"/>
            <w:vMerge w:val="restart"/>
            <w:tcMar>
              <w:left w:w="0" w:type="dxa"/>
            </w:tcMar>
          </w:tcPr>
          <w:p w14:paraId="45646FB7" w14:textId="673D80EF" w:rsidR="00C00766" w:rsidRPr="00E43425" w:rsidRDefault="007B18C4" w:rsidP="00F220B4">
            <w:pPr>
              <w:tabs>
                <w:tab w:val="left" w:pos="851"/>
              </w:tabs>
              <w:spacing w:before="0"/>
              <w:rPr>
                <w:b/>
              </w:rPr>
            </w:pPr>
            <w:r w:rsidRPr="00E43425">
              <w:rPr>
                <w:b/>
              </w:rPr>
              <w:t>Point de l'ordre du jour: PL 3</w:t>
            </w:r>
          </w:p>
        </w:tc>
        <w:tc>
          <w:tcPr>
            <w:tcW w:w="5245" w:type="dxa"/>
          </w:tcPr>
          <w:p w14:paraId="391EA981" w14:textId="77777777" w:rsidR="00C00766" w:rsidRPr="00E43425" w:rsidRDefault="007B18C4" w:rsidP="00F220B4">
            <w:pPr>
              <w:tabs>
                <w:tab w:val="left" w:pos="851"/>
              </w:tabs>
              <w:spacing w:before="0"/>
              <w:jc w:val="right"/>
              <w:rPr>
                <w:b/>
              </w:rPr>
            </w:pPr>
            <w:r w:rsidRPr="00E43425">
              <w:rPr>
                <w:b/>
              </w:rPr>
              <w:t>Document C23/78-F</w:t>
            </w:r>
          </w:p>
        </w:tc>
      </w:tr>
      <w:tr w:rsidR="00C00766" w:rsidRPr="00E43425" w14:paraId="2CF53059" w14:textId="77777777">
        <w:trPr>
          <w:cantSplit/>
        </w:trPr>
        <w:tc>
          <w:tcPr>
            <w:tcW w:w="3969" w:type="dxa"/>
            <w:vMerge/>
          </w:tcPr>
          <w:p w14:paraId="4FA3D0A4" w14:textId="77777777" w:rsidR="00C00766" w:rsidRPr="00E43425" w:rsidRDefault="00C00766" w:rsidP="00F220B4">
            <w:pPr>
              <w:tabs>
                <w:tab w:val="left" w:pos="851"/>
              </w:tabs>
              <w:rPr>
                <w:b/>
              </w:rPr>
            </w:pPr>
          </w:p>
        </w:tc>
        <w:tc>
          <w:tcPr>
            <w:tcW w:w="5245" w:type="dxa"/>
          </w:tcPr>
          <w:p w14:paraId="5A87F5FF" w14:textId="77777777" w:rsidR="00C00766" w:rsidRPr="00E43425" w:rsidRDefault="007B18C4" w:rsidP="00F220B4">
            <w:pPr>
              <w:tabs>
                <w:tab w:val="left" w:pos="851"/>
              </w:tabs>
              <w:spacing w:before="0"/>
              <w:jc w:val="right"/>
              <w:rPr>
                <w:b/>
              </w:rPr>
            </w:pPr>
            <w:r w:rsidRPr="00E43425">
              <w:rPr>
                <w:b/>
              </w:rPr>
              <w:t>27 juin 2023</w:t>
            </w:r>
          </w:p>
        </w:tc>
      </w:tr>
      <w:tr w:rsidR="00C00766" w:rsidRPr="00E43425" w14:paraId="1AFCF686" w14:textId="77777777">
        <w:trPr>
          <w:cantSplit/>
          <w:trHeight w:val="23"/>
        </w:trPr>
        <w:tc>
          <w:tcPr>
            <w:tcW w:w="3969" w:type="dxa"/>
            <w:vMerge/>
          </w:tcPr>
          <w:p w14:paraId="554C91B5" w14:textId="77777777" w:rsidR="00C00766" w:rsidRPr="00E43425" w:rsidRDefault="00C00766" w:rsidP="00F220B4">
            <w:pPr>
              <w:tabs>
                <w:tab w:val="left" w:pos="851"/>
              </w:tabs>
              <w:rPr>
                <w:b/>
              </w:rPr>
            </w:pPr>
          </w:p>
        </w:tc>
        <w:tc>
          <w:tcPr>
            <w:tcW w:w="5245" w:type="dxa"/>
          </w:tcPr>
          <w:p w14:paraId="757EC29D" w14:textId="278A29A7" w:rsidR="00C00766" w:rsidRPr="00E43425" w:rsidRDefault="007B18C4" w:rsidP="00F220B4">
            <w:pPr>
              <w:tabs>
                <w:tab w:val="left" w:pos="851"/>
              </w:tabs>
              <w:spacing w:before="0"/>
              <w:jc w:val="right"/>
              <w:rPr>
                <w:b/>
              </w:rPr>
            </w:pPr>
            <w:r w:rsidRPr="00E43425">
              <w:rPr>
                <w:b/>
              </w:rPr>
              <w:t>Original: chinois</w:t>
            </w:r>
          </w:p>
        </w:tc>
      </w:tr>
      <w:tr w:rsidR="00C00766" w:rsidRPr="00E43425" w14:paraId="0FBC1CF3" w14:textId="77777777">
        <w:trPr>
          <w:cantSplit/>
          <w:trHeight w:val="23"/>
        </w:trPr>
        <w:tc>
          <w:tcPr>
            <w:tcW w:w="3969" w:type="dxa"/>
          </w:tcPr>
          <w:p w14:paraId="758A4553" w14:textId="77777777" w:rsidR="00C00766" w:rsidRPr="00E43425" w:rsidRDefault="00C00766" w:rsidP="00F220B4">
            <w:pPr>
              <w:tabs>
                <w:tab w:val="left" w:pos="851"/>
              </w:tabs>
              <w:rPr>
                <w:b/>
              </w:rPr>
            </w:pPr>
          </w:p>
        </w:tc>
        <w:tc>
          <w:tcPr>
            <w:tcW w:w="5245" w:type="dxa"/>
          </w:tcPr>
          <w:p w14:paraId="54926867" w14:textId="77777777" w:rsidR="00C00766" w:rsidRPr="00E43425" w:rsidRDefault="00C00766" w:rsidP="00F220B4">
            <w:pPr>
              <w:tabs>
                <w:tab w:val="left" w:pos="851"/>
              </w:tabs>
              <w:spacing w:before="0"/>
              <w:jc w:val="right"/>
              <w:rPr>
                <w:b/>
              </w:rPr>
            </w:pPr>
          </w:p>
        </w:tc>
      </w:tr>
      <w:tr w:rsidR="00C00766" w:rsidRPr="00E43425" w14:paraId="66625AA3" w14:textId="77777777">
        <w:trPr>
          <w:cantSplit/>
        </w:trPr>
        <w:tc>
          <w:tcPr>
            <w:tcW w:w="9214" w:type="dxa"/>
            <w:gridSpan w:val="2"/>
            <w:tcMar>
              <w:left w:w="0" w:type="dxa"/>
            </w:tcMar>
          </w:tcPr>
          <w:p w14:paraId="3EAF4E79" w14:textId="77777777" w:rsidR="00C00766" w:rsidRPr="00E43425" w:rsidRDefault="007B18C4" w:rsidP="00F220B4">
            <w:pPr>
              <w:pStyle w:val="Source"/>
              <w:jc w:val="left"/>
              <w:rPr>
                <w:sz w:val="34"/>
                <w:szCs w:val="34"/>
              </w:rPr>
            </w:pPr>
            <w:r w:rsidRPr="00E43425">
              <w:rPr>
                <w:color w:val="000000"/>
                <w:sz w:val="34"/>
                <w:szCs w:val="34"/>
              </w:rPr>
              <w:t>Contribution de la République populaire de Chine</w:t>
            </w:r>
          </w:p>
        </w:tc>
      </w:tr>
      <w:tr w:rsidR="00C00766" w:rsidRPr="00E43425" w14:paraId="27133125" w14:textId="77777777">
        <w:trPr>
          <w:cantSplit/>
        </w:trPr>
        <w:tc>
          <w:tcPr>
            <w:tcW w:w="9214" w:type="dxa"/>
            <w:gridSpan w:val="2"/>
            <w:tcMar>
              <w:left w:w="0" w:type="dxa"/>
            </w:tcMar>
          </w:tcPr>
          <w:p w14:paraId="663C0185" w14:textId="7CD5E988" w:rsidR="00C00766" w:rsidRPr="00E43425" w:rsidRDefault="00785299" w:rsidP="00F220B4">
            <w:pPr>
              <w:pStyle w:val="Subtitle"/>
              <w:framePr w:hSpace="0" w:wrap="auto" w:hAnchor="text" w:xAlign="left" w:yAlign="inline"/>
              <w:rPr>
                <w:lang w:val="fr-FR"/>
              </w:rPr>
            </w:pPr>
            <w:bookmarkStart w:id="0" w:name="lt_pId010"/>
            <w:r w:rsidRPr="00E43425">
              <w:rPr>
                <w:lang w:val="fr-FR"/>
              </w:rPr>
              <w:t>PROPOSITIONS D'AM</w:t>
            </w:r>
            <w:r w:rsidR="00F220B4" w:rsidRPr="00E43425">
              <w:rPr>
                <w:lang w:val="fr-FR"/>
              </w:rPr>
              <w:t>É</w:t>
            </w:r>
            <w:r w:rsidRPr="00E43425">
              <w:rPr>
                <w:lang w:val="fr-FR"/>
              </w:rPr>
              <w:t xml:space="preserve">LIORATIONS </w:t>
            </w:r>
            <w:r w:rsidR="00F220B4" w:rsidRPr="00E43425">
              <w:rPr>
                <w:lang w:val="fr-FR"/>
              </w:rPr>
              <w:t>À</w:t>
            </w:r>
            <w:r w:rsidRPr="00E43425">
              <w:rPr>
                <w:lang w:val="fr-FR"/>
              </w:rPr>
              <w:t xml:space="preserve"> APPORTER AU CONSEIL</w:t>
            </w:r>
            <w:bookmarkEnd w:id="0"/>
          </w:p>
        </w:tc>
      </w:tr>
      <w:tr w:rsidR="00C00766" w:rsidRPr="00E43425" w14:paraId="2EF97CE5" w14:textId="77777777">
        <w:trPr>
          <w:cantSplit/>
        </w:trPr>
        <w:tc>
          <w:tcPr>
            <w:tcW w:w="9214" w:type="dxa"/>
            <w:gridSpan w:val="2"/>
            <w:tcBorders>
              <w:top w:val="single" w:sz="4" w:space="0" w:color="auto"/>
              <w:bottom w:val="single" w:sz="4" w:space="0" w:color="auto"/>
            </w:tcBorders>
            <w:tcMar>
              <w:left w:w="0" w:type="dxa"/>
            </w:tcMar>
          </w:tcPr>
          <w:p w14:paraId="26512C83" w14:textId="71DA6915" w:rsidR="00C00766" w:rsidRPr="00E43425" w:rsidRDefault="007B18C4" w:rsidP="00F220B4">
            <w:pPr>
              <w:spacing w:before="160"/>
              <w:rPr>
                <w:b/>
                <w:bCs/>
                <w:sz w:val="26"/>
                <w:szCs w:val="26"/>
              </w:rPr>
            </w:pPr>
            <w:r w:rsidRPr="00E43425">
              <w:rPr>
                <w:b/>
                <w:bCs/>
                <w:sz w:val="26"/>
                <w:szCs w:val="26"/>
              </w:rPr>
              <w:t>Objet</w:t>
            </w:r>
          </w:p>
          <w:p w14:paraId="13256FCA" w14:textId="73B03FEA" w:rsidR="00C00766" w:rsidRPr="00E43425" w:rsidRDefault="007B18C4" w:rsidP="00F220B4">
            <w:bookmarkStart w:id="1" w:name="lt_pId012"/>
            <w:r w:rsidRPr="00E43425">
              <w:t xml:space="preserve">Le Secrétariat général de l'UIT a proposé des mesures visant </w:t>
            </w:r>
            <w:r w:rsidR="00A82E85" w:rsidRPr="00E43425">
              <w:t>à apporter de nouvelles améliorations au</w:t>
            </w:r>
            <w:r w:rsidRPr="00E43425">
              <w:t xml:space="preserve"> Conseil, </w:t>
            </w:r>
            <w:r w:rsidR="00785299" w:rsidRPr="00E43425">
              <w:t>lesquelles</w:t>
            </w:r>
            <w:r w:rsidRPr="00E43425">
              <w:t xml:space="preserve"> auront </w:t>
            </w:r>
            <w:r w:rsidR="00785299" w:rsidRPr="00E43425">
              <w:t xml:space="preserve">des incidences considérables sur </w:t>
            </w:r>
            <w:r w:rsidRPr="00E43425">
              <w:t xml:space="preserve">l'UIT et devraient donc être </w:t>
            </w:r>
            <w:r w:rsidR="00785299" w:rsidRPr="00E43425">
              <w:t>évaluées et examinées avec soin</w:t>
            </w:r>
            <w:r w:rsidRPr="00E43425">
              <w:t>.</w:t>
            </w:r>
            <w:bookmarkEnd w:id="1"/>
            <w:r w:rsidRPr="00E43425">
              <w:t xml:space="preserve"> </w:t>
            </w:r>
            <w:bookmarkStart w:id="2" w:name="lt_pId013"/>
            <w:r w:rsidRPr="00E43425">
              <w:rPr>
                <w:lang w:eastAsia="zh-CN" w:bidi="ar"/>
              </w:rPr>
              <w:t xml:space="preserve">La Chine propose </w:t>
            </w:r>
            <w:r w:rsidR="00785299" w:rsidRPr="00E43425">
              <w:rPr>
                <w:lang w:eastAsia="zh-CN" w:bidi="ar"/>
              </w:rPr>
              <w:t>qu'une</w:t>
            </w:r>
            <w:r w:rsidRPr="00E43425">
              <w:rPr>
                <w:lang w:eastAsia="zh-CN" w:bidi="ar"/>
              </w:rPr>
              <w:t xml:space="preserve"> discussion approfondie sur ces améliorations </w:t>
            </w:r>
            <w:r w:rsidR="00785299" w:rsidRPr="00E43425">
              <w:rPr>
                <w:lang w:eastAsia="zh-CN" w:bidi="ar"/>
              </w:rPr>
              <w:t xml:space="preserve">soit menée </w:t>
            </w:r>
            <w:r w:rsidRPr="00E43425">
              <w:rPr>
                <w:lang w:eastAsia="zh-CN" w:bidi="ar"/>
              </w:rPr>
              <w:t>lors de la prochaine session du Conseil.</w:t>
            </w:r>
            <w:bookmarkEnd w:id="2"/>
          </w:p>
          <w:p w14:paraId="1E3E55D4" w14:textId="77777777" w:rsidR="00C00766" w:rsidRPr="00E43425" w:rsidRDefault="007B18C4" w:rsidP="00F220B4">
            <w:pPr>
              <w:spacing w:before="160"/>
              <w:rPr>
                <w:b/>
                <w:bCs/>
                <w:sz w:val="26"/>
                <w:szCs w:val="26"/>
              </w:rPr>
            </w:pPr>
            <w:r w:rsidRPr="00E43425">
              <w:rPr>
                <w:b/>
                <w:bCs/>
                <w:sz w:val="26"/>
                <w:szCs w:val="26"/>
              </w:rPr>
              <w:t>Suite à donner par le Conseil</w:t>
            </w:r>
          </w:p>
          <w:p w14:paraId="586F5764" w14:textId="6A46AA9B" w:rsidR="00C00766" w:rsidRPr="00E43425" w:rsidRDefault="007B18C4" w:rsidP="00F220B4">
            <w:bookmarkStart w:id="3" w:name="lt_pId015"/>
            <w:r w:rsidRPr="00E43425">
              <w:t xml:space="preserve">Le Conseil est invité </w:t>
            </w:r>
            <w:r w:rsidRPr="00E43425">
              <w:rPr>
                <w:b/>
                <w:bCs/>
              </w:rPr>
              <w:t xml:space="preserve">à </w:t>
            </w:r>
            <w:r w:rsidR="00785299" w:rsidRPr="00E43425">
              <w:rPr>
                <w:b/>
                <w:bCs/>
              </w:rPr>
              <w:t xml:space="preserve">examiner </w:t>
            </w:r>
            <w:r w:rsidRPr="00E43425">
              <w:t xml:space="preserve">les propositions </w:t>
            </w:r>
            <w:r w:rsidR="00785299" w:rsidRPr="00E43425">
              <w:t>figurant</w:t>
            </w:r>
            <w:r w:rsidRPr="00E43425">
              <w:t xml:space="preserve"> dans la présente contribution et </w:t>
            </w:r>
            <w:r w:rsidR="00A82E85" w:rsidRPr="00E43425">
              <w:t xml:space="preserve">à </w:t>
            </w:r>
            <w:r w:rsidRPr="00E43425">
              <w:rPr>
                <w:b/>
                <w:bCs/>
              </w:rPr>
              <w:t>prendre les mesures nécessaires</w:t>
            </w:r>
            <w:r w:rsidRPr="00E43425">
              <w:t>,</w:t>
            </w:r>
            <w:r w:rsidRPr="00E43425">
              <w:rPr>
                <w:lang w:eastAsia="zh-CN"/>
              </w:rPr>
              <w:t xml:space="preserve"> </w:t>
            </w:r>
            <w:r w:rsidR="00A82E85" w:rsidRPr="00E43425">
              <w:rPr>
                <w:lang w:eastAsia="zh-CN"/>
              </w:rPr>
              <w:t>selon qu'il convient</w:t>
            </w:r>
            <w:r w:rsidRPr="00E43425">
              <w:t>.</w:t>
            </w:r>
            <w:bookmarkEnd w:id="3"/>
          </w:p>
          <w:p w14:paraId="42788C11" w14:textId="77777777" w:rsidR="00C00766" w:rsidRPr="00E43425" w:rsidRDefault="007B18C4" w:rsidP="00F220B4">
            <w:pPr>
              <w:spacing w:before="160"/>
              <w:rPr>
                <w:caps/>
                <w:sz w:val="22"/>
              </w:rPr>
            </w:pPr>
            <w:r w:rsidRPr="00E43425">
              <w:rPr>
                <w:sz w:val="22"/>
              </w:rPr>
              <w:t>__________________</w:t>
            </w:r>
          </w:p>
          <w:p w14:paraId="25A241DE" w14:textId="77777777" w:rsidR="00C00766" w:rsidRPr="00E43425" w:rsidRDefault="007B18C4" w:rsidP="00F220B4">
            <w:pPr>
              <w:spacing w:before="160"/>
              <w:rPr>
                <w:b/>
                <w:bCs/>
                <w:sz w:val="26"/>
                <w:szCs w:val="26"/>
              </w:rPr>
            </w:pPr>
            <w:r w:rsidRPr="00E43425">
              <w:rPr>
                <w:b/>
                <w:bCs/>
                <w:sz w:val="26"/>
                <w:szCs w:val="26"/>
              </w:rPr>
              <w:t>Références</w:t>
            </w:r>
          </w:p>
          <w:p w14:paraId="5CC5A562" w14:textId="77777777" w:rsidR="00C00766" w:rsidRPr="00E43425" w:rsidRDefault="007B18C4" w:rsidP="00F220B4">
            <w:pPr>
              <w:rPr>
                <w:rFonts w:asciiTheme="minorHAnsi" w:hAnsiTheme="minorHAnsi" w:cstheme="minorHAnsi"/>
                <w:i/>
                <w:iCs/>
                <w:szCs w:val="24"/>
              </w:rPr>
            </w:pPr>
            <w:bookmarkStart w:id="4" w:name="lt_pId018"/>
            <w:r w:rsidRPr="00E43425">
              <w:rPr>
                <w:rFonts w:asciiTheme="minorHAnsi" w:hAnsiTheme="minorHAnsi" w:cstheme="minorHAnsi"/>
                <w:i/>
                <w:iCs/>
                <w:szCs w:val="24"/>
              </w:rPr>
              <w:t xml:space="preserve">Article 10 de la </w:t>
            </w:r>
            <w:hyperlink r:id="rId6" w:history="1">
              <w:r w:rsidRPr="00E43425">
                <w:rPr>
                  <w:rStyle w:val="Hyperlink"/>
                  <w:rFonts w:asciiTheme="minorHAnsi" w:hAnsiTheme="minorHAnsi"/>
                  <w:i/>
                  <w:iCs/>
                  <w:szCs w:val="24"/>
                </w:rPr>
                <w:t>Constitution</w:t>
              </w:r>
            </w:hyperlink>
            <w:r w:rsidRPr="00E43425">
              <w:rPr>
                <w:rFonts w:asciiTheme="minorHAnsi" w:hAnsiTheme="minorHAnsi" w:cstheme="minorHAnsi"/>
                <w:i/>
                <w:iCs/>
                <w:szCs w:val="24"/>
              </w:rPr>
              <w:t xml:space="preserve">, article 4 de la </w:t>
            </w:r>
            <w:hyperlink r:id="rId7" w:history="1">
              <w:r w:rsidRPr="00E43425">
                <w:rPr>
                  <w:rStyle w:val="Hyperlink"/>
                  <w:rFonts w:asciiTheme="minorHAnsi" w:hAnsiTheme="minorHAnsi"/>
                  <w:i/>
                  <w:iCs/>
                  <w:szCs w:val="24"/>
                </w:rPr>
                <w:t>Convention</w:t>
              </w:r>
            </w:hyperlink>
            <w:r w:rsidRPr="00E43425">
              <w:rPr>
                <w:rFonts w:asciiTheme="minorHAnsi" w:hAnsiTheme="minorHAnsi" w:cstheme="minorHAnsi"/>
                <w:i/>
                <w:iCs/>
                <w:szCs w:val="24"/>
              </w:rPr>
              <w:t xml:space="preserve">, </w:t>
            </w:r>
            <w:hyperlink r:id="rId8" w:history="1">
              <w:r w:rsidRPr="00E43425">
                <w:rPr>
                  <w:rStyle w:val="Hyperlink"/>
                  <w:rFonts w:asciiTheme="minorHAnsi" w:hAnsiTheme="minorHAnsi" w:cstheme="minorHAnsi"/>
                  <w:i/>
                  <w:iCs/>
                  <w:szCs w:val="24"/>
                </w:rPr>
                <w:t>Règlement intérieur du Conseil</w:t>
              </w:r>
            </w:hyperlink>
            <w:r w:rsidRPr="00E43425">
              <w:rPr>
                <w:rFonts w:asciiTheme="minorHAnsi" w:hAnsiTheme="minorHAnsi" w:cstheme="minorHAnsi"/>
                <w:i/>
                <w:iCs/>
                <w:szCs w:val="24"/>
              </w:rPr>
              <w:t>;</w:t>
            </w:r>
            <w:bookmarkEnd w:id="4"/>
          </w:p>
          <w:bookmarkStart w:id="5" w:name="lt_pId019"/>
          <w:p w14:paraId="2566823C" w14:textId="37BBD8A2" w:rsidR="00C00766" w:rsidRPr="00E43425" w:rsidRDefault="007B18C4" w:rsidP="00F220B4">
            <w:pPr>
              <w:rPr>
                <w:rFonts w:asciiTheme="minorHAnsi" w:hAnsiTheme="minorHAnsi" w:cstheme="minorHAnsi"/>
                <w:i/>
                <w:iCs/>
                <w:szCs w:val="24"/>
              </w:rPr>
            </w:pPr>
            <w:r w:rsidRPr="00E43425">
              <w:rPr>
                <w:i/>
                <w:iCs/>
              </w:rPr>
              <w:fldChar w:fldCharType="begin"/>
            </w:r>
            <w:r w:rsidRPr="00E43425">
              <w:rPr>
                <w:i/>
                <w:iCs/>
              </w:rPr>
              <w:instrText>HYPERLINK "https://www.itu.int/en/council/Documents/basic-texts-2023/RES-071-F.pdf"</w:instrText>
            </w:r>
            <w:r w:rsidRPr="00E43425">
              <w:rPr>
                <w:i/>
                <w:iCs/>
              </w:rPr>
            </w:r>
            <w:r w:rsidRPr="00E43425">
              <w:rPr>
                <w:i/>
                <w:iCs/>
              </w:rPr>
              <w:fldChar w:fldCharType="separate"/>
            </w:r>
            <w:r w:rsidRPr="00E43425">
              <w:rPr>
                <w:rStyle w:val="Hyperlink"/>
                <w:rFonts w:asciiTheme="minorHAnsi" w:hAnsiTheme="minorHAnsi"/>
                <w:i/>
                <w:iCs/>
                <w:szCs w:val="24"/>
              </w:rPr>
              <w:t>Résolution 71</w:t>
            </w:r>
            <w:r w:rsidRPr="00E43425">
              <w:rPr>
                <w:i/>
                <w:iCs/>
              </w:rPr>
              <w:fldChar w:fldCharType="end"/>
            </w:r>
            <w:r w:rsidR="000979E4" w:rsidRPr="00E43425">
              <w:rPr>
                <w:i/>
                <w:iCs/>
              </w:rPr>
              <w:t xml:space="preserve"> (Rév. Bucarest, 2022)</w:t>
            </w:r>
            <w:r w:rsidRPr="00E43425">
              <w:rPr>
                <w:rFonts w:asciiTheme="minorHAnsi" w:hAnsiTheme="minorHAnsi" w:cstheme="minorHAnsi"/>
                <w:i/>
                <w:iCs/>
                <w:szCs w:val="24"/>
              </w:rPr>
              <w:t xml:space="preserve">, </w:t>
            </w:r>
            <w:hyperlink r:id="rId9" w:history="1">
              <w:r w:rsidRPr="00E43425">
                <w:rPr>
                  <w:rStyle w:val="Hyperlink"/>
                  <w:rFonts w:asciiTheme="minorHAnsi" w:hAnsiTheme="minorHAnsi"/>
                  <w:i/>
                  <w:iCs/>
                  <w:szCs w:val="24"/>
                </w:rPr>
                <w:t>Résolution 66</w:t>
              </w:r>
            </w:hyperlink>
            <w:r w:rsidR="000979E4" w:rsidRPr="00E43425">
              <w:rPr>
                <w:rStyle w:val="Hyperlink"/>
                <w:rFonts w:asciiTheme="minorHAnsi" w:hAnsiTheme="minorHAnsi"/>
                <w:i/>
                <w:iCs/>
                <w:szCs w:val="24"/>
              </w:rPr>
              <w:t xml:space="preserve"> </w:t>
            </w:r>
            <w:r w:rsidR="000979E4" w:rsidRPr="00E43425">
              <w:rPr>
                <w:i/>
                <w:iCs/>
              </w:rPr>
              <w:t>(Rév. Bucarest, 2022)</w:t>
            </w:r>
            <w:r w:rsidRPr="00E43425">
              <w:rPr>
                <w:rFonts w:asciiTheme="minorHAnsi" w:hAnsiTheme="minorHAnsi" w:cstheme="minorHAnsi"/>
                <w:i/>
                <w:iCs/>
                <w:szCs w:val="24"/>
              </w:rPr>
              <w:t xml:space="preserve">, </w:t>
            </w:r>
            <w:hyperlink r:id="rId10" w:history="1">
              <w:r w:rsidRPr="00E43425">
                <w:rPr>
                  <w:rStyle w:val="Hyperlink"/>
                  <w:rFonts w:asciiTheme="minorHAnsi" w:hAnsiTheme="minorHAnsi" w:cstheme="minorHAnsi"/>
                  <w:i/>
                  <w:iCs/>
                  <w:szCs w:val="24"/>
                </w:rPr>
                <w:t>Résolution</w:t>
              </w:r>
              <w:r w:rsidR="00E43425" w:rsidRPr="00E43425">
                <w:rPr>
                  <w:rStyle w:val="Hyperlink"/>
                  <w:rFonts w:asciiTheme="minorHAnsi" w:hAnsiTheme="minorHAnsi" w:cstheme="minorHAnsi"/>
                  <w:i/>
                  <w:iCs/>
                  <w:szCs w:val="24"/>
                </w:rPr>
                <w:t> </w:t>
              </w:r>
              <w:r w:rsidRPr="00E43425">
                <w:rPr>
                  <w:rStyle w:val="Hyperlink"/>
                  <w:rFonts w:asciiTheme="minorHAnsi" w:hAnsiTheme="minorHAnsi" w:cstheme="minorHAnsi"/>
                  <w:i/>
                  <w:iCs/>
                  <w:szCs w:val="24"/>
                </w:rPr>
                <w:t>77</w:t>
              </w:r>
            </w:hyperlink>
            <w:r w:rsidR="00E43425" w:rsidRPr="00E43425">
              <w:rPr>
                <w:rStyle w:val="Hyperlink"/>
                <w:rFonts w:asciiTheme="minorHAnsi" w:hAnsiTheme="minorHAnsi" w:cstheme="minorHAnsi"/>
                <w:i/>
                <w:iCs/>
                <w:szCs w:val="24"/>
              </w:rPr>
              <w:t> </w:t>
            </w:r>
            <w:r w:rsidR="000979E4" w:rsidRPr="00E43425">
              <w:rPr>
                <w:i/>
                <w:iCs/>
              </w:rPr>
              <w:t>(Rév.</w:t>
            </w:r>
            <w:r w:rsidR="00E43425" w:rsidRPr="00E43425">
              <w:rPr>
                <w:i/>
                <w:iCs/>
              </w:rPr>
              <w:t> </w:t>
            </w:r>
            <w:r w:rsidR="000979E4" w:rsidRPr="00E43425">
              <w:rPr>
                <w:i/>
                <w:iCs/>
              </w:rPr>
              <w:t>Bucarest, 2022)</w:t>
            </w:r>
            <w:r w:rsidRPr="00E43425">
              <w:rPr>
                <w:rFonts w:asciiTheme="minorHAnsi" w:hAnsiTheme="minorHAnsi" w:cstheme="minorHAnsi"/>
                <w:i/>
                <w:iCs/>
                <w:szCs w:val="24"/>
              </w:rPr>
              <w:t xml:space="preserve">, </w:t>
            </w:r>
            <w:hyperlink r:id="rId11" w:history="1">
              <w:r w:rsidRPr="00E43425">
                <w:rPr>
                  <w:rStyle w:val="Hyperlink"/>
                  <w:rFonts w:asciiTheme="minorHAnsi" w:hAnsiTheme="minorHAnsi"/>
                  <w:i/>
                  <w:iCs/>
                  <w:szCs w:val="24"/>
                </w:rPr>
                <w:t>Résolution 91</w:t>
              </w:r>
            </w:hyperlink>
            <w:r w:rsidRPr="00E43425">
              <w:rPr>
                <w:rFonts w:asciiTheme="minorHAnsi" w:hAnsiTheme="minorHAnsi" w:cstheme="minorHAnsi"/>
                <w:i/>
                <w:iCs/>
                <w:szCs w:val="24"/>
              </w:rPr>
              <w:t xml:space="preserve"> </w:t>
            </w:r>
            <w:r w:rsidR="000979E4" w:rsidRPr="00E43425">
              <w:rPr>
                <w:rFonts w:asciiTheme="minorHAnsi" w:hAnsiTheme="minorHAnsi" w:cstheme="minorHAnsi"/>
                <w:i/>
                <w:iCs/>
                <w:szCs w:val="24"/>
              </w:rPr>
              <w:t xml:space="preserve">(Guadalajara, 2010) </w:t>
            </w:r>
            <w:r w:rsidRPr="00E43425">
              <w:rPr>
                <w:rFonts w:asciiTheme="minorHAnsi" w:hAnsiTheme="minorHAnsi" w:cstheme="minorHAnsi"/>
                <w:i/>
                <w:iCs/>
                <w:szCs w:val="24"/>
                <w:lang w:eastAsia="zh-CN"/>
              </w:rPr>
              <w:t>et</w:t>
            </w:r>
            <w:r w:rsidRPr="00E43425">
              <w:rPr>
                <w:rFonts w:asciiTheme="minorHAnsi" w:hAnsiTheme="minorHAnsi" w:cstheme="minorHAnsi"/>
                <w:i/>
                <w:iCs/>
                <w:szCs w:val="24"/>
              </w:rPr>
              <w:t xml:space="preserve"> </w:t>
            </w:r>
            <w:hyperlink r:id="rId12" w:history="1">
              <w:r w:rsidRPr="00E43425">
                <w:rPr>
                  <w:rStyle w:val="Hyperlink"/>
                  <w:rFonts w:asciiTheme="minorHAnsi" w:hAnsiTheme="minorHAnsi"/>
                  <w:i/>
                  <w:iCs/>
                  <w:szCs w:val="24"/>
                </w:rPr>
                <w:t>Résolution</w:t>
              </w:r>
              <w:r w:rsidR="00E43425" w:rsidRPr="00E43425">
                <w:rPr>
                  <w:rStyle w:val="Hyperlink"/>
                  <w:rFonts w:asciiTheme="minorHAnsi" w:hAnsiTheme="minorHAnsi"/>
                  <w:i/>
                  <w:iCs/>
                  <w:szCs w:val="24"/>
                </w:rPr>
                <w:t> </w:t>
              </w:r>
              <w:r w:rsidRPr="00E43425">
                <w:rPr>
                  <w:rStyle w:val="Hyperlink"/>
                  <w:rFonts w:asciiTheme="minorHAnsi" w:hAnsiTheme="minorHAnsi"/>
                  <w:i/>
                  <w:iCs/>
                  <w:szCs w:val="24"/>
                </w:rPr>
                <w:t>191</w:t>
              </w:r>
            </w:hyperlink>
            <w:r w:rsidR="00E43425" w:rsidRPr="00E43425">
              <w:rPr>
                <w:rFonts w:asciiTheme="minorHAnsi" w:hAnsiTheme="minorHAnsi" w:cstheme="minorHAnsi"/>
                <w:i/>
                <w:iCs/>
                <w:szCs w:val="24"/>
              </w:rPr>
              <w:t> </w:t>
            </w:r>
            <w:r w:rsidR="000979E4" w:rsidRPr="00E43425">
              <w:rPr>
                <w:i/>
                <w:iCs/>
              </w:rPr>
              <w:t>(Rév.</w:t>
            </w:r>
            <w:r w:rsidR="00E43425" w:rsidRPr="00E43425">
              <w:rPr>
                <w:i/>
                <w:iCs/>
              </w:rPr>
              <w:t> </w:t>
            </w:r>
            <w:r w:rsidR="000979E4" w:rsidRPr="00E43425">
              <w:rPr>
                <w:i/>
                <w:iCs/>
              </w:rPr>
              <w:t>Bucarest,</w:t>
            </w:r>
            <w:r w:rsidR="00E43425" w:rsidRPr="00E43425">
              <w:rPr>
                <w:i/>
                <w:iCs/>
              </w:rPr>
              <w:t> </w:t>
            </w:r>
            <w:r w:rsidR="000979E4" w:rsidRPr="00E43425">
              <w:rPr>
                <w:i/>
                <w:iCs/>
              </w:rPr>
              <w:t xml:space="preserve">2022) </w:t>
            </w:r>
            <w:r w:rsidRPr="00E43425">
              <w:rPr>
                <w:rFonts w:asciiTheme="minorHAnsi" w:hAnsiTheme="minorHAnsi" w:cstheme="minorHAnsi"/>
                <w:i/>
                <w:iCs/>
                <w:szCs w:val="24"/>
              </w:rPr>
              <w:t>de la Conférence de plénipotentiaires;</w:t>
            </w:r>
            <w:bookmarkEnd w:id="5"/>
          </w:p>
          <w:bookmarkStart w:id="6" w:name="lt_pId020"/>
          <w:p w14:paraId="689F0545" w14:textId="286BA5AE" w:rsidR="00C00766" w:rsidRPr="00E43425" w:rsidRDefault="007B18C4" w:rsidP="00F220B4">
            <w:pPr>
              <w:rPr>
                <w:rFonts w:asciiTheme="minorHAnsi" w:hAnsiTheme="minorHAnsi" w:cstheme="minorHAnsi"/>
                <w:i/>
                <w:iCs/>
                <w:szCs w:val="24"/>
              </w:rPr>
            </w:pPr>
            <w:r w:rsidRPr="00E43425">
              <w:fldChar w:fldCharType="begin"/>
            </w:r>
            <w:r w:rsidRPr="00E43425">
              <w:instrText xml:space="preserve"> HYPERLINK "https://www.itu.int/md/S22-CL-C-0098/en" </w:instrText>
            </w:r>
            <w:r w:rsidRPr="00E43425">
              <w:fldChar w:fldCharType="separate"/>
            </w:r>
            <w:r w:rsidRPr="00E43425">
              <w:rPr>
                <w:rStyle w:val="Hyperlink"/>
                <w:rFonts w:asciiTheme="minorHAnsi" w:hAnsiTheme="minorHAnsi" w:cstheme="minorHAnsi"/>
                <w:i/>
                <w:iCs/>
                <w:szCs w:val="24"/>
              </w:rPr>
              <w:t>Décision 626</w:t>
            </w:r>
            <w:r w:rsidRPr="00E43425">
              <w:fldChar w:fldCharType="end"/>
            </w:r>
            <w:r w:rsidRPr="00E43425">
              <w:rPr>
                <w:i/>
                <w:iCs/>
                <w:szCs w:val="24"/>
              </w:rPr>
              <w:t xml:space="preserve"> </w:t>
            </w:r>
            <w:r w:rsidRPr="00E43425">
              <w:rPr>
                <w:rFonts w:asciiTheme="minorHAnsi" w:hAnsiTheme="minorHAnsi" w:cstheme="minorHAnsi"/>
                <w:i/>
                <w:iCs/>
                <w:szCs w:val="24"/>
              </w:rPr>
              <w:t xml:space="preserve">(C22) du </w:t>
            </w:r>
            <w:proofErr w:type="gramStart"/>
            <w:r w:rsidRPr="00E43425">
              <w:rPr>
                <w:rFonts w:asciiTheme="minorHAnsi" w:hAnsiTheme="minorHAnsi" w:cstheme="minorHAnsi"/>
                <w:i/>
                <w:iCs/>
                <w:szCs w:val="24"/>
              </w:rPr>
              <w:t>Conseil;</w:t>
            </w:r>
            <w:bookmarkEnd w:id="6"/>
            <w:proofErr w:type="gramEnd"/>
          </w:p>
          <w:p w14:paraId="379A213A" w14:textId="77777777" w:rsidR="00C00766" w:rsidRPr="00E43425" w:rsidRDefault="007B18C4" w:rsidP="00F220B4">
            <w:pPr>
              <w:spacing w:after="160"/>
              <w:rPr>
                <w:i/>
                <w:iCs/>
              </w:rPr>
            </w:pPr>
            <w:bookmarkStart w:id="7" w:name="lt_pId021"/>
            <w:r w:rsidRPr="00E43425">
              <w:rPr>
                <w:rFonts w:asciiTheme="minorHAnsi" w:hAnsiTheme="minorHAnsi" w:cstheme="minorHAnsi"/>
                <w:i/>
                <w:iCs/>
                <w:szCs w:val="24"/>
                <w:lang w:eastAsia="zh-CN"/>
              </w:rPr>
              <w:t xml:space="preserve">Documents </w:t>
            </w:r>
            <w:hyperlink r:id="rId13" w:history="1">
              <w:r w:rsidRPr="00E43425">
                <w:rPr>
                  <w:rStyle w:val="Hyperlink"/>
                  <w:rFonts w:asciiTheme="minorHAnsi" w:hAnsiTheme="minorHAnsi" w:cstheme="minorHAnsi"/>
                  <w:i/>
                  <w:iCs/>
                  <w:szCs w:val="24"/>
                  <w:lang w:eastAsia="zh-CN"/>
                </w:rPr>
                <w:t>C23/2</w:t>
              </w:r>
            </w:hyperlink>
            <w:r w:rsidRPr="00E43425">
              <w:rPr>
                <w:rFonts w:asciiTheme="minorHAnsi" w:hAnsiTheme="minorHAnsi" w:cstheme="minorHAnsi"/>
                <w:i/>
                <w:iCs/>
                <w:szCs w:val="24"/>
                <w:lang w:eastAsia="zh-CN"/>
              </w:rPr>
              <w:t xml:space="preserve"> et </w:t>
            </w:r>
            <w:hyperlink r:id="rId14" w:history="1">
              <w:r w:rsidRPr="00E43425">
                <w:rPr>
                  <w:rStyle w:val="Hyperlink"/>
                  <w:rFonts w:asciiTheme="minorHAnsi" w:eastAsiaTheme="minorEastAsia" w:hAnsiTheme="minorHAnsi" w:cstheme="minorHAnsi"/>
                  <w:i/>
                  <w:iCs/>
                  <w:szCs w:val="24"/>
                  <w:lang w:eastAsia="zh-CN"/>
                </w:rPr>
                <w:t>C23/32</w:t>
              </w:r>
            </w:hyperlink>
            <w:bookmarkEnd w:id="7"/>
            <w:r w:rsidRPr="00E43425">
              <w:rPr>
                <w:rFonts w:asciiTheme="minorHAnsi" w:hAnsiTheme="minorHAnsi" w:cstheme="minorHAnsi"/>
                <w:i/>
                <w:iCs/>
                <w:szCs w:val="24"/>
              </w:rPr>
              <w:t xml:space="preserve"> du Conseil.</w:t>
            </w:r>
          </w:p>
        </w:tc>
      </w:tr>
    </w:tbl>
    <w:p w14:paraId="34393A54" w14:textId="77777777" w:rsidR="00C00766" w:rsidRPr="00E43425" w:rsidRDefault="00C00766" w:rsidP="00F220B4"/>
    <w:p w14:paraId="127F79E4" w14:textId="77777777" w:rsidR="00C00766" w:rsidRPr="00E43425" w:rsidRDefault="007B18C4" w:rsidP="00F220B4">
      <w:pPr>
        <w:tabs>
          <w:tab w:val="clear" w:pos="567"/>
          <w:tab w:val="clear" w:pos="1134"/>
          <w:tab w:val="clear" w:pos="1701"/>
          <w:tab w:val="clear" w:pos="2268"/>
          <w:tab w:val="clear" w:pos="2835"/>
        </w:tabs>
        <w:overflowPunct/>
        <w:autoSpaceDE/>
        <w:autoSpaceDN/>
        <w:adjustRightInd/>
        <w:spacing w:before="0"/>
        <w:textAlignment w:val="auto"/>
      </w:pPr>
      <w:r w:rsidRPr="00E43425">
        <w:br w:type="page"/>
      </w:r>
    </w:p>
    <w:p w14:paraId="3F73DD58" w14:textId="675722F7" w:rsidR="00C00766" w:rsidRPr="00E43425" w:rsidRDefault="007B18C4" w:rsidP="00F220B4">
      <w:pPr>
        <w:pStyle w:val="Heading1"/>
        <w:rPr>
          <w:lang w:eastAsia="zh-CN"/>
        </w:rPr>
      </w:pPr>
      <w:r w:rsidRPr="00E43425">
        <w:rPr>
          <w:lang w:eastAsia="zh-CN"/>
        </w:rPr>
        <w:lastRenderedPageBreak/>
        <w:t>1</w:t>
      </w:r>
      <w:r w:rsidR="00F220B4" w:rsidRPr="00E43425">
        <w:rPr>
          <w:lang w:eastAsia="zh-CN"/>
        </w:rPr>
        <w:tab/>
      </w:r>
      <w:r w:rsidR="00363949" w:rsidRPr="00E43425">
        <w:rPr>
          <w:lang w:eastAsia="zh-CN"/>
        </w:rPr>
        <w:t>Considérations générales</w:t>
      </w:r>
    </w:p>
    <w:p w14:paraId="5AFF57AD" w14:textId="69E1BEC9" w:rsidR="00C00766" w:rsidRPr="00E43425" w:rsidRDefault="00363949" w:rsidP="00F220B4">
      <w:pPr>
        <w:rPr>
          <w:lang w:eastAsia="zh-CN" w:bidi="ar"/>
        </w:rPr>
      </w:pPr>
      <w:r w:rsidRPr="00E43425">
        <w:rPr>
          <w:lang w:eastAsia="zh-CN" w:bidi="ar"/>
        </w:rPr>
        <w:t>L</w:t>
      </w:r>
      <w:r w:rsidR="00F220B4" w:rsidRPr="00E43425">
        <w:rPr>
          <w:lang w:eastAsia="zh-CN" w:bidi="ar"/>
        </w:rPr>
        <w:t>'</w:t>
      </w:r>
      <w:r w:rsidRPr="00E43425">
        <w:rPr>
          <w:lang w:eastAsia="zh-CN" w:bidi="ar"/>
        </w:rPr>
        <w:t xml:space="preserve">UIT est administrée par la Conférence de plénipotentiaires et le Conseil, qui agit en qualité d'organe directeur de l'Union dans l'intervalle qui sépare les Conférences de plénipotentiaires, en tant que mandataire de la Conférence de plénipotentiaires dans les limites </w:t>
      </w:r>
      <w:r w:rsidRPr="00E43425">
        <w:t>des pouvoirs délégués par celle-ci. Conformément à l'article 10 de la Constitution de l'UIT et à l'article 4 de la Convention</w:t>
      </w:r>
      <w:r w:rsidR="007B18C4" w:rsidRPr="00E43425">
        <w:t xml:space="preserve">, </w:t>
      </w:r>
      <w:r w:rsidRPr="00E43425">
        <w:t>le Conseil est chargé de prendre toutes mesures propres à faciliter la mise à exécution, par les États Membres, des dispositions de la Constitution, de la Convention, des Règlements administratifs, des décisions de la Conférence de plénipotentiaires et, le cas échéant, des décisions des autres conférences et réunions de l'Union, ainsi que d'accomplir toutes les autres tâches qui lui sont assignées par la Conférence de plénipotentiaires.</w:t>
      </w:r>
    </w:p>
    <w:p w14:paraId="10D37878" w14:textId="07643B29" w:rsidR="00C00766" w:rsidRPr="00E43425" w:rsidRDefault="000979E4" w:rsidP="00F220B4">
      <w:pPr>
        <w:rPr>
          <w:lang w:eastAsia="zh-CN" w:bidi="ar"/>
        </w:rPr>
      </w:pPr>
      <w:bookmarkStart w:id="8" w:name="lt_pId026"/>
      <w:r w:rsidRPr="00E43425">
        <w:rPr>
          <w:lang w:eastAsia="zh-CN" w:bidi="ar"/>
        </w:rPr>
        <w:t>Précédemment</w:t>
      </w:r>
      <w:r w:rsidR="007B18C4" w:rsidRPr="00E43425">
        <w:rPr>
          <w:lang w:eastAsia="zh-CN" w:bidi="ar"/>
        </w:rPr>
        <w:t xml:space="preserve">, </w:t>
      </w:r>
      <w:r w:rsidR="008F1FF7" w:rsidRPr="00E43425">
        <w:rPr>
          <w:lang w:eastAsia="zh-CN" w:bidi="ar"/>
        </w:rPr>
        <w:t xml:space="preserve">dans le cadre </w:t>
      </w:r>
      <w:r w:rsidR="007B18C4" w:rsidRPr="00E43425">
        <w:rPr>
          <w:lang w:eastAsia="zh-CN" w:bidi="ar"/>
        </w:rPr>
        <w:t xml:space="preserve">d'une réunion virtuelle informelle, </w:t>
      </w:r>
      <w:r w:rsidR="008F1FF7" w:rsidRPr="00E43425">
        <w:rPr>
          <w:lang w:eastAsia="zh-CN" w:bidi="ar"/>
        </w:rPr>
        <w:t xml:space="preserve">de </w:t>
      </w:r>
      <w:r w:rsidR="007B18C4" w:rsidRPr="00E43425">
        <w:t>séances d'information thématiques virtuelles</w:t>
      </w:r>
      <w:r w:rsidR="007B18C4" w:rsidRPr="00E43425">
        <w:rPr>
          <w:lang w:eastAsia="zh-CN" w:bidi="ar"/>
        </w:rPr>
        <w:t xml:space="preserve"> et </w:t>
      </w:r>
      <w:r w:rsidR="008F1FF7" w:rsidRPr="00E43425">
        <w:rPr>
          <w:lang w:eastAsia="zh-CN" w:bidi="ar"/>
        </w:rPr>
        <w:t>d'</w:t>
      </w:r>
      <w:r w:rsidR="007B18C4" w:rsidRPr="00E43425">
        <w:rPr>
          <w:lang w:eastAsia="zh-CN" w:bidi="ar"/>
        </w:rPr>
        <w:t xml:space="preserve">une retraite </w:t>
      </w:r>
      <w:r w:rsidR="008F1FF7" w:rsidRPr="00E43425">
        <w:rPr>
          <w:lang w:eastAsia="zh-CN" w:bidi="ar"/>
        </w:rPr>
        <w:t>des C</w:t>
      </w:r>
      <w:r w:rsidR="007B18C4" w:rsidRPr="00E43425">
        <w:rPr>
          <w:lang w:eastAsia="zh-CN" w:bidi="ar"/>
        </w:rPr>
        <w:t xml:space="preserve">onseillers, le Secrétariat général de l'UIT a présenté de nouvelles améliorations </w:t>
      </w:r>
      <w:r w:rsidR="008F1FF7" w:rsidRPr="00E43425">
        <w:rPr>
          <w:lang w:eastAsia="zh-CN" w:bidi="ar"/>
        </w:rPr>
        <w:t>à apporter aux préparatifs et aux discussions</w:t>
      </w:r>
      <w:r w:rsidR="007B18C4" w:rsidRPr="00E43425">
        <w:rPr>
          <w:lang w:eastAsia="zh-CN" w:bidi="ar"/>
        </w:rPr>
        <w:t xml:space="preserve"> du Conseil</w:t>
      </w:r>
      <w:r w:rsidR="008F1FF7" w:rsidRPr="00E43425">
        <w:rPr>
          <w:lang w:eastAsia="zh-CN" w:bidi="ar"/>
        </w:rPr>
        <w:t>, dans le but</w:t>
      </w:r>
      <w:r w:rsidR="007B18C4" w:rsidRPr="00E43425">
        <w:rPr>
          <w:lang w:eastAsia="zh-CN" w:bidi="ar"/>
        </w:rPr>
        <w:t xml:space="preserve"> de renforcer son rôle stratégique et son efficacité.</w:t>
      </w:r>
      <w:bookmarkEnd w:id="8"/>
      <w:r w:rsidR="007B18C4" w:rsidRPr="00E43425">
        <w:rPr>
          <w:lang w:eastAsia="zh-CN" w:bidi="ar"/>
        </w:rPr>
        <w:t xml:space="preserve"> </w:t>
      </w:r>
      <w:bookmarkStart w:id="9" w:name="lt_pId027"/>
      <w:r w:rsidR="007B18C4" w:rsidRPr="00E43425">
        <w:rPr>
          <w:lang w:eastAsia="zh-CN" w:bidi="ar"/>
        </w:rPr>
        <w:t xml:space="preserve">Les </w:t>
      </w:r>
      <w:r w:rsidR="00F220B4" w:rsidRPr="00E43425">
        <w:t>D</w:t>
      </w:r>
      <w:r w:rsidR="007B18C4" w:rsidRPr="00E43425">
        <w:t>ocuments</w:t>
      </w:r>
      <w:r w:rsidR="00F220B4" w:rsidRPr="00E43425">
        <w:t> </w:t>
      </w:r>
      <w:r w:rsidR="007B18C4" w:rsidRPr="00E43425">
        <w:t>2</w:t>
      </w:r>
      <w:r w:rsidR="007B18C4" w:rsidRPr="00E43425">
        <w:rPr>
          <w:lang w:eastAsia="zh-CN" w:bidi="ar"/>
        </w:rPr>
        <w:t xml:space="preserve"> et</w:t>
      </w:r>
      <w:r w:rsidR="00F220B4" w:rsidRPr="00E43425">
        <w:rPr>
          <w:lang w:eastAsia="zh-CN" w:bidi="ar"/>
        </w:rPr>
        <w:t> </w:t>
      </w:r>
      <w:r w:rsidR="007B18C4" w:rsidRPr="00E43425">
        <w:rPr>
          <w:lang w:eastAsia="zh-CN" w:bidi="ar"/>
        </w:rPr>
        <w:t xml:space="preserve">32 </w:t>
      </w:r>
      <w:r w:rsidRPr="00E43425">
        <w:rPr>
          <w:lang w:eastAsia="zh-CN" w:bidi="ar"/>
        </w:rPr>
        <w:t>s</w:t>
      </w:r>
      <w:r w:rsidR="007B18C4" w:rsidRPr="00E43425">
        <w:rPr>
          <w:lang w:eastAsia="zh-CN" w:bidi="ar"/>
        </w:rPr>
        <w:t>ont soumis</w:t>
      </w:r>
      <w:r w:rsidR="008F1FF7" w:rsidRPr="00E43425">
        <w:rPr>
          <w:lang w:eastAsia="zh-CN" w:bidi="ar"/>
        </w:rPr>
        <w:t xml:space="preserve"> pour </w:t>
      </w:r>
      <w:r w:rsidR="007B18C4" w:rsidRPr="00E43425">
        <w:rPr>
          <w:lang w:eastAsia="zh-CN" w:bidi="ar"/>
        </w:rPr>
        <w:t xml:space="preserve">examen </w:t>
      </w:r>
      <w:r w:rsidR="008F1FF7" w:rsidRPr="00E43425">
        <w:rPr>
          <w:lang w:eastAsia="zh-CN" w:bidi="ar"/>
        </w:rPr>
        <w:t xml:space="preserve">à </w:t>
      </w:r>
      <w:r w:rsidR="007B18C4" w:rsidRPr="00E43425">
        <w:rPr>
          <w:lang w:eastAsia="zh-CN" w:bidi="ar"/>
        </w:rPr>
        <w:t>la session</w:t>
      </w:r>
      <w:r w:rsidR="008F1FF7" w:rsidRPr="00E43425">
        <w:rPr>
          <w:lang w:eastAsia="zh-CN" w:bidi="ar"/>
        </w:rPr>
        <w:t xml:space="preserve"> de</w:t>
      </w:r>
      <w:r w:rsidR="007B18C4" w:rsidRPr="00E43425">
        <w:rPr>
          <w:lang w:eastAsia="zh-CN" w:bidi="ar"/>
        </w:rPr>
        <w:t xml:space="preserve"> 2023 du Conseil.</w:t>
      </w:r>
      <w:bookmarkEnd w:id="9"/>
      <w:r w:rsidR="007B18C4" w:rsidRPr="00E43425">
        <w:rPr>
          <w:lang w:eastAsia="zh-CN" w:bidi="ar"/>
        </w:rPr>
        <w:t xml:space="preserve"> </w:t>
      </w:r>
      <w:bookmarkStart w:id="10" w:name="lt_pId028"/>
      <w:r w:rsidR="008F1FF7" w:rsidRPr="00E43425">
        <w:rPr>
          <w:lang w:eastAsia="zh-CN" w:bidi="ar"/>
        </w:rPr>
        <w:t>Les</w:t>
      </w:r>
      <w:r w:rsidR="007B18C4" w:rsidRPr="00E43425">
        <w:rPr>
          <w:lang w:eastAsia="zh-CN" w:bidi="ar"/>
        </w:rPr>
        <w:t xml:space="preserve"> améliorations </w:t>
      </w:r>
      <w:r w:rsidR="008F1FF7" w:rsidRPr="00E43425">
        <w:rPr>
          <w:lang w:eastAsia="zh-CN" w:bidi="ar"/>
        </w:rPr>
        <w:t xml:space="preserve">proposées consistent notamment à ramener </w:t>
      </w:r>
      <w:r w:rsidR="007B18C4" w:rsidRPr="00E43425">
        <w:rPr>
          <w:lang w:eastAsia="zh-CN" w:bidi="ar"/>
        </w:rPr>
        <w:t xml:space="preserve">la durée de la session du Conseil de neuf à six jours ouvrables, </w:t>
      </w:r>
      <w:r w:rsidR="008F1FF7" w:rsidRPr="00E43425">
        <w:rPr>
          <w:lang w:eastAsia="zh-CN" w:bidi="ar"/>
        </w:rPr>
        <w:t xml:space="preserve">à </w:t>
      </w:r>
      <w:r w:rsidRPr="00E43425">
        <w:rPr>
          <w:lang w:eastAsia="zh-CN" w:bidi="ar"/>
        </w:rPr>
        <w:t xml:space="preserve">regrouper </w:t>
      </w:r>
      <w:r w:rsidR="00A82E85" w:rsidRPr="00E43425">
        <w:rPr>
          <w:lang w:eastAsia="zh-CN" w:bidi="ar"/>
        </w:rPr>
        <w:t xml:space="preserve">les documents </w:t>
      </w:r>
      <w:r w:rsidRPr="00E43425">
        <w:rPr>
          <w:lang w:eastAsia="zh-CN" w:bidi="ar"/>
        </w:rPr>
        <w:t>par</w:t>
      </w:r>
      <w:r w:rsidR="00A82E85" w:rsidRPr="00E43425">
        <w:rPr>
          <w:lang w:eastAsia="zh-CN" w:bidi="ar"/>
        </w:rPr>
        <w:t xml:space="preserve"> catégorie et à les</w:t>
      </w:r>
      <w:r w:rsidR="008F1FF7" w:rsidRPr="00E43425">
        <w:rPr>
          <w:lang w:eastAsia="zh-CN" w:bidi="ar"/>
        </w:rPr>
        <w:t xml:space="preserve"> adopter </w:t>
      </w:r>
      <w:r w:rsidR="002659D7" w:rsidRPr="00E43425">
        <w:rPr>
          <w:lang w:eastAsia="zh-CN" w:bidi="ar"/>
        </w:rPr>
        <w:t>comme un tout</w:t>
      </w:r>
      <w:r w:rsidR="007B18C4" w:rsidRPr="00E43425">
        <w:rPr>
          <w:lang w:eastAsia="zh-CN" w:bidi="ar"/>
        </w:rPr>
        <w:t xml:space="preserve">, </w:t>
      </w:r>
      <w:r w:rsidR="008F1FF7" w:rsidRPr="00E43425">
        <w:rPr>
          <w:lang w:eastAsia="zh-CN" w:bidi="ar"/>
        </w:rPr>
        <w:t xml:space="preserve">à réduire le nombre de questions inscrites à </w:t>
      </w:r>
      <w:r w:rsidR="007B18C4" w:rsidRPr="00E43425">
        <w:rPr>
          <w:lang w:eastAsia="zh-CN" w:bidi="ar"/>
        </w:rPr>
        <w:t xml:space="preserve">l'ordre du jour de la session annuelle du Conseil, </w:t>
      </w:r>
      <w:r w:rsidR="008F1FF7" w:rsidRPr="00E43425">
        <w:rPr>
          <w:lang w:eastAsia="zh-CN" w:bidi="ar"/>
        </w:rPr>
        <w:t xml:space="preserve">à mettre l'accent sur des points essentiels, à organiser un </w:t>
      </w:r>
      <w:r w:rsidRPr="00E43425">
        <w:rPr>
          <w:lang w:eastAsia="zh-CN" w:bidi="ar"/>
        </w:rPr>
        <w:t xml:space="preserve">segment </w:t>
      </w:r>
      <w:r w:rsidR="008F1FF7" w:rsidRPr="00E43425">
        <w:rPr>
          <w:lang w:eastAsia="zh-CN" w:bidi="ar"/>
        </w:rPr>
        <w:t>de</w:t>
      </w:r>
      <w:r w:rsidR="007B18C4" w:rsidRPr="00E43425">
        <w:rPr>
          <w:lang w:eastAsia="zh-CN" w:bidi="ar"/>
        </w:rPr>
        <w:t xml:space="preserve"> haut niveau</w:t>
      </w:r>
      <w:r w:rsidR="007B18C4" w:rsidRPr="00E43425">
        <w:t xml:space="preserve"> et </w:t>
      </w:r>
      <w:r w:rsidR="008F1FF7" w:rsidRPr="00E43425">
        <w:t>à organiser u</w:t>
      </w:r>
      <w:r w:rsidR="007B18C4" w:rsidRPr="00E43425">
        <w:t xml:space="preserve">ne retraite </w:t>
      </w:r>
      <w:r w:rsidR="008F1FF7" w:rsidRPr="00E43425">
        <w:t>des C</w:t>
      </w:r>
      <w:r w:rsidR="007B18C4" w:rsidRPr="00E43425">
        <w:t xml:space="preserve">onseillers </w:t>
      </w:r>
      <w:r w:rsidR="008E3FCE" w:rsidRPr="00E43425">
        <w:t xml:space="preserve">selon les règles dites </w:t>
      </w:r>
      <w:r w:rsidR="007B18C4" w:rsidRPr="00E43425">
        <w:t xml:space="preserve">de </w:t>
      </w:r>
      <w:r w:rsidR="008E3FCE" w:rsidRPr="00E43425">
        <w:t>"</w:t>
      </w:r>
      <w:r w:rsidR="007B18C4" w:rsidRPr="00E43425">
        <w:t>Chatham House</w:t>
      </w:r>
      <w:r w:rsidR="007B18C4" w:rsidRPr="00E43425">
        <w:rPr>
          <w:lang w:eastAsia="zh-CN" w:bidi="ar"/>
        </w:rPr>
        <w:t>".</w:t>
      </w:r>
      <w:bookmarkEnd w:id="10"/>
    </w:p>
    <w:p w14:paraId="1BC1474C" w14:textId="640B1B62" w:rsidR="00C00766" w:rsidRPr="00E43425" w:rsidRDefault="007B18C4" w:rsidP="00F220B4">
      <w:pPr>
        <w:pStyle w:val="Heading1"/>
        <w:rPr>
          <w:lang w:eastAsia="zh-CN"/>
        </w:rPr>
      </w:pPr>
      <w:r w:rsidRPr="00E43425">
        <w:rPr>
          <w:lang w:eastAsia="zh-CN"/>
        </w:rPr>
        <w:t>2</w:t>
      </w:r>
      <w:bookmarkStart w:id="11" w:name="lt_pId030"/>
      <w:r w:rsidR="00F220B4" w:rsidRPr="00E43425">
        <w:rPr>
          <w:lang w:eastAsia="zh-CN"/>
        </w:rPr>
        <w:tab/>
      </w:r>
      <w:r w:rsidRPr="00E43425">
        <w:rPr>
          <w:lang w:eastAsia="zh-CN"/>
        </w:rPr>
        <w:t>Propos</w:t>
      </w:r>
      <w:r w:rsidR="008E3FCE" w:rsidRPr="00E43425">
        <w:rPr>
          <w:lang w:eastAsia="zh-CN"/>
        </w:rPr>
        <w:t>itions</w:t>
      </w:r>
      <w:bookmarkEnd w:id="11"/>
    </w:p>
    <w:p w14:paraId="60D8EED2" w14:textId="07F84223" w:rsidR="00C00766" w:rsidRPr="00E43425" w:rsidRDefault="007B18C4" w:rsidP="00F220B4">
      <w:pPr>
        <w:rPr>
          <w:lang w:eastAsia="zh-CN" w:bidi="ar"/>
        </w:rPr>
      </w:pPr>
      <w:bookmarkStart w:id="12" w:name="lt_pId031"/>
      <w:r w:rsidRPr="00E43425">
        <w:rPr>
          <w:lang w:eastAsia="zh-CN" w:bidi="ar"/>
        </w:rPr>
        <w:t xml:space="preserve">La Chine </w:t>
      </w:r>
      <w:r w:rsidR="008E3FCE" w:rsidRPr="00E43425">
        <w:rPr>
          <w:lang w:eastAsia="zh-CN" w:bidi="ar"/>
        </w:rPr>
        <w:t>considère</w:t>
      </w:r>
      <w:r w:rsidRPr="00E43425">
        <w:rPr>
          <w:lang w:eastAsia="zh-CN" w:bidi="ar"/>
        </w:rPr>
        <w:t xml:space="preserve"> que l'objectif principal de</w:t>
      </w:r>
      <w:r w:rsidR="008E3FCE" w:rsidRPr="00E43425">
        <w:rPr>
          <w:lang w:eastAsia="zh-CN" w:bidi="ar"/>
        </w:rPr>
        <w:t>s</w:t>
      </w:r>
      <w:r w:rsidRPr="00E43425">
        <w:rPr>
          <w:lang w:eastAsia="zh-CN" w:bidi="ar"/>
        </w:rPr>
        <w:t xml:space="preserve"> amélioration</w:t>
      </w:r>
      <w:r w:rsidR="008E3FCE" w:rsidRPr="00E43425">
        <w:rPr>
          <w:lang w:eastAsia="zh-CN" w:bidi="ar"/>
        </w:rPr>
        <w:t>s à apporter au</w:t>
      </w:r>
      <w:r w:rsidRPr="00E43425">
        <w:rPr>
          <w:lang w:eastAsia="zh-CN" w:bidi="ar"/>
        </w:rPr>
        <w:t xml:space="preserve"> Conseil est de permettre au Conseil de </w:t>
      </w:r>
      <w:r w:rsidR="00AF60F9" w:rsidRPr="00E43425">
        <w:rPr>
          <w:lang w:eastAsia="zh-CN" w:bidi="ar"/>
        </w:rPr>
        <w:t xml:space="preserve">mener plus efficacement à bien son mandat tel qu'il est défini </w:t>
      </w:r>
      <w:r w:rsidR="008E3FCE" w:rsidRPr="00E43425">
        <w:rPr>
          <w:lang w:eastAsia="zh-CN" w:bidi="ar"/>
        </w:rPr>
        <w:t xml:space="preserve">dans </w:t>
      </w:r>
      <w:r w:rsidRPr="00E43425">
        <w:rPr>
          <w:lang w:eastAsia="zh-CN" w:bidi="ar"/>
        </w:rPr>
        <w:t>la Constitution et la Convention de l'UIT.</w:t>
      </w:r>
      <w:bookmarkEnd w:id="12"/>
      <w:r w:rsidRPr="00E43425">
        <w:rPr>
          <w:lang w:eastAsia="zh-CN" w:bidi="ar"/>
        </w:rPr>
        <w:t xml:space="preserve"> </w:t>
      </w:r>
      <w:bookmarkStart w:id="13" w:name="lt_pId032"/>
      <w:r w:rsidRPr="00E43425">
        <w:rPr>
          <w:lang w:eastAsia="zh-CN" w:bidi="ar"/>
        </w:rPr>
        <w:t>Des discussions approfondies sur ce sujet important sont nécessaires.</w:t>
      </w:r>
      <w:bookmarkEnd w:id="13"/>
      <w:r w:rsidRPr="00E43425">
        <w:rPr>
          <w:lang w:eastAsia="zh-CN" w:bidi="ar"/>
        </w:rPr>
        <w:t xml:space="preserve"> </w:t>
      </w:r>
      <w:bookmarkStart w:id="14" w:name="lt_pId033"/>
      <w:r w:rsidR="008E3FCE" w:rsidRPr="00E43425">
        <w:rPr>
          <w:lang w:eastAsia="zh-CN" w:bidi="ar"/>
        </w:rPr>
        <w:t xml:space="preserve">Dans ce contexte, </w:t>
      </w:r>
      <w:r w:rsidRPr="00E43425">
        <w:rPr>
          <w:lang w:eastAsia="zh-CN" w:bidi="ar"/>
        </w:rPr>
        <w:t xml:space="preserve">la Chine </w:t>
      </w:r>
      <w:r w:rsidR="008E3FCE" w:rsidRPr="00E43425">
        <w:rPr>
          <w:lang w:eastAsia="zh-CN" w:bidi="ar"/>
        </w:rPr>
        <w:t xml:space="preserve">tient à soumettre </w:t>
      </w:r>
      <w:r w:rsidRPr="00E43425">
        <w:rPr>
          <w:lang w:eastAsia="zh-CN" w:bidi="ar"/>
        </w:rPr>
        <w:t>les propositions suivantes en vue d'améliorer le Conseil:</w:t>
      </w:r>
      <w:bookmarkEnd w:id="14"/>
    </w:p>
    <w:p w14:paraId="7D4EE1AD" w14:textId="29DA8C6C" w:rsidR="00C00766" w:rsidRPr="00E43425" w:rsidRDefault="007B18C4" w:rsidP="00F220B4">
      <w:pPr>
        <w:rPr>
          <w:lang w:eastAsia="zh-CN" w:bidi="ar"/>
        </w:rPr>
      </w:pPr>
      <w:r w:rsidRPr="00E43425">
        <w:rPr>
          <w:lang w:eastAsia="zh-CN" w:bidi="ar"/>
        </w:rPr>
        <w:t>1</w:t>
      </w:r>
      <w:bookmarkStart w:id="15" w:name="lt_pId035"/>
      <w:r w:rsidR="008E3FCE" w:rsidRPr="00E43425">
        <w:rPr>
          <w:lang w:eastAsia="zh-CN" w:bidi="ar"/>
        </w:rPr>
        <w:tab/>
      </w:r>
      <w:r w:rsidRPr="00E43425">
        <w:rPr>
          <w:lang w:eastAsia="zh-CN" w:bidi="ar"/>
        </w:rPr>
        <w:t xml:space="preserve">Le Conseil devrait entendre un large éventail de points de vue des États </w:t>
      </w:r>
      <w:r w:rsidR="008E3FCE" w:rsidRPr="00E43425">
        <w:rPr>
          <w:lang w:eastAsia="zh-CN" w:bidi="ar"/>
        </w:rPr>
        <w:t>M</w:t>
      </w:r>
      <w:r w:rsidRPr="00E43425">
        <w:rPr>
          <w:lang w:eastAsia="zh-CN" w:bidi="ar"/>
        </w:rPr>
        <w:t xml:space="preserve">embres </w:t>
      </w:r>
      <w:r w:rsidR="008E3FCE" w:rsidRPr="00E43425">
        <w:rPr>
          <w:lang w:eastAsia="zh-CN" w:bidi="ar"/>
        </w:rPr>
        <w:t>en ce qui concerne</w:t>
      </w:r>
      <w:r w:rsidRPr="00E43425">
        <w:rPr>
          <w:lang w:eastAsia="zh-CN" w:bidi="ar"/>
        </w:rPr>
        <w:t xml:space="preserve"> les lacunes dans la mise en œuvre </w:t>
      </w:r>
      <w:r w:rsidR="008E3FCE" w:rsidRPr="00E43425">
        <w:rPr>
          <w:lang w:eastAsia="zh-CN" w:bidi="ar"/>
        </w:rPr>
        <w:t>de son</w:t>
      </w:r>
      <w:r w:rsidRPr="00E43425">
        <w:rPr>
          <w:lang w:eastAsia="zh-CN" w:bidi="ar"/>
        </w:rPr>
        <w:t xml:space="preserve"> mandat</w:t>
      </w:r>
      <w:r w:rsidR="008E3FCE" w:rsidRPr="00E43425">
        <w:rPr>
          <w:lang w:eastAsia="zh-CN" w:bidi="ar"/>
        </w:rPr>
        <w:t xml:space="preserve"> </w:t>
      </w:r>
      <w:r w:rsidRPr="00E43425">
        <w:rPr>
          <w:lang w:eastAsia="zh-CN" w:bidi="ar"/>
        </w:rPr>
        <w:t>et les domaines susceptibles d'être améliorés.</w:t>
      </w:r>
      <w:bookmarkEnd w:id="15"/>
      <w:r w:rsidRPr="00E43425">
        <w:rPr>
          <w:lang w:eastAsia="zh-CN" w:bidi="ar"/>
        </w:rPr>
        <w:t xml:space="preserve"> </w:t>
      </w:r>
      <w:bookmarkStart w:id="16" w:name="lt_pId036"/>
      <w:r w:rsidR="00CF0EB6" w:rsidRPr="00E43425">
        <w:rPr>
          <w:lang w:eastAsia="zh-CN" w:bidi="ar"/>
        </w:rPr>
        <w:t>À</w:t>
      </w:r>
      <w:r w:rsidR="008E3FCE" w:rsidRPr="00E43425">
        <w:rPr>
          <w:lang w:eastAsia="zh-CN" w:bidi="ar"/>
        </w:rPr>
        <w:t xml:space="preserve"> titre d '</w:t>
      </w:r>
      <w:r w:rsidRPr="00E43425">
        <w:rPr>
          <w:lang w:eastAsia="zh-CN" w:bidi="ar"/>
        </w:rPr>
        <w:t xml:space="preserve">exemple, le Conseil devrait examiner </w:t>
      </w:r>
      <w:r w:rsidR="008E3FCE" w:rsidRPr="00E43425">
        <w:rPr>
          <w:lang w:eastAsia="zh-CN" w:bidi="ar"/>
        </w:rPr>
        <w:t>des</w:t>
      </w:r>
      <w:r w:rsidRPr="00E43425">
        <w:rPr>
          <w:lang w:eastAsia="zh-CN" w:bidi="ar"/>
        </w:rPr>
        <w:t xml:space="preserve"> </w:t>
      </w:r>
      <w:r w:rsidR="008E3FCE" w:rsidRPr="00E43425">
        <w:rPr>
          <w:lang w:eastAsia="zh-CN" w:bidi="ar"/>
        </w:rPr>
        <w:t>questions générales relatives aux politiques dans le domaine des</w:t>
      </w:r>
      <w:r w:rsidRPr="00E43425">
        <w:rPr>
          <w:lang w:eastAsia="zh-CN" w:bidi="ar"/>
        </w:rPr>
        <w:t xml:space="preserve"> télécommunications</w:t>
      </w:r>
      <w:r w:rsidR="008E3FCE" w:rsidRPr="00E43425">
        <w:rPr>
          <w:lang w:eastAsia="zh-CN" w:bidi="ar"/>
        </w:rPr>
        <w:t xml:space="preserve">, afin de </w:t>
      </w:r>
      <w:r w:rsidRPr="00E43425">
        <w:rPr>
          <w:lang w:eastAsia="zh-CN" w:bidi="ar"/>
        </w:rPr>
        <w:t xml:space="preserve">veiller à ce que les politiques et la stratégie de l'Union répondent pleinement à l'évolution de l'environnement des télécommunications; il devrait contribuer </w:t>
      </w:r>
      <w:r w:rsidR="00AF60F9" w:rsidRPr="00E43425">
        <w:rPr>
          <w:lang w:eastAsia="zh-CN" w:bidi="ar"/>
        </w:rPr>
        <w:t>à l'expansion</w:t>
      </w:r>
      <w:r w:rsidRPr="00E43425">
        <w:rPr>
          <w:lang w:eastAsia="zh-CN" w:bidi="ar"/>
        </w:rPr>
        <w:t xml:space="preserve"> des télécommunications dans les pays en développement, notamment </w:t>
      </w:r>
      <w:r w:rsidR="008E3FCE" w:rsidRPr="00E43425">
        <w:rPr>
          <w:lang w:eastAsia="zh-CN" w:bidi="ar"/>
        </w:rPr>
        <w:t>dans le cadre de</w:t>
      </w:r>
      <w:r w:rsidRPr="00E43425">
        <w:rPr>
          <w:lang w:eastAsia="zh-CN" w:bidi="ar"/>
        </w:rPr>
        <w:t xml:space="preserve"> la participation de l'Union aux programmes des Nations </w:t>
      </w:r>
      <w:r w:rsidR="008E3FCE" w:rsidRPr="00E43425">
        <w:rPr>
          <w:lang w:eastAsia="zh-CN" w:bidi="ar"/>
        </w:rPr>
        <w:t>U</w:t>
      </w:r>
      <w:r w:rsidRPr="00E43425">
        <w:rPr>
          <w:lang w:eastAsia="zh-CN" w:bidi="ar"/>
        </w:rPr>
        <w:t>nies</w:t>
      </w:r>
      <w:r w:rsidR="008E3FCE" w:rsidRPr="00E43425">
        <w:rPr>
          <w:lang w:eastAsia="zh-CN" w:bidi="ar"/>
        </w:rPr>
        <w:t xml:space="preserve"> pertinents</w:t>
      </w:r>
      <w:r w:rsidRPr="00E43425">
        <w:rPr>
          <w:lang w:eastAsia="zh-CN" w:bidi="ar"/>
        </w:rPr>
        <w:t>.</w:t>
      </w:r>
      <w:bookmarkEnd w:id="16"/>
      <w:r w:rsidRPr="00E43425">
        <w:rPr>
          <w:lang w:eastAsia="zh-CN" w:bidi="ar"/>
        </w:rPr>
        <w:t xml:space="preserve"> </w:t>
      </w:r>
      <w:bookmarkStart w:id="17" w:name="lt_pId037"/>
      <w:r w:rsidRPr="00E43425">
        <w:rPr>
          <w:lang w:eastAsia="zh-CN" w:bidi="ar"/>
        </w:rPr>
        <w:t xml:space="preserve">Ces questions devraient être examinées par tous les États </w:t>
      </w:r>
      <w:r w:rsidR="008E3FCE" w:rsidRPr="00E43425">
        <w:rPr>
          <w:lang w:eastAsia="zh-CN" w:bidi="ar"/>
        </w:rPr>
        <w:t>M</w:t>
      </w:r>
      <w:r w:rsidRPr="00E43425">
        <w:rPr>
          <w:lang w:eastAsia="zh-CN" w:bidi="ar"/>
        </w:rPr>
        <w:t xml:space="preserve">embres dans les trois </w:t>
      </w:r>
      <w:r w:rsidR="008E3FCE" w:rsidRPr="00E43425">
        <w:rPr>
          <w:lang w:eastAsia="zh-CN" w:bidi="ar"/>
        </w:rPr>
        <w:t>S</w:t>
      </w:r>
      <w:r w:rsidRPr="00E43425">
        <w:rPr>
          <w:lang w:eastAsia="zh-CN" w:bidi="ar"/>
        </w:rPr>
        <w:t>ecteurs de l'UIT, plutôt que d'être confiées à des consultants ext</w:t>
      </w:r>
      <w:r w:rsidR="00AF60F9" w:rsidRPr="00E43425">
        <w:rPr>
          <w:lang w:eastAsia="zh-CN" w:bidi="ar"/>
        </w:rPr>
        <w:t>é</w:t>
      </w:r>
      <w:r w:rsidRPr="00E43425">
        <w:rPr>
          <w:lang w:eastAsia="zh-CN" w:bidi="ar"/>
        </w:rPr>
        <w:t>r</w:t>
      </w:r>
      <w:r w:rsidR="00AF60F9" w:rsidRPr="00E43425">
        <w:rPr>
          <w:lang w:eastAsia="zh-CN" w:bidi="ar"/>
        </w:rPr>
        <w:t>ieur</w:t>
      </w:r>
      <w:r w:rsidRPr="00E43425">
        <w:rPr>
          <w:lang w:eastAsia="zh-CN" w:bidi="ar"/>
        </w:rPr>
        <w:t>s.</w:t>
      </w:r>
      <w:bookmarkEnd w:id="17"/>
      <w:r w:rsidRPr="00E43425">
        <w:rPr>
          <w:lang w:eastAsia="zh-CN" w:bidi="ar"/>
        </w:rPr>
        <w:t xml:space="preserve"> </w:t>
      </w:r>
      <w:bookmarkStart w:id="18" w:name="lt_pId038"/>
      <w:r w:rsidRPr="00E43425">
        <w:rPr>
          <w:lang w:eastAsia="zh-CN" w:bidi="ar"/>
        </w:rPr>
        <w:t>En outre, l</w:t>
      </w:r>
      <w:r w:rsidR="00C726F2" w:rsidRPr="00E43425">
        <w:rPr>
          <w:lang w:eastAsia="zh-CN" w:bidi="ar"/>
        </w:rPr>
        <w:t xml:space="preserve">es </w:t>
      </w:r>
      <w:r w:rsidRPr="00E43425">
        <w:rPr>
          <w:lang w:eastAsia="zh-CN" w:bidi="ar"/>
        </w:rPr>
        <w:t>amélioration</w:t>
      </w:r>
      <w:r w:rsidR="00C726F2" w:rsidRPr="00E43425">
        <w:rPr>
          <w:lang w:eastAsia="zh-CN" w:bidi="ar"/>
        </w:rPr>
        <w:t>s apportées au</w:t>
      </w:r>
      <w:r w:rsidRPr="00E43425">
        <w:rPr>
          <w:lang w:eastAsia="zh-CN" w:bidi="ar"/>
        </w:rPr>
        <w:t xml:space="preserve"> Conseil devrai</w:t>
      </w:r>
      <w:r w:rsidR="00AF60F9" w:rsidRPr="00E43425">
        <w:rPr>
          <w:lang w:eastAsia="zh-CN" w:bidi="ar"/>
        </w:rPr>
        <w:t>en</w:t>
      </w:r>
      <w:r w:rsidRPr="00E43425">
        <w:rPr>
          <w:lang w:eastAsia="zh-CN" w:bidi="ar"/>
        </w:rPr>
        <w:t>t suivre les règles et procédures applicables de l'Union.</w:t>
      </w:r>
      <w:bookmarkEnd w:id="18"/>
      <w:r w:rsidRPr="00E43425">
        <w:rPr>
          <w:lang w:eastAsia="zh-CN" w:bidi="ar"/>
        </w:rPr>
        <w:t xml:space="preserve"> </w:t>
      </w:r>
      <w:bookmarkStart w:id="19" w:name="lt_pId039"/>
      <w:r w:rsidRPr="00E43425">
        <w:rPr>
          <w:lang w:eastAsia="zh-CN" w:bidi="ar"/>
        </w:rPr>
        <w:t>Les règles et règlements qui nécessitent des modifications doivent être soumis à une conférence/assemblée compétente, conformément aux procédures établies, pour examen et décision.</w:t>
      </w:r>
      <w:bookmarkEnd w:id="19"/>
    </w:p>
    <w:p w14:paraId="56349F8F" w14:textId="1FA608E5" w:rsidR="00C00766" w:rsidRPr="00E43425" w:rsidRDefault="007B18C4" w:rsidP="00CF0EB6">
      <w:pPr>
        <w:keepNext/>
        <w:rPr>
          <w:lang w:eastAsia="zh-CN" w:bidi="ar"/>
        </w:rPr>
      </w:pPr>
      <w:r w:rsidRPr="00E43425">
        <w:rPr>
          <w:lang w:eastAsia="zh-CN" w:bidi="ar"/>
        </w:rPr>
        <w:lastRenderedPageBreak/>
        <w:t>2</w:t>
      </w:r>
      <w:bookmarkStart w:id="20" w:name="lt_pId041"/>
      <w:r w:rsidR="00CF0EB6" w:rsidRPr="00E43425">
        <w:rPr>
          <w:lang w:eastAsia="zh-CN" w:bidi="ar"/>
        </w:rPr>
        <w:tab/>
      </w:r>
      <w:r w:rsidR="009E7577" w:rsidRPr="00E43425">
        <w:rPr>
          <w:lang w:eastAsia="zh-CN" w:bidi="ar"/>
        </w:rPr>
        <w:t xml:space="preserve">Points de vue </w:t>
      </w:r>
      <w:r w:rsidRPr="00E43425">
        <w:rPr>
          <w:lang w:eastAsia="zh-CN" w:bidi="ar"/>
        </w:rPr>
        <w:t>sur les améliorations spécifiques proposées par le Secrétariat général:</w:t>
      </w:r>
      <w:bookmarkEnd w:id="20"/>
    </w:p>
    <w:p w14:paraId="3BDA1893" w14:textId="68B2F773" w:rsidR="00C00766" w:rsidRPr="00E43425" w:rsidRDefault="007B18C4" w:rsidP="00CF0EB6">
      <w:pPr>
        <w:pStyle w:val="enumlev1"/>
      </w:pPr>
      <w:r w:rsidRPr="00E43425">
        <w:t>•</w:t>
      </w:r>
      <w:bookmarkStart w:id="21" w:name="lt_pId043"/>
      <w:r w:rsidR="009E7577" w:rsidRPr="00E43425">
        <w:tab/>
        <w:t>S'agissant de la proposition selon laquelle</w:t>
      </w:r>
      <w:r w:rsidRPr="00E43425">
        <w:t xml:space="preserve"> "</w:t>
      </w:r>
      <w:r w:rsidR="009E7577" w:rsidRPr="00E43425">
        <w:t>Lors de l'établissement de l'ordre du jour de la session annuelle, il convient de définir par ordre de priorité les points essentiels pour lesquels des décisions et/ou des orientations du Conseil sont nécessaires</w:t>
      </w:r>
      <w:r w:rsidRPr="00E43425">
        <w:t>"</w:t>
      </w:r>
      <w:r w:rsidR="009E7577" w:rsidRPr="00E43425">
        <w:t>, l</w:t>
      </w:r>
      <w:r w:rsidRPr="00E43425">
        <w:t>a Chine estime que le fait de donner la priorité au rôle stratégique du Conseil n'est pas conforme au mandat</w:t>
      </w:r>
      <w:r w:rsidR="00B60465" w:rsidRPr="00E43425">
        <w:t xml:space="preserve"> </w:t>
      </w:r>
      <w:r w:rsidRPr="00E43425">
        <w:t xml:space="preserve">du Conseil </w:t>
      </w:r>
      <w:r w:rsidR="00C765C8" w:rsidRPr="00E43425">
        <w:t xml:space="preserve">bien établi </w:t>
      </w:r>
      <w:r w:rsidRPr="00E43425">
        <w:t>dans la Constitution et la Convention.</w:t>
      </w:r>
      <w:bookmarkEnd w:id="21"/>
      <w:r w:rsidRPr="00E43425">
        <w:t xml:space="preserve"> </w:t>
      </w:r>
      <w:bookmarkStart w:id="22" w:name="lt_pId044"/>
      <w:r w:rsidR="00B60465" w:rsidRPr="00E43425">
        <w:t xml:space="preserve">Les </w:t>
      </w:r>
      <w:r w:rsidRPr="00E43425">
        <w:t>textes fondamentaux de l'Union ne défini</w:t>
      </w:r>
      <w:r w:rsidR="00B60465" w:rsidRPr="00E43425">
        <w:t xml:space="preserve">ssent pas </w:t>
      </w:r>
      <w:r w:rsidRPr="00E43425">
        <w:t>ce qui constitue un "</w:t>
      </w:r>
      <w:r w:rsidR="00B60465" w:rsidRPr="00E43425">
        <w:t>point</w:t>
      </w:r>
      <w:r w:rsidRPr="00E43425">
        <w:t xml:space="preserve"> essentiel".</w:t>
      </w:r>
      <w:bookmarkEnd w:id="22"/>
      <w:r w:rsidRPr="00E43425">
        <w:t xml:space="preserve"> </w:t>
      </w:r>
      <w:bookmarkStart w:id="23" w:name="lt_pId045"/>
      <w:r w:rsidRPr="00E43425">
        <w:t xml:space="preserve">Seule une </w:t>
      </w:r>
      <w:r w:rsidR="00B60465" w:rsidRPr="00E43425">
        <w:t>C</w:t>
      </w:r>
      <w:r w:rsidRPr="00E43425">
        <w:t>onférence de plénipotentiaires, et non le Conseil lui</w:t>
      </w:r>
      <w:r w:rsidR="00CF0EB6" w:rsidRPr="00E43425">
        <w:noBreakHyphen/>
      </w:r>
      <w:r w:rsidRPr="00E43425">
        <w:t>même, peut décider si les futures sessions du Conseil doivent se concentrer uniquement sur les "points essentiels".</w:t>
      </w:r>
      <w:bookmarkEnd w:id="23"/>
    </w:p>
    <w:p w14:paraId="38EDA142" w14:textId="17247732" w:rsidR="00C00766" w:rsidRPr="00E43425" w:rsidRDefault="007B18C4" w:rsidP="00CF0EB6">
      <w:pPr>
        <w:pStyle w:val="enumlev1"/>
      </w:pPr>
      <w:r w:rsidRPr="00E43425">
        <w:t>•</w:t>
      </w:r>
      <w:bookmarkStart w:id="24" w:name="lt_pId047"/>
      <w:r w:rsidR="00B60465" w:rsidRPr="00E43425">
        <w:tab/>
      </w:r>
      <w:r w:rsidRPr="00E43425">
        <w:t xml:space="preserve">En ce qui concerne </w:t>
      </w:r>
      <w:r w:rsidR="00B60465" w:rsidRPr="00E43425">
        <w:t>l'amélioration en vertu de laquelle il est proposé, pour</w:t>
      </w:r>
      <w:r w:rsidRPr="00E43425">
        <w:t xml:space="preserve"> "Certains documents dont l'examen n'est pas nécessaire, d'en prendre note et/ou de les adopter, sans les présenter"</w:t>
      </w:r>
      <w:r w:rsidR="00B60465" w:rsidRPr="00E43425">
        <w:t xml:space="preserve"> (c'est-à-dire adopter les documents </w:t>
      </w:r>
      <w:r w:rsidR="00AF60F9" w:rsidRPr="00E43425">
        <w:t>de manière groupée</w:t>
      </w:r>
      <w:r w:rsidR="00B60465" w:rsidRPr="00E43425">
        <w:t>), l</w:t>
      </w:r>
      <w:r w:rsidRPr="00E43425">
        <w:t>a Chine estime qu'il sera difficile</w:t>
      </w:r>
      <w:r w:rsidR="00B60465" w:rsidRPr="00E43425">
        <w:t>,</w:t>
      </w:r>
      <w:r w:rsidRPr="00E43425">
        <w:t xml:space="preserve"> pour les </w:t>
      </w:r>
      <w:r w:rsidR="00B60465" w:rsidRPr="00E43425">
        <w:t>C</w:t>
      </w:r>
      <w:r w:rsidRPr="00E43425">
        <w:t>onseillers</w:t>
      </w:r>
      <w:r w:rsidR="00B60465" w:rsidRPr="00E43425">
        <w:t xml:space="preserve">, </w:t>
      </w:r>
      <w:r w:rsidRPr="00E43425">
        <w:t xml:space="preserve">de décider </w:t>
      </w:r>
      <w:r w:rsidR="00B60465" w:rsidRPr="00E43425">
        <w:t>s'il convient de prendre note d'un d</w:t>
      </w:r>
      <w:r w:rsidRPr="00E43425">
        <w:t>ocument</w:t>
      </w:r>
      <w:r w:rsidR="00B60465" w:rsidRPr="00E43425">
        <w:t xml:space="preserve"> ou de l'adopter</w:t>
      </w:r>
      <w:r w:rsidRPr="00E43425">
        <w:t xml:space="preserve"> avant qu'il ne soit présenté</w:t>
      </w:r>
      <w:r w:rsidR="00B60465" w:rsidRPr="00E43425">
        <w:t xml:space="preserve"> comme il se doit</w:t>
      </w:r>
      <w:r w:rsidRPr="00E43425">
        <w:t>.</w:t>
      </w:r>
      <w:bookmarkEnd w:id="24"/>
      <w:r w:rsidRPr="00E43425">
        <w:t xml:space="preserve"> </w:t>
      </w:r>
      <w:bookmarkStart w:id="25" w:name="lt_pId048"/>
      <w:r w:rsidRPr="00E43425">
        <w:t xml:space="preserve">Nous suggérons que le Secrétariat général aide les </w:t>
      </w:r>
      <w:r w:rsidR="00B60465" w:rsidRPr="00E43425">
        <w:t>C</w:t>
      </w:r>
      <w:r w:rsidRPr="00E43425">
        <w:t xml:space="preserve">onseillers à </w:t>
      </w:r>
      <w:r w:rsidR="00B60465" w:rsidRPr="00E43425">
        <w:t>examiner</w:t>
      </w:r>
      <w:r w:rsidRPr="00E43425">
        <w:t xml:space="preserve"> pleinement tous les documents avant d'en prendre note ou de les adopter, plutôt que de </w:t>
      </w:r>
      <w:r w:rsidR="00AF60F9" w:rsidRPr="00E43425">
        <w:t xml:space="preserve">regrouper </w:t>
      </w:r>
      <w:r w:rsidRPr="00E43425">
        <w:t xml:space="preserve">les documents par catégorie et de les adopter </w:t>
      </w:r>
      <w:r w:rsidR="002659D7" w:rsidRPr="00E43425">
        <w:t>comme un tout</w:t>
      </w:r>
      <w:r w:rsidRPr="00E43425">
        <w:t>.</w:t>
      </w:r>
      <w:bookmarkEnd w:id="25"/>
    </w:p>
    <w:p w14:paraId="0F50435C" w14:textId="1283D98C" w:rsidR="00C00766" w:rsidRPr="00E43425" w:rsidRDefault="007B18C4" w:rsidP="00CF0EB6">
      <w:pPr>
        <w:pStyle w:val="enumlev1"/>
      </w:pPr>
      <w:r w:rsidRPr="00E43425">
        <w:t>•</w:t>
      </w:r>
      <w:bookmarkStart w:id="26" w:name="lt_pId050"/>
      <w:r w:rsidR="007D202B" w:rsidRPr="00E43425">
        <w:tab/>
      </w:r>
      <w:r w:rsidRPr="00E43425">
        <w:t xml:space="preserve">En ce qui concerne </w:t>
      </w:r>
      <w:r w:rsidR="007D202B" w:rsidRPr="00E43425">
        <w:t xml:space="preserve">la proposition consistant à </w:t>
      </w:r>
      <w:r w:rsidRPr="00E43425">
        <w:t>"</w:t>
      </w:r>
      <w:r w:rsidR="002659D7" w:rsidRPr="00E43425">
        <w:t xml:space="preserve">ramener </w:t>
      </w:r>
      <w:r w:rsidRPr="00E43425">
        <w:t>la durée du Conseil de neuf jours à six jours</w:t>
      </w:r>
      <w:r w:rsidR="007D202B" w:rsidRPr="00E43425">
        <w:t xml:space="preserve">", </w:t>
      </w:r>
      <w:r w:rsidRPr="00E43425">
        <w:t>l</w:t>
      </w:r>
      <w:r w:rsidR="007D202B" w:rsidRPr="00E43425">
        <w:t>e Conseil, à sa</w:t>
      </w:r>
      <w:r w:rsidRPr="00E43425">
        <w:t xml:space="preserve"> session </w:t>
      </w:r>
      <w:r w:rsidR="007D202B" w:rsidRPr="00E43425">
        <w:t xml:space="preserve">de </w:t>
      </w:r>
      <w:r w:rsidRPr="00E43425">
        <w:t>2022</w:t>
      </w:r>
      <w:r w:rsidR="007D202B" w:rsidRPr="00E43425">
        <w:t xml:space="preserve">, </w:t>
      </w:r>
      <w:r w:rsidRPr="00E43425">
        <w:t xml:space="preserve">a approuvé la </w:t>
      </w:r>
      <w:r w:rsidR="007D202B" w:rsidRPr="00E43425">
        <w:t>D</w:t>
      </w:r>
      <w:r w:rsidRPr="00E43425">
        <w:t xml:space="preserve">écision 626 relative aux dates et à la durée des </w:t>
      </w:r>
      <w:r w:rsidR="007D202B" w:rsidRPr="00E43425">
        <w:t>sessions de 2023, 2024, 2025 et 2026 du Conseil et des séries de réunions des Groupes de travail du Conseil et des Groupes d'experts de</w:t>
      </w:r>
      <w:r w:rsidR="00CF0EB6" w:rsidRPr="00E43425">
        <w:t> </w:t>
      </w:r>
      <w:r w:rsidR="007D202B" w:rsidRPr="00E43425">
        <w:t>2023, 2024 et 2025</w:t>
      </w:r>
      <w:r w:rsidRPr="00E43425">
        <w:t>.</w:t>
      </w:r>
      <w:bookmarkEnd w:id="26"/>
      <w:r w:rsidRPr="00E43425">
        <w:t xml:space="preserve"> </w:t>
      </w:r>
      <w:bookmarkStart w:id="27" w:name="lt_pId051"/>
      <w:r w:rsidRPr="00E43425">
        <w:t xml:space="preserve">Nous proposons que le Secrétariat général suive strictement la </w:t>
      </w:r>
      <w:r w:rsidR="002659D7" w:rsidRPr="00E43425">
        <w:t>D</w:t>
      </w:r>
      <w:r w:rsidRPr="00E43425">
        <w:t>écision</w:t>
      </w:r>
      <w:r w:rsidR="00CF0EB6" w:rsidRPr="00E43425">
        <w:t> </w:t>
      </w:r>
      <w:r w:rsidRPr="00E43425">
        <w:t>626 en ce qui concerne la tenue des sessions/réunions du Conseil et de ses groupes de travail (GTC) et groupes d'experts au cours des quatre prochaines années.</w:t>
      </w:r>
      <w:bookmarkEnd w:id="27"/>
      <w:r w:rsidRPr="00E43425">
        <w:t xml:space="preserve"> </w:t>
      </w:r>
      <w:bookmarkStart w:id="28" w:name="lt_pId052"/>
      <w:r w:rsidRPr="00E43425">
        <w:t xml:space="preserve">En outre, le Conseil se réunit </w:t>
      </w:r>
      <w:r w:rsidR="007D202B" w:rsidRPr="00E43425">
        <w:t>normalement en présentiel</w:t>
      </w:r>
      <w:r w:rsidRPr="00E43425">
        <w:t xml:space="preserve"> une fois par an, alors que les questions qui doivent être </w:t>
      </w:r>
      <w:r w:rsidR="007D202B" w:rsidRPr="00E43425">
        <w:t>examinées</w:t>
      </w:r>
      <w:r w:rsidRPr="00E43425">
        <w:t xml:space="preserve"> sont très importantes et vastes.</w:t>
      </w:r>
      <w:bookmarkEnd w:id="28"/>
      <w:r w:rsidRPr="00E43425">
        <w:t xml:space="preserve"> </w:t>
      </w:r>
      <w:bookmarkStart w:id="29" w:name="lt_pId053"/>
      <w:r w:rsidR="007D202B" w:rsidRPr="00E43425">
        <w:t xml:space="preserve">Selon nous, </w:t>
      </w:r>
      <w:r w:rsidRPr="00E43425">
        <w:t>six</w:t>
      </w:r>
      <w:r w:rsidR="00E43425" w:rsidRPr="00E43425">
        <w:t> </w:t>
      </w:r>
      <w:r w:rsidRPr="00E43425">
        <w:t xml:space="preserve">jours ouvrables </w:t>
      </w:r>
      <w:r w:rsidR="007D202B" w:rsidRPr="00E43425">
        <w:t>ne suffisent pas pour permettre a</w:t>
      </w:r>
      <w:r w:rsidRPr="00E43425">
        <w:t xml:space="preserve">u Conseil </w:t>
      </w:r>
      <w:r w:rsidR="007D202B" w:rsidRPr="00E43425">
        <w:t>d'exercer le</w:t>
      </w:r>
      <w:r w:rsidRPr="00E43425">
        <w:t xml:space="preserve"> mandat</w:t>
      </w:r>
      <w:r w:rsidR="007D202B" w:rsidRPr="00E43425">
        <w:t xml:space="preserve"> </w:t>
      </w:r>
      <w:r w:rsidRPr="00E43425">
        <w:t xml:space="preserve">qui lui </w:t>
      </w:r>
      <w:r w:rsidR="007D202B" w:rsidRPr="00E43425">
        <w:t xml:space="preserve">est </w:t>
      </w:r>
      <w:r w:rsidRPr="00E43425">
        <w:t xml:space="preserve">confié </w:t>
      </w:r>
      <w:r w:rsidR="007D202B" w:rsidRPr="00E43425">
        <w:t>en vertu de</w:t>
      </w:r>
      <w:r w:rsidRPr="00E43425">
        <w:t xml:space="preserve"> la Constitution.</w:t>
      </w:r>
      <w:bookmarkEnd w:id="29"/>
    </w:p>
    <w:p w14:paraId="1534E6DB" w14:textId="0C54565B" w:rsidR="00C00766" w:rsidRPr="00E43425" w:rsidRDefault="007B18C4" w:rsidP="00CF0EB6">
      <w:pPr>
        <w:pStyle w:val="enumlev1"/>
      </w:pPr>
      <w:r w:rsidRPr="00E43425">
        <w:t>•</w:t>
      </w:r>
      <w:bookmarkStart w:id="30" w:name="lt_pId055"/>
      <w:r w:rsidR="007D202B" w:rsidRPr="00E43425">
        <w:tab/>
      </w:r>
      <w:r w:rsidRPr="00E43425">
        <w:t xml:space="preserve">En ce qui concerne la </w:t>
      </w:r>
      <w:r w:rsidR="003257CE" w:rsidRPr="00E43425">
        <w:t>proposition visant à</w:t>
      </w:r>
      <w:r w:rsidRPr="00E43425">
        <w:t xml:space="preserve"> "Améliorer le processus préparatoire et faciliter la prise des décisions</w:t>
      </w:r>
      <w:r w:rsidR="003257CE" w:rsidRPr="00E43425">
        <w:t>"</w:t>
      </w:r>
      <w:r w:rsidRPr="00E43425">
        <w:t xml:space="preserve"> (c'est-à-dire </w:t>
      </w:r>
      <w:r w:rsidR="003257CE" w:rsidRPr="00E43425">
        <w:t>organiser des</w:t>
      </w:r>
      <w:r w:rsidRPr="00E43425">
        <w:t xml:space="preserve"> réunions d'information thématiques virtuelles pour la préparation du Conseil)</w:t>
      </w:r>
      <w:r w:rsidR="003257CE" w:rsidRPr="00E43425">
        <w:t>,</w:t>
      </w:r>
      <w:r w:rsidRPr="00E43425">
        <w:t xml:space="preserve"> étant donné </w:t>
      </w:r>
      <w:r w:rsidR="003257CE" w:rsidRPr="00E43425">
        <w:t>qu'aucune</w:t>
      </w:r>
      <w:r w:rsidRPr="00E43425">
        <w:t xml:space="preserve"> réunion</w:t>
      </w:r>
      <w:r w:rsidR="003257CE" w:rsidRPr="00E43425">
        <w:t xml:space="preserve"> </w:t>
      </w:r>
      <w:r w:rsidRPr="00E43425">
        <w:t>d</w:t>
      </w:r>
      <w:r w:rsidR="003257CE" w:rsidRPr="00E43425">
        <w:t xml:space="preserve">es </w:t>
      </w:r>
      <w:r w:rsidRPr="00E43425">
        <w:t>GTC et d</w:t>
      </w:r>
      <w:r w:rsidR="003257CE" w:rsidRPr="00E43425">
        <w:t>es groupes d'experts n'a été</w:t>
      </w:r>
      <w:r w:rsidRPr="00E43425">
        <w:t xml:space="preserve"> convoquée</w:t>
      </w:r>
      <w:r w:rsidR="003257CE" w:rsidRPr="00E43425">
        <w:t xml:space="preserve"> </w:t>
      </w:r>
      <w:r w:rsidRPr="00E43425">
        <w:t xml:space="preserve">au début de 2023, nous </w:t>
      </w:r>
      <w:r w:rsidR="003257CE" w:rsidRPr="00E43425">
        <w:t>estimons</w:t>
      </w:r>
      <w:r w:rsidRPr="00E43425">
        <w:t xml:space="preserve"> que les réunions d'information thématiques contribueraient à informer les </w:t>
      </w:r>
      <w:r w:rsidR="00CF0EB6" w:rsidRPr="00E43425">
        <w:t>M</w:t>
      </w:r>
      <w:r w:rsidRPr="00E43425">
        <w:t>embres de l'état d'avancement des travaux dans différents domaines au sein de l'Union.</w:t>
      </w:r>
      <w:bookmarkEnd w:id="30"/>
      <w:r w:rsidRPr="00E43425">
        <w:t xml:space="preserve"> </w:t>
      </w:r>
      <w:bookmarkStart w:id="31" w:name="lt_pId056"/>
      <w:r w:rsidRPr="00E43425">
        <w:t xml:space="preserve">Dans le même temps, nous tenons à souligner que les réunions d'information thématiques </w:t>
      </w:r>
      <w:r w:rsidR="003257CE" w:rsidRPr="00E43425">
        <w:t>ont une visée informative et ne sont pas le lieu pour</w:t>
      </w:r>
      <w:r w:rsidRPr="00E43425">
        <w:t xml:space="preserve"> prendre des décisions sur des questions importantes pour l'Union.</w:t>
      </w:r>
      <w:bookmarkEnd w:id="31"/>
      <w:r w:rsidRPr="00E43425">
        <w:t xml:space="preserve"> </w:t>
      </w:r>
      <w:bookmarkStart w:id="32" w:name="lt_pId057"/>
      <w:r w:rsidR="003257CE" w:rsidRPr="00E43425">
        <w:t>Elles doivent conserver cet</w:t>
      </w:r>
      <w:r w:rsidR="002659D7" w:rsidRPr="00E43425">
        <w:t>te vocation</w:t>
      </w:r>
      <w:r w:rsidR="003257CE" w:rsidRPr="00E43425">
        <w:t xml:space="preserve"> </w:t>
      </w:r>
      <w:r w:rsidRPr="00E43425">
        <w:t>informati</w:t>
      </w:r>
      <w:r w:rsidR="002659D7" w:rsidRPr="00E43425">
        <w:t>ve</w:t>
      </w:r>
      <w:r w:rsidRPr="00E43425">
        <w:t>.</w:t>
      </w:r>
      <w:bookmarkEnd w:id="32"/>
      <w:r w:rsidRPr="00E43425">
        <w:t xml:space="preserve"> </w:t>
      </w:r>
      <w:bookmarkStart w:id="33" w:name="lt_pId058"/>
      <w:r w:rsidRPr="00E43425">
        <w:t xml:space="preserve">Si </w:t>
      </w:r>
      <w:r w:rsidR="003257CE" w:rsidRPr="00E43425">
        <w:t>les Conseillers doivent prendre des</w:t>
      </w:r>
      <w:r w:rsidRPr="00E43425">
        <w:t xml:space="preserve"> décisions </w:t>
      </w:r>
      <w:r w:rsidR="003257CE" w:rsidRPr="00E43425">
        <w:t xml:space="preserve">concernant une </w:t>
      </w:r>
      <w:r w:rsidRPr="00E43425">
        <w:t xml:space="preserve">question urgente, un processus décisionnel conforme à la Convention doit être </w:t>
      </w:r>
      <w:r w:rsidR="003257CE" w:rsidRPr="00E43425">
        <w:t>respecté</w:t>
      </w:r>
      <w:r w:rsidRPr="00E43425">
        <w:t>, par exemple</w:t>
      </w:r>
      <w:r w:rsidR="003257CE" w:rsidRPr="00E43425">
        <w:t xml:space="preserve"> </w:t>
      </w:r>
      <w:r w:rsidR="002659D7" w:rsidRPr="00E43425">
        <w:t>avec l'adoption d'une</w:t>
      </w:r>
      <w:r w:rsidR="003257CE" w:rsidRPr="00E43425">
        <w:t xml:space="preserve"> décision</w:t>
      </w:r>
      <w:r w:rsidRPr="00E43425">
        <w:t xml:space="preserve"> par correspondance.</w:t>
      </w:r>
      <w:bookmarkEnd w:id="33"/>
      <w:r w:rsidRPr="00E43425">
        <w:t xml:space="preserve"> </w:t>
      </w:r>
      <w:bookmarkStart w:id="34" w:name="lt_pId059"/>
      <w:r w:rsidR="003257CE" w:rsidRPr="00E43425">
        <w:t xml:space="preserve">Selon nous, </w:t>
      </w:r>
      <w:r w:rsidRPr="00E43425">
        <w:t xml:space="preserve">la consultation des États </w:t>
      </w:r>
      <w:r w:rsidR="003257CE" w:rsidRPr="00E43425">
        <w:t>M</w:t>
      </w:r>
      <w:r w:rsidRPr="00E43425">
        <w:t xml:space="preserve">embres par des moyens de communication électroniques (par exemple </w:t>
      </w:r>
      <w:r w:rsidR="003257CE" w:rsidRPr="00E43425">
        <w:t>par</w:t>
      </w:r>
      <w:r w:rsidRPr="00E43425">
        <w:t xml:space="preserve"> courrier électronique) n'entraînera pas de charge financière supplémentaire pour l'UIT.</w:t>
      </w:r>
      <w:bookmarkEnd w:id="34"/>
    </w:p>
    <w:p w14:paraId="29892F82" w14:textId="40D71591" w:rsidR="00C00766" w:rsidRPr="00E43425" w:rsidRDefault="007B18C4" w:rsidP="00CF0EB6">
      <w:pPr>
        <w:pStyle w:val="enumlev1"/>
        <w:keepLines/>
        <w:rPr>
          <w:lang w:eastAsia="zh-CN" w:bidi="ar"/>
        </w:rPr>
      </w:pPr>
      <w:r w:rsidRPr="00E43425">
        <w:lastRenderedPageBreak/>
        <w:t>•</w:t>
      </w:r>
      <w:bookmarkStart w:id="35" w:name="lt_pId061"/>
      <w:r w:rsidR="003257CE" w:rsidRPr="00E43425">
        <w:tab/>
        <w:t>S'agissant de la proposition</w:t>
      </w:r>
      <w:r w:rsidRPr="00E43425">
        <w:t xml:space="preserve"> de "Renforcer la coopération et le dialogue de haut niveau avec les États </w:t>
      </w:r>
      <w:r w:rsidR="003257CE" w:rsidRPr="00E43425">
        <w:t>M</w:t>
      </w:r>
      <w:r w:rsidRPr="00E43425">
        <w:t>embres du Conseil</w:t>
      </w:r>
      <w:r w:rsidR="003257CE" w:rsidRPr="00E43425">
        <w:t>", dans la mesure où</w:t>
      </w:r>
      <w:r w:rsidRPr="00E43425">
        <w:t xml:space="preserve"> le Secrétariat général n'a pas </w:t>
      </w:r>
      <w:r w:rsidR="003257CE" w:rsidRPr="00E43425">
        <w:t xml:space="preserve">mené de consultation formelle préalable auprès des </w:t>
      </w:r>
      <w:r w:rsidRPr="00E43425">
        <w:t xml:space="preserve">États </w:t>
      </w:r>
      <w:r w:rsidR="003257CE" w:rsidRPr="00E43425">
        <w:t>M</w:t>
      </w:r>
      <w:r w:rsidRPr="00E43425">
        <w:t xml:space="preserve">embres sur le calendrier et les thèmes des différentes activités pour </w:t>
      </w:r>
      <w:r w:rsidR="002659D7" w:rsidRPr="00E43425">
        <w:t>le Segment</w:t>
      </w:r>
      <w:r w:rsidR="003257CE" w:rsidRPr="00E43425">
        <w:t xml:space="preserve"> </w:t>
      </w:r>
      <w:r w:rsidRPr="00E43425">
        <w:t>de haut niveau qui se tiendra lors de la session de 2023</w:t>
      </w:r>
      <w:r w:rsidR="003257CE" w:rsidRPr="00E43425">
        <w:t xml:space="preserve"> du Conseil</w:t>
      </w:r>
      <w:r w:rsidRPr="00E43425">
        <w:t xml:space="preserve">, conformément au </w:t>
      </w:r>
      <w:r w:rsidR="003257CE" w:rsidRPr="00E43425">
        <w:t>R</w:t>
      </w:r>
      <w:r w:rsidRPr="00E43425">
        <w:t xml:space="preserve">èglement intérieur du Conseil, et </w:t>
      </w:r>
      <w:r w:rsidR="00042C01" w:rsidRPr="00E43425">
        <w:t>où ce</w:t>
      </w:r>
      <w:r w:rsidRPr="00E43425">
        <w:t xml:space="preserve"> format ne permet pas aux </w:t>
      </w:r>
      <w:r w:rsidR="00042C01" w:rsidRPr="00E43425">
        <w:t>C</w:t>
      </w:r>
      <w:r w:rsidRPr="00E43425">
        <w:t xml:space="preserve">onseillers de </w:t>
      </w:r>
      <w:r w:rsidR="00042C01" w:rsidRPr="00E43425">
        <w:t>participer</w:t>
      </w:r>
      <w:r w:rsidRPr="00E43425">
        <w:t xml:space="preserve"> pleinement </w:t>
      </w:r>
      <w:r w:rsidR="00042C01" w:rsidRPr="00E43425">
        <w:t xml:space="preserve">à la </w:t>
      </w:r>
      <w:r w:rsidRPr="00E43425">
        <w:t>discussion, cette manifestation ne doit pas être considérée comme un point formel de l'ordre du jour de la session de 2023</w:t>
      </w:r>
      <w:r w:rsidR="00042C01" w:rsidRPr="00E43425">
        <w:t xml:space="preserve"> du Conseil</w:t>
      </w:r>
      <w:r w:rsidRPr="00E43425">
        <w:t>.</w:t>
      </w:r>
      <w:bookmarkEnd w:id="35"/>
      <w:r w:rsidRPr="00E43425">
        <w:t xml:space="preserve"> </w:t>
      </w:r>
      <w:bookmarkStart w:id="36" w:name="lt_pId062"/>
      <w:r w:rsidRPr="00E43425">
        <w:t xml:space="preserve">Les résultats </w:t>
      </w:r>
      <w:r w:rsidR="00BE7D75" w:rsidRPr="00E43425">
        <w:t>su Segment</w:t>
      </w:r>
      <w:r w:rsidRPr="00E43425">
        <w:t xml:space="preserve"> de haut niveau ne doivent pas non plus être considérés comme faisant partie des résultats </w:t>
      </w:r>
      <w:r w:rsidR="00042C01" w:rsidRPr="00E43425">
        <w:t>de la session de</w:t>
      </w:r>
      <w:r w:rsidR="00CF0EB6" w:rsidRPr="00E43425">
        <w:t> </w:t>
      </w:r>
      <w:r w:rsidRPr="00E43425">
        <w:t>2023</w:t>
      </w:r>
      <w:r w:rsidR="00042C01" w:rsidRPr="00E43425">
        <w:t xml:space="preserve"> du Conseil</w:t>
      </w:r>
      <w:r w:rsidRPr="00E43425">
        <w:t>.</w:t>
      </w:r>
      <w:bookmarkEnd w:id="36"/>
      <w:r w:rsidRPr="00E43425">
        <w:t xml:space="preserve"> </w:t>
      </w:r>
      <w:bookmarkStart w:id="37" w:name="lt_pId063"/>
      <w:r w:rsidR="00042C01" w:rsidRPr="00E43425">
        <w:t>Par ailleurs</w:t>
      </w:r>
      <w:r w:rsidRPr="00E43425">
        <w:t xml:space="preserve">, </w:t>
      </w:r>
      <w:r w:rsidR="00042C01" w:rsidRPr="00E43425">
        <w:t xml:space="preserve">il n'est pas recommandé </w:t>
      </w:r>
      <w:r w:rsidRPr="00E43425">
        <w:t xml:space="preserve">d'organiser des </w:t>
      </w:r>
      <w:r w:rsidR="00042C01" w:rsidRPr="00E43425">
        <w:t xml:space="preserve">manifestations </w:t>
      </w:r>
      <w:r w:rsidRPr="00E43425">
        <w:t>et des dialogues de haut niveau durant</w:t>
      </w:r>
      <w:r w:rsidR="00042C01" w:rsidRPr="00E43425">
        <w:t xml:space="preserve"> les </w:t>
      </w:r>
      <w:r w:rsidRPr="00E43425">
        <w:t>prochaines sessions du Conseil</w:t>
      </w:r>
      <w:bookmarkStart w:id="38" w:name="lt_pId064"/>
      <w:bookmarkEnd w:id="37"/>
      <w:r w:rsidR="00042C01" w:rsidRPr="00E43425">
        <w:t>: tout d'abord</w:t>
      </w:r>
      <w:r w:rsidRPr="00E43425">
        <w:t xml:space="preserve">, l'UIT </w:t>
      </w:r>
      <w:r w:rsidR="00042C01" w:rsidRPr="00E43425">
        <w:t xml:space="preserve">n'organise </w:t>
      </w:r>
      <w:r w:rsidRPr="00E43425">
        <w:t>de</w:t>
      </w:r>
      <w:r w:rsidR="00042C01" w:rsidRPr="00E43425">
        <w:t xml:space="preserve"> session </w:t>
      </w:r>
      <w:r w:rsidRPr="00E43425">
        <w:t xml:space="preserve">physique du Conseil qu'une fois par an, au cours de laquelle de nombreuses questions </w:t>
      </w:r>
      <w:r w:rsidR="00042C01" w:rsidRPr="00E43425">
        <w:t xml:space="preserve">ayant trait aux aspects financiers et administratifs ainsi qu'aux </w:t>
      </w:r>
      <w:r w:rsidRPr="00E43425">
        <w:t>ressources humaines doivent être examinées.</w:t>
      </w:r>
      <w:bookmarkEnd w:id="38"/>
      <w:r w:rsidRPr="00E43425">
        <w:t xml:space="preserve"> </w:t>
      </w:r>
      <w:bookmarkStart w:id="39" w:name="lt_pId065"/>
      <w:r w:rsidRPr="00E43425">
        <w:t xml:space="preserve">L'organisation d'une réunion de haut niveau accaparera le temps déjà insuffisant </w:t>
      </w:r>
      <w:r w:rsidR="00042C01" w:rsidRPr="00E43425">
        <w:t xml:space="preserve">dont dispose le </w:t>
      </w:r>
      <w:r w:rsidRPr="00E43425">
        <w:t xml:space="preserve">Conseil, ce qui pourrait l'empêcher </w:t>
      </w:r>
      <w:r w:rsidR="00042C01" w:rsidRPr="00E43425">
        <w:t xml:space="preserve">de se consacrer </w:t>
      </w:r>
      <w:r w:rsidRPr="00E43425">
        <w:t xml:space="preserve">pleinement </w:t>
      </w:r>
      <w:r w:rsidR="00042C01" w:rsidRPr="00E43425">
        <w:t>aux</w:t>
      </w:r>
      <w:r w:rsidRPr="00E43425">
        <w:t xml:space="preserve"> questions qui devraient être examinées.</w:t>
      </w:r>
      <w:bookmarkEnd w:id="39"/>
      <w:r w:rsidRPr="00E43425">
        <w:t xml:space="preserve"> </w:t>
      </w:r>
      <w:bookmarkStart w:id="40" w:name="lt_pId066"/>
      <w:r w:rsidR="00042C01" w:rsidRPr="00E43425">
        <w:t>Ensuite</w:t>
      </w:r>
      <w:r w:rsidRPr="00E43425">
        <w:t>, le Conseil n'est pas le lieu approprié pour discuter de questions</w:t>
      </w:r>
      <w:r w:rsidR="00042C01" w:rsidRPr="00E43425">
        <w:t xml:space="preserve"> d'ordre</w:t>
      </w:r>
      <w:r w:rsidRPr="00E43425">
        <w:t xml:space="preserve"> macro</w:t>
      </w:r>
      <w:r w:rsidR="00042C01" w:rsidRPr="00E43425">
        <w:t>-</w:t>
      </w:r>
      <w:r w:rsidRPr="00E43425">
        <w:t>politique</w:t>
      </w:r>
      <w:r w:rsidR="00042C01" w:rsidRPr="00E43425">
        <w:t xml:space="preserve">, </w:t>
      </w:r>
      <w:r w:rsidRPr="00E43425">
        <w:t>telles que les stratégies de l'UIT.</w:t>
      </w:r>
      <w:bookmarkEnd w:id="40"/>
      <w:r w:rsidRPr="00E43425">
        <w:t xml:space="preserve"> </w:t>
      </w:r>
      <w:bookmarkStart w:id="41" w:name="lt_pId067"/>
      <w:r w:rsidRPr="00E43425">
        <w:t xml:space="preserve">Le Conseil </w:t>
      </w:r>
      <w:r w:rsidR="00042C01" w:rsidRPr="00E43425">
        <w:t xml:space="preserve">a vocation à exercer </w:t>
      </w:r>
      <w:r w:rsidRPr="00E43425">
        <w:t xml:space="preserve">les responsabilités </w:t>
      </w:r>
      <w:r w:rsidR="00042C01" w:rsidRPr="00E43425">
        <w:t xml:space="preserve">qui lui sont </w:t>
      </w:r>
      <w:r w:rsidRPr="00E43425">
        <w:t>attribuées par la Conférence de plénipotentiaires</w:t>
      </w:r>
      <w:r w:rsidR="00042C01" w:rsidRPr="00E43425">
        <w:t>,</w:t>
      </w:r>
      <w:r w:rsidRPr="00E43425">
        <w:t xml:space="preserve"> conformément </w:t>
      </w:r>
      <w:r w:rsidR="00042C01" w:rsidRPr="00E43425">
        <w:t xml:space="preserve">au numéro 69 de </w:t>
      </w:r>
      <w:r w:rsidRPr="00E43425">
        <w:t>l'article 10 de la Constitution.</w:t>
      </w:r>
      <w:bookmarkEnd w:id="41"/>
      <w:r w:rsidRPr="00E43425">
        <w:t xml:space="preserve"> </w:t>
      </w:r>
      <w:bookmarkStart w:id="42" w:name="lt_pId068"/>
      <w:r w:rsidRPr="00E43425">
        <w:t>L'</w:t>
      </w:r>
      <w:r w:rsidR="00042C01" w:rsidRPr="00E43425">
        <w:t>o</w:t>
      </w:r>
      <w:r w:rsidRPr="00E43425">
        <w:t>rganisation de réunions de haut niveau n</w:t>
      </w:r>
      <w:r w:rsidR="00042C01" w:rsidRPr="00E43425">
        <w:t>e relève pas d'</w:t>
      </w:r>
      <w:r w:rsidRPr="00E43425">
        <w:t>une responsabilité attribuée au Conseil par la Conférence de plénipotentiaires.</w:t>
      </w:r>
      <w:bookmarkEnd w:id="42"/>
      <w:r w:rsidRPr="00E43425">
        <w:t xml:space="preserve"> </w:t>
      </w:r>
      <w:bookmarkStart w:id="43" w:name="lt_pId069"/>
      <w:r w:rsidRPr="00E43425">
        <w:t xml:space="preserve">L'Union </w:t>
      </w:r>
      <w:r w:rsidR="00042C01" w:rsidRPr="00E43425">
        <w:t>peut tirer parti de</w:t>
      </w:r>
      <w:r w:rsidRPr="00E43425">
        <w:t xml:space="preserve"> la Conférence de plénipotentiaires</w:t>
      </w:r>
      <w:r w:rsidRPr="00E43425">
        <w:rPr>
          <w:lang w:eastAsia="zh-CN" w:bidi="ar"/>
        </w:rPr>
        <w:t>, de la CMR et d'autres conférences et assemblées pour organiser des réunions de haut niveau</w:t>
      </w:r>
      <w:r w:rsidR="00042C01" w:rsidRPr="00E43425">
        <w:rPr>
          <w:lang w:eastAsia="zh-CN" w:bidi="ar"/>
        </w:rPr>
        <w:t>,</w:t>
      </w:r>
      <w:r w:rsidRPr="00E43425">
        <w:rPr>
          <w:lang w:eastAsia="zh-CN" w:bidi="ar"/>
        </w:rPr>
        <w:t xml:space="preserve"> afin d'examiner des questions telles que l'orientation stratégique de l'UIT.</w:t>
      </w:r>
      <w:bookmarkEnd w:id="43"/>
      <w:r w:rsidRPr="00E43425">
        <w:rPr>
          <w:lang w:eastAsia="zh-CN" w:bidi="ar"/>
        </w:rPr>
        <w:t xml:space="preserve"> </w:t>
      </w:r>
      <w:bookmarkStart w:id="44" w:name="lt_pId070"/>
      <w:r w:rsidR="00042C01" w:rsidRPr="00E43425">
        <w:rPr>
          <w:lang w:eastAsia="zh-CN" w:bidi="ar"/>
        </w:rPr>
        <w:t>Enfin</w:t>
      </w:r>
      <w:r w:rsidRPr="00E43425">
        <w:rPr>
          <w:lang w:eastAsia="zh-CN" w:bidi="ar"/>
        </w:rPr>
        <w:t xml:space="preserve">, nous </w:t>
      </w:r>
      <w:r w:rsidR="00042C01" w:rsidRPr="00E43425">
        <w:rPr>
          <w:lang w:eastAsia="zh-CN" w:bidi="ar"/>
        </w:rPr>
        <w:t>observons</w:t>
      </w:r>
      <w:r w:rsidRPr="00E43425">
        <w:rPr>
          <w:lang w:eastAsia="zh-CN" w:bidi="ar"/>
        </w:rPr>
        <w:t xml:space="preserve"> que l'UIT a organisé ou est sur le point d'organiser un certain nombre de réunions mondiales de haut niveau en</w:t>
      </w:r>
      <w:r w:rsidR="00CF0EB6" w:rsidRPr="00E43425">
        <w:rPr>
          <w:lang w:eastAsia="zh-CN" w:bidi="ar"/>
        </w:rPr>
        <w:t> </w:t>
      </w:r>
      <w:r w:rsidRPr="00E43425">
        <w:rPr>
          <w:lang w:eastAsia="zh-CN" w:bidi="ar"/>
        </w:rPr>
        <w:t xml:space="preserve">2023, notamment le GSR, le Forum du SMSI et le Sommet mondial </w:t>
      </w:r>
      <w:r w:rsidR="00042C01" w:rsidRPr="00E43425">
        <w:rPr>
          <w:lang w:eastAsia="zh-CN" w:bidi="ar"/>
        </w:rPr>
        <w:t>sur l'intelligence artificielle au service du bien social</w:t>
      </w:r>
      <w:r w:rsidRPr="00E43425">
        <w:rPr>
          <w:lang w:eastAsia="zh-CN" w:bidi="ar"/>
        </w:rPr>
        <w:t>.</w:t>
      </w:r>
      <w:bookmarkEnd w:id="44"/>
      <w:r w:rsidRPr="00E43425">
        <w:rPr>
          <w:lang w:eastAsia="zh-CN" w:bidi="ar"/>
        </w:rPr>
        <w:t xml:space="preserve"> </w:t>
      </w:r>
      <w:bookmarkStart w:id="45" w:name="lt_pId071"/>
      <w:r w:rsidRPr="00E43425">
        <w:rPr>
          <w:lang w:eastAsia="zh-CN" w:bidi="ar"/>
        </w:rPr>
        <w:t xml:space="preserve">L'organisation fréquente </w:t>
      </w:r>
      <w:r w:rsidR="00042C01" w:rsidRPr="00E43425">
        <w:rPr>
          <w:lang w:eastAsia="zh-CN" w:bidi="ar"/>
        </w:rPr>
        <w:t>de manifestations de</w:t>
      </w:r>
      <w:r w:rsidRPr="00E43425">
        <w:rPr>
          <w:lang w:eastAsia="zh-CN" w:bidi="ar"/>
        </w:rPr>
        <w:t xml:space="preserve"> haut niveau </w:t>
      </w:r>
      <w:r w:rsidR="00042C01" w:rsidRPr="00E43425">
        <w:rPr>
          <w:lang w:eastAsia="zh-CN" w:bidi="ar"/>
        </w:rPr>
        <w:t>constitue</w:t>
      </w:r>
      <w:r w:rsidRPr="00E43425">
        <w:rPr>
          <w:lang w:eastAsia="zh-CN" w:bidi="ar"/>
        </w:rPr>
        <w:t xml:space="preserve"> non seulement une charge financière importante pour l'Union, mais </w:t>
      </w:r>
      <w:r w:rsidR="00042C01" w:rsidRPr="00E43425">
        <w:rPr>
          <w:lang w:eastAsia="zh-CN" w:bidi="ar"/>
        </w:rPr>
        <w:t xml:space="preserve">est aussi source de </w:t>
      </w:r>
      <w:r w:rsidRPr="00E43425">
        <w:rPr>
          <w:lang w:eastAsia="zh-CN" w:bidi="ar"/>
        </w:rPr>
        <w:t xml:space="preserve">difficultés pour les pays en développement, qui </w:t>
      </w:r>
      <w:r w:rsidR="00042C01" w:rsidRPr="00E43425">
        <w:rPr>
          <w:lang w:eastAsia="zh-CN" w:bidi="ar"/>
        </w:rPr>
        <w:t>ne sont pas en mesure de</w:t>
      </w:r>
      <w:r w:rsidRPr="00E43425">
        <w:rPr>
          <w:lang w:eastAsia="zh-CN" w:bidi="ar"/>
        </w:rPr>
        <w:t xml:space="preserve"> participer pleinement à toutes les réunions.</w:t>
      </w:r>
      <w:bookmarkEnd w:id="45"/>
      <w:r w:rsidRPr="00E43425">
        <w:rPr>
          <w:lang w:eastAsia="zh-CN" w:bidi="ar"/>
        </w:rPr>
        <w:t xml:space="preserve"> </w:t>
      </w:r>
      <w:bookmarkStart w:id="46" w:name="lt_pId072"/>
      <w:r w:rsidRPr="00E43425">
        <w:rPr>
          <w:lang w:eastAsia="zh-CN" w:bidi="ar"/>
        </w:rPr>
        <w:t xml:space="preserve">Compte tenu de ce qui précède, nous proposons que le </w:t>
      </w:r>
      <w:r w:rsidR="00042C01" w:rsidRPr="00E43425">
        <w:rPr>
          <w:lang w:eastAsia="zh-CN" w:bidi="ar"/>
        </w:rPr>
        <w:t>S</w:t>
      </w:r>
      <w:r w:rsidRPr="00E43425">
        <w:rPr>
          <w:lang w:eastAsia="zh-CN" w:bidi="ar"/>
        </w:rPr>
        <w:t>ecrétariat général coordonne diverses activités de haut niveau de l'Union sur la base d</w:t>
      </w:r>
      <w:r w:rsidR="00042C01" w:rsidRPr="00E43425">
        <w:rPr>
          <w:lang w:eastAsia="zh-CN" w:bidi="ar"/>
        </w:rPr>
        <w:t>e l'approche "Une UIT unie dans l'action</w:t>
      </w:r>
      <w:r w:rsidRPr="00E43425">
        <w:rPr>
          <w:lang w:eastAsia="zh-CN" w:bidi="ar"/>
        </w:rPr>
        <w:t xml:space="preserve">" et consulte régulièrement les États </w:t>
      </w:r>
      <w:r w:rsidR="00042C01" w:rsidRPr="00E43425">
        <w:rPr>
          <w:lang w:eastAsia="zh-CN" w:bidi="ar"/>
        </w:rPr>
        <w:t>M</w:t>
      </w:r>
      <w:r w:rsidRPr="00E43425">
        <w:rPr>
          <w:lang w:eastAsia="zh-CN" w:bidi="ar"/>
        </w:rPr>
        <w:t xml:space="preserve">embres par correspondance </w:t>
      </w:r>
      <w:r w:rsidR="00042C01" w:rsidRPr="00E43425">
        <w:rPr>
          <w:lang w:eastAsia="zh-CN" w:bidi="ar"/>
        </w:rPr>
        <w:t>en ce qui concerne</w:t>
      </w:r>
      <w:r w:rsidRPr="00E43425">
        <w:rPr>
          <w:lang w:eastAsia="zh-CN" w:bidi="ar"/>
        </w:rPr>
        <w:t xml:space="preserve"> le thème et l'ordre du jour des manifestations de haut niveau proposées pour l'année suivante, </w:t>
      </w:r>
      <w:r w:rsidRPr="00E43425">
        <w:t xml:space="preserve">et </w:t>
      </w:r>
      <w:r w:rsidR="00042C01" w:rsidRPr="00E43425">
        <w:t>fasse</w:t>
      </w:r>
      <w:r w:rsidRPr="00E43425">
        <w:t xml:space="preserve"> rapport au Conseil</w:t>
      </w:r>
      <w:r w:rsidRPr="00E43425">
        <w:rPr>
          <w:lang w:eastAsia="zh-CN"/>
        </w:rPr>
        <w:t xml:space="preserve"> pour approbation.</w:t>
      </w:r>
      <w:bookmarkEnd w:id="46"/>
      <w:r w:rsidRPr="00E43425">
        <w:rPr>
          <w:lang w:eastAsia="zh-CN"/>
        </w:rPr>
        <w:t xml:space="preserve"> </w:t>
      </w:r>
      <w:bookmarkStart w:id="47" w:name="lt_pId073"/>
      <w:r w:rsidRPr="00E43425">
        <w:rPr>
          <w:lang w:eastAsia="zh-CN"/>
        </w:rPr>
        <w:t xml:space="preserve">Par ailleurs, </w:t>
      </w:r>
      <w:r w:rsidR="00042C01" w:rsidRPr="00E43425">
        <w:rPr>
          <w:lang w:eastAsia="zh-CN"/>
        </w:rPr>
        <w:t>dans la mesure où</w:t>
      </w:r>
      <w:r w:rsidRPr="00E43425">
        <w:rPr>
          <w:lang w:eastAsia="zh-CN"/>
        </w:rPr>
        <w:t xml:space="preserve"> l'UIT organise chaque année de nombreuses manifestations parallèles de haut niveau, nous proposons que le Conseil élabore des lignes directrices </w:t>
      </w:r>
      <w:r w:rsidR="00042C01" w:rsidRPr="00E43425">
        <w:rPr>
          <w:lang w:eastAsia="zh-CN"/>
        </w:rPr>
        <w:t>concernant le thème</w:t>
      </w:r>
      <w:r w:rsidRPr="00E43425">
        <w:rPr>
          <w:lang w:eastAsia="zh-CN"/>
        </w:rPr>
        <w:t>, l'organisation et l'efficacité des manifestations parallèles</w:t>
      </w:r>
      <w:r w:rsidR="00042C01" w:rsidRPr="00E43425">
        <w:rPr>
          <w:lang w:eastAsia="zh-CN"/>
        </w:rPr>
        <w:t>, de façon que</w:t>
      </w:r>
      <w:r w:rsidRPr="00E43425">
        <w:rPr>
          <w:lang w:eastAsia="zh-CN"/>
        </w:rPr>
        <w:t xml:space="preserve"> les États</w:t>
      </w:r>
      <w:r w:rsidR="00CF0EB6" w:rsidRPr="00E43425">
        <w:rPr>
          <w:lang w:eastAsia="zh-CN"/>
        </w:rPr>
        <w:t> M</w:t>
      </w:r>
      <w:r w:rsidRPr="00E43425">
        <w:rPr>
          <w:lang w:eastAsia="zh-CN"/>
        </w:rPr>
        <w:t>embres puissent mieux se préparer et participer à ces manifestations.</w:t>
      </w:r>
      <w:bookmarkEnd w:id="47"/>
    </w:p>
    <w:p w14:paraId="0EF060CD" w14:textId="7E56B920" w:rsidR="00C00766" w:rsidRPr="00E43425" w:rsidRDefault="007B18C4" w:rsidP="00CF0EB6">
      <w:pPr>
        <w:pStyle w:val="enumlev1"/>
      </w:pPr>
      <w:r w:rsidRPr="00E43425">
        <w:t>•</w:t>
      </w:r>
      <w:bookmarkStart w:id="48" w:name="lt_pId075"/>
      <w:r w:rsidR="008949B3" w:rsidRPr="00E43425">
        <w:tab/>
      </w:r>
      <w:r w:rsidRPr="00E43425">
        <w:t xml:space="preserve">En ce qui concerne la </w:t>
      </w:r>
      <w:r w:rsidR="008949B3" w:rsidRPr="00E43425">
        <w:t xml:space="preserve">proposition consistant à </w:t>
      </w:r>
      <w:r w:rsidRPr="00E43425">
        <w:t>"Organiser une retraite des Conseillers pour réfléchir aux possibilités d'améliorer la gouvernance, les processus et les systèmes de l'IUT, entre autres aspects"</w:t>
      </w:r>
      <w:r w:rsidR="008949B3" w:rsidRPr="00E43425">
        <w:t>, c</w:t>
      </w:r>
      <w:r w:rsidRPr="00E43425">
        <w:t xml:space="preserve">ompte tenu de l'absence de réunions du groupe de travail </w:t>
      </w:r>
      <w:r w:rsidR="008949B3" w:rsidRPr="00E43425">
        <w:t>du Conseil et</w:t>
      </w:r>
      <w:r w:rsidRPr="00E43425">
        <w:t xml:space="preserve"> du groupe d'experts au début de 2023, la retraite </w:t>
      </w:r>
      <w:r w:rsidR="00E64559" w:rsidRPr="00E43425">
        <w:t>d</w:t>
      </w:r>
      <w:r w:rsidRPr="00E43425">
        <w:t xml:space="preserve">es </w:t>
      </w:r>
      <w:r w:rsidR="008949B3" w:rsidRPr="00E43425">
        <w:t>Co</w:t>
      </w:r>
      <w:r w:rsidRPr="00E43425">
        <w:t xml:space="preserve">nseillers pourrait contribuer aux travaux préparatoires du Conseil, car elle permet des discussions informelles entre les </w:t>
      </w:r>
      <w:r w:rsidR="008949B3" w:rsidRPr="00E43425">
        <w:t>C</w:t>
      </w:r>
      <w:r w:rsidRPr="00E43425">
        <w:t xml:space="preserve">onseillers </w:t>
      </w:r>
      <w:r w:rsidR="008949B3" w:rsidRPr="00E43425">
        <w:t>en amont d</w:t>
      </w:r>
      <w:r w:rsidRPr="00E43425">
        <w:t>es sessions du Conseil.</w:t>
      </w:r>
      <w:bookmarkEnd w:id="48"/>
      <w:r w:rsidRPr="00E43425">
        <w:t xml:space="preserve"> </w:t>
      </w:r>
      <w:bookmarkStart w:id="49" w:name="lt_pId076"/>
      <w:r w:rsidRPr="00E43425">
        <w:t xml:space="preserve">Toutefois, dans des circonstances normales, les États </w:t>
      </w:r>
      <w:r w:rsidR="008949B3" w:rsidRPr="00E43425">
        <w:t>M</w:t>
      </w:r>
      <w:r w:rsidRPr="00E43425">
        <w:t xml:space="preserve">embres de l'UIT pourraient </w:t>
      </w:r>
      <w:r w:rsidRPr="00E43425">
        <w:lastRenderedPageBreak/>
        <w:t xml:space="preserve">débattre en profondeur de diverses questions </w:t>
      </w:r>
      <w:r w:rsidR="008949B3" w:rsidRPr="00E43425">
        <w:t>soumises au</w:t>
      </w:r>
      <w:r w:rsidRPr="00E43425">
        <w:t xml:space="preserve"> Conseil dans le cadre de réunions de groupes de travail.</w:t>
      </w:r>
      <w:bookmarkEnd w:id="49"/>
      <w:r w:rsidRPr="00E43425">
        <w:t xml:space="preserve"> </w:t>
      </w:r>
      <w:bookmarkStart w:id="50" w:name="lt_pId077"/>
      <w:r w:rsidRPr="00E43425">
        <w:t xml:space="preserve">La retraite </w:t>
      </w:r>
      <w:r w:rsidR="005911F5" w:rsidRPr="00E43425">
        <w:t xml:space="preserve">ne pourrait </w:t>
      </w:r>
      <w:r w:rsidRPr="00E43425">
        <w:t xml:space="preserve">être qu'une activité informelle </w:t>
      </w:r>
      <w:r w:rsidR="005911F5" w:rsidRPr="00E43425">
        <w:t>utilisant</w:t>
      </w:r>
      <w:r w:rsidR="008949B3" w:rsidRPr="00E43425">
        <w:t xml:space="preserve"> </w:t>
      </w:r>
      <w:r w:rsidRPr="00E43425">
        <w:t>les ressources financières et humaines du Conseil</w:t>
      </w:r>
      <w:r w:rsidR="005911F5" w:rsidRPr="00E43425">
        <w:t xml:space="preserve"> et dont les résultats</w:t>
      </w:r>
      <w:r w:rsidRPr="00E43425">
        <w:t xml:space="preserve"> ne contribueraient guère aux discussions formelles du Conseil.</w:t>
      </w:r>
      <w:bookmarkEnd w:id="50"/>
      <w:r w:rsidRPr="00E43425">
        <w:t xml:space="preserve"> </w:t>
      </w:r>
      <w:bookmarkStart w:id="51" w:name="lt_pId078"/>
      <w:r w:rsidRPr="00E43425">
        <w:t xml:space="preserve">Par conséquent, nous ne recommandons pas de poursuivre la pratique consistant à organiser des retraites </w:t>
      </w:r>
      <w:r w:rsidR="005911F5" w:rsidRPr="00E43425">
        <w:t xml:space="preserve">des </w:t>
      </w:r>
      <w:r w:rsidRPr="00E43425">
        <w:t>Conseillers dans le cadre du processus de préparation du Conseil</w:t>
      </w:r>
      <w:r w:rsidR="005911F5" w:rsidRPr="00E43425">
        <w:t xml:space="preserve"> dans le futur</w:t>
      </w:r>
      <w:r w:rsidRPr="00E43425">
        <w:t>.</w:t>
      </w:r>
      <w:bookmarkEnd w:id="51"/>
      <w:r w:rsidRPr="00E43425">
        <w:t xml:space="preserve"> </w:t>
      </w:r>
      <w:bookmarkStart w:id="52" w:name="lt_pId079"/>
      <w:bookmarkStart w:id="53" w:name="_Hlk139290166"/>
      <w:r w:rsidRPr="00E43425">
        <w:t xml:space="preserve">En outre, </w:t>
      </w:r>
      <w:r w:rsidR="00E64559" w:rsidRPr="00E43425">
        <w:t xml:space="preserve">les </w:t>
      </w:r>
      <w:r w:rsidRPr="00E43425">
        <w:t>règle</w:t>
      </w:r>
      <w:r w:rsidR="00E64559" w:rsidRPr="00E43425">
        <w:t>s</w:t>
      </w:r>
      <w:r w:rsidR="005911F5" w:rsidRPr="00E43425">
        <w:t xml:space="preserve"> dite</w:t>
      </w:r>
      <w:r w:rsidR="00E64559" w:rsidRPr="00E43425">
        <w:t>s</w:t>
      </w:r>
      <w:r w:rsidR="005911F5" w:rsidRPr="00E43425">
        <w:t xml:space="preserve"> </w:t>
      </w:r>
      <w:r w:rsidRPr="00E43425">
        <w:t xml:space="preserve">de </w:t>
      </w:r>
      <w:r w:rsidR="005911F5" w:rsidRPr="00E43425">
        <w:t>"</w:t>
      </w:r>
      <w:r w:rsidRPr="00E43425">
        <w:t>Chatham House</w:t>
      </w:r>
      <w:r w:rsidR="005911F5" w:rsidRPr="00E43425">
        <w:t xml:space="preserve">" </w:t>
      </w:r>
      <w:r w:rsidRPr="00E43425">
        <w:t xml:space="preserve">mentionnées dans le rapport du Secrétariat ne </w:t>
      </w:r>
      <w:r w:rsidR="005911F5" w:rsidRPr="00E43425">
        <w:t>sauraient</w:t>
      </w:r>
      <w:r w:rsidRPr="00E43425">
        <w:t xml:space="preserve"> être considérées comme une règle de procédure (</w:t>
      </w:r>
      <w:r w:rsidR="005911F5" w:rsidRPr="00E43425">
        <w:t>contrairement à</w:t>
      </w:r>
      <w:r w:rsidRPr="00E43425">
        <w:t xml:space="preserve"> d'autres règles </w:t>
      </w:r>
      <w:r w:rsidR="005911F5" w:rsidRPr="00E43425">
        <w:t>figurant</w:t>
      </w:r>
      <w:r w:rsidRPr="00E43425">
        <w:t xml:space="preserve"> dans le </w:t>
      </w:r>
      <w:r w:rsidR="005911F5" w:rsidRPr="00E43425">
        <w:t>R</w:t>
      </w:r>
      <w:r w:rsidRPr="00E43425">
        <w:t>èglement intérieur du Conseil) car elles ne sont pas définies dans la Constitution, la Convention ou les décisions de la Conférence de Plénipotentiaires.</w:t>
      </w:r>
      <w:bookmarkEnd w:id="52"/>
      <w:r w:rsidRPr="00E43425">
        <w:t xml:space="preserve"> </w:t>
      </w:r>
      <w:bookmarkStart w:id="54" w:name="lt_pId080"/>
      <w:r w:rsidRPr="00E43425">
        <w:t>Elle</w:t>
      </w:r>
      <w:r w:rsidR="008F2773" w:rsidRPr="00E43425">
        <w:t>s</w:t>
      </w:r>
      <w:r w:rsidRPr="00E43425">
        <w:t xml:space="preserve"> ne s'applique</w:t>
      </w:r>
      <w:r w:rsidR="008F2773" w:rsidRPr="00E43425">
        <w:t>nt</w:t>
      </w:r>
      <w:r w:rsidRPr="00E43425">
        <w:t xml:space="preserve"> pas à la retraite </w:t>
      </w:r>
      <w:r w:rsidR="008F2773" w:rsidRPr="00E43425">
        <w:t>d</w:t>
      </w:r>
      <w:r w:rsidRPr="00E43425">
        <w:t xml:space="preserve">es </w:t>
      </w:r>
      <w:r w:rsidR="00D10EA3" w:rsidRPr="00E43425">
        <w:t>C</w:t>
      </w:r>
      <w:r w:rsidRPr="00E43425">
        <w:t>onseillers</w:t>
      </w:r>
      <w:r w:rsidR="00D10EA3" w:rsidRPr="00E43425">
        <w:t xml:space="preserve">, </w:t>
      </w:r>
      <w:r w:rsidRPr="00E43425">
        <w:t xml:space="preserve">qui </w:t>
      </w:r>
      <w:r w:rsidR="00D10EA3" w:rsidRPr="00E43425">
        <w:t>traite</w:t>
      </w:r>
      <w:r w:rsidRPr="00E43425">
        <w:t xml:space="preserve"> d'importantes questions </w:t>
      </w:r>
      <w:r w:rsidR="00D10EA3" w:rsidRPr="00E43425">
        <w:t>liées à la</w:t>
      </w:r>
      <w:r w:rsidRPr="00E43425">
        <w:t xml:space="preserve"> gestion et </w:t>
      </w:r>
      <w:r w:rsidR="00D10EA3" w:rsidRPr="00E43425">
        <w:t>la</w:t>
      </w:r>
      <w:r w:rsidRPr="00E43425">
        <w:t xml:space="preserve"> réforme </w:t>
      </w:r>
      <w:r w:rsidR="00D10EA3" w:rsidRPr="00E43425">
        <w:t xml:space="preserve">examinées </w:t>
      </w:r>
      <w:r w:rsidRPr="00E43425">
        <w:t>par le Conseil.</w:t>
      </w:r>
      <w:bookmarkEnd w:id="53"/>
      <w:bookmarkEnd w:id="54"/>
    </w:p>
    <w:p w14:paraId="36BE5265" w14:textId="52552F13" w:rsidR="00C00766" w:rsidRPr="00E43425" w:rsidRDefault="007B18C4" w:rsidP="00F220B4">
      <w:pPr>
        <w:rPr>
          <w:lang w:eastAsia="zh-CN" w:bidi="ar"/>
        </w:rPr>
      </w:pPr>
      <w:r w:rsidRPr="00E43425">
        <w:rPr>
          <w:lang w:eastAsia="zh-CN" w:bidi="ar"/>
        </w:rPr>
        <w:t>3</w:t>
      </w:r>
      <w:bookmarkStart w:id="55" w:name="lt_pId082"/>
      <w:r w:rsidR="00D10EA3" w:rsidRPr="00E43425">
        <w:rPr>
          <w:lang w:eastAsia="zh-CN" w:bidi="ar"/>
        </w:rPr>
        <w:tab/>
      </w:r>
      <w:r w:rsidRPr="00E43425">
        <w:rPr>
          <w:lang w:eastAsia="zh-CN" w:bidi="ar"/>
        </w:rPr>
        <w:t xml:space="preserve">La Chine propose que le </w:t>
      </w:r>
      <w:r w:rsidR="00D10EA3" w:rsidRPr="00E43425">
        <w:rPr>
          <w:lang w:eastAsia="zh-CN" w:bidi="ar"/>
        </w:rPr>
        <w:t>G</w:t>
      </w:r>
      <w:r w:rsidRPr="00E43425">
        <w:rPr>
          <w:lang w:eastAsia="zh-CN" w:bidi="ar"/>
        </w:rPr>
        <w:t xml:space="preserve">roupe de travail du Conseil sur les ressources financières et </w:t>
      </w:r>
      <w:r w:rsidR="00D10EA3" w:rsidRPr="00E43425">
        <w:rPr>
          <w:lang w:eastAsia="zh-CN" w:bidi="ar"/>
        </w:rPr>
        <w:t xml:space="preserve">les ressources </w:t>
      </w:r>
      <w:r w:rsidRPr="00E43425">
        <w:rPr>
          <w:lang w:eastAsia="zh-CN" w:bidi="ar"/>
        </w:rPr>
        <w:t>humaines (</w:t>
      </w:r>
      <w:r w:rsidR="00D10EA3" w:rsidRPr="00E43425">
        <w:rPr>
          <w:lang w:eastAsia="zh-CN" w:bidi="ar"/>
        </w:rPr>
        <w:t>GTC</w:t>
      </w:r>
      <w:r w:rsidRPr="00E43425">
        <w:rPr>
          <w:lang w:eastAsia="zh-CN" w:bidi="ar"/>
        </w:rPr>
        <w:t xml:space="preserve">-FHR) soit chargé d'examiner les questions liées aux améliorations </w:t>
      </w:r>
      <w:r w:rsidR="00D10EA3" w:rsidRPr="00E43425">
        <w:rPr>
          <w:lang w:eastAsia="zh-CN" w:bidi="ar"/>
        </w:rPr>
        <w:t>à apporter au</w:t>
      </w:r>
      <w:r w:rsidRPr="00E43425">
        <w:rPr>
          <w:lang w:eastAsia="zh-CN" w:bidi="ar"/>
        </w:rPr>
        <w:t xml:space="preserve"> Conseil et de faire rapport à la session de 2024</w:t>
      </w:r>
      <w:r w:rsidR="00D10EA3" w:rsidRPr="00E43425">
        <w:rPr>
          <w:lang w:eastAsia="zh-CN" w:bidi="ar"/>
        </w:rPr>
        <w:t xml:space="preserve"> du Conseil</w:t>
      </w:r>
      <w:r w:rsidRPr="00E43425">
        <w:rPr>
          <w:lang w:eastAsia="zh-CN" w:bidi="ar"/>
        </w:rPr>
        <w:t>.</w:t>
      </w:r>
      <w:bookmarkEnd w:id="55"/>
    </w:p>
    <w:p w14:paraId="44452844" w14:textId="77777777" w:rsidR="00C00766" w:rsidRPr="00E43425" w:rsidRDefault="007B18C4" w:rsidP="00F220B4">
      <w:pPr>
        <w:jc w:val="center"/>
      </w:pPr>
      <w:r w:rsidRPr="00E43425">
        <w:rPr>
          <w:lang w:eastAsia="zh-CN" w:bidi="ar"/>
        </w:rPr>
        <w:t>_______________</w:t>
      </w:r>
    </w:p>
    <w:sectPr w:rsidR="00C00766" w:rsidRPr="00E43425">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E339" w14:textId="77777777" w:rsidR="00091F98" w:rsidRDefault="00091F98">
      <w:r>
        <w:separator/>
      </w:r>
    </w:p>
  </w:endnote>
  <w:endnote w:type="continuationSeparator" w:id="0">
    <w:p w14:paraId="01375B89" w14:textId="77777777" w:rsidR="00091F98" w:rsidRDefault="0009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613B" w14:textId="4BB85B58" w:rsidR="00C00766" w:rsidRDefault="00000000">
    <w:pPr>
      <w:pStyle w:val="Footer"/>
    </w:pPr>
    <w:fldSimple w:instr=" FILENAME \p \* MERGEFORMAT ">
      <w:r w:rsidR="008F5A23">
        <w:rPr>
          <w:noProof/>
        </w:rPr>
        <w:t>P:\FRA\SG\CONSEIL\C23\000\078F.docx</w:t>
      </w:r>
    </w:fldSimple>
    <w:r w:rsidR="007B18C4">
      <w:t xml:space="preserve"> </w:t>
    </w:r>
    <w:r w:rsidR="007B18C4">
      <w:fldChar w:fldCharType="begin"/>
    </w:r>
    <w:r w:rsidR="007B18C4">
      <w:instrText xml:space="preserve"> savedate \@ dd.MM.yy </w:instrText>
    </w:r>
    <w:r w:rsidR="007B18C4">
      <w:fldChar w:fldCharType="separate"/>
    </w:r>
    <w:r w:rsidR="008264FE">
      <w:rPr>
        <w:noProof/>
      </w:rPr>
      <w:t>10.07.23</w:t>
    </w:r>
    <w:r w:rsidR="007B18C4">
      <w:fldChar w:fldCharType="end"/>
    </w:r>
    <w:r w:rsidR="007B18C4">
      <w:t xml:space="preserve"> </w:t>
    </w:r>
    <w:r w:rsidR="007B18C4">
      <w:fldChar w:fldCharType="begin"/>
    </w:r>
    <w:r w:rsidR="007B18C4">
      <w:instrText xml:space="preserve"> printdate \@ dd.MM.yy </w:instrText>
    </w:r>
    <w:r w:rsidR="007B18C4">
      <w:fldChar w:fldCharType="separate"/>
    </w:r>
    <w:r w:rsidR="008F5A23">
      <w:rPr>
        <w:noProof/>
      </w:rPr>
      <w:t>18.07.00</w:t>
    </w:r>
    <w:r w:rsidR="007B18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00766" w14:paraId="1BD9FF8B" w14:textId="77777777">
      <w:trPr>
        <w:jc w:val="center"/>
      </w:trPr>
      <w:tc>
        <w:tcPr>
          <w:tcW w:w="1803" w:type="dxa"/>
          <w:vAlign w:val="center"/>
        </w:tcPr>
        <w:p w14:paraId="6CB6A5F3" w14:textId="77777777" w:rsidR="00C00766" w:rsidRDefault="007B18C4">
          <w:pPr>
            <w:pStyle w:val="Header"/>
            <w:jc w:val="left"/>
          </w:pPr>
          <w:r>
            <w:t>DPS 525349</w:t>
          </w:r>
        </w:p>
      </w:tc>
      <w:tc>
        <w:tcPr>
          <w:tcW w:w="8261" w:type="dxa"/>
        </w:tcPr>
        <w:p w14:paraId="36093F9B" w14:textId="01CFB413" w:rsidR="00C00766" w:rsidRDefault="00CF0EB6">
          <w:pPr>
            <w:pStyle w:val="Header"/>
            <w:tabs>
              <w:tab w:val="left" w:pos="7070"/>
              <w:tab w:val="right" w:pos="8505"/>
              <w:tab w:val="right" w:pos="9639"/>
            </w:tabs>
            <w:jc w:val="left"/>
            <w:rPr>
              <w:rFonts w:ascii="Arial" w:hAnsi="Arial" w:cs="Arial"/>
              <w:b/>
              <w:bCs/>
              <w:szCs w:val="18"/>
            </w:rPr>
          </w:pPr>
          <w:r>
            <w:rPr>
              <w:bCs/>
            </w:rPr>
            <w:tab/>
          </w:r>
          <w:r w:rsidR="007B18C4">
            <w:rPr>
              <w:bCs/>
            </w:rPr>
            <w:t>C23/78-F</w:t>
          </w:r>
          <w:r>
            <w:rPr>
              <w:bCs/>
            </w:rPr>
            <w:tab/>
          </w:r>
          <w:r w:rsidR="007B18C4">
            <w:fldChar w:fldCharType="begin"/>
          </w:r>
          <w:r w:rsidR="007B18C4">
            <w:instrText>PAGE</w:instrText>
          </w:r>
          <w:r w:rsidR="007B18C4">
            <w:fldChar w:fldCharType="separate"/>
          </w:r>
          <w:r w:rsidR="007B18C4">
            <w:t>7</w:t>
          </w:r>
          <w:r w:rsidR="007B18C4">
            <w:fldChar w:fldCharType="end"/>
          </w:r>
        </w:p>
      </w:tc>
    </w:tr>
  </w:tbl>
  <w:p w14:paraId="152D2FFF" w14:textId="00154D78" w:rsidR="00C00766" w:rsidRDefault="00000000">
    <w:pPr>
      <w:pStyle w:val="Footer"/>
      <w:spacing w:before="120"/>
    </w:pPr>
    <w:r w:rsidRPr="00FD2F45">
      <w:rPr>
        <w:color w:val="F2F2F2" w:themeColor="background1" w:themeShade="F2"/>
      </w:rPr>
      <w:fldChar w:fldCharType="begin"/>
    </w:r>
    <w:r w:rsidRPr="00FD2F45">
      <w:rPr>
        <w:color w:val="F2F2F2" w:themeColor="background1" w:themeShade="F2"/>
      </w:rPr>
      <w:instrText xml:space="preserve"> FILENAME \p  \* MERGEFORMAT </w:instrText>
    </w:r>
    <w:r w:rsidRPr="00FD2F45">
      <w:rPr>
        <w:color w:val="F2F2F2" w:themeColor="background1" w:themeShade="F2"/>
      </w:rPr>
      <w:fldChar w:fldCharType="separate"/>
    </w:r>
    <w:r w:rsidR="008F5A23" w:rsidRPr="00FD2F45">
      <w:rPr>
        <w:noProof/>
        <w:color w:val="F2F2F2" w:themeColor="background1" w:themeShade="F2"/>
      </w:rPr>
      <w:t>P:\FRA\SG\CONSEIL\C23\000\078F.docx</w:t>
    </w:r>
    <w:r w:rsidRPr="00FD2F45">
      <w:rPr>
        <w:noProof/>
        <w:color w:val="F2F2F2" w:themeColor="background1" w:themeShade="F2"/>
      </w:rPr>
      <w:fldChar w:fldCharType="end"/>
    </w:r>
    <w:r w:rsidR="007B18C4" w:rsidRPr="00FD2F45">
      <w:rPr>
        <w:color w:val="F2F2F2" w:themeColor="background1" w:themeShade="F2"/>
      </w:rPr>
      <w:t xml:space="preserve"> (525349)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00766" w14:paraId="2A4B3616" w14:textId="77777777">
      <w:trPr>
        <w:jc w:val="center"/>
      </w:trPr>
      <w:tc>
        <w:tcPr>
          <w:tcW w:w="1803" w:type="dxa"/>
          <w:vAlign w:val="center"/>
        </w:tcPr>
        <w:p w14:paraId="7AE718BF" w14:textId="77777777" w:rsidR="00C00766" w:rsidRDefault="00000000">
          <w:pPr>
            <w:pStyle w:val="Header"/>
            <w:jc w:val="left"/>
          </w:pPr>
          <w:hyperlink r:id="rId1" w:history="1">
            <w:r w:rsidR="007B18C4">
              <w:rPr>
                <w:rStyle w:val="Hyperlink"/>
                <w:szCs w:val="14"/>
              </w:rPr>
              <w:t>www.itu.int/council</w:t>
            </w:r>
          </w:hyperlink>
        </w:p>
      </w:tc>
      <w:tc>
        <w:tcPr>
          <w:tcW w:w="8261" w:type="dxa"/>
        </w:tcPr>
        <w:p w14:paraId="0EAD52B9" w14:textId="5D182890" w:rsidR="00C00766" w:rsidRDefault="00F220B4">
          <w:pPr>
            <w:pStyle w:val="Header"/>
            <w:tabs>
              <w:tab w:val="left" w:pos="7070"/>
              <w:tab w:val="right" w:pos="8505"/>
              <w:tab w:val="right" w:pos="9639"/>
            </w:tabs>
            <w:jc w:val="left"/>
            <w:rPr>
              <w:rFonts w:ascii="Arial" w:hAnsi="Arial" w:cs="Arial"/>
              <w:b/>
              <w:bCs/>
              <w:szCs w:val="18"/>
            </w:rPr>
          </w:pPr>
          <w:r>
            <w:rPr>
              <w:bCs/>
            </w:rPr>
            <w:tab/>
          </w:r>
          <w:r w:rsidR="007B18C4">
            <w:rPr>
              <w:bCs/>
            </w:rPr>
            <w:t>C23/78-F</w:t>
          </w:r>
          <w:r>
            <w:rPr>
              <w:bCs/>
            </w:rPr>
            <w:tab/>
          </w:r>
          <w:r w:rsidR="007B18C4">
            <w:fldChar w:fldCharType="begin"/>
          </w:r>
          <w:r w:rsidR="007B18C4">
            <w:instrText>PAGE</w:instrText>
          </w:r>
          <w:r w:rsidR="007B18C4">
            <w:fldChar w:fldCharType="separate"/>
          </w:r>
          <w:r w:rsidR="007B18C4">
            <w:t>1</w:t>
          </w:r>
          <w:r w:rsidR="007B18C4">
            <w:fldChar w:fldCharType="end"/>
          </w:r>
        </w:p>
      </w:tc>
    </w:tr>
  </w:tbl>
  <w:p w14:paraId="2266AA48" w14:textId="41CFC00E" w:rsidR="00C00766" w:rsidRDefault="00000000">
    <w:pPr>
      <w:pStyle w:val="Footer"/>
      <w:spacing w:before="120"/>
    </w:pPr>
    <w:r w:rsidRPr="00FD2F45">
      <w:rPr>
        <w:color w:val="F2F2F2" w:themeColor="background1" w:themeShade="F2"/>
      </w:rPr>
      <w:fldChar w:fldCharType="begin"/>
    </w:r>
    <w:r w:rsidRPr="00FD2F45">
      <w:rPr>
        <w:color w:val="F2F2F2" w:themeColor="background1" w:themeShade="F2"/>
      </w:rPr>
      <w:instrText xml:space="preserve"> FILENAME \p  \* MERGEFORMAT </w:instrText>
    </w:r>
    <w:r w:rsidRPr="00FD2F45">
      <w:rPr>
        <w:color w:val="F2F2F2" w:themeColor="background1" w:themeShade="F2"/>
      </w:rPr>
      <w:fldChar w:fldCharType="separate"/>
    </w:r>
    <w:r w:rsidR="008F5A23" w:rsidRPr="00FD2F45">
      <w:rPr>
        <w:noProof/>
        <w:color w:val="F2F2F2" w:themeColor="background1" w:themeShade="F2"/>
      </w:rPr>
      <w:t>P:\FRA\SG\CONSEIL\C23\000\078F.docx</w:t>
    </w:r>
    <w:r w:rsidRPr="00FD2F45">
      <w:rPr>
        <w:noProof/>
        <w:color w:val="F2F2F2" w:themeColor="background1" w:themeShade="F2"/>
      </w:rPr>
      <w:fldChar w:fldCharType="end"/>
    </w:r>
    <w:r w:rsidR="007B18C4" w:rsidRPr="00FD2F45">
      <w:rPr>
        <w:color w:val="F2F2F2" w:themeColor="background1" w:themeShade="F2"/>
      </w:rPr>
      <w:t xml:space="preserve"> (525349)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867C" w14:textId="77777777" w:rsidR="00091F98" w:rsidRDefault="00091F98">
      <w:r>
        <w:t>____________________</w:t>
      </w:r>
    </w:p>
  </w:footnote>
  <w:footnote w:type="continuationSeparator" w:id="0">
    <w:p w14:paraId="3BDE82A8" w14:textId="77777777" w:rsidR="00091F98" w:rsidRDefault="0009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AAC" w14:textId="77777777" w:rsidR="00C00766" w:rsidRDefault="007B18C4">
    <w:pPr>
      <w:pStyle w:val="Header"/>
    </w:pPr>
    <w:r>
      <w:t xml:space="preserve">- </w:t>
    </w:r>
    <w:r>
      <w:fldChar w:fldCharType="begin"/>
    </w:r>
    <w:r>
      <w:instrText>PAGE</w:instrText>
    </w:r>
    <w:r>
      <w:fldChar w:fldCharType="separate"/>
    </w:r>
    <w:r>
      <w:t>2</w:t>
    </w:r>
    <w:r>
      <w:fldChar w:fldCharType="end"/>
    </w:r>
    <w:r>
      <w:t xml:space="preserve"> -</w:t>
    </w:r>
  </w:p>
  <w:p w14:paraId="28EF00D4" w14:textId="77777777" w:rsidR="00C00766" w:rsidRDefault="007B18C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8A8B" w14:textId="77777777" w:rsidR="008264FE" w:rsidRDefault="00826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745"/>
    </w:tblGrid>
    <w:tr w:rsidR="00C00766" w14:paraId="0636FC36" w14:textId="77777777">
      <w:trPr>
        <w:trHeight w:val="1104"/>
        <w:jc w:val="center"/>
      </w:trPr>
      <w:tc>
        <w:tcPr>
          <w:tcW w:w="4390" w:type="dxa"/>
          <w:vAlign w:val="center"/>
        </w:tcPr>
        <w:p w14:paraId="1839D60E" w14:textId="77777777" w:rsidR="00C00766" w:rsidRDefault="007B18C4">
          <w:pPr>
            <w:pStyle w:val="Header"/>
            <w:jc w:val="left"/>
            <w:rPr>
              <w:rFonts w:ascii="Arial" w:hAnsi="Arial" w:cs="Arial"/>
              <w:b/>
              <w:bCs/>
              <w:color w:val="009CD6"/>
              <w:sz w:val="36"/>
              <w:szCs w:val="36"/>
            </w:rPr>
          </w:pPr>
          <w:r>
            <w:rPr>
              <w:noProof/>
              <w:lang w:val="en-US"/>
            </w:rPr>
            <w:drawing>
              <wp:inline distT="0" distB="0" distL="0" distR="0" wp14:anchorId="4B15A19E" wp14:editId="17E601C5">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745" w:type="dxa"/>
        </w:tcPr>
        <w:p w14:paraId="7DD5980C" w14:textId="77777777" w:rsidR="00C00766" w:rsidRDefault="00C00766">
          <w:pPr>
            <w:pStyle w:val="Header"/>
            <w:jc w:val="right"/>
            <w:rPr>
              <w:rFonts w:ascii="Arial" w:hAnsi="Arial" w:cs="Arial"/>
              <w:color w:val="009CD6"/>
              <w:szCs w:val="18"/>
            </w:rPr>
          </w:pPr>
        </w:p>
      </w:tc>
    </w:tr>
  </w:tbl>
  <w:p w14:paraId="06765872" w14:textId="77777777" w:rsidR="00C00766" w:rsidRDefault="007B18C4">
    <w:pPr>
      <w:pStyle w:val="Header"/>
    </w:pPr>
    <w:r>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6DDE8E19" wp14:editId="0DFE436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225B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66"/>
    <w:rsid w:val="00042C01"/>
    <w:rsid w:val="00091F98"/>
    <w:rsid w:val="000979E4"/>
    <w:rsid w:val="00110349"/>
    <w:rsid w:val="002659D7"/>
    <w:rsid w:val="00276586"/>
    <w:rsid w:val="00296319"/>
    <w:rsid w:val="003257CE"/>
    <w:rsid w:val="00363949"/>
    <w:rsid w:val="005911F5"/>
    <w:rsid w:val="00785299"/>
    <w:rsid w:val="007B18C4"/>
    <w:rsid w:val="007D202B"/>
    <w:rsid w:val="008264FE"/>
    <w:rsid w:val="008949B3"/>
    <w:rsid w:val="008E3FCE"/>
    <w:rsid w:val="008F1FF7"/>
    <w:rsid w:val="008F2773"/>
    <w:rsid w:val="008F5A23"/>
    <w:rsid w:val="009E7577"/>
    <w:rsid w:val="00A82E85"/>
    <w:rsid w:val="00AF60F9"/>
    <w:rsid w:val="00B60465"/>
    <w:rsid w:val="00BE7D75"/>
    <w:rsid w:val="00C00766"/>
    <w:rsid w:val="00C726F2"/>
    <w:rsid w:val="00C765C8"/>
    <w:rsid w:val="00CF0EB6"/>
    <w:rsid w:val="00D10EA3"/>
    <w:rsid w:val="00E43425"/>
    <w:rsid w:val="00E64559"/>
    <w:rsid w:val="00F220B4"/>
    <w:rsid w:val="00FD2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68C53"/>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styleId="CommentReference">
    <w:name w:val="annotation reference"/>
    <w:basedOn w:val="DefaultParagraphFont"/>
    <w:semiHidden/>
    <w:unhideWhenUsed/>
    <w:rsid w:val="00AF60F9"/>
    <w:rPr>
      <w:sz w:val="16"/>
      <w:szCs w:val="16"/>
    </w:rPr>
  </w:style>
  <w:style w:type="paragraph" w:styleId="CommentText">
    <w:name w:val="annotation text"/>
    <w:basedOn w:val="Normal"/>
    <w:link w:val="CommentTextChar"/>
    <w:unhideWhenUsed/>
    <w:rsid w:val="00AF60F9"/>
    <w:rPr>
      <w:sz w:val="20"/>
    </w:rPr>
  </w:style>
  <w:style w:type="character" w:customStyle="1" w:styleId="CommentTextChar">
    <w:name w:val="Comment Text Char"/>
    <w:basedOn w:val="DefaultParagraphFont"/>
    <w:link w:val="CommentText"/>
    <w:rsid w:val="00AF60F9"/>
    <w:rPr>
      <w:rFonts w:ascii="Calibri" w:hAnsi="Calibri"/>
      <w:lang w:val="fr-FR" w:eastAsia="en-US"/>
    </w:rPr>
  </w:style>
  <w:style w:type="paragraph" w:styleId="CommentSubject">
    <w:name w:val="annotation subject"/>
    <w:basedOn w:val="CommentText"/>
    <w:next w:val="CommentText"/>
    <w:link w:val="CommentSubjectChar"/>
    <w:semiHidden/>
    <w:unhideWhenUsed/>
    <w:rsid w:val="00AF60F9"/>
    <w:rPr>
      <w:b/>
      <w:bCs/>
    </w:rPr>
  </w:style>
  <w:style w:type="character" w:customStyle="1" w:styleId="CommentSubjectChar">
    <w:name w:val="Comment Subject Char"/>
    <w:basedOn w:val="CommentTextChar"/>
    <w:link w:val="CommentSubject"/>
    <w:semiHidden/>
    <w:rsid w:val="00AF60F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F.pdf" TargetMode="External"/><Relationship Id="rId13" Type="http://schemas.openxmlformats.org/officeDocument/2006/relationships/hyperlink" Target="https://www.itu.int/md/S23-CL-C-0002/e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en/council/Documents/basic-texts-2023/Convention-F.pdf" TargetMode="External"/><Relationship Id="rId12" Type="http://schemas.openxmlformats.org/officeDocument/2006/relationships/hyperlink" Target="https://www.itu.int/en/council/Documents/basic-texts-2023/RES-191-F.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en/council/Documents/basic-texts-2023/Constitution-F.pdf" TargetMode="External"/><Relationship Id="rId11" Type="http://schemas.openxmlformats.org/officeDocument/2006/relationships/hyperlink" Target="https://www.itu.int/en/council/Documents/basic-texts-2023/RES-091-F.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council/Documents/basic-texts-2023/RES-077-F.pd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itu.int/en/council/Documents/basic-texts-2023/RES-066-F.pdf" TargetMode="External"/><Relationship Id="rId14" Type="http://schemas.openxmlformats.org/officeDocument/2006/relationships/hyperlink" Target="https://www.itu.int/md/S23-CL-C-0032/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2121</Words>
  <Characters>11882</Characters>
  <Application>Microsoft Office Word</Application>
  <DocSecurity>0</DocSecurity>
  <Lines>188</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populaire de Chine - Propositions d'améliorations à apporter au Conseil</dc:title>
  <dc:subject>Conseil 2023</dc:subject>
  <dc:creator>French</dc:creator>
  <cp:keywords>C2023, C23, Council-23</cp:keywords>
  <dc:description/>
  <cp:lastModifiedBy>Xue, Kun</cp:lastModifiedBy>
  <cp:revision>3</cp:revision>
  <cp:lastPrinted>2000-07-18T08:55:00Z</cp:lastPrinted>
  <dcterms:created xsi:type="dcterms:W3CDTF">2023-07-10T12:44:00Z</dcterms:created>
  <dcterms:modified xsi:type="dcterms:W3CDTF">2023-07-10T12:45:00Z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