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5C844D1"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A2556E">
              <w:rPr>
                <w:b/>
              </w:rPr>
              <w:t>PL 3</w:t>
            </w:r>
          </w:p>
        </w:tc>
        <w:tc>
          <w:tcPr>
            <w:tcW w:w="5245" w:type="dxa"/>
          </w:tcPr>
          <w:p w14:paraId="2F0CB53A" w14:textId="1AADA0A0" w:rsidR="00AD3606" w:rsidRPr="00E85629" w:rsidRDefault="00AD3606" w:rsidP="00472BAD">
            <w:pPr>
              <w:tabs>
                <w:tab w:val="left" w:pos="851"/>
              </w:tabs>
              <w:spacing w:before="0" w:line="240" w:lineRule="atLeast"/>
              <w:jc w:val="right"/>
              <w:rPr>
                <w:b/>
              </w:rPr>
            </w:pPr>
            <w:r>
              <w:rPr>
                <w:b/>
              </w:rPr>
              <w:t>Document C23/</w:t>
            </w:r>
            <w:r w:rsidR="00A2556E">
              <w:rPr>
                <w:b/>
              </w:rPr>
              <w:t>77</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06BC2DC" w:rsidR="00AD3606" w:rsidRPr="00E85629" w:rsidRDefault="00A2556E"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390A3341" w:rsidR="00AD3606" w:rsidRPr="00E85629" w:rsidRDefault="00AD3606" w:rsidP="00AD3606">
            <w:pPr>
              <w:tabs>
                <w:tab w:val="left" w:pos="851"/>
              </w:tabs>
              <w:spacing w:before="0" w:line="240" w:lineRule="atLeast"/>
              <w:jc w:val="right"/>
              <w:rPr>
                <w:b/>
              </w:rPr>
            </w:pPr>
            <w:r>
              <w:rPr>
                <w:b/>
              </w:rPr>
              <w:t xml:space="preserve">Original: </w:t>
            </w:r>
            <w:r w:rsidR="00A2556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9F5448D" w:rsidR="00AD3606" w:rsidRPr="00813E5E" w:rsidRDefault="00A2556E" w:rsidP="00AD3606">
            <w:pPr>
              <w:pStyle w:val="Source"/>
              <w:framePr w:hSpace="0" w:wrap="auto" w:vAnchor="margin" w:hAnchor="text" w:yAlign="inline"/>
            </w:pPr>
            <w:bookmarkStart w:id="4" w:name="dsource" w:colFirst="0" w:colLast="0"/>
            <w:bookmarkEnd w:id="3"/>
            <w:r w:rsidRPr="00A2556E">
              <w:t>Contribution from: Algeria (People's Democratic Republic of),</w:t>
            </w:r>
            <w:r>
              <w:t xml:space="preserve"> </w:t>
            </w:r>
            <w:r w:rsidRPr="00A2556E">
              <w:t>Saudi Arabia (Kingdom of)</w:t>
            </w:r>
            <w:r>
              <w:t>,</w:t>
            </w:r>
            <w:r w:rsidRPr="00A2556E">
              <w:t xml:space="preserve"> Burkina Faso, Côte d’Ivoire (Republic of), Egypt (Arab Republic of), </w:t>
            </w:r>
            <w:r>
              <w:t xml:space="preserve">United Arab Emirates, </w:t>
            </w:r>
            <w:r w:rsidRPr="00A2556E">
              <w:t>Ghana, Mauritius (Republic of), Nigeria (Federal Republic of), South Africa (Republic of), Tunisia, and Zimbabwe (Republic of)</w:t>
            </w:r>
          </w:p>
        </w:tc>
      </w:tr>
      <w:tr w:rsidR="00AD3606" w:rsidRPr="00813E5E" w14:paraId="62B9C291" w14:textId="77777777" w:rsidTr="00AD3606">
        <w:trPr>
          <w:cantSplit/>
        </w:trPr>
        <w:tc>
          <w:tcPr>
            <w:tcW w:w="9214" w:type="dxa"/>
            <w:gridSpan w:val="2"/>
            <w:tcMar>
              <w:left w:w="0" w:type="dxa"/>
            </w:tcMar>
          </w:tcPr>
          <w:p w14:paraId="556A1BCF" w14:textId="2663D741" w:rsidR="00AD3606" w:rsidRPr="00813E5E" w:rsidRDefault="00A2556E" w:rsidP="00DF0189">
            <w:pPr>
              <w:pStyle w:val="Subtitle"/>
              <w:framePr w:hSpace="0" w:wrap="auto" w:hAnchor="text" w:xAlign="left" w:yAlign="inline"/>
            </w:pPr>
            <w:bookmarkStart w:id="5" w:name="dtitle1" w:colFirst="0" w:colLast="0"/>
            <w:bookmarkEnd w:id="4"/>
            <w:r w:rsidRPr="00A2556E">
              <w:t>TERMS OF REFERENCE OF THE EXPERT GROUP ON THE ITRs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0CE4FFF5" w:rsidR="00AD3606" w:rsidRPr="00F16BAB" w:rsidRDefault="00F16BAB" w:rsidP="00F16BAB">
            <w:pPr>
              <w:spacing w:before="160"/>
              <w:rPr>
                <w:b/>
                <w:bCs/>
                <w:sz w:val="26"/>
                <w:szCs w:val="26"/>
              </w:rPr>
            </w:pPr>
            <w:r w:rsidRPr="00F16BAB">
              <w:rPr>
                <w:b/>
                <w:bCs/>
                <w:sz w:val="26"/>
                <w:szCs w:val="26"/>
              </w:rPr>
              <w:t>Purpose</w:t>
            </w:r>
          </w:p>
          <w:p w14:paraId="01EEEAC5" w14:textId="53D5EE39" w:rsidR="00AD3606" w:rsidRPr="00813E5E" w:rsidRDefault="00A2556E" w:rsidP="00F16BAB">
            <w:r w:rsidRPr="00A2556E">
              <w:t>This document contains a multi-country proposal to the ITU Council 2023 on the terms of reference for the EG-ITRs, for Council’s consideration and approval.</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44B089A2" w:rsidR="00AD3606" w:rsidRPr="00484009" w:rsidRDefault="00A2556E" w:rsidP="00AD3606">
            <w:r w:rsidRPr="00A2556E">
              <w:t xml:space="preserve">Consideration and approval of the proposed </w:t>
            </w:r>
            <w:r>
              <w:t>Terms of Reference (</w:t>
            </w:r>
            <w:r w:rsidRPr="00A2556E">
              <w:t>T</w:t>
            </w:r>
            <w:r>
              <w:t>o</w:t>
            </w:r>
            <w:r w:rsidRPr="00A2556E">
              <w:t>R</w:t>
            </w:r>
            <w:r>
              <w:t>)</w:t>
            </w:r>
            <w:r w:rsidRPr="00A2556E">
              <w:t xml:space="preserve"> of EG-ITRs.</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6676CBBA" w:rsidR="00AD3606" w:rsidRDefault="00A2556E" w:rsidP="00F16BAB">
            <w:pPr>
              <w:spacing w:after="160"/>
            </w:pPr>
            <w:hyperlink r:id="rId8" w:history="1">
              <w:r w:rsidRPr="00A2556E">
                <w:rPr>
                  <w:rStyle w:val="Hyperlink"/>
                </w:rPr>
                <w:t>Resolution 146</w:t>
              </w:r>
            </w:hyperlink>
            <w:r>
              <w:t xml:space="preserve"> (Rev. Bucharest, 2022) of the Plenipotentiary Conference</w:t>
            </w: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79692544" w14:textId="77777777" w:rsidR="00A2556E" w:rsidRDefault="00A2556E" w:rsidP="00A2556E">
      <w:pPr>
        <w:tabs>
          <w:tab w:val="clear" w:pos="567"/>
          <w:tab w:val="clear" w:pos="1134"/>
          <w:tab w:val="clear" w:pos="1701"/>
          <w:tab w:val="clear" w:pos="2268"/>
          <w:tab w:val="clear" w:pos="2835"/>
        </w:tabs>
        <w:spacing w:after="120"/>
        <w:jc w:val="both"/>
        <w:rPr>
          <w:rFonts w:asciiTheme="minorHAnsi" w:eastAsia="Times New Roman" w:hAnsiTheme="minorHAnsi" w:cstheme="minorHAnsi"/>
          <w:b/>
          <w:bCs/>
          <w:szCs w:val="24"/>
          <w:lang w:eastAsia="en-ZW"/>
        </w:rPr>
      </w:pPr>
      <w:r>
        <w:rPr>
          <w:rFonts w:asciiTheme="minorHAnsi" w:eastAsia="Times New Roman" w:hAnsiTheme="minorHAnsi" w:cstheme="minorHAnsi"/>
          <w:b/>
          <w:bCs/>
          <w:szCs w:val="24"/>
          <w:lang w:eastAsia="en-ZW"/>
        </w:rPr>
        <w:lastRenderedPageBreak/>
        <w:t>INTRODUCTION</w:t>
      </w:r>
    </w:p>
    <w:p w14:paraId="739DC763" w14:textId="7ADEBF85" w:rsidR="00A2556E" w:rsidRDefault="00A2556E" w:rsidP="00A2556E">
      <w:pPr>
        <w:pStyle w:val="p1"/>
        <w:spacing w:before="240" w:beforeAutospacing="0" w:after="120" w:afterAutospacing="0"/>
        <w:jc w:val="both"/>
        <w:rPr>
          <w:rStyle w:val="s1"/>
          <w:sz w:val="24"/>
        </w:rPr>
      </w:pPr>
      <w:r>
        <w:rPr>
          <w:rStyle w:val="s1"/>
          <w:rFonts w:asciiTheme="minorHAnsi" w:hAnsiTheme="minorHAnsi" w:cstheme="minorHAnsi"/>
          <w:sz w:val="24"/>
          <w:szCs w:val="24"/>
        </w:rPr>
        <w:t xml:space="preserve">The International Telecommunication Regulations have been the subject of much debate at various ITU Plenipotentiary Conferences. So far three expert Groups convened to resolve the issues over the years, </w:t>
      </w:r>
      <w:r w:rsidR="00222911">
        <w:rPr>
          <w:rStyle w:val="s1"/>
          <w:rFonts w:asciiTheme="minorHAnsi" w:hAnsiTheme="minorHAnsi" w:cstheme="minorHAnsi"/>
          <w:sz w:val="24"/>
          <w:szCs w:val="24"/>
        </w:rPr>
        <w:t xml:space="preserve">that </w:t>
      </w:r>
      <w:r>
        <w:rPr>
          <w:rStyle w:val="s1"/>
          <w:rFonts w:asciiTheme="minorHAnsi" w:hAnsiTheme="minorHAnsi" w:cstheme="minorHAnsi"/>
          <w:sz w:val="24"/>
          <w:szCs w:val="24"/>
        </w:rPr>
        <w:t xml:space="preserve">have not managed to resolve the issues. This calls for a mind shift as we plan the convening of the fourth </w:t>
      </w:r>
      <w:r w:rsidR="00222911">
        <w:rPr>
          <w:rStyle w:val="s1"/>
          <w:rFonts w:asciiTheme="minorHAnsi" w:hAnsiTheme="minorHAnsi" w:cstheme="minorHAnsi"/>
          <w:sz w:val="24"/>
          <w:szCs w:val="24"/>
        </w:rPr>
        <w:t>E</w:t>
      </w:r>
      <w:r>
        <w:rPr>
          <w:rStyle w:val="s1"/>
          <w:rFonts w:asciiTheme="minorHAnsi" w:hAnsiTheme="minorHAnsi" w:cstheme="minorHAnsi"/>
          <w:sz w:val="24"/>
          <w:szCs w:val="24"/>
        </w:rPr>
        <w:t>xpert Group to deal with the matter.</w:t>
      </w:r>
    </w:p>
    <w:p w14:paraId="4EE34145" w14:textId="456FCAA0" w:rsidR="00A2556E" w:rsidRDefault="00A2556E" w:rsidP="00A2556E">
      <w:pPr>
        <w:pStyle w:val="p1"/>
        <w:spacing w:before="120" w:beforeAutospacing="0" w:after="120" w:afterAutospacing="0"/>
        <w:jc w:val="both"/>
        <w:rPr>
          <w:rStyle w:val="s1"/>
          <w:rFonts w:asciiTheme="minorHAnsi" w:hAnsiTheme="minorHAnsi" w:cstheme="minorHAnsi"/>
          <w:sz w:val="24"/>
          <w:szCs w:val="24"/>
        </w:rPr>
      </w:pPr>
      <w:r>
        <w:rPr>
          <w:rStyle w:val="s1"/>
          <w:rFonts w:asciiTheme="minorHAnsi" w:hAnsiTheme="minorHAnsi" w:cstheme="minorHAnsi"/>
          <w:sz w:val="24"/>
          <w:szCs w:val="24"/>
        </w:rPr>
        <w:t xml:space="preserve">ITU </w:t>
      </w:r>
      <w:r w:rsidR="00222911">
        <w:rPr>
          <w:rStyle w:val="s1"/>
          <w:rFonts w:asciiTheme="minorHAnsi" w:hAnsiTheme="minorHAnsi" w:cstheme="minorHAnsi"/>
          <w:sz w:val="24"/>
          <w:szCs w:val="24"/>
        </w:rPr>
        <w:t xml:space="preserve">Member States </w:t>
      </w:r>
      <w:r>
        <w:rPr>
          <w:rStyle w:val="s1"/>
          <w:rFonts w:asciiTheme="minorHAnsi" w:hAnsiTheme="minorHAnsi" w:cstheme="minorHAnsi"/>
          <w:sz w:val="24"/>
          <w:szCs w:val="24"/>
        </w:rPr>
        <w:t>have been divided into two major groups. One group whose view is basically that the ITRs have become irrelevant and should be discarded and another group whose view is that the ITRs are still useful and relevant, subject to some amendments to modernise them taking into account, new issues that were not envisaged</w:t>
      </w:r>
      <w:r w:rsidR="00222911">
        <w:rPr>
          <w:rStyle w:val="s1"/>
          <w:rFonts w:asciiTheme="minorHAnsi" w:hAnsiTheme="minorHAnsi" w:cstheme="minorHAnsi"/>
          <w:sz w:val="24"/>
          <w:szCs w:val="24"/>
        </w:rPr>
        <w:t xml:space="preserve"> </w:t>
      </w:r>
      <w:r>
        <w:rPr>
          <w:rStyle w:val="s1"/>
          <w:rFonts w:asciiTheme="minorHAnsi" w:hAnsiTheme="minorHAnsi" w:cstheme="minorHAnsi"/>
          <w:sz w:val="24"/>
          <w:szCs w:val="24"/>
        </w:rPr>
        <w:t>when the regulations were formulated.</w:t>
      </w:r>
    </w:p>
    <w:p w14:paraId="1C5795BD" w14:textId="6CBD2C98" w:rsidR="00A2556E" w:rsidRDefault="00A2556E" w:rsidP="00A2556E">
      <w:pPr>
        <w:pStyle w:val="p1"/>
        <w:spacing w:before="120" w:beforeAutospacing="0" w:after="120" w:afterAutospacing="0"/>
        <w:jc w:val="both"/>
        <w:rPr>
          <w:rStyle w:val="s1"/>
          <w:rFonts w:asciiTheme="minorHAnsi" w:hAnsiTheme="minorHAnsi" w:cstheme="minorHAnsi"/>
          <w:sz w:val="24"/>
          <w:szCs w:val="24"/>
        </w:rPr>
      </w:pPr>
      <w:r>
        <w:rPr>
          <w:rStyle w:val="s1"/>
          <w:rFonts w:asciiTheme="minorHAnsi" w:hAnsiTheme="minorHAnsi" w:cstheme="minorHAnsi"/>
          <w:sz w:val="24"/>
          <w:szCs w:val="24"/>
        </w:rPr>
        <w:t>The two groups’ views have been so polarised at PP-22 until the Chairman of PP</w:t>
      </w:r>
      <w:r w:rsidR="00222911">
        <w:rPr>
          <w:rStyle w:val="s1"/>
          <w:rFonts w:asciiTheme="minorHAnsi" w:hAnsiTheme="minorHAnsi" w:cstheme="minorHAnsi"/>
          <w:sz w:val="24"/>
          <w:szCs w:val="24"/>
        </w:rPr>
        <w:t>-</w:t>
      </w:r>
      <w:r>
        <w:rPr>
          <w:rStyle w:val="s1"/>
          <w:rFonts w:asciiTheme="minorHAnsi" w:hAnsiTheme="minorHAnsi" w:cstheme="minorHAnsi"/>
          <w:sz w:val="24"/>
          <w:szCs w:val="24"/>
        </w:rPr>
        <w:t>22 intervened to broker a consensus on the re-convening of the Expert Group on the ITRs.</w:t>
      </w:r>
    </w:p>
    <w:p w14:paraId="24E1788B" w14:textId="2522928D" w:rsidR="00A2556E" w:rsidRDefault="00A2556E" w:rsidP="00A2556E">
      <w:pPr>
        <w:pStyle w:val="p1"/>
        <w:spacing w:before="120" w:beforeAutospacing="0" w:after="120" w:afterAutospacing="0"/>
        <w:jc w:val="both"/>
      </w:pPr>
      <w:r>
        <w:rPr>
          <w:rStyle w:val="s1"/>
          <w:rFonts w:asciiTheme="minorHAnsi" w:hAnsiTheme="minorHAnsi" w:cstheme="minorHAnsi"/>
          <w:sz w:val="24"/>
          <w:szCs w:val="24"/>
        </w:rPr>
        <w:t>We believe that the solution to the problem lies in a third school of thought that has been emerging from discussions that have been taking place. This school of thought is that the current sets of ITRs, both 1988 and 2012 are outdated in their current form and that there is need to come up with a new set of ITRs, based on the realities of</w:t>
      </w:r>
      <w:r w:rsidR="00222911">
        <w:rPr>
          <w:rStyle w:val="s1"/>
          <w:rFonts w:asciiTheme="minorHAnsi" w:hAnsiTheme="minorHAnsi" w:cstheme="minorHAnsi"/>
          <w:sz w:val="24"/>
          <w:szCs w:val="24"/>
        </w:rPr>
        <w:t xml:space="preserve"> </w:t>
      </w:r>
      <w:r>
        <w:rPr>
          <w:rStyle w:val="s1"/>
          <w:rFonts w:asciiTheme="minorHAnsi" w:hAnsiTheme="minorHAnsi" w:cstheme="minorHAnsi"/>
          <w:sz w:val="24"/>
          <w:szCs w:val="24"/>
        </w:rPr>
        <w:t>today.</w:t>
      </w:r>
    </w:p>
    <w:p w14:paraId="66A13BBE" w14:textId="6937B41C" w:rsidR="00A2556E" w:rsidRDefault="00A2556E" w:rsidP="00A2556E">
      <w:pPr>
        <w:pStyle w:val="p1"/>
        <w:spacing w:before="120" w:beforeAutospacing="0" w:after="120" w:afterAutospacing="0"/>
        <w:jc w:val="both"/>
        <w:rPr>
          <w:rStyle w:val="s1"/>
        </w:rPr>
      </w:pPr>
      <w:r>
        <w:rPr>
          <w:rStyle w:val="s1"/>
          <w:rFonts w:asciiTheme="minorHAnsi" w:hAnsiTheme="minorHAnsi" w:cstheme="minorHAnsi"/>
          <w:sz w:val="24"/>
          <w:szCs w:val="24"/>
        </w:rPr>
        <w:t xml:space="preserve">The countries signatory to this </w:t>
      </w:r>
      <w:r w:rsidR="00222911">
        <w:rPr>
          <w:rStyle w:val="s1"/>
          <w:rFonts w:asciiTheme="minorHAnsi" w:hAnsiTheme="minorHAnsi" w:cstheme="minorHAnsi"/>
          <w:sz w:val="24"/>
          <w:szCs w:val="24"/>
        </w:rPr>
        <w:t>p</w:t>
      </w:r>
      <w:r>
        <w:rPr>
          <w:rStyle w:val="s1"/>
          <w:rFonts w:asciiTheme="minorHAnsi" w:hAnsiTheme="minorHAnsi" w:cstheme="minorHAnsi"/>
          <w:sz w:val="24"/>
          <w:szCs w:val="24"/>
        </w:rPr>
        <w:t>roposal to Council-23 have looked at all schools of thought, and the international telecommunications</w:t>
      </w:r>
      <w:r w:rsidR="00222911">
        <w:rPr>
          <w:rStyle w:val="s1"/>
          <w:rFonts w:asciiTheme="minorHAnsi" w:hAnsiTheme="minorHAnsi" w:cstheme="minorHAnsi"/>
          <w:sz w:val="24"/>
          <w:szCs w:val="24"/>
        </w:rPr>
        <w:t xml:space="preserve"> </w:t>
      </w:r>
      <w:r>
        <w:rPr>
          <w:rStyle w:val="s1"/>
          <w:rFonts w:asciiTheme="minorHAnsi" w:hAnsiTheme="minorHAnsi" w:cstheme="minorHAnsi"/>
          <w:sz w:val="24"/>
          <w:szCs w:val="24"/>
        </w:rPr>
        <w:t>environment</w:t>
      </w:r>
      <w:r w:rsidR="00222911">
        <w:rPr>
          <w:rStyle w:val="s1"/>
          <w:rFonts w:asciiTheme="minorHAnsi" w:hAnsiTheme="minorHAnsi" w:cstheme="minorHAnsi"/>
          <w:sz w:val="24"/>
          <w:szCs w:val="24"/>
        </w:rPr>
        <w:t xml:space="preserve"> </w:t>
      </w:r>
      <w:r>
        <w:rPr>
          <w:rStyle w:val="s1"/>
          <w:rFonts w:asciiTheme="minorHAnsi" w:hAnsiTheme="minorHAnsi" w:cstheme="minorHAnsi"/>
          <w:sz w:val="24"/>
          <w:szCs w:val="24"/>
        </w:rPr>
        <w:t xml:space="preserve">under which ITU </w:t>
      </w:r>
      <w:r w:rsidR="00222911">
        <w:rPr>
          <w:rStyle w:val="s1"/>
          <w:rFonts w:asciiTheme="minorHAnsi" w:hAnsiTheme="minorHAnsi" w:cstheme="minorHAnsi"/>
          <w:sz w:val="24"/>
          <w:szCs w:val="24"/>
        </w:rPr>
        <w:t xml:space="preserve">Member States </w:t>
      </w:r>
      <w:r>
        <w:rPr>
          <w:rStyle w:val="s1"/>
          <w:rFonts w:asciiTheme="minorHAnsi" w:hAnsiTheme="minorHAnsi" w:cstheme="minorHAnsi"/>
          <w:sz w:val="24"/>
          <w:szCs w:val="24"/>
        </w:rPr>
        <w:t>and relevant service providers are working. We are of the view that what is required, is an approach that makes ITU members, work as one team, to resolve real issues that are affecting international telecommunications, including the emergence of new technologies.</w:t>
      </w:r>
    </w:p>
    <w:p w14:paraId="067FA1D9" w14:textId="77777777" w:rsidR="00A2556E" w:rsidRDefault="00A2556E" w:rsidP="00A2556E">
      <w:pPr>
        <w:pStyle w:val="p1"/>
        <w:spacing w:before="360" w:beforeAutospacing="0" w:after="120" w:afterAutospacing="0"/>
        <w:jc w:val="both"/>
        <w:rPr>
          <w:rStyle w:val="s1"/>
          <w:rFonts w:asciiTheme="minorHAnsi" w:hAnsiTheme="minorHAnsi" w:cstheme="minorHAnsi"/>
          <w:b/>
          <w:sz w:val="24"/>
          <w:szCs w:val="24"/>
        </w:rPr>
      </w:pPr>
      <w:r>
        <w:rPr>
          <w:rStyle w:val="s1"/>
          <w:rFonts w:asciiTheme="minorHAnsi" w:hAnsiTheme="minorHAnsi" w:cstheme="minorHAnsi"/>
          <w:b/>
          <w:sz w:val="24"/>
          <w:szCs w:val="24"/>
        </w:rPr>
        <w:t>PROPOSAL</w:t>
      </w:r>
    </w:p>
    <w:p w14:paraId="22A957BA" w14:textId="75BA92AA" w:rsidR="00A2556E" w:rsidRDefault="00A2556E" w:rsidP="00A2556E">
      <w:pPr>
        <w:tabs>
          <w:tab w:val="clear" w:pos="567"/>
          <w:tab w:val="clear" w:pos="1134"/>
          <w:tab w:val="clear" w:pos="1701"/>
          <w:tab w:val="clear" w:pos="2268"/>
          <w:tab w:val="clear" w:pos="2835"/>
        </w:tabs>
        <w:spacing w:after="120"/>
        <w:jc w:val="both"/>
        <w:rPr>
          <w:rFonts w:eastAsia="Times New Roman"/>
          <w:lang w:eastAsia="en-ZW"/>
        </w:rPr>
      </w:pPr>
      <w:r>
        <w:rPr>
          <w:rFonts w:asciiTheme="minorHAnsi" w:eastAsia="Times New Roman" w:hAnsiTheme="minorHAnsi" w:cstheme="minorHAnsi"/>
          <w:szCs w:val="24"/>
          <w:lang w:eastAsia="en-ZW"/>
        </w:rPr>
        <w:t>Pursuant to Resolution 146 (Rev. Bucharest, 2022</w:t>
      </w:r>
      <w:r w:rsidR="00222911">
        <w:rPr>
          <w:rFonts w:asciiTheme="minorHAnsi" w:eastAsia="Times New Roman" w:hAnsiTheme="minorHAnsi" w:cstheme="minorHAnsi"/>
          <w:szCs w:val="24"/>
          <w:lang w:eastAsia="en-ZW"/>
        </w:rPr>
        <w:t>)</w:t>
      </w:r>
      <w:r>
        <w:rPr>
          <w:rFonts w:asciiTheme="minorHAnsi" w:eastAsia="Times New Roman" w:hAnsiTheme="minorHAnsi" w:cstheme="minorHAnsi"/>
          <w:szCs w:val="24"/>
          <w:lang w:eastAsia="en-ZW"/>
        </w:rPr>
        <w:t xml:space="preserve"> of the Plenipotentiary Conference, Instructing the Secretary</w:t>
      </w:r>
      <w:r w:rsidR="00222911">
        <w:rPr>
          <w:rFonts w:asciiTheme="minorHAnsi" w:eastAsia="Times New Roman" w:hAnsiTheme="minorHAnsi" w:cstheme="minorHAnsi"/>
          <w:szCs w:val="24"/>
          <w:lang w:eastAsia="en-ZW"/>
        </w:rPr>
        <w:t>-</w:t>
      </w:r>
      <w:r>
        <w:rPr>
          <w:rFonts w:asciiTheme="minorHAnsi" w:eastAsia="Times New Roman" w:hAnsiTheme="minorHAnsi" w:cstheme="minorHAnsi"/>
          <w:szCs w:val="24"/>
          <w:lang w:eastAsia="en-ZW"/>
        </w:rPr>
        <w:t>General:</w:t>
      </w:r>
    </w:p>
    <w:p w14:paraId="290CB7A3" w14:textId="478B1B95" w:rsidR="00A2556E" w:rsidRDefault="00A2556E" w:rsidP="0054445D">
      <w:pPr>
        <w:pStyle w:val="ListParagraph"/>
        <w:spacing w:before="120" w:after="120" w:line="240" w:lineRule="auto"/>
        <w:ind w:left="709"/>
        <w:contextualSpacing w:val="0"/>
        <w:jc w:val="both"/>
        <w:rPr>
          <w:rFonts w:eastAsia="Times New Roman" w:cstheme="minorHAnsi"/>
          <w:kern w:val="0"/>
          <w:sz w:val="24"/>
          <w:szCs w:val="24"/>
          <w:lang w:eastAsia="en-ZW"/>
          <w14:ligatures w14:val="none"/>
        </w:rPr>
      </w:pPr>
      <w:r>
        <w:rPr>
          <w:rFonts w:eastAsia="Times New Roman" w:cstheme="minorHAnsi"/>
          <w:kern w:val="0"/>
          <w:sz w:val="24"/>
          <w:szCs w:val="24"/>
          <w:lang w:eastAsia="en-ZW"/>
          <w14:ligatures w14:val="none"/>
        </w:rPr>
        <w:t xml:space="preserve">to reconvene an EG-ITR, open to the ITU Member States and Sector Members, with terms of reference and working methods established by the ITU Council, this document proposes the terms of reference for the EG-ITR, for </w:t>
      </w:r>
      <w:r w:rsidR="00222911">
        <w:rPr>
          <w:rFonts w:eastAsia="Times New Roman" w:cstheme="minorHAnsi"/>
          <w:kern w:val="0"/>
          <w:sz w:val="24"/>
          <w:szCs w:val="24"/>
          <w:lang w:eastAsia="en-ZW"/>
          <w14:ligatures w14:val="none"/>
        </w:rPr>
        <w:t>C</w:t>
      </w:r>
      <w:r>
        <w:rPr>
          <w:rFonts w:eastAsia="Times New Roman" w:cstheme="minorHAnsi"/>
          <w:kern w:val="0"/>
          <w:sz w:val="24"/>
          <w:szCs w:val="24"/>
          <w:lang w:eastAsia="en-ZW"/>
          <w14:ligatures w14:val="none"/>
        </w:rPr>
        <w:t>ouncil’s consideration.</w:t>
      </w:r>
    </w:p>
    <w:p w14:paraId="2634D087" w14:textId="2E5622AD" w:rsidR="00A2556E" w:rsidRDefault="00A2556E" w:rsidP="00A2556E">
      <w:pPr>
        <w:pStyle w:val="p1"/>
        <w:spacing w:before="240" w:beforeAutospacing="0" w:after="120" w:afterAutospacing="0"/>
        <w:jc w:val="both"/>
        <w:rPr>
          <w:rStyle w:val="s1"/>
          <w:sz w:val="24"/>
        </w:rPr>
      </w:pPr>
      <w:r>
        <w:rPr>
          <w:rStyle w:val="s1"/>
          <w:rFonts w:asciiTheme="minorHAnsi" w:hAnsiTheme="minorHAnsi" w:cstheme="minorHAnsi"/>
          <w:sz w:val="24"/>
          <w:szCs w:val="24"/>
        </w:rPr>
        <w:t xml:space="preserve">The </w:t>
      </w:r>
      <w:r w:rsidR="00222911">
        <w:rPr>
          <w:rStyle w:val="s1"/>
          <w:rFonts w:asciiTheme="minorHAnsi" w:hAnsiTheme="minorHAnsi" w:cstheme="minorHAnsi"/>
          <w:sz w:val="24"/>
          <w:szCs w:val="24"/>
        </w:rPr>
        <w:t>c</w:t>
      </w:r>
      <w:r>
        <w:rPr>
          <w:rStyle w:val="s1"/>
          <w:rFonts w:asciiTheme="minorHAnsi" w:hAnsiTheme="minorHAnsi" w:cstheme="minorHAnsi"/>
          <w:sz w:val="24"/>
          <w:szCs w:val="24"/>
        </w:rPr>
        <w:t>ountr</w:t>
      </w:r>
      <w:r w:rsidR="00222911">
        <w:rPr>
          <w:rStyle w:val="s1"/>
          <w:rFonts w:asciiTheme="minorHAnsi" w:hAnsiTheme="minorHAnsi" w:cstheme="minorHAnsi"/>
          <w:sz w:val="24"/>
          <w:szCs w:val="24"/>
        </w:rPr>
        <w:t>ies</w:t>
      </w:r>
      <w:r>
        <w:rPr>
          <w:rStyle w:val="s1"/>
          <w:rFonts w:asciiTheme="minorHAnsi" w:hAnsiTheme="minorHAnsi" w:cstheme="minorHAnsi"/>
          <w:sz w:val="24"/>
          <w:szCs w:val="24"/>
        </w:rPr>
        <w:t xml:space="preserve"> signator</w:t>
      </w:r>
      <w:r w:rsidR="00222911">
        <w:rPr>
          <w:rStyle w:val="s1"/>
          <w:rFonts w:asciiTheme="minorHAnsi" w:hAnsiTheme="minorHAnsi" w:cstheme="minorHAnsi"/>
          <w:sz w:val="24"/>
          <w:szCs w:val="24"/>
        </w:rPr>
        <w:t>y</w:t>
      </w:r>
      <w:r>
        <w:rPr>
          <w:rStyle w:val="s1"/>
          <w:rFonts w:asciiTheme="minorHAnsi" w:hAnsiTheme="minorHAnsi" w:cstheme="minorHAnsi"/>
          <w:sz w:val="24"/>
          <w:szCs w:val="24"/>
        </w:rPr>
        <w:t xml:space="preserve"> to this document propose that the terms of reference of the EG-ITRs be as follows:</w:t>
      </w:r>
    </w:p>
    <w:p w14:paraId="0AD6736D" w14:textId="77777777" w:rsidR="00A2556E" w:rsidRDefault="00A2556E" w:rsidP="0054445D">
      <w:pPr>
        <w:pStyle w:val="p1"/>
        <w:numPr>
          <w:ilvl w:val="0"/>
          <w:numId w:val="2"/>
        </w:numPr>
        <w:spacing w:before="120" w:beforeAutospacing="0" w:after="120" w:afterAutospacing="0"/>
        <w:ind w:left="426" w:hanging="426"/>
        <w:jc w:val="both"/>
      </w:pPr>
      <w:r>
        <w:rPr>
          <w:rFonts w:asciiTheme="minorHAnsi" w:hAnsiTheme="minorHAnsi" w:cstheme="minorHAnsi"/>
          <w:sz w:val="24"/>
          <w:szCs w:val="24"/>
          <w:shd w:val="clear" w:color="auto" w:fill="FFFFFF"/>
        </w:rPr>
        <w:t>On the basis of contributions submitted by Member States, Sector Members and contribution from the Directors of the Bureaux, the EG-ITRs shall carry out an analysis:</w:t>
      </w:r>
    </w:p>
    <w:p w14:paraId="66251B7A" w14:textId="77777777" w:rsidR="00A2556E" w:rsidRDefault="00A2556E" w:rsidP="0054445D">
      <w:pPr>
        <w:pStyle w:val="p1"/>
        <w:numPr>
          <w:ilvl w:val="0"/>
          <w:numId w:val="3"/>
        </w:numPr>
        <w:spacing w:before="120" w:beforeAutospacing="0" w:after="120" w:afterAutospacing="0"/>
        <w:ind w:left="1134" w:hanging="425"/>
        <w:jc w:val="both"/>
        <w:rPr>
          <w:rFonts w:asciiTheme="minorHAnsi" w:hAnsiTheme="minorHAnsi" w:cstheme="minorHAnsi"/>
          <w:sz w:val="24"/>
          <w:szCs w:val="24"/>
        </w:rPr>
      </w:pPr>
      <w:r>
        <w:rPr>
          <w:rStyle w:val="s1"/>
          <w:rFonts w:asciiTheme="minorHAnsi" w:hAnsiTheme="minorHAnsi" w:cstheme="minorHAnsi"/>
          <w:sz w:val="24"/>
          <w:szCs w:val="24"/>
        </w:rPr>
        <w:t>To Identify all the issues that affect international telecommunications, including changes in technologies since 2012;</w:t>
      </w:r>
    </w:p>
    <w:p w14:paraId="389C0D8F" w14:textId="77777777" w:rsidR="00A2556E" w:rsidRDefault="00A2556E" w:rsidP="0054445D">
      <w:pPr>
        <w:pStyle w:val="ListParagraph"/>
        <w:numPr>
          <w:ilvl w:val="0"/>
          <w:numId w:val="3"/>
        </w:numPr>
        <w:spacing w:before="120" w:after="120" w:line="240" w:lineRule="auto"/>
        <w:ind w:left="1134" w:hanging="425"/>
        <w:contextualSpacing w:val="0"/>
        <w:rPr>
          <w:rStyle w:val="s1"/>
          <w:kern w:val="0"/>
          <w:lang w:eastAsia="en-ZW"/>
          <w14:ligatures w14:val="none"/>
        </w:rPr>
      </w:pPr>
      <w:r>
        <w:rPr>
          <w:rStyle w:val="s1"/>
          <w:rFonts w:cstheme="minorHAnsi"/>
          <w:kern w:val="0"/>
          <w:sz w:val="24"/>
          <w:szCs w:val="24"/>
          <w:lang w:eastAsia="en-ZW"/>
          <w14:ligatures w14:val="none"/>
        </w:rPr>
        <w:t>To assess the relevance of the current ITRs to support the emerging issues, affecting the international telecommunications;</w:t>
      </w:r>
    </w:p>
    <w:p w14:paraId="55C0F28D" w14:textId="77777777" w:rsidR="00A2556E" w:rsidRDefault="00A2556E" w:rsidP="0054445D">
      <w:pPr>
        <w:pStyle w:val="p1"/>
        <w:numPr>
          <w:ilvl w:val="0"/>
          <w:numId w:val="3"/>
        </w:numPr>
        <w:spacing w:before="120" w:beforeAutospacing="0" w:after="120" w:afterAutospacing="0"/>
        <w:ind w:left="1134" w:hanging="425"/>
        <w:jc w:val="both"/>
        <w:rPr>
          <w:rFonts w:asciiTheme="minorHAnsi" w:hAnsiTheme="minorHAnsi"/>
        </w:rPr>
      </w:pPr>
      <w:r>
        <w:rPr>
          <w:rStyle w:val="s1"/>
          <w:rFonts w:asciiTheme="minorHAnsi" w:hAnsiTheme="minorHAnsi" w:cstheme="minorHAnsi"/>
          <w:sz w:val="24"/>
          <w:szCs w:val="24"/>
        </w:rPr>
        <w:t>To determine which of the issues identified require a multilateral agreement for international telecommunications to operate efficiently;</w:t>
      </w:r>
    </w:p>
    <w:p w14:paraId="6625EFA0" w14:textId="77777777" w:rsidR="00A2556E" w:rsidRDefault="00A2556E" w:rsidP="0054445D">
      <w:pPr>
        <w:pStyle w:val="p1"/>
        <w:numPr>
          <w:ilvl w:val="0"/>
          <w:numId w:val="3"/>
        </w:numPr>
        <w:spacing w:before="120" w:beforeAutospacing="0" w:after="120" w:afterAutospacing="0"/>
        <w:ind w:left="1134" w:hanging="425"/>
        <w:jc w:val="both"/>
        <w:rPr>
          <w:rFonts w:asciiTheme="minorHAnsi" w:hAnsiTheme="minorHAnsi" w:cstheme="minorHAnsi"/>
          <w:sz w:val="24"/>
          <w:szCs w:val="24"/>
        </w:rPr>
      </w:pPr>
      <w:r>
        <w:rPr>
          <w:rStyle w:val="s1"/>
          <w:rFonts w:asciiTheme="minorHAnsi" w:hAnsiTheme="minorHAnsi" w:cstheme="minorHAnsi"/>
          <w:sz w:val="24"/>
          <w:szCs w:val="24"/>
        </w:rPr>
        <w:t>To come up with parameters of provisions that should be included in such a multilateral agreement;</w:t>
      </w:r>
    </w:p>
    <w:p w14:paraId="5866B640" w14:textId="0BC9E640" w:rsidR="00A2556E" w:rsidRDefault="00A2556E" w:rsidP="0054445D">
      <w:pPr>
        <w:pStyle w:val="p1"/>
        <w:numPr>
          <w:ilvl w:val="0"/>
          <w:numId w:val="3"/>
        </w:numPr>
        <w:spacing w:before="120" w:beforeAutospacing="0" w:after="120" w:afterAutospacing="0"/>
        <w:ind w:left="1134" w:hanging="425"/>
        <w:jc w:val="both"/>
        <w:rPr>
          <w:rFonts w:asciiTheme="minorHAnsi" w:hAnsiTheme="minorHAnsi" w:cstheme="minorHAnsi"/>
          <w:sz w:val="24"/>
          <w:szCs w:val="24"/>
        </w:rPr>
      </w:pPr>
      <w:r>
        <w:rPr>
          <w:rStyle w:val="s1"/>
          <w:rFonts w:asciiTheme="minorHAnsi" w:hAnsiTheme="minorHAnsi" w:cstheme="minorHAnsi"/>
          <w:sz w:val="24"/>
          <w:szCs w:val="24"/>
        </w:rPr>
        <w:lastRenderedPageBreak/>
        <w:t>To come up with high</w:t>
      </w:r>
      <w:r w:rsidR="00222911">
        <w:rPr>
          <w:rStyle w:val="s1"/>
          <w:rFonts w:asciiTheme="minorHAnsi" w:hAnsiTheme="minorHAnsi" w:cstheme="minorHAnsi"/>
          <w:sz w:val="24"/>
          <w:szCs w:val="24"/>
        </w:rPr>
        <w:t>-</w:t>
      </w:r>
      <w:r>
        <w:rPr>
          <w:rStyle w:val="s1"/>
          <w:rFonts w:asciiTheme="minorHAnsi" w:hAnsiTheme="minorHAnsi" w:cstheme="minorHAnsi"/>
          <w:sz w:val="24"/>
          <w:szCs w:val="24"/>
        </w:rPr>
        <w:t>level principles that can be used to govern international telecommunications;</w:t>
      </w:r>
    </w:p>
    <w:p w14:paraId="776A8904" w14:textId="29E4DC83" w:rsidR="00A2556E" w:rsidRDefault="00A2556E" w:rsidP="0054445D">
      <w:pPr>
        <w:pStyle w:val="p1"/>
        <w:numPr>
          <w:ilvl w:val="0"/>
          <w:numId w:val="3"/>
        </w:numPr>
        <w:spacing w:before="120" w:beforeAutospacing="0" w:after="120" w:afterAutospacing="0"/>
        <w:ind w:left="1134" w:hanging="425"/>
        <w:jc w:val="both"/>
        <w:rPr>
          <w:rStyle w:val="s1"/>
          <w:rFonts w:eastAsia="Times New Roman"/>
        </w:rPr>
      </w:pPr>
      <w:r>
        <w:rPr>
          <w:rStyle w:val="s1"/>
          <w:rFonts w:asciiTheme="minorHAnsi" w:eastAsia="Times New Roman" w:hAnsiTheme="minorHAnsi" w:cstheme="minorHAnsi"/>
          <w:sz w:val="24"/>
          <w:szCs w:val="24"/>
        </w:rPr>
        <w:t xml:space="preserve">To prepare a final report to </w:t>
      </w:r>
      <w:r w:rsidR="00222911">
        <w:rPr>
          <w:rStyle w:val="s1"/>
          <w:rFonts w:asciiTheme="minorHAnsi" w:eastAsia="Times New Roman" w:hAnsiTheme="minorHAnsi" w:cstheme="minorHAnsi"/>
          <w:sz w:val="24"/>
          <w:szCs w:val="24"/>
        </w:rPr>
        <w:t>C</w:t>
      </w:r>
      <w:r>
        <w:rPr>
          <w:rStyle w:val="s1"/>
          <w:rFonts w:asciiTheme="minorHAnsi" w:eastAsia="Times New Roman" w:hAnsiTheme="minorHAnsi" w:cstheme="minorHAnsi"/>
          <w:sz w:val="24"/>
          <w:szCs w:val="24"/>
        </w:rPr>
        <w:t>ouncil for onward transmission to the next Plenipotentiary Conference, that contains the high-level draft principles for a draft treaty for consideration by the next Plenipotentiary Conference, with a view to retiring the existing ITRs and convening a conference to come up with a new treaty to govern international telecommunications.</w:t>
      </w:r>
    </w:p>
    <w:p w14:paraId="15045FDE" w14:textId="77777777" w:rsidR="00A2556E" w:rsidRDefault="00A2556E" w:rsidP="00A2556E">
      <w:pPr>
        <w:pStyle w:val="enumlev1"/>
        <w:tabs>
          <w:tab w:val="clear" w:pos="567"/>
          <w:tab w:val="clear" w:pos="1134"/>
          <w:tab w:val="clear" w:pos="1701"/>
          <w:tab w:val="clear" w:pos="2268"/>
          <w:tab w:val="clear" w:pos="2835"/>
        </w:tabs>
        <w:spacing w:before="240" w:after="120"/>
        <w:ind w:left="0" w:firstLine="0"/>
        <w:jc w:val="both"/>
        <w:rPr>
          <w:rFonts w:asciiTheme="minorHAnsi" w:hAnsiTheme="minorHAnsi" w:cstheme="minorHAnsi"/>
          <w:szCs w:val="24"/>
        </w:rPr>
      </w:pPr>
      <w:r>
        <w:rPr>
          <w:rFonts w:asciiTheme="minorHAnsi" w:hAnsiTheme="minorHAnsi" w:cstheme="minorHAnsi"/>
          <w:szCs w:val="24"/>
          <w:lang w:val="en-ZW"/>
        </w:rPr>
        <w:t>T</w:t>
      </w:r>
      <w:r>
        <w:rPr>
          <w:rFonts w:asciiTheme="minorHAnsi" w:hAnsiTheme="minorHAnsi" w:cstheme="minorHAnsi"/>
          <w:szCs w:val="24"/>
        </w:rPr>
        <w:t>he EG-ITRs shall undertake also a review of the 2012 ITRs considering the following:</w:t>
      </w:r>
    </w:p>
    <w:p w14:paraId="63DE7E7E" w14:textId="77777777" w:rsidR="00A2556E" w:rsidRDefault="00A2556E" w:rsidP="0054445D">
      <w:pPr>
        <w:pStyle w:val="enumlev1"/>
        <w:numPr>
          <w:ilvl w:val="1"/>
          <w:numId w:val="4"/>
        </w:numPr>
        <w:tabs>
          <w:tab w:val="clear" w:pos="567"/>
          <w:tab w:val="clear" w:pos="1134"/>
          <w:tab w:val="clear" w:pos="1701"/>
          <w:tab w:val="clear" w:pos="2268"/>
          <w:tab w:val="clear" w:pos="2835"/>
        </w:tabs>
        <w:spacing w:before="120" w:after="120"/>
        <w:ind w:left="1701" w:hanging="567"/>
        <w:jc w:val="both"/>
        <w:textAlignment w:val="auto"/>
        <w:rPr>
          <w:rFonts w:asciiTheme="minorHAnsi" w:hAnsiTheme="minorHAnsi" w:cstheme="minorHAnsi"/>
          <w:szCs w:val="24"/>
        </w:rPr>
      </w:pPr>
      <w:r>
        <w:rPr>
          <w:rFonts w:asciiTheme="minorHAnsi" w:hAnsiTheme="minorHAnsi" w:cstheme="minorHAnsi"/>
          <w:szCs w:val="24"/>
        </w:rPr>
        <w:t xml:space="preserve">addressing only high-level policy issues related to the provision and operation of international telecommunication services and technologies, </w:t>
      </w:r>
    </w:p>
    <w:p w14:paraId="69A7A67A" w14:textId="77777777" w:rsidR="00A2556E" w:rsidRDefault="00A2556E" w:rsidP="0054445D">
      <w:pPr>
        <w:pStyle w:val="enumlev1"/>
        <w:numPr>
          <w:ilvl w:val="1"/>
          <w:numId w:val="4"/>
        </w:numPr>
        <w:tabs>
          <w:tab w:val="clear" w:pos="567"/>
          <w:tab w:val="clear" w:pos="1134"/>
          <w:tab w:val="clear" w:pos="1701"/>
          <w:tab w:val="clear" w:pos="2268"/>
          <w:tab w:val="clear" w:pos="2835"/>
        </w:tabs>
        <w:spacing w:before="120" w:after="120"/>
        <w:ind w:left="1701" w:hanging="567"/>
        <w:jc w:val="both"/>
        <w:textAlignment w:val="auto"/>
        <w:rPr>
          <w:rFonts w:asciiTheme="minorHAnsi" w:hAnsiTheme="minorHAnsi" w:cstheme="minorHAnsi"/>
          <w:szCs w:val="24"/>
        </w:rPr>
      </w:pPr>
      <w:r>
        <w:rPr>
          <w:rFonts w:asciiTheme="minorHAnsi" w:hAnsiTheme="minorHAnsi" w:cstheme="minorHAnsi"/>
          <w:szCs w:val="24"/>
        </w:rPr>
        <w:t>that provisions contain only obligations of Member States, and not direct the activities of private parties</w:t>
      </w:r>
    </w:p>
    <w:p w14:paraId="2980BC5A" w14:textId="77777777" w:rsidR="00A2556E" w:rsidRDefault="00A2556E" w:rsidP="00A2556E">
      <w:pPr>
        <w:pStyle w:val="NoSpacing"/>
        <w:spacing w:before="240" w:after="120"/>
        <w:jc w:val="both"/>
        <w:rPr>
          <w:rStyle w:val="s1"/>
          <w:rFonts w:eastAsia="Times New Roman"/>
          <w:sz w:val="24"/>
          <w:lang w:val="en-GB" w:eastAsia="en-US"/>
        </w:rPr>
      </w:pPr>
      <w:r>
        <w:rPr>
          <w:rStyle w:val="s1"/>
          <w:rFonts w:asciiTheme="minorHAnsi" w:eastAsia="Times New Roman" w:hAnsiTheme="minorHAnsi" w:cstheme="minorHAnsi"/>
          <w:sz w:val="24"/>
          <w:szCs w:val="24"/>
        </w:rPr>
        <w:t>to prepare a draft treaty for consideration by the next Plenipotentiary conference, with a view to retiring the existing ITRs.</w:t>
      </w:r>
    </w:p>
    <w:p w14:paraId="3E79346B" w14:textId="77777777" w:rsidR="00A2556E" w:rsidRDefault="00A2556E" w:rsidP="0054445D">
      <w:pPr>
        <w:pStyle w:val="p1"/>
        <w:numPr>
          <w:ilvl w:val="0"/>
          <w:numId w:val="2"/>
        </w:numPr>
        <w:spacing w:before="120" w:beforeAutospacing="0" w:after="120" w:afterAutospacing="0"/>
        <w:ind w:left="0" w:firstLine="0"/>
        <w:jc w:val="both"/>
        <w:rPr>
          <w:rStyle w:val="s1"/>
          <w:sz w:val="24"/>
        </w:rPr>
      </w:pPr>
      <w:r>
        <w:rPr>
          <w:rFonts w:asciiTheme="minorHAnsi" w:hAnsiTheme="minorHAnsi" w:cstheme="minorHAnsi"/>
          <w:sz w:val="24"/>
          <w:szCs w:val="24"/>
          <w:shd w:val="clear" w:color="auto" w:fill="FFFFFF"/>
        </w:rPr>
        <w:t>The</w:t>
      </w:r>
      <w:r>
        <w:rPr>
          <w:rStyle w:val="s1"/>
          <w:rFonts w:asciiTheme="minorHAnsi" w:hAnsiTheme="minorHAnsi" w:cstheme="minorHAnsi"/>
          <w:sz w:val="24"/>
          <w:szCs w:val="24"/>
        </w:rPr>
        <w:t xml:space="preserve"> Group should be open to the following:</w:t>
      </w:r>
    </w:p>
    <w:p w14:paraId="4ADCD552" w14:textId="106CF89F" w:rsidR="00A2556E" w:rsidRDefault="00A2556E" w:rsidP="0054445D">
      <w:pPr>
        <w:pStyle w:val="p1"/>
        <w:spacing w:before="120" w:beforeAutospacing="0" w:after="120" w:afterAutospacing="0"/>
        <w:ind w:left="1701" w:hanging="567"/>
        <w:jc w:val="both"/>
      </w:pPr>
      <w:r>
        <w:rPr>
          <w:rStyle w:val="s1"/>
          <w:rFonts w:asciiTheme="minorHAnsi" w:hAnsiTheme="minorHAnsi" w:cstheme="minorHAnsi"/>
          <w:sz w:val="24"/>
          <w:szCs w:val="24"/>
        </w:rPr>
        <w:t>•</w:t>
      </w:r>
      <w:r w:rsidR="0054445D">
        <w:rPr>
          <w:rStyle w:val="s1"/>
          <w:rFonts w:asciiTheme="minorHAnsi" w:hAnsiTheme="minorHAnsi" w:cstheme="minorHAnsi"/>
          <w:sz w:val="24"/>
          <w:szCs w:val="24"/>
        </w:rPr>
        <w:tab/>
      </w:r>
      <w:r>
        <w:rPr>
          <w:rStyle w:val="s1"/>
          <w:rFonts w:asciiTheme="minorHAnsi" w:hAnsiTheme="minorHAnsi" w:cstheme="minorHAnsi"/>
          <w:sz w:val="24"/>
          <w:szCs w:val="24"/>
        </w:rPr>
        <w:t>ITU Member States</w:t>
      </w:r>
    </w:p>
    <w:p w14:paraId="14F08C93" w14:textId="47401905" w:rsidR="00A2556E" w:rsidRDefault="00A2556E" w:rsidP="0054445D">
      <w:pPr>
        <w:pStyle w:val="p1"/>
        <w:spacing w:before="120" w:beforeAutospacing="0" w:after="120" w:afterAutospacing="0"/>
        <w:ind w:left="1701" w:hanging="567"/>
        <w:jc w:val="both"/>
        <w:rPr>
          <w:rFonts w:asciiTheme="minorHAnsi" w:hAnsiTheme="minorHAnsi" w:cstheme="minorHAnsi"/>
          <w:sz w:val="24"/>
          <w:szCs w:val="24"/>
        </w:rPr>
      </w:pPr>
      <w:r>
        <w:rPr>
          <w:rStyle w:val="s1"/>
          <w:rFonts w:asciiTheme="minorHAnsi" w:hAnsiTheme="minorHAnsi" w:cstheme="minorHAnsi"/>
          <w:sz w:val="24"/>
          <w:szCs w:val="24"/>
        </w:rPr>
        <w:t>•</w:t>
      </w:r>
      <w:r w:rsidR="0054445D">
        <w:rPr>
          <w:rStyle w:val="s1"/>
          <w:rFonts w:asciiTheme="minorHAnsi" w:hAnsiTheme="minorHAnsi" w:cstheme="minorHAnsi"/>
          <w:sz w:val="24"/>
          <w:szCs w:val="24"/>
        </w:rPr>
        <w:tab/>
      </w:r>
      <w:r>
        <w:rPr>
          <w:rStyle w:val="s1"/>
          <w:rFonts w:asciiTheme="minorHAnsi" w:hAnsiTheme="minorHAnsi" w:cstheme="minorHAnsi"/>
          <w:sz w:val="24"/>
          <w:szCs w:val="24"/>
        </w:rPr>
        <w:t xml:space="preserve">Sector </w:t>
      </w:r>
      <w:r w:rsidR="00222911">
        <w:rPr>
          <w:rStyle w:val="s1"/>
          <w:rFonts w:asciiTheme="minorHAnsi" w:hAnsiTheme="minorHAnsi" w:cstheme="minorHAnsi"/>
          <w:sz w:val="24"/>
          <w:szCs w:val="24"/>
        </w:rPr>
        <w:t>Members</w:t>
      </w:r>
    </w:p>
    <w:p w14:paraId="1ADE64B2" w14:textId="605E4023" w:rsidR="00A2556E" w:rsidRDefault="00A2556E" w:rsidP="0054445D">
      <w:pPr>
        <w:pStyle w:val="ListParagraph"/>
        <w:numPr>
          <w:ilvl w:val="0"/>
          <w:numId w:val="2"/>
        </w:numPr>
        <w:spacing w:before="240" w:after="120" w:line="240" w:lineRule="auto"/>
        <w:ind w:left="709" w:hanging="709"/>
        <w:contextualSpacing w:val="0"/>
        <w:jc w:val="both"/>
        <w:rPr>
          <w:rStyle w:val="s1"/>
          <w:rFonts w:cstheme="minorHAnsi"/>
          <w:kern w:val="0"/>
          <w:sz w:val="24"/>
          <w:szCs w:val="24"/>
          <w:lang w:eastAsia="en-ZW"/>
          <w14:ligatures w14:val="none"/>
        </w:rPr>
      </w:pPr>
      <w:r>
        <w:rPr>
          <w:rStyle w:val="s1"/>
          <w:rFonts w:cstheme="minorHAnsi"/>
          <w:kern w:val="0"/>
          <w:sz w:val="24"/>
          <w:szCs w:val="24"/>
          <w:lang w:eastAsia="en-ZW"/>
          <w14:ligatures w14:val="none"/>
        </w:rPr>
        <w:t xml:space="preserve">To the maximum extent possible, the ITU </w:t>
      </w:r>
      <w:r w:rsidR="00222911">
        <w:rPr>
          <w:rStyle w:val="s1"/>
          <w:rFonts w:cstheme="minorHAnsi"/>
          <w:kern w:val="0"/>
          <w:sz w:val="24"/>
          <w:szCs w:val="24"/>
          <w:lang w:eastAsia="en-ZW"/>
          <w14:ligatures w14:val="none"/>
        </w:rPr>
        <w:t>s</w:t>
      </w:r>
      <w:r>
        <w:rPr>
          <w:rStyle w:val="s1"/>
          <w:rFonts w:cstheme="minorHAnsi"/>
          <w:kern w:val="0"/>
          <w:sz w:val="24"/>
          <w:szCs w:val="24"/>
          <w:lang w:eastAsia="en-ZW"/>
          <w14:ligatures w14:val="none"/>
        </w:rPr>
        <w:t>ecretariat should provide interpretation in the six official languages, remote participation, webcasting, captioning and transcription for meetings of the EG-ITRs;</w:t>
      </w:r>
    </w:p>
    <w:p w14:paraId="16566EB5" w14:textId="24BDC096" w:rsidR="00A514A4" w:rsidRPr="00A2556E" w:rsidRDefault="00A2556E" w:rsidP="0054445D">
      <w:pPr>
        <w:pStyle w:val="p1"/>
        <w:numPr>
          <w:ilvl w:val="0"/>
          <w:numId w:val="2"/>
        </w:numPr>
        <w:spacing w:before="240" w:beforeAutospacing="0" w:after="120" w:afterAutospacing="0"/>
        <w:ind w:left="709" w:hanging="709"/>
        <w:jc w:val="both"/>
        <w:rPr>
          <w:rStyle w:val="s1"/>
          <w:rFonts w:asciiTheme="minorHAnsi" w:hAnsiTheme="minorHAnsi"/>
        </w:rPr>
      </w:pPr>
      <w:r>
        <w:rPr>
          <w:rStyle w:val="s1"/>
          <w:rFonts w:asciiTheme="minorHAnsi" w:hAnsiTheme="minorHAnsi" w:cstheme="minorHAnsi"/>
          <w:sz w:val="24"/>
          <w:szCs w:val="24"/>
        </w:rPr>
        <w:t xml:space="preserve">The Group should meet at least once a year and submit a report to each Council </w:t>
      </w:r>
      <w:r w:rsidR="00222911">
        <w:rPr>
          <w:rStyle w:val="s1"/>
          <w:rFonts w:asciiTheme="minorHAnsi" w:hAnsiTheme="minorHAnsi" w:cstheme="minorHAnsi"/>
          <w:sz w:val="24"/>
          <w:szCs w:val="24"/>
        </w:rPr>
        <w:t>s</w:t>
      </w:r>
      <w:r>
        <w:rPr>
          <w:rStyle w:val="s1"/>
          <w:rFonts w:asciiTheme="minorHAnsi" w:hAnsiTheme="minorHAnsi" w:cstheme="minorHAnsi"/>
          <w:sz w:val="24"/>
          <w:szCs w:val="24"/>
        </w:rPr>
        <w:t>ession, with the Final Report being submitted to Council 2026.</w:t>
      </w:r>
    </w:p>
    <w:p w14:paraId="50A51E71" w14:textId="6DA62C72" w:rsidR="00A2556E" w:rsidRPr="00A2556E" w:rsidRDefault="00A2556E" w:rsidP="00A2556E">
      <w:pPr>
        <w:pStyle w:val="p1"/>
        <w:spacing w:before="840" w:beforeAutospacing="0" w:after="0" w:afterAutospacing="0"/>
        <w:ind w:left="360"/>
        <w:jc w:val="center"/>
        <w:rPr>
          <w:rFonts w:asciiTheme="minorHAnsi" w:hAnsiTheme="minorHAnsi"/>
        </w:rPr>
      </w:pPr>
      <w:r>
        <w:rPr>
          <w:rStyle w:val="s1"/>
          <w:rFonts w:asciiTheme="minorHAnsi" w:hAnsiTheme="minorHAnsi" w:cstheme="minorHAnsi"/>
          <w:sz w:val="24"/>
          <w:szCs w:val="24"/>
        </w:rPr>
        <w:t>_______________</w:t>
      </w:r>
    </w:p>
    <w:sectPr w:rsidR="00A2556E" w:rsidRPr="00A2556E"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4651358" w:rsidR="00EE49E8" w:rsidRDefault="0054445D" w:rsidP="00EE49E8">
          <w:pPr>
            <w:pStyle w:val="Header"/>
            <w:jc w:val="left"/>
            <w:rPr>
              <w:noProof/>
            </w:rPr>
          </w:pPr>
          <w:r>
            <w:rPr>
              <w:noProof/>
            </w:rPr>
            <w:t xml:space="preserve">DPS </w:t>
          </w:r>
          <w:r w:rsidRPr="0054445D">
            <w:rPr>
              <w:noProof/>
            </w:rPr>
            <w:t>525348</w:t>
          </w:r>
        </w:p>
      </w:tc>
      <w:tc>
        <w:tcPr>
          <w:tcW w:w="8261" w:type="dxa"/>
        </w:tcPr>
        <w:p w14:paraId="35709C74" w14:textId="5A29422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4445D">
            <w:rPr>
              <w:bCs/>
            </w:rPr>
            <w:t>77</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2291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BD2811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4445D">
            <w:rPr>
              <w:bCs/>
            </w:rPr>
            <w:t>77</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6746D"/>
    <w:multiLevelType w:val="hybridMultilevel"/>
    <w:tmpl w:val="96246DD4"/>
    <w:lvl w:ilvl="0" w:tplc="30090017">
      <w:start w:val="1"/>
      <w:numFmt w:val="lowerLetter"/>
      <w:lvlText w:val="%1)"/>
      <w:lvlJc w:val="left"/>
      <w:pPr>
        <w:ind w:left="1080" w:hanging="360"/>
      </w:pPr>
    </w:lvl>
    <w:lvl w:ilvl="1" w:tplc="30090019">
      <w:start w:val="1"/>
      <w:numFmt w:val="lowerLetter"/>
      <w:lvlText w:val="%2."/>
      <w:lvlJc w:val="left"/>
      <w:pPr>
        <w:ind w:left="1800" w:hanging="360"/>
      </w:pPr>
    </w:lvl>
    <w:lvl w:ilvl="2" w:tplc="3009001B">
      <w:start w:val="1"/>
      <w:numFmt w:val="lowerRoman"/>
      <w:lvlText w:val="%3."/>
      <w:lvlJc w:val="right"/>
      <w:pPr>
        <w:ind w:left="2520" w:hanging="180"/>
      </w:pPr>
    </w:lvl>
    <w:lvl w:ilvl="3" w:tplc="3009000F">
      <w:start w:val="1"/>
      <w:numFmt w:val="decimal"/>
      <w:lvlText w:val="%4."/>
      <w:lvlJc w:val="left"/>
      <w:pPr>
        <w:ind w:left="3240" w:hanging="360"/>
      </w:pPr>
    </w:lvl>
    <w:lvl w:ilvl="4" w:tplc="30090019">
      <w:start w:val="1"/>
      <w:numFmt w:val="lowerLetter"/>
      <w:lvlText w:val="%5."/>
      <w:lvlJc w:val="left"/>
      <w:pPr>
        <w:ind w:left="3960" w:hanging="360"/>
      </w:pPr>
    </w:lvl>
    <w:lvl w:ilvl="5" w:tplc="3009001B">
      <w:start w:val="1"/>
      <w:numFmt w:val="lowerRoman"/>
      <w:lvlText w:val="%6."/>
      <w:lvlJc w:val="right"/>
      <w:pPr>
        <w:ind w:left="4680" w:hanging="180"/>
      </w:pPr>
    </w:lvl>
    <w:lvl w:ilvl="6" w:tplc="3009000F">
      <w:start w:val="1"/>
      <w:numFmt w:val="decimal"/>
      <w:lvlText w:val="%7."/>
      <w:lvlJc w:val="left"/>
      <w:pPr>
        <w:ind w:left="5400" w:hanging="360"/>
      </w:pPr>
    </w:lvl>
    <w:lvl w:ilvl="7" w:tplc="30090019">
      <w:start w:val="1"/>
      <w:numFmt w:val="lowerLetter"/>
      <w:lvlText w:val="%8."/>
      <w:lvlJc w:val="left"/>
      <w:pPr>
        <w:ind w:left="6120" w:hanging="360"/>
      </w:pPr>
    </w:lvl>
    <w:lvl w:ilvl="8" w:tplc="3009001B">
      <w:start w:val="1"/>
      <w:numFmt w:val="lowerRoman"/>
      <w:lvlText w:val="%9."/>
      <w:lvlJc w:val="right"/>
      <w:pPr>
        <w:ind w:left="6840" w:hanging="180"/>
      </w:pPr>
    </w:lvl>
  </w:abstractNum>
  <w:abstractNum w:abstractNumId="2" w15:restartNumberingAfterBreak="0">
    <w:nsid w:val="2EB21C61"/>
    <w:multiLevelType w:val="hybridMultilevel"/>
    <w:tmpl w:val="C4E89B38"/>
    <w:lvl w:ilvl="0" w:tplc="624C9222">
      <w:start w:val="1"/>
      <w:numFmt w:val="decimal"/>
      <w:lvlText w:val="%1"/>
      <w:lvlJc w:val="left"/>
      <w:pPr>
        <w:ind w:left="834" w:hanging="5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00259D"/>
    <w:multiLevelType w:val="hybridMultilevel"/>
    <w:tmpl w:val="7DE65270"/>
    <w:lvl w:ilvl="0" w:tplc="088AD4DE">
      <w:start w:val="1"/>
      <w:numFmt w:val="decimal"/>
      <w:lvlText w:val="%1."/>
      <w:lvlJc w:val="left"/>
      <w:pPr>
        <w:ind w:left="360" w:hanging="360"/>
      </w:pPr>
      <w:rPr>
        <w:rFonts w:asciiTheme="minorHAnsi" w:hAnsiTheme="minorHAnsi" w:cstheme="minorHAnsi" w:hint="default"/>
        <w:color w:val="444444"/>
        <w:sz w:val="24"/>
        <w:szCs w:val="24"/>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num w:numId="1" w16cid:durableId="1374816267">
    <w:abstractNumId w:val="0"/>
  </w:num>
  <w:num w:numId="2" w16cid:durableId="295986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070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51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2911"/>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445D"/>
    <w:rsid w:val="00564FBC"/>
    <w:rsid w:val="005800BC"/>
    <w:rsid w:val="00582442"/>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B38C3"/>
    <w:rsid w:val="009E17BD"/>
    <w:rsid w:val="009E485A"/>
    <w:rsid w:val="00A04CEC"/>
    <w:rsid w:val="00A2556E"/>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A2556E"/>
    <w:rPr>
      <w:color w:val="605E5C"/>
      <w:shd w:val="clear" w:color="auto" w:fill="E1DFDD"/>
    </w:rPr>
  </w:style>
  <w:style w:type="paragraph" w:styleId="NoSpacing">
    <w:name w:val="No Spacing"/>
    <w:uiPriority w:val="1"/>
    <w:qFormat/>
    <w:rsid w:val="00A2556E"/>
    <w:rPr>
      <w:rFonts w:ascii="Calibri" w:eastAsiaTheme="minorHAnsi" w:hAnsi="Calibri" w:cs="Calibri"/>
      <w:sz w:val="22"/>
      <w:szCs w:val="22"/>
      <w:lang w:val="en-ZW" w:eastAsia="en-ZW"/>
    </w:rPr>
  </w:style>
  <w:style w:type="paragraph" w:styleId="ListParagraph">
    <w:name w:val="List Paragraph"/>
    <w:basedOn w:val="Normal"/>
    <w:uiPriority w:val="34"/>
    <w:qFormat/>
    <w:rsid w:val="00A2556E"/>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kern w:val="2"/>
      <w:sz w:val="22"/>
      <w:szCs w:val="22"/>
      <w:lang w:val="en-ZW"/>
      <w14:ligatures w14:val="standardContextual"/>
    </w:rPr>
  </w:style>
  <w:style w:type="character" w:customStyle="1" w:styleId="enumlev1Char">
    <w:name w:val="enumlev1 Char"/>
    <w:basedOn w:val="DefaultParagraphFont"/>
    <w:link w:val="enumlev1"/>
    <w:locked/>
    <w:rsid w:val="00A2556E"/>
    <w:rPr>
      <w:rFonts w:ascii="Calibri" w:hAnsi="Calibri"/>
      <w:sz w:val="24"/>
      <w:lang w:val="en-GB" w:eastAsia="en-US"/>
    </w:rPr>
  </w:style>
  <w:style w:type="paragraph" w:customStyle="1" w:styleId="p1">
    <w:name w:val="p1"/>
    <w:basedOn w:val="Normal"/>
    <w:rsid w:val="00A2556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val="en-ZW" w:eastAsia="en-ZW"/>
    </w:rPr>
  </w:style>
  <w:style w:type="paragraph" w:customStyle="1" w:styleId="p3">
    <w:name w:val="p3"/>
    <w:basedOn w:val="Normal"/>
    <w:rsid w:val="00A2556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val="en-ZW" w:eastAsia="en-ZW"/>
    </w:rPr>
  </w:style>
  <w:style w:type="character" w:customStyle="1" w:styleId="s1">
    <w:name w:val="s1"/>
    <w:basedOn w:val="DefaultParagraphFont"/>
    <w:rsid w:val="00A2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775</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2023-06-27T19:08:00Z</dcterms:created>
  <dcterms:modified xsi:type="dcterms:W3CDTF">2023-06-27T19:19:00Z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