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54250" w:rsidRPr="00E24D59" w14:paraId="36322BF9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72DCAED" w14:textId="5602A4F4" w:rsidR="00F54250" w:rsidRPr="00E24D59" w:rsidRDefault="00F54250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>
              <w:rPr>
                <w:b/>
              </w:rPr>
              <w:t xml:space="preserve">PL </w:t>
            </w:r>
            <w:r w:rsidR="00BF3A64">
              <w:rPr>
                <w:b/>
              </w:rPr>
              <w:t>3</w:t>
            </w:r>
          </w:p>
        </w:tc>
        <w:tc>
          <w:tcPr>
            <w:tcW w:w="5245" w:type="dxa"/>
          </w:tcPr>
          <w:p w14:paraId="62CEE4F3" w14:textId="6A466FDF" w:rsidR="00F54250" w:rsidRPr="00E24D59" w:rsidRDefault="00F5425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5D7628">
              <w:rPr>
                <w:b/>
                <w:lang w:val="fr-CH"/>
              </w:rPr>
              <w:t>77</w:t>
            </w:r>
            <w:r w:rsidRPr="00E24D59">
              <w:rPr>
                <w:b/>
                <w:lang w:val="fr-CH"/>
              </w:rPr>
              <w:t>-</w:t>
            </w:r>
            <w:r>
              <w:rPr>
                <w:b/>
                <w:lang w:val="fr-CH"/>
              </w:rPr>
              <w:t>C</w:t>
            </w:r>
          </w:p>
        </w:tc>
      </w:tr>
      <w:tr w:rsidR="00F54250" w:rsidRPr="00813E5E" w14:paraId="3AB829EB" w14:textId="77777777" w:rsidTr="00E31DCE">
        <w:trPr>
          <w:cantSplit/>
        </w:trPr>
        <w:tc>
          <w:tcPr>
            <w:tcW w:w="3969" w:type="dxa"/>
            <w:vMerge/>
          </w:tcPr>
          <w:p w14:paraId="3DCDC64D" w14:textId="77777777" w:rsidR="00F54250" w:rsidRPr="00E24D59" w:rsidRDefault="00F54250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A3D3F75" w14:textId="77777777" w:rsidR="00F54250" w:rsidRPr="00E85629" w:rsidRDefault="00F54250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b/>
                <w:lang w:eastAsia="zh-CN"/>
              </w:rPr>
              <w:t>27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F54250" w:rsidRPr="00813E5E" w14:paraId="0260AC1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62D01F9" w14:textId="77777777" w:rsidR="00F54250" w:rsidRPr="00813E5E" w:rsidRDefault="00F54250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7B192FC" w14:textId="77777777" w:rsidR="00F54250" w:rsidRPr="00E85629" w:rsidRDefault="00F5425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F54250" w:rsidRPr="00813E5E" w14:paraId="4F36AC4F" w14:textId="77777777" w:rsidTr="00E31DCE">
        <w:trPr>
          <w:cantSplit/>
          <w:trHeight w:val="23"/>
        </w:trPr>
        <w:tc>
          <w:tcPr>
            <w:tcW w:w="3969" w:type="dxa"/>
          </w:tcPr>
          <w:p w14:paraId="51B76A7D" w14:textId="77777777" w:rsidR="00F54250" w:rsidRPr="00813E5E" w:rsidRDefault="00F54250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7D1FB9" w14:textId="77777777" w:rsidR="00F54250" w:rsidRDefault="00F54250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54250" w:rsidRPr="00813E5E" w14:paraId="03A9133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F7D4410" w14:textId="73AF0C7F" w:rsidR="00F54250" w:rsidRPr="00E24D59" w:rsidRDefault="00051516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lt_pId012"/>
            <w:bookmarkStart w:id="6" w:name="dsource" w:colFirst="0" w:colLast="0"/>
            <w:bookmarkEnd w:id="4"/>
            <w:r>
              <w:rPr>
                <w:lang w:eastAsia="zh-CN"/>
              </w:rPr>
              <w:t>阿尔及利亚（人民民主共和国）、沙特阿拉伯（王国）、布基纳法索、科特迪瓦（共和国）、（阿拉伯）埃及（共和国）、阿拉伯联合酋长国、加纳、毛里求斯（共和国）、尼日利亚（联邦共和国）、南非（共和国）、突尼斯</w:t>
            </w:r>
            <w:r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津巴布韦（共和国）</w:t>
            </w:r>
            <w:bookmarkEnd w:id="5"/>
            <w:r>
              <w:rPr>
                <w:rFonts w:hint="eastAsia"/>
                <w:lang w:eastAsia="zh-CN"/>
              </w:rPr>
              <w:t>的文稿</w:t>
            </w:r>
          </w:p>
        </w:tc>
      </w:tr>
      <w:tr w:rsidR="00F54250" w:rsidRPr="00813E5E" w14:paraId="57C349F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85248E6" w14:textId="010C1D28" w:rsidR="00F54250" w:rsidRPr="00E24D59" w:rsidRDefault="005D7628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7" w:name="dtitle1" w:colFirst="0" w:colLast="0"/>
            <w:bookmarkEnd w:id="6"/>
            <w:r w:rsidRPr="00065A01">
              <w:rPr>
                <w:rFonts w:eastAsiaTheme="minorEastAsia"/>
                <w:lang w:eastAsia="zh-CN"/>
              </w:rPr>
              <w:t>《国际电信规则》专家组的职责范围</w:t>
            </w:r>
          </w:p>
        </w:tc>
      </w:tr>
      <w:tr w:rsidR="00F54250" w:rsidRPr="00813E5E" w14:paraId="56F50A2C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9F95B39" w14:textId="77777777" w:rsidR="00F54250" w:rsidRPr="00E24D59" w:rsidRDefault="00F54250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6E2D9962" w14:textId="609B639B" w:rsidR="00F54250" w:rsidRPr="0057581F" w:rsidRDefault="00A03D5C" w:rsidP="00E968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rPr>
                <w:lang w:val="en-AU" w:eastAsia="zh-CN"/>
              </w:rPr>
            </w:pPr>
            <w:r w:rsidRPr="00A03D5C">
              <w:rPr>
                <w:rFonts w:hint="eastAsia"/>
                <w:lang w:eastAsia="zh-CN"/>
              </w:rPr>
              <w:t>本文件载有向国际电联理事会</w:t>
            </w:r>
            <w:r w:rsidRPr="00A03D5C">
              <w:rPr>
                <w:rFonts w:hint="eastAsia"/>
                <w:lang w:eastAsia="zh-CN"/>
              </w:rPr>
              <w:t>2023</w:t>
            </w:r>
            <w:r w:rsidRPr="00A03D5C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会议</w:t>
            </w:r>
            <w:r w:rsidRPr="00A03D5C">
              <w:rPr>
                <w:rFonts w:hint="eastAsia"/>
                <w:lang w:eastAsia="zh-CN"/>
              </w:rPr>
              <w:t>提出的关于</w:t>
            </w:r>
            <w:r w:rsidRPr="00065A01">
              <w:rPr>
                <w:rFonts w:eastAsiaTheme="minorEastAsia"/>
                <w:lang w:eastAsia="zh-CN"/>
              </w:rPr>
              <w:t>《国际电信规则》专家组</w:t>
            </w:r>
            <w:r>
              <w:rPr>
                <w:rFonts w:eastAsiaTheme="minorEastAsia" w:hint="eastAsia"/>
                <w:lang w:eastAsia="zh-CN"/>
              </w:rPr>
              <w:t>（</w:t>
            </w:r>
            <w:r w:rsidRPr="00A03D5C">
              <w:rPr>
                <w:rFonts w:hint="eastAsia"/>
                <w:lang w:eastAsia="zh-CN"/>
              </w:rPr>
              <w:t>EG-ITRs</w:t>
            </w:r>
            <w:r>
              <w:rPr>
                <w:rFonts w:hint="eastAsia"/>
                <w:lang w:eastAsia="zh-CN"/>
              </w:rPr>
              <w:t>）</w:t>
            </w:r>
            <w:r w:rsidRPr="00A03D5C"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eastAsia="zh-CN"/>
              </w:rPr>
              <w:t>责</w:t>
            </w:r>
            <w:r w:rsidRPr="00A03D5C">
              <w:rPr>
                <w:rFonts w:hint="eastAsia"/>
                <w:lang w:eastAsia="zh-CN"/>
              </w:rPr>
              <w:t>范围的多国提案，供理事会审议和批准。</w:t>
            </w:r>
          </w:p>
          <w:p w14:paraId="66623238" w14:textId="77777777" w:rsidR="00F54250" w:rsidRPr="00E24D59" w:rsidRDefault="00F54250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02D84A7" w14:textId="65384066" w:rsidR="00F54250" w:rsidRPr="0057581F" w:rsidRDefault="00A03D5C" w:rsidP="00E9680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firstLineChars="200" w:firstLine="480"/>
              <w:rPr>
                <w:lang w:val="en-AU" w:eastAsia="zh-CN"/>
              </w:rPr>
            </w:pPr>
            <w:r w:rsidRPr="00A03D5C">
              <w:rPr>
                <w:rFonts w:hint="eastAsia"/>
                <w:lang w:eastAsia="zh-CN"/>
              </w:rPr>
              <w:t>审议并批准</w:t>
            </w:r>
            <w:r w:rsidRPr="00A03D5C">
              <w:rPr>
                <w:rFonts w:hint="eastAsia"/>
                <w:lang w:eastAsia="zh-CN"/>
              </w:rPr>
              <w:t>EG-ITRs</w:t>
            </w:r>
            <w:r w:rsidRPr="00A03D5C">
              <w:rPr>
                <w:rFonts w:hint="eastAsia"/>
                <w:lang w:eastAsia="zh-CN"/>
              </w:rPr>
              <w:t>的拟议职</w:t>
            </w:r>
            <w:r>
              <w:rPr>
                <w:rFonts w:hint="eastAsia"/>
                <w:lang w:eastAsia="zh-CN"/>
              </w:rPr>
              <w:t>责</w:t>
            </w:r>
            <w:r w:rsidRPr="00A03D5C">
              <w:rPr>
                <w:rFonts w:hint="eastAsia"/>
                <w:lang w:eastAsia="zh-CN"/>
              </w:rPr>
              <w:t>范围（</w:t>
            </w:r>
            <w:proofErr w:type="spellStart"/>
            <w:r w:rsidRPr="00A03D5C">
              <w:rPr>
                <w:rFonts w:hint="eastAsia"/>
                <w:lang w:eastAsia="zh-CN"/>
              </w:rPr>
              <w:t>ToR</w:t>
            </w:r>
            <w:proofErr w:type="spellEnd"/>
            <w:r w:rsidRPr="00A03D5C">
              <w:rPr>
                <w:rFonts w:hint="eastAsia"/>
                <w:lang w:eastAsia="zh-CN"/>
              </w:rPr>
              <w:t>）。</w:t>
            </w:r>
          </w:p>
          <w:p w14:paraId="4D46F39A" w14:textId="77777777" w:rsidR="00F54250" w:rsidRPr="00E24D59" w:rsidRDefault="00F54250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FC3B3B" w14:textId="77777777" w:rsidR="00F54250" w:rsidRPr="00E24D59" w:rsidRDefault="00F54250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4DBFED07" w14:textId="25738875" w:rsidR="00F54250" w:rsidRDefault="00A03D5C" w:rsidP="0057581F">
            <w:pPr>
              <w:spacing w:after="160"/>
              <w:rPr>
                <w:lang w:eastAsia="zh-CN"/>
              </w:rPr>
            </w:pPr>
            <w:bookmarkStart w:id="8" w:name="lt_pId020"/>
            <w:r>
              <w:rPr>
                <w:rFonts w:hint="eastAsia"/>
                <w:lang w:eastAsia="zh-CN"/>
              </w:rPr>
              <w:t>全权代表大会</w:t>
            </w:r>
            <w:r w:rsidR="00012EC9">
              <w:fldChar w:fldCharType="begin"/>
            </w:r>
            <w:r w:rsidR="00012EC9">
              <w:rPr>
                <w:lang w:eastAsia="zh-CN"/>
              </w:rPr>
              <w:instrText>HYPERLINK "https://www.itu.int/en/council/Documents/basic-texts-2023/RES-146-C.pdf"</w:instrText>
            </w:r>
            <w:r w:rsidR="00012EC9">
              <w:fldChar w:fldCharType="separate"/>
            </w:r>
            <w:r>
              <w:rPr>
                <w:rStyle w:val="Hyperlink"/>
                <w:rFonts w:hint="eastAsia"/>
                <w:lang w:eastAsia="zh-CN"/>
              </w:rPr>
              <w:t>第</w:t>
            </w:r>
            <w:r w:rsidRPr="00C53360">
              <w:rPr>
                <w:rStyle w:val="Hyperlink"/>
                <w:lang w:eastAsia="zh-CN"/>
              </w:rPr>
              <w:t>146</w:t>
            </w:r>
            <w:r w:rsidR="00012EC9">
              <w:rPr>
                <w:rStyle w:val="Hyperlink"/>
                <w:lang w:eastAsia="zh-CN"/>
              </w:rPr>
              <w:fldChar w:fldCharType="end"/>
            </w:r>
            <w:r>
              <w:rPr>
                <w:rStyle w:val="Hyperlink"/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022</w:t>
            </w:r>
            <w:r>
              <w:rPr>
                <w:rFonts w:hint="eastAsia"/>
                <w:lang w:eastAsia="zh-CN"/>
              </w:rPr>
              <w:t>年，布加勒斯特，修订版）</w:t>
            </w:r>
            <w:bookmarkEnd w:id="8"/>
          </w:p>
        </w:tc>
      </w:tr>
      <w:bookmarkEnd w:id="2"/>
      <w:bookmarkEnd w:id="7"/>
    </w:tbl>
    <w:p w14:paraId="000B30D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755E4995" w14:textId="00373EBB" w:rsidR="007B4E0B" w:rsidRPr="008E2932" w:rsidRDefault="005C39B0" w:rsidP="00063A55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引言</w:t>
      </w:r>
    </w:p>
    <w:p w14:paraId="73816013" w14:textId="49B80201" w:rsidR="00A03D5C" w:rsidRPr="00A03D5C" w:rsidRDefault="00A03D5C" w:rsidP="00FC0898">
      <w:pPr>
        <w:ind w:firstLineChars="200" w:firstLine="480"/>
        <w:rPr>
          <w:lang w:eastAsia="zh-CN"/>
        </w:rPr>
      </w:pPr>
      <w:r w:rsidRPr="00A03D5C">
        <w:rPr>
          <w:rFonts w:hint="eastAsia"/>
          <w:lang w:eastAsia="zh-CN"/>
        </w:rPr>
        <w:t>《国际电信规则》一直是国际电联</w:t>
      </w:r>
      <w:r>
        <w:rPr>
          <w:rFonts w:hint="eastAsia"/>
          <w:lang w:eastAsia="zh-CN"/>
        </w:rPr>
        <w:t>历届</w:t>
      </w:r>
      <w:r w:rsidRPr="00A03D5C">
        <w:rPr>
          <w:rFonts w:hint="eastAsia"/>
          <w:lang w:eastAsia="zh-CN"/>
        </w:rPr>
        <w:t>全权代表</w:t>
      </w:r>
      <w:r>
        <w:rPr>
          <w:rFonts w:hint="eastAsia"/>
          <w:lang w:eastAsia="zh-CN"/>
        </w:rPr>
        <w:t>大会</w:t>
      </w:r>
      <w:r w:rsidRPr="00A03D5C">
        <w:rPr>
          <w:rFonts w:hint="eastAsia"/>
          <w:lang w:eastAsia="zh-CN"/>
        </w:rPr>
        <w:t>辩论的主题。多年来为解决这些问题</w:t>
      </w:r>
      <w:r w:rsidR="00CE283B">
        <w:rPr>
          <w:rFonts w:hint="eastAsia"/>
          <w:lang w:eastAsia="zh-CN"/>
        </w:rPr>
        <w:t>召集</w:t>
      </w:r>
      <w:r w:rsidRPr="00A03D5C">
        <w:rPr>
          <w:rFonts w:hint="eastAsia"/>
          <w:lang w:eastAsia="zh-CN"/>
        </w:rPr>
        <w:t>了三个专家组，但</w:t>
      </w:r>
      <w:r w:rsidR="00CE283B" w:rsidRPr="00A03D5C">
        <w:rPr>
          <w:rFonts w:hint="eastAsia"/>
          <w:lang w:eastAsia="zh-CN"/>
        </w:rPr>
        <w:t>迄今为止</w:t>
      </w:r>
      <w:r w:rsidRPr="00A03D5C">
        <w:rPr>
          <w:rFonts w:hint="eastAsia"/>
          <w:lang w:eastAsia="zh-CN"/>
        </w:rPr>
        <w:t>都未能</w:t>
      </w:r>
      <w:r w:rsidR="001D72B6">
        <w:rPr>
          <w:rFonts w:hint="eastAsia"/>
          <w:lang w:eastAsia="zh-CN"/>
        </w:rPr>
        <w:t>解决问题</w:t>
      </w:r>
      <w:r w:rsidRPr="00A03D5C">
        <w:rPr>
          <w:rFonts w:hint="eastAsia"/>
          <w:lang w:eastAsia="zh-CN"/>
        </w:rPr>
        <w:t>。这就要求我们在计划</w:t>
      </w:r>
      <w:r w:rsidR="00CE283B">
        <w:rPr>
          <w:rFonts w:hint="eastAsia"/>
          <w:lang w:eastAsia="zh-CN"/>
        </w:rPr>
        <w:t>召集</w:t>
      </w:r>
      <w:r w:rsidRPr="00A03D5C">
        <w:rPr>
          <w:rFonts w:hint="eastAsia"/>
          <w:lang w:eastAsia="zh-CN"/>
        </w:rPr>
        <w:t>第四个专家组来处理这一问题时要转变思路。</w:t>
      </w:r>
    </w:p>
    <w:p w14:paraId="454FB68F" w14:textId="2D67F688" w:rsidR="00A03D5C" w:rsidRPr="00A03D5C" w:rsidRDefault="00A03D5C" w:rsidP="00FC0898">
      <w:pPr>
        <w:ind w:firstLineChars="200" w:firstLine="480"/>
        <w:rPr>
          <w:lang w:eastAsia="zh-CN"/>
        </w:rPr>
      </w:pPr>
      <w:r w:rsidRPr="00A03D5C">
        <w:rPr>
          <w:rFonts w:hint="eastAsia"/>
          <w:lang w:eastAsia="zh-CN"/>
        </w:rPr>
        <w:t>国际电联成员国</w:t>
      </w:r>
      <w:r w:rsidR="00CE283B" w:rsidRPr="00A03D5C">
        <w:rPr>
          <w:rFonts w:hint="eastAsia"/>
          <w:lang w:eastAsia="zh-CN"/>
        </w:rPr>
        <w:t>的</w:t>
      </w:r>
      <w:r w:rsidR="00CE283B">
        <w:rPr>
          <w:rFonts w:hint="eastAsia"/>
          <w:lang w:eastAsia="zh-CN"/>
        </w:rPr>
        <w:t>意见</w:t>
      </w:r>
      <w:r w:rsidRPr="00A03D5C">
        <w:rPr>
          <w:rFonts w:hint="eastAsia"/>
          <w:lang w:eastAsia="zh-CN"/>
        </w:rPr>
        <w:t>分为两</w:t>
      </w:r>
      <w:r w:rsidR="00CE283B">
        <w:rPr>
          <w:rFonts w:hint="eastAsia"/>
          <w:lang w:eastAsia="zh-CN"/>
        </w:rPr>
        <w:t>派</w:t>
      </w:r>
      <w:r w:rsidRPr="00A03D5C">
        <w:rPr>
          <w:rFonts w:hint="eastAsia"/>
          <w:lang w:eastAsia="zh-CN"/>
        </w:rPr>
        <w:t>。一</w:t>
      </w:r>
      <w:r w:rsidR="00CE283B">
        <w:rPr>
          <w:rFonts w:hint="eastAsia"/>
          <w:lang w:eastAsia="zh-CN"/>
        </w:rPr>
        <w:t>派</w:t>
      </w:r>
      <w:r w:rsidRPr="00A03D5C">
        <w:rPr>
          <w:rFonts w:hint="eastAsia"/>
          <w:lang w:eastAsia="zh-CN"/>
        </w:rPr>
        <w:t>的观点基本上是，</w:t>
      </w:r>
      <w:r w:rsidR="00CE283B" w:rsidRPr="00A03D5C">
        <w:rPr>
          <w:rFonts w:hint="eastAsia"/>
          <w:lang w:eastAsia="zh-CN"/>
        </w:rPr>
        <w:t>《国际电信规则》</w:t>
      </w:r>
      <w:r w:rsidRPr="00A03D5C">
        <w:rPr>
          <w:rFonts w:hint="eastAsia"/>
          <w:lang w:eastAsia="zh-CN"/>
        </w:rPr>
        <w:t>已经变得</w:t>
      </w:r>
      <w:r w:rsidR="00CE283B">
        <w:rPr>
          <w:rFonts w:hint="eastAsia"/>
          <w:lang w:eastAsia="zh-CN"/>
        </w:rPr>
        <w:t>没有相关性</w:t>
      </w:r>
      <w:r w:rsidRPr="00A03D5C">
        <w:rPr>
          <w:rFonts w:hint="eastAsia"/>
          <w:lang w:eastAsia="zh-CN"/>
        </w:rPr>
        <w:t>，应该被抛弃；另一</w:t>
      </w:r>
      <w:r w:rsidR="00CE283B">
        <w:rPr>
          <w:rFonts w:hint="eastAsia"/>
          <w:lang w:eastAsia="zh-CN"/>
        </w:rPr>
        <w:t>派</w:t>
      </w:r>
      <w:r w:rsidRPr="00A03D5C">
        <w:rPr>
          <w:rFonts w:hint="eastAsia"/>
          <w:lang w:eastAsia="zh-CN"/>
        </w:rPr>
        <w:t>的观点是，</w:t>
      </w:r>
      <w:r w:rsidR="00CE283B" w:rsidRPr="00A03D5C">
        <w:rPr>
          <w:rFonts w:hint="eastAsia"/>
          <w:lang w:eastAsia="zh-CN"/>
        </w:rPr>
        <w:t>《国际电信规则》</w:t>
      </w:r>
      <w:r w:rsidRPr="00A03D5C">
        <w:rPr>
          <w:rFonts w:hint="eastAsia"/>
          <w:lang w:eastAsia="zh-CN"/>
        </w:rPr>
        <w:t>仍然有用</w:t>
      </w:r>
      <w:r w:rsidR="001D72B6">
        <w:rPr>
          <w:rFonts w:hint="eastAsia"/>
          <w:lang w:eastAsia="zh-CN"/>
        </w:rPr>
        <w:t>、具有</w:t>
      </w:r>
      <w:r w:rsidRPr="00A03D5C">
        <w:rPr>
          <w:rFonts w:hint="eastAsia"/>
          <w:lang w:eastAsia="zh-CN"/>
        </w:rPr>
        <w:t>相关</w:t>
      </w:r>
      <w:r w:rsidR="001D72B6">
        <w:rPr>
          <w:rFonts w:hint="eastAsia"/>
          <w:lang w:eastAsia="zh-CN"/>
        </w:rPr>
        <w:t>性</w:t>
      </w:r>
      <w:r w:rsidRPr="00A03D5C">
        <w:rPr>
          <w:rFonts w:hint="eastAsia"/>
          <w:lang w:eastAsia="zh-CN"/>
        </w:rPr>
        <w:t>，但要考虑到制定</w:t>
      </w:r>
      <w:r w:rsidR="00CE283B">
        <w:rPr>
          <w:rFonts w:hint="eastAsia"/>
          <w:lang w:eastAsia="zh-CN"/>
        </w:rPr>
        <w:t>这些规则</w:t>
      </w:r>
      <w:r w:rsidRPr="00A03D5C">
        <w:rPr>
          <w:rFonts w:hint="eastAsia"/>
          <w:lang w:eastAsia="zh-CN"/>
        </w:rPr>
        <w:t>时没有想到的</w:t>
      </w:r>
      <w:r w:rsidR="001D72B6">
        <w:rPr>
          <w:rFonts w:hint="eastAsia"/>
          <w:lang w:eastAsia="zh-CN"/>
        </w:rPr>
        <w:t>、</w:t>
      </w:r>
      <w:r w:rsidRPr="00A03D5C">
        <w:rPr>
          <w:rFonts w:hint="eastAsia"/>
          <w:lang w:eastAsia="zh-CN"/>
        </w:rPr>
        <w:t>新</w:t>
      </w:r>
      <w:r w:rsidR="001D72B6">
        <w:rPr>
          <w:rFonts w:hint="eastAsia"/>
          <w:lang w:eastAsia="zh-CN"/>
        </w:rPr>
        <w:t>出现的</w:t>
      </w:r>
      <w:r w:rsidRPr="00A03D5C">
        <w:rPr>
          <w:rFonts w:hint="eastAsia"/>
          <w:lang w:eastAsia="zh-CN"/>
        </w:rPr>
        <w:t>问题，对其进行一些修正，使其现代化。</w:t>
      </w:r>
    </w:p>
    <w:p w14:paraId="1E1B56F4" w14:textId="09309ED1" w:rsidR="00A03D5C" w:rsidRPr="00A03D5C" w:rsidRDefault="00A03D5C" w:rsidP="00FC0898">
      <w:pPr>
        <w:ind w:firstLineChars="200" w:firstLine="480"/>
        <w:rPr>
          <w:lang w:eastAsia="zh-CN"/>
        </w:rPr>
      </w:pPr>
      <w:r w:rsidRPr="00A03D5C">
        <w:rPr>
          <w:rFonts w:hint="eastAsia"/>
          <w:lang w:eastAsia="zh-CN"/>
        </w:rPr>
        <w:t>在</w:t>
      </w:r>
      <w:r w:rsidR="00CE283B">
        <w:rPr>
          <w:rFonts w:hint="eastAsia"/>
          <w:lang w:eastAsia="zh-CN"/>
        </w:rPr>
        <w:t>PP-</w:t>
      </w:r>
      <w:r w:rsidR="00CE283B">
        <w:rPr>
          <w:lang w:eastAsia="zh-CN"/>
        </w:rPr>
        <w:t>22</w:t>
      </w:r>
      <w:r w:rsidRPr="00A03D5C">
        <w:rPr>
          <w:rFonts w:hint="eastAsia"/>
          <w:lang w:eastAsia="zh-CN"/>
        </w:rPr>
        <w:t>上，这两派的观点一直非常对立，直到</w:t>
      </w:r>
      <w:r w:rsidR="00CE283B">
        <w:rPr>
          <w:rFonts w:hint="eastAsia"/>
          <w:lang w:eastAsia="zh-CN"/>
        </w:rPr>
        <w:t>PP-</w:t>
      </w:r>
      <w:r w:rsidR="00CE283B">
        <w:rPr>
          <w:lang w:eastAsia="zh-CN"/>
        </w:rPr>
        <w:t>22</w:t>
      </w:r>
      <w:r w:rsidR="00CE283B">
        <w:rPr>
          <w:rFonts w:hint="eastAsia"/>
          <w:lang w:eastAsia="zh-CN"/>
        </w:rPr>
        <w:t>的</w:t>
      </w:r>
      <w:r w:rsidRPr="00A03D5C">
        <w:rPr>
          <w:rFonts w:hint="eastAsia"/>
          <w:lang w:eastAsia="zh-CN"/>
        </w:rPr>
        <w:t>主席出面斡旋，就重新</w:t>
      </w:r>
      <w:r w:rsidR="00CE283B">
        <w:rPr>
          <w:rFonts w:hint="eastAsia"/>
          <w:lang w:eastAsia="zh-CN"/>
        </w:rPr>
        <w:t>召集</w:t>
      </w:r>
      <w:r w:rsidR="00CE283B" w:rsidRPr="00065A01">
        <w:rPr>
          <w:rFonts w:eastAsiaTheme="minorEastAsia"/>
          <w:lang w:eastAsia="zh-CN"/>
        </w:rPr>
        <w:t>《国际电信规则》专家</w:t>
      </w:r>
      <w:proofErr w:type="gramStart"/>
      <w:r w:rsidR="00CE283B" w:rsidRPr="00065A01">
        <w:rPr>
          <w:rFonts w:eastAsiaTheme="minorEastAsia"/>
          <w:lang w:eastAsia="zh-CN"/>
        </w:rPr>
        <w:t>组</w:t>
      </w:r>
      <w:r w:rsidRPr="00A03D5C">
        <w:rPr>
          <w:rFonts w:hint="eastAsia"/>
          <w:lang w:eastAsia="zh-CN"/>
        </w:rPr>
        <w:t>达成</w:t>
      </w:r>
      <w:proofErr w:type="gramEnd"/>
      <w:r w:rsidRPr="00A03D5C">
        <w:rPr>
          <w:rFonts w:hint="eastAsia"/>
          <w:lang w:eastAsia="zh-CN"/>
        </w:rPr>
        <w:t>共识。</w:t>
      </w:r>
    </w:p>
    <w:p w14:paraId="19E3A1AA" w14:textId="59BCFDFC" w:rsidR="00A03D5C" w:rsidRPr="00A03D5C" w:rsidRDefault="00A03D5C" w:rsidP="00FC0898">
      <w:pPr>
        <w:ind w:firstLineChars="200" w:firstLine="480"/>
        <w:rPr>
          <w:lang w:eastAsia="zh-CN"/>
        </w:rPr>
      </w:pPr>
      <w:r w:rsidRPr="00A03D5C">
        <w:rPr>
          <w:rFonts w:hint="eastAsia"/>
          <w:lang w:eastAsia="zh-CN"/>
        </w:rPr>
        <w:t>我们认为，解决</w:t>
      </w:r>
      <w:r w:rsidR="00CE283B" w:rsidRPr="00A03D5C">
        <w:rPr>
          <w:rFonts w:hint="eastAsia"/>
          <w:lang w:eastAsia="zh-CN"/>
        </w:rPr>
        <w:t>问题的</w:t>
      </w:r>
      <w:r w:rsidRPr="00A03D5C">
        <w:rPr>
          <w:rFonts w:hint="eastAsia"/>
          <w:lang w:eastAsia="zh-CN"/>
        </w:rPr>
        <w:t>办法在于一直</w:t>
      </w:r>
      <w:r w:rsidR="00CE283B">
        <w:rPr>
          <w:rFonts w:hint="eastAsia"/>
          <w:lang w:eastAsia="zh-CN"/>
        </w:rPr>
        <w:t>以来</w:t>
      </w:r>
      <w:r w:rsidRPr="00A03D5C">
        <w:rPr>
          <w:rFonts w:hint="eastAsia"/>
          <w:lang w:eastAsia="zh-CN"/>
        </w:rPr>
        <w:t>讨论中</w:t>
      </w:r>
      <w:r w:rsidR="00CE283B">
        <w:rPr>
          <w:rFonts w:hint="eastAsia"/>
          <w:lang w:eastAsia="zh-CN"/>
        </w:rPr>
        <w:t>所</w:t>
      </w:r>
      <w:r w:rsidRPr="00A03D5C">
        <w:rPr>
          <w:rFonts w:hint="eastAsia"/>
          <w:lang w:eastAsia="zh-CN"/>
        </w:rPr>
        <w:t>出现的第三派观点。这一派</w:t>
      </w:r>
      <w:r w:rsidR="001D72B6">
        <w:rPr>
          <w:rFonts w:hint="eastAsia"/>
          <w:lang w:eastAsia="zh-CN"/>
        </w:rPr>
        <w:t>意见</w:t>
      </w:r>
      <w:r w:rsidRPr="00A03D5C">
        <w:rPr>
          <w:rFonts w:hint="eastAsia"/>
          <w:lang w:eastAsia="zh-CN"/>
        </w:rPr>
        <w:t>认为，</w:t>
      </w:r>
      <w:r w:rsidRPr="00A03D5C">
        <w:rPr>
          <w:rFonts w:hint="eastAsia"/>
          <w:lang w:eastAsia="zh-CN"/>
        </w:rPr>
        <w:t>1988</w:t>
      </w:r>
      <w:r w:rsidRPr="00A03D5C">
        <w:rPr>
          <w:rFonts w:hint="eastAsia"/>
          <w:lang w:eastAsia="zh-CN"/>
        </w:rPr>
        <w:t>年</w:t>
      </w:r>
      <w:r w:rsidR="00CE283B">
        <w:rPr>
          <w:rFonts w:hint="eastAsia"/>
          <w:lang w:eastAsia="zh-CN"/>
        </w:rPr>
        <w:t>版</w:t>
      </w:r>
      <w:r w:rsidRPr="00A03D5C">
        <w:rPr>
          <w:rFonts w:hint="eastAsia"/>
          <w:lang w:eastAsia="zh-CN"/>
        </w:rPr>
        <w:t>和</w:t>
      </w:r>
      <w:r w:rsidRPr="00A03D5C">
        <w:rPr>
          <w:rFonts w:hint="eastAsia"/>
          <w:lang w:eastAsia="zh-CN"/>
        </w:rPr>
        <w:t>2012</w:t>
      </w:r>
      <w:r w:rsidRPr="00A03D5C">
        <w:rPr>
          <w:rFonts w:hint="eastAsia"/>
          <w:lang w:eastAsia="zh-CN"/>
        </w:rPr>
        <w:t>年</w:t>
      </w:r>
      <w:r w:rsidR="00CE283B">
        <w:rPr>
          <w:rFonts w:hint="eastAsia"/>
          <w:lang w:eastAsia="zh-CN"/>
        </w:rPr>
        <w:t>版</w:t>
      </w:r>
      <w:r w:rsidRPr="00A03D5C">
        <w:rPr>
          <w:rFonts w:hint="eastAsia"/>
          <w:lang w:eastAsia="zh-CN"/>
        </w:rPr>
        <w:t>的</w:t>
      </w:r>
      <w:r w:rsidR="00C22AD7" w:rsidRPr="00065A01">
        <w:rPr>
          <w:rFonts w:eastAsiaTheme="minorEastAsia"/>
          <w:lang w:eastAsia="zh-CN"/>
        </w:rPr>
        <w:t>《国际电信规则》</w:t>
      </w:r>
      <w:r w:rsidRPr="00A03D5C">
        <w:rPr>
          <w:rFonts w:hint="eastAsia"/>
          <w:lang w:eastAsia="zh-CN"/>
        </w:rPr>
        <w:t>以其目前的形式已经过时，有必要根据当今的现实情况提出一套新的</w:t>
      </w:r>
      <w:r w:rsidR="00C22AD7" w:rsidRPr="00065A01">
        <w:rPr>
          <w:rFonts w:eastAsiaTheme="minorEastAsia"/>
          <w:lang w:eastAsia="zh-CN"/>
        </w:rPr>
        <w:t>《国际电信规则》</w:t>
      </w:r>
      <w:r w:rsidRPr="00A03D5C">
        <w:rPr>
          <w:rFonts w:hint="eastAsia"/>
          <w:lang w:eastAsia="zh-CN"/>
        </w:rPr>
        <w:t>。</w:t>
      </w:r>
    </w:p>
    <w:p w14:paraId="171E4DD3" w14:textId="48F7485C" w:rsidR="007B4E0B" w:rsidRPr="00E64229" w:rsidRDefault="00C22AD7" w:rsidP="00FC0898">
      <w:pPr>
        <w:ind w:firstLineChars="200" w:firstLine="480"/>
        <w:rPr>
          <w:lang w:eastAsia="zh-CN"/>
        </w:rPr>
      </w:pPr>
      <w:r w:rsidRPr="00A03D5C">
        <w:rPr>
          <w:rFonts w:hint="eastAsia"/>
          <w:lang w:eastAsia="zh-CN"/>
        </w:rPr>
        <w:t>向理事会</w:t>
      </w:r>
      <w:r w:rsidRPr="00A03D5C">
        <w:rPr>
          <w:rFonts w:hint="eastAsia"/>
          <w:lang w:eastAsia="zh-CN"/>
        </w:rPr>
        <w:t>2023</w:t>
      </w:r>
      <w:r w:rsidRPr="00A03D5C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会议</w:t>
      </w:r>
      <w:r w:rsidR="001D72B6">
        <w:rPr>
          <w:rFonts w:hint="eastAsia"/>
          <w:lang w:eastAsia="zh-CN"/>
        </w:rPr>
        <w:t>提交</w:t>
      </w:r>
      <w:r w:rsidR="00A03D5C" w:rsidRPr="00A03D5C">
        <w:rPr>
          <w:rFonts w:hint="eastAsia"/>
          <w:lang w:eastAsia="zh-CN"/>
        </w:rPr>
        <w:t>提案的</w:t>
      </w:r>
      <w:r w:rsidR="001D72B6" w:rsidRPr="00A03D5C">
        <w:rPr>
          <w:rFonts w:hint="eastAsia"/>
          <w:lang w:eastAsia="zh-CN"/>
        </w:rPr>
        <w:t>签署</w:t>
      </w:r>
      <w:r w:rsidR="00A03D5C" w:rsidRPr="00A03D5C">
        <w:rPr>
          <w:rFonts w:hint="eastAsia"/>
          <w:lang w:eastAsia="zh-CN"/>
        </w:rPr>
        <w:t>国已经研究了</w:t>
      </w:r>
      <w:r>
        <w:rPr>
          <w:rFonts w:hint="eastAsia"/>
          <w:lang w:eastAsia="zh-CN"/>
        </w:rPr>
        <w:t>各派的想法思路</w:t>
      </w:r>
      <w:r w:rsidR="00A03D5C" w:rsidRPr="00A03D5C">
        <w:rPr>
          <w:rFonts w:hint="eastAsia"/>
          <w:lang w:eastAsia="zh-CN"/>
        </w:rPr>
        <w:t>，以及国际电联成员国和相关服务供应商</w:t>
      </w:r>
      <w:r>
        <w:rPr>
          <w:rFonts w:hint="eastAsia"/>
          <w:lang w:eastAsia="zh-CN"/>
        </w:rPr>
        <w:t>所处</w:t>
      </w:r>
      <w:r w:rsidR="00A03D5C" w:rsidRPr="00A03D5C">
        <w:rPr>
          <w:rFonts w:hint="eastAsia"/>
          <w:lang w:eastAsia="zh-CN"/>
        </w:rPr>
        <w:t>的国际电信环境。我们认为，需要一种方法，使国际电联成员作为一个团队</w:t>
      </w:r>
      <w:r>
        <w:rPr>
          <w:rFonts w:hint="eastAsia"/>
          <w:lang w:eastAsia="zh-CN"/>
        </w:rPr>
        <w:t>开展</w:t>
      </w:r>
      <w:r w:rsidR="00A03D5C" w:rsidRPr="00A03D5C">
        <w:rPr>
          <w:rFonts w:hint="eastAsia"/>
          <w:lang w:eastAsia="zh-CN"/>
        </w:rPr>
        <w:t>工作，以解决正在影响国际电信</w:t>
      </w:r>
      <w:r>
        <w:rPr>
          <w:rFonts w:hint="eastAsia"/>
          <w:lang w:eastAsia="zh-CN"/>
        </w:rPr>
        <w:t>、包括新兴技术</w:t>
      </w:r>
      <w:r w:rsidR="00A03D5C" w:rsidRPr="00A03D5C">
        <w:rPr>
          <w:rFonts w:hint="eastAsia"/>
          <w:lang w:eastAsia="zh-CN"/>
        </w:rPr>
        <w:t>的实际问题。</w:t>
      </w:r>
    </w:p>
    <w:p w14:paraId="009C5ACB" w14:textId="40AC3C6D" w:rsidR="007B4E0B" w:rsidRPr="008E2932" w:rsidRDefault="005C39B0" w:rsidP="00063A55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67C377F" w14:textId="56F1604D" w:rsidR="005D7628" w:rsidRPr="006E3642" w:rsidRDefault="006E3642" w:rsidP="00BB6AAC">
      <w:pPr>
        <w:ind w:firstLineChars="200" w:firstLine="480"/>
        <w:rPr>
          <w:lang w:eastAsia="zh-CN"/>
        </w:rPr>
      </w:pPr>
      <w:r w:rsidRPr="006E3642">
        <w:rPr>
          <w:rFonts w:hint="eastAsia"/>
          <w:lang w:eastAsia="zh-CN"/>
        </w:rPr>
        <w:t>根据全权代表</w:t>
      </w:r>
      <w:r>
        <w:rPr>
          <w:rFonts w:hint="eastAsia"/>
          <w:lang w:eastAsia="zh-CN"/>
        </w:rPr>
        <w:t>大会</w:t>
      </w:r>
      <w:r w:rsidRPr="006E3642">
        <w:rPr>
          <w:rFonts w:hint="eastAsia"/>
          <w:lang w:eastAsia="zh-CN"/>
        </w:rPr>
        <w:t>第</w:t>
      </w:r>
      <w:r w:rsidRPr="006E3642">
        <w:rPr>
          <w:rFonts w:hint="eastAsia"/>
          <w:lang w:eastAsia="zh-CN"/>
        </w:rPr>
        <w:t>146</w:t>
      </w:r>
      <w:r w:rsidRPr="006E3642">
        <w:rPr>
          <w:rFonts w:hint="eastAsia"/>
          <w:lang w:eastAsia="zh-CN"/>
        </w:rPr>
        <w:t>号决议（</w:t>
      </w:r>
      <w:r w:rsidRPr="006E3642">
        <w:rPr>
          <w:rFonts w:hint="eastAsia"/>
          <w:lang w:eastAsia="zh-CN"/>
        </w:rPr>
        <w:t>2022</w:t>
      </w:r>
      <w:r w:rsidRPr="006E3642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，</w:t>
      </w:r>
      <w:r w:rsidRPr="006E3642">
        <w:rPr>
          <w:rFonts w:hint="eastAsia"/>
          <w:lang w:eastAsia="zh-CN"/>
        </w:rPr>
        <w:t>布加勒斯特</w:t>
      </w:r>
      <w:r>
        <w:rPr>
          <w:rFonts w:hint="eastAsia"/>
          <w:lang w:eastAsia="zh-CN"/>
        </w:rPr>
        <w:t>，</w:t>
      </w:r>
      <w:r w:rsidRPr="006E3642">
        <w:rPr>
          <w:rFonts w:hint="eastAsia"/>
          <w:lang w:eastAsia="zh-CN"/>
        </w:rPr>
        <w:t>修订版），</w:t>
      </w:r>
      <w:r>
        <w:rPr>
          <w:rFonts w:hint="eastAsia"/>
          <w:lang w:eastAsia="zh-CN"/>
        </w:rPr>
        <w:t>责成</w:t>
      </w:r>
      <w:r w:rsidRPr="006E3642">
        <w:rPr>
          <w:rFonts w:hint="eastAsia"/>
          <w:lang w:eastAsia="zh-CN"/>
        </w:rPr>
        <w:t>秘书长：</w:t>
      </w:r>
    </w:p>
    <w:p w14:paraId="0953C7A2" w14:textId="5197ECF2" w:rsidR="007B4E0B" w:rsidRDefault="005D7628" w:rsidP="00FC089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再次</w:t>
      </w:r>
      <w:r w:rsidRPr="009250B5">
        <w:rPr>
          <w:rFonts w:hint="eastAsia"/>
          <w:spacing w:val="6"/>
          <w:lang w:eastAsia="zh-CN"/>
        </w:rPr>
        <w:t>着手成立</w:t>
      </w:r>
      <w:r w:rsidRPr="009250B5">
        <w:rPr>
          <w:spacing w:val="6"/>
          <w:lang w:eastAsia="zh-CN"/>
        </w:rPr>
        <w:t>向国际电联成员国和部门成员开放的</w:t>
      </w:r>
      <w:r w:rsidRPr="00DB0C87">
        <w:rPr>
          <w:rFonts w:hint="eastAsia"/>
          <w:lang w:val="es-ES_tradnl" w:eastAsia="zh-CN"/>
        </w:rPr>
        <w:t>EG-</w:t>
      </w:r>
      <w:proofErr w:type="spellStart"/>
      <w:r w:rsidRPr="00DB0C87">
        <w:rPr>
          <w:rFonts w:hint="eastAsia"/>
          <w:lang w:val="es-ES_tradnl" w:eastAsia="zh-CN"/>
        </w:rPr>
        <w:t>ITR</w:t>
      </w:r>
      <w:r w:rsidR="001D72B6">
        <w:rPr>
          <w:rFonts w:hint="eastAsia"/>
          <w:lang w:val="es-ES_tradnl" w:eastAsia="zh-CN"/>
        </w:rPr>
        <w:t>s</w:t>
      </w:r>
      <w:proofErr w:type="spellEnd"/>
      <w:r w:rsidRPr="00243EC2">
        <w:rPr>
          <w:rFonts w:hint="eastAsia"/>
          <w:lang w:val="es-ES_tradnl" w:eastAsia="zh-CN"/>
        </w:rPr>
        <w:t>，</w:t>
      </w:r>
      <w:r>
        <w:rPr>
          <w:rFonts w:hint="eastAsia"/>
          <w:lang w:eastAsia="zh-CN"/>
        </w:rPr>
        <w:t>其</w:t>
      </w:r>
      <w:r w:rsidRPr="006E5B43">
        <w:rPr>
          <w:lang w:eastAsia="zh-CN"/>
        </w:rPr>
        <w:t>职责范围和工作方法由</w:t>
      </w:r>
      <w:r>
        <w:rPr>
          <w:rFonts w:hint="eastAsia"/>
          <w:lang w:eastAsia="zh-CN"/>
        </w:rPr>
        <w:t>国际电联</w:t>
      </w:r>
      <w:r w:rsidRPr="006E5B43">
        <w:rPr>
          <w:lang w:eastAsia="zh-CN"/>
        </w:rPr>
        <w:t>理事会确</w:t>
      </w:r>
      <w:r>
        <w:rPr>
          <w:rFonts w:hint="eastAsia"/>
          <w:lang w:eastAsia="zh-CN"/>
        </w:rPr>
        <w:t>定</w:t>
      </w:r>
      <w:r w:rsidR="00051516">
        <w:rPr>
          <w:rFonts w:hint="eastAsia"/>
          <w:lang w:eastAsia="zh-CN"/>
        </w:rPr>
        <w:t>。</w:t>
      </w:r>
      <w:r w:rsidR="006E3642" w:rsidRPr="00A03D5C">
        <w:rPr>
          <w:rFonts w:hint="eastAsia"/>
          <w:lang w:eastAsia="zh-CN"/>
        </w:rPr>
        <w:t>本文件</w:t>
      </w:r>
      <w:r w:rsidR="006E3642">
        <w:rPr>
          <w:rFonts w:hint="eastAsia"/>
          <w:lang w:eastAsia="zh-CN"/>
        </w:rPr>
        <w:t>给出了关于</w:t>
      </w:r>
      <w:r w:rsidR="006E3642" w:rsidRPr="00A03D5C">
        <w:rPr>
          <w:rFonts w:hint="eastAsia"/>
          <w:lang w:eastAsia="zh-CN"/>
        </w:rPr>
        <w:t>EG-ITRs</w:t>
      </w:r>
      <w:r w:rsidR="006E3642" w:rsidRPr="00A03D5C">
        <w:rPr>
          <w:rFonts w:hint="eastAsia"/>
          <w:lang w:eastAsia="zh-CN"/>
        </w:rPr>
        <w:t>职</w:t>
      </w:r>
      <w:r w:rsidR="006E3642">
        <w:rPr>
          <w:rFonts w:hint="eastAsia"/>
          <w:lang w:eastAsia="zh-CN"/>
        </w:rPr>
        <w:t>责</w:t>
      </w:r>
      <w:r w:rsidR="006E3642" w:rsidRPr="00A03D5C">
        <w:rPr>
          <w:rFonts w:hint="eastAsia"/>
          <w:lang w:eastAsia="zh-CN"/>
        </w:rPr>
        <w:t>范围的</w:t>
      </w:r>
      <w:r w:rsidR="006E3642">
        <w:rPr>
          <w:rFonts w:hint="eastAsia"/>
          <w:lang w:eastAsia="zh-CN"/>
        </w:rPr>
        <w:t>提议</w:t>
      </w:r>
      <w:r w:rsidR="006E3642" w:rsidRPr="00A03D5C">
        <w:rPr>
          <w:rFonts w:hint="eastAsia"/>
          <w:lang w:eastAsia="zh-CN"/>
        </w:rPr>
        <w:t>，供理事会审议。</w:t>
      </w:r>
    </w:p>
    <w:p w14:paraId="1FEC1838" w14:textId="627E5079" w:rsidR="005D7628" w:rsidRDefault="006B7972" w:rsidP="00FC0898">
      <w:pPr>
        <w:ind w:firstLineChars="200" w:firstLine="504"/>
        <w:rPr>
          <w:rStyle w:val="s1"/>
          <w:lang w:eastAsia="zh-CN"/>
        </w:rPr>
      </w:pPr>
      <w:r w:rsidRPr="006B7972">
        <w:rPr>
          <w:rFonts w:hint="eastAsia"/>
          <w:spacing w:val="6"/>
          <w:lang w:eastAsia="zh-CN"/>
        </w:rPr>
        <w:t>本文件的签署国建议</w:t>
      </w:r>
      <w:r w:rsidRPr="006B7972">
        <w:rPr>
          <w:rFonts w:hint="eastAsia"/>
          <w:spacing w:val="6"/>
          <w:lang w:eastAsia="zh-CN"/>
        </w:rPr>
        <w:t>EG-ITRs</w:t>
      </w:r>
      <w:r w:rsidRPr="006B7972">
        <w:rPr>
          <w:rFonts w:hint="eastAsia"/>
          <w:spacing w:val="6"/>
          <w:lang w:eastAsia="zh-CN"/>
        </w:rPr>
        <w:t>的职责范围如下：</w:t>
      </w:r>
    </w:p>
    <w:p w14:paraId="3F69E28D" w14:textId="22BC7B81" w:rsidR="005D7628" w:rsidRPr="00EB5410" w:rsidRDefault="00EB5410" w:rsidP="00EB5410">
      <w:pPr>
        <w:pStyle w:val="enumlev1"/>
        <w:rPr>
          <w:highlight w:val="cyan"/>
          <w:lang w:eastAsia="zh-CN"/>
        </w:rPr>
      </w:pPr>
      <w:r>
        <w:rPr>
          <w:szCs w:val="24"/>
          <w:lang w:eastAsia="zh-CN"/>
        </w:rPr>
        <w:t>1)</w:t>
      </w:r>
      <w:r>
        <w:rPr>
          <w:szCs w:val="24"/>
          <w:lang w:eastAsia="zh-CN"/>
        </w:rPr>
        <w:tab/>
      </w:r>
      <w:r w:rsidR="00F030B0" w:rsidRPr="003960D6">
        <w:rPr>
          <w:rFonts w:hint="eastAsia"/>
          <w:szCs w:val="24"/>
          <w:lang w:eastAsia="zh-CN"/>
        </w:rPr>
        <w:t>E</w:t>
      </w:r>
      <w:r w:rsidR="00F030B0" w:rsidRPr="003960D6">
        <w:rPr>
          <w:szCs w:val="24"/>
          <w:lang w:eastAsia="zh-CN"/>
        </w:rPr>
        <w:t>G-</w:t>
      </w:r>
      <w:r w:rsidR="00F030B0" w:rsidRPr="00EB5410">
        <w:rPr>
          <w:lang w:eastAsia="zh-CN"/>
        </w:rPr>
        <w:t>ITR</w:t>
      </w:r>
      <w:r w:rsidR="00F030B0" w:rsidRPr="00EB5410">
        <w:rPr>
          <w:rFonts w:hint="eastAsia"/>
          <w:lang w:eastAsia="zh-CN"/>
        </w:rPr>
        <w:t>s</w:t>
      </w:r>
      <w:r w:rsidR="00F030B0" w:rsidRPr="00EB5410">
        <w:rPr>
          <w:rFonts w:hint="eastAsia"/>
          <w:lang w:eastAsia="zh-CN"/>
        </w:rPr>
        <w:t>须在</w:t>
      </w:r>
      <w:r w:rsidR="00F030B0" w:rsidRPr="00EB5410">
        <w:rPr>
          <w:lang w:eastAsia="zh-CN"/>
        </w:rPr>
        <w:t>成员国、部门成员</w:t>
      </w:r>
      <w:r w:rsidR="00F030B0" w:rsidRPr="00EB5410">
        <w:rPr>
          <w:rFonts w:hint="eastAsia"/>
          <w:lang w:eastAsia="zh-CN"/>
        </w:rPr>
        <w:t>提交的</w:t>
      </w:r>
      <w:r w:rsidR="00F030B0" w:rsidRPr="00EB5410">
        <w:rPr>
          <w:lang w:eastAsia="zh-CN"/>
        </w:rPr>
        <w:t>文稿以及</w:t>
      </w:r>
      <w:r w:rsidR="00F030B0" w:rsidRPr="00EB5410">
        <w:rPr>
          <w:rFonts w:hint="eastAsia"/>
          <w:lang w:eastAsia="zh-CN"/>
        </w:rPr>
        <w:t>各</w:t>
      </w:r>
      <w:r w:rsidR="00F030B0" w:rsidRPr="00EB5410">
        <w:rPr>
          <w:lang w:eastAsia="zh-CN"/>
        </w:rPr>
        <w:t>局主任</w:t>
      </w:r>
      <w:r w:rsidR="00F030B0" w:rsidRPr="00EB5410">
        <w:rPr>
          <w:rFonts w:hint="eastAsia"/>
          <w:lang w:eastAsia="zh-CN"/>
        </w:rPr>
        <w:t>提供的</w:t>
      </w:r>
      <w:r w:rsidR="004D5A33" w:rsidRPr="00EB5410">
        <w:rPr>
          <w:rFonts w:hint="eastAsia"/>
          <w:lang w:eastAsia="zh-CN"/>
        </w:rPr>
        <w:t>文稿</w:t>
      </w:r>
      <w:r w:rsidR="00F030B0" w:rsidRPr="00EB5410">
        <w:rPr>
          <w:lang w:eastAsia="zh-CN"/>
        </w:rPr>
        <w:t>的基础上</w:t>
      </w:r>
      <w:r w:rsidR="004D5A33" w:rsidRPr="00EB5410">
        <w:rPr>
          <w:rFonts w:hint="eastAsia"/>
          <w:lang w:eastAsia="zh-CN"/>
        </w:rPr>
        <w:t>展开分析</w:t>
      </w:r>
      <w:r w:rsidR="00051516" w:rsidRPr="00EB5410">
        <w:rPr>
          <w:rFonts w:hint="eastAsia"/>
          <w:lang w:eastAsia="zh-CN"/>
        </w:rPr>
        <w:t>：</w:t>
      </w:r>
    </w:p>
    <w:p w14:paraId="5C251CA1" w14:textId="5443A54D" w:rsidR="005D7628" w:rsidRPr="004D5A33" w:rsidRDefault="00EB5410" w:rsidP="00FC0898">
      <w:pPr>
        <w:pStyle w:val="enumlev2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r w:rsidR="004D5A33">
        <w:rPr>
          <w:rStyle w:val="s1"/>
          <w:rFonts w:ascii="SimSun" w:hAnsi="SimSun" w:hint="eastAsia"/>
          <w:szCs w:val="24"/>
          <w:lang w:eastAsia="zh-CN"/>
        </w:rPr>
        <w:t>明确</w:t>
      </w:r>
      <w:r w:rsidR="004D5A33" w:rsidRPr="004D5A33">
        <w:rPr>
          <w:rStyle w:val="s1"/>
          <w:rFonts w:ascii="SimSun" w:hAnsi="SimSun"/>
          <w:szCs w:val="24"/>
          <w:lang w:eastAsia="zh-CN"/>
        </w:rPr>
        <w:t>所有影响国际电信的问题，</w:t>
      </w:r>
      <w:proofErr w:type="gramStart"/>
      <w:r w:rsidR="004D5A33" w:rsidRPr="004D5A33">
        <w:rPr>
          <w:rStyle w:val="s1"/>
          <w:rFonts w:ascii="SimSun" w:hAnsi="SimSun"/>
          <w:szCs w:val="24"/>
          <w:lang w:eastAsia="zh-CN"/>
        </w:rPr>
        <w:t>包括</w:t>
      </w:r>
      <w:r w:rsidR="004D5A33" w:rsidRPr="00012EC9">
        <w:rPr>
          <w:rStyle w:val="s1"/>
          <w:rFonts w:cs="Calibri"/>
          <w:szCs w:val="24"/>
          <w:lang w:eastAsia="zh-CN"/>
        </w:rPr>
        <w:t>2012</w:t>
      </w:r>
      <w:r w:rsidR="004D5A33" w:rsidRPr="00012EC9">
        <w:rPr>
          <w:rStyle w:val="s1"/>
          <w:rFonts w:cs="Calibri"/>
          <w:szCs w:val="24"/>
          <w:lang w:eastAsia="zh-CN"/>
        </w:rPr>
        <w:t>年</w:t>
      </w:r>
      <w:r w:rsidR="004D5A33" w:rsidRPr="004D5A33">
        <w:rPr>
          <w:rStyle w:val="s1"/>
          <w:rFonts w:ascii="SimSun" w:hAnsi="SimSun"/>
          <w:szCs w:val="24"/>
          <w:lang w:eastAsia="zh-CN"/>
        </w:rPr>
        <w:t>以来的技术变化；</w:t>
      </w:r>
      <w:proofErr w:type="gramEnd"/>
    </w:p>
    <w:p w14:paraId="16C82B6D" w14:textId="41E3C759" w:rsidR="005D7628" w:rsidRDefault="00EB5410" w:rsidP="00FC0898">
      <w:pPr>
        <w:pStyle w:val="enumlev2"/>
        <w:rPr>
          <w:rStyle w:val="s1"/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4D5A33" w:rsidRPr="004D5A33">
        <w:rPr>
          <w:rStyle w:val="s1"/>
          <w:rFonts w:ascii="SimSun" w:hAnsi="SimSun" w:hint="eastAsia"/>
          <w:szCs w:val="24"/>
          <w:lang w:eastAsia="zh-CN"/>
        </w:rPr>
        <w:t>评估目前的</w:t>
      </w:r>
      <w:r w:rsidR="004D5A33" w:rsidRPr="004D5A33">
        <w:rPr>
          <w:rStyle w:val="s1"/>
          <w:rFonts w:ascii="SimSun" w:hAnsi="SimSun"/>
          <w:szCs w:val="24"/>
          <w:lang w:eastAsia="zh-CN"/>
        </w:rPr>
        <w:t>《国际电信规则》</w:t>
      </w:r>
      <w:proofErr w:type="gramStart"/>
      <w:r w:rsidR="004D5A33" w:rsidRPr="004D5A33">
        <w:rPr>
          <w:rStyle w:val="s1"/>
          <w:rFonts w:ascii="SimSun" w:hAnsi="SimSun" w:hint="eastAsia"/>
          <w:szCs w:val="24"/>
          <w:lang w:eastAsia="zh-CN"/>
        </w:rPr>
        <w:t>对支持影响国际电信的新问题的相关性；</w:t>
      </w:r>
      <w:proofErr w:type="gramEnd"/>
    </w:p>
    <w:p w14:paraId="1836AD65" w14:textId="42E75BBF" w:rsidR="005D7628" w:rsidRPr="004D5A33" w:rsidRDefault="00EB5410" w:rsidP="00FC0898">
      <w:pPr>
        <w:pStyle w:val="enumlev2"/>
        <w:rPr>
          <w:rStyle w:val="s1"/>
          <w:rFonts w:ascii="SimSun" w:hAnsi="SimSun"/>
          <w:szCs w:val="24"/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r w:rsidR="004D5A33" w:rsidRPr="004D5A33">
        <w:rPr>
          <w:rStyle w:val="s1"/>
          <w:rFonts w:ascii="SimSun" w:hAnsi="SimSun" w:hint="eastAsia"/>
          <w:szCs w:val="24"/>
          <w:lang w:eastAsia="zh-CN"/>
        </w:rPr>
        <w:t>确定哪些问题需要一个多边协议，</w:t>
      </w:r>
      <w:proofErr w:type="gramStart"/>
      <w:r w:rsidR="004D5A33" w:rsidRPr="004D5A33">
        <w:rPr>
          <w:rStyle w:val="s1"/>
          <w:rFonts w:ascii="SimSun" w:hAnsi="SimSun" w:hint="eastAsia"/>
          <w:szCs w:val="24"/>
          <w:lang w:eastAsia="zh-CN"/>
        </w:rPr>
        <w:t>以使国际电信有效运作；</w:t>
      </w:r>
      <w:proofErr w:type="gramEnd"/>
    </w:p>
    <w:p w14:paraId="04A6C965" w14:textId="181A4C46" w:rsidR="005D7628" w:rsidRDefault="00EB5410" w:rsidP="00FC0898">
      <w:pPr>
        <w:pStyle w:val="enumlev2"/>
        <w:rPr>
          <w:rFonts w:asciiTheme="minorHAnsi" w:hAnsiTheme="minorHAnsi" w:cstheme="minorHAnsi"/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proofErr w:type="gramStart"/>
      <w:r w:rsidR="004D5A33" w:rsidRPr="004D5A33">
        <w:rPr>
          <w:rStyle w:val="s1"/>
          <w:rFonts w:ascii="SimSun" w:hAnsi="SimSun" w:hint="eastAsia"/>
          <w:szCs w:val="24"/>
          <w:lang w:eastAsia="zh-CN"/>
        </w:rPr>
        <w:t>提出应包括在多边协议中的条款参数；</w:t>
      </w:r>
      <w:proofErr w:type="gramEnd"/>
    </w:p>
    <w:p w14:paraId="0D88E908" w14:textId="11F1394B" w:rsidR="005D7628" w:rsidRDefault="00EB5410" w:rsidP="00FC0898">
      <w:pPr>
        <w:pStyle w:val="enumlev2"/>
        <w:rPr>
          <w:rFonts w:asciiTheme="minorHAnsi" w:hAnsiTheme="minorHAnsi" w:cstheme="minorHAnsi"/>
          <w:lang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</w:r>
      <w:proofErr w:type="gramStart"/>
      <w:r w:rsidR="004D5A33" w:rsidRPr="004D5A33">
        <w:rPr>
          <w:rStyle w:val="s1"/>
          <w:rFonts w:ascii="SimSun" w:hAnsi="SimSun" w:hint="eastAsia"/>
          <w:szCs w:val="24"/>
          <w:lang w:eastAsia="zh-CN"/>
        </w:rPr>
        <w:t>提出可用于管理国际电信的高级</w:t>
      </w:r>
      <w:r w:rsidR="004D5A33">
        <w:rPr>
          <w:rStyle w:val="s1"/>
          <w:rFonts w:ascii="SimSun" w:hAnsi="SimSun" w:hint="eastAsia"/>
          <w:szCs w:val="24"/>
          <w:lang w:eastAsia="zh-CN"/>
        </w:rPr>
        <w:t>别</w:t>
      </w:r>
      <w:r w:rsidR="004D5A33" w:rsidRPr="004D5A33">
        <w:rPr>
          <w:rStyle w:val="s1"/>
          <w:rFonts w:ascii="SimSun" w:hAnsi="SimSun" w:hint="eastAsia"/>
          <w:szCs w:val="24"/>
          <w:lang w:eastAsia="zh-CN"/>
        </w:rPr>
        <w:t>原则；</w:t>
      </w:r>
      <w:proofErr w:type="gramEnd"/>
    </w:p>
    <w:p w14:paraId="58609A5E" w14:textId="2EAD883B" w:rsidR="005D7628" w:rsidRDefault="00EB5410" w:rsidP="00FC0898">
      <w:pPr>
        <w:pStyle w:val="enumlev2"/>
        <w:rPr>
          <w:rStyle w:val="s1"/>
          <w:rFonts w:eastAsia="Times New Roman"/>
          <w:lang w:eastAsia="zh-CN"/>
        </w:rPr>
      </w:pPr>
      <w:r>
        <w:rPr>
          <w:lang w:eastAsia="zh-CN"/>
        </w:rPr>
        <w:t>f)</w:t>
      </w:r>
      <w:r>
        <w:rPr>
          <w:lang w:eastAsia="zh-CN"/>
        </w:rPr>
        <w:tab/>
      </w:r>
      <w:r w:rsidR="004D5A33" w:rsidRPr="004D5A33">
        <w:rPr>
          <w:rStyle w:val="s1"/>
          <w:rFonts w:ascii="SimSun" w:hAnsi="SimSun" w:hint="eastAsia"/>
          <w:szCs w:val="24"/>
          <w:lang w:eastAsia="zh-CN"/>
        </w:rPr>
        <w:t>编写一份提交给理事会的最后报告，以便转交给下一届全权代表</w:t>
      </w:r>
      <w:r w:rsidR="004D5A33">
        <w:rPr>
          <w:rStyle w:val="s1"/>
          <w:rFonts w:ascii="SimSun" w:hAnsi="SimSun" w:hint="eastAsia"/>
          <w:szCs w:val="24"/>
          <w:lang w:eastAsia="zh-CN"/>
        </w:rPr>
        <w:t>大会</w:t>
      </w:r>
      <w:r w:rsidR="004D5A33" w:rsidRPr="004D5A33">
        <w:rPr>
          <w:rStyle w:val="s1"/>
          <w:rFonts w:ascii="SimSun" w:hAnsi="SimSun" w:hint="eastAsia"/>
          <w:szCs w:val="24"/>
          <w:lang w:eastAsia="zh-CN"/>
        </w:rPr>
        <w:t>，其中包括供下一届全权代表</w:t>
      </w:r>
      <w:r w:rsidR="004D5A33">
        <w:rPr>
          <w:rStyle w:val="s1"/>
          <w:rFonts w:ascii="SimSun" w:hAnsi="SimSun" w:hint="eastAsia"/>
          <w:szCs w:val="24"/>
          <w:lang w:eastAsia="zh-CN"/>
        </w:rPr>
        <w:t>大会</w:t>
      </w:r>
      <w:r w:rsidR="004D5A33" w:rsidRPr="004D5A33">
        <w:rPr>
          <w:rStyle w:val="s1"/>
          <w:rFonts w:ascii="SimSun" w:hAnsi="SimSun" w:hint="eastAsia"/>
          <w:szCs w:val="24"/>
          <w:lang w:eastAsia="zh-CN"/>
        </w:rPr>
        <w:t>审议的条约草案的高级别原则草案，以便现有的</w:t>
      </w:r>
      <w:r w:rsidR="00CB1665" w:rsidRPr="004D5A33">
        <w:rPr>
          <w:rStyle w:val="s1"/>
          <w:rFonts w:ascii="SimSun" w:hAnsi="SimSun"/>
          <w:szCs w:val="24"/>
          <w:lang w:eastAsia="zh-CN"/>
        </w:rPr>
        <w:t>《国际电信规则》</w:t>
      </w:r>
      <w:r w:rsidR="00CF727F">
        <w:rPr>
          <w:rStyle w:val="s1"/>
          <w:rFonts w:ascii="SimSun" w:hAnsi="SimSun" w:hint="eastAsia"/>
          <w:szCs w:val="24"/>
          <w:lang w:eastAsia="zh-CN"/>
        </w:rPr>
        <w:t>退出历史舞台</w:t>
      </w:r>
      <w:r w:rsidR="004D5A33" w:rsidRPr="004D5A33">
        <w:rPr>
          <w:rStyle w:val="s1"/>
          <w:rFonts w:ascii="SimSun" w:hAnsi="SimSun" w:hint="eastAsia"/>
          <w:szCs w:val="24"/>
          <w:lang w:eastAsia="zh-CN"/>
        </w:rPr>
        <w:t>，并召开一次</w:t>
      </w:r>
      <w:r w:rsidR="00CB1665">
        <w:rPr>
          <w:rStyle w:val="s1"/>
          <w:rFonts w:ascii="SimSun" w:hAnsi="SimSun" w:hint="eastAsia"/>
          <w:szCs w:val="24"/>
          <w:lang w:eastAsia="zh-CN"/>
        </w:rPr>
        <w:t>大会来</w:t>
      </w:r>
      <w:r w:rsidR="004D5A33" w:rsidRPr="004D5A33">
        <w:rPr>
          <w:rStyle w:val="s1"/>
          <w:rFonts w:ascii="SimSun" w:hAnsi="SimSun" w:hint="eastAsia"/>
          <w:szCs w:val="24"/>
          <w:lang w:eastAsia="zh-CN"/>
        </w:rPr>
        <w:t>制定管理国际电信的新条约。</w:t>
      </w:r>
    </w:p>
    <w:p w14:paraId="0D0EE669" w14:textId="2C17A316" w:rsidR="005D7628" w:rsidRDefault="00012EC9" w:rsidP="00012EC9">
      <w:pPr>
        <w:pStyle w:val="enumlev1"/>
        <w:rPr>
          <w:lang w:eastAsia="zh-CN"/>
        </w:rPr>
      </w:pPr>
      <w:r>
        <w:rPr>
          <w:lang w:val="en-ZW" w:eastAsia="zh-CN"/>
        </w:rPr>
        <w:tab/>
      </w:r>
      <w:r w:rsidR="00CF727F">
        <w:rPr>
          <w:rFonts w:hint="eastAsia"/>
          <w:lang w:val="en-ZW" w:eastAsia="zh-CN"/>
        </w:rPr>
        <w:t>考虑到以下内容，</w:t>
      </w:r>
      <w:r w:rsidR="004D5A33" w:rsidRPr="004D5A33">
        <w:rPr>
          <w:rFonts w:hint="eastAsia"/>
          <w:lang w:val="en-ZW" w:eastAsia="zh-CN"/>
        </w:rPr>
        <w:t>EG-ITR</w:t>
      </w:r>
      <w:r w:rsidR="00CB1665">
        <w:rPr>
          <w:rFonts w:hint="eastAsia"/>
          <w:lang w:val="en-ZW" w:eastAsia="zh-CN"/>
        </w:rPr>
        <w:t>s</w:t>
      </w:r>
      <w:r w:rsidR="00CB1665">
        <w:rPr>
          <w:rFonts w:hint="eastAsia"/>
          <w:lang w:val="en-ZW" w:eastAsia="zh-CN"/>
        </w:rPr>
        <w:t>还须</w:t>
      </w:r>
      <w:r w:rsidR="004D5A33" w:rsidRPr="004D5A33">
        <w:rPr>
          <w:rFonts w:hint="eastAsia"/>
          <w:lang w:val="en-ZW" w:eastAsia="zh-CN"/>
        </w:rPr>
        <w:t>对</w:t>
      </w:r>
      <w:r w:rsidR="004D5A33" w:rsidRPr="004D5A33">
        <w:rPr>
          <w:rFonts w:hint="eastAsia"/>
          <w:lang w:val="en-ZW" w:eastAsia="zh-CN"/>
        </w:rPr>
        <w:t>2012</w:t>
      </w:r>
      <w:r w:rsidR="004D5A33" w:rsidRPr="004D5A33">
        <w:rPr>
          <w:rFonts w:hint="eastAsia"/>
          <w:lang w:val="en-ZW" w:eastAsia="zh-CN"/>
        </w:rPr>
        <w:t>年</w:t>
      </w:r>
      <w:r w:rsidR="00CB1665">
        <w:rPr>
          <w:rFonts w:hint="eastAsia"/>
          <w:lang w:val="en-ZW" w:eastAsia="zh-CN"/>
        </w:rPr>
        <w:t>版的</w:t>
      </w:r>
      <w:r w:rsidR="00CB1665" w:rsidRPr="004D5A33">
        <w:rPr>
          <w:rStyle w:val="s1"/>
          <w:rFonts w:ascii="SimSun" w:hAnsi="SimSun"/>
          <w:szCs w:val="24"/>
          <w:lang w:eastAsia="zh-CN"/>
        </w:rPr>
        <w:t>《国际电信规则》</w:t>
      </w:r>
      <w:r w:rsidR="004D5A33" w:rsidRPr="004D5A33">
        <w:rPr>
          <w:rFonts w:hint="eastAsia"/>
          <w:lang w:val="en-ZW" w:eastAsia="zh-CN"/>
        </w:rPr>
        <w:t>进行审查</w:t>
      </w:r>
      <w:r w:rsidR="00CF727F">
        <w:rPr>
          <w:rFonts w:hint="eastAsia"/>
          <w:lang w:val="en-ZW" w:eastAsia="zh-CN"/>
        </w:rPr>
        <w:t>：</w:t>
      </w:r>
    </w:p>
    <w:p w14:paraId="0FAA10F4" w14:textId="12F726A8" w:rsidR="005D7628" w:rsidRDefault="00EB5410" w:rsidP="00EB5410">
      <w:pPr>
        <w:pStyle w:val="enumlev2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proofErr w:type="gramStart"/>
      <w:r w:rsidR="00F030B0" w:rsidRPr="00F030B0">
        <w:rPr>
          <w:rFonts w:hint="eastAsia"/>
          <w:lang w:eastAsia="zh-CN"/>
        </w:rPr>
        <w:t>只涉及与国际电信业务和技术的提供和运营有关的高级别政策问题；</w:t>
      </w:r>
      <w:proofErr w:type="gramEnd"/>
    </w:p>
    <w:p w14:paraId="0A592D12" w14:textId="5F2FE455" w:rsidR="005D7628" w:rsidRDefault="00EB5410" w:rsidP="00EB5410">
      <w:pPr>
        <w:pStyle w:val="enumlev2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="00F030B0" w:rsidRPr="00F030B0">
        <w:rPr>
          <w:rFonts w:hint="eastAsia"/>
          <w:lang w:eastAsia="zh-CN"/>
        </w:rPr>
        <w:t>《国际电信规则》只包含有关成员国义务的条款，不应指导私营机构的活动。</w:t>
      </w:r>
    </w:p>
    <w:p w14:paraId="1A22C982" w14:textId="2F4ACFAC" w:rsidR="005D7628" w:rsidRDefault="00012EC9" w:rsidP="00012EC9">
      <w:pPr>
        <w:pStyle w:val="enumlev1"/>
        <w:rPr>
          <w:rStyle w:val="s1"/>
          <w:rFonts w:eastAsia="Times New Roman"/>
          <w:lang w:eastAsia="zh-CN"/>
        </w:rPr>
      </w:pPr>
      <w:r>
        <w:rPr>
          <w:lang w:val="en-ZW" w:eastAsia="zh-CN"/>
        </w:rPr>
        <w:lastRenderedPageBreak/>
        <w:tab/>
      </w:r>
      <w:r w:rsidR="00CF727F">
        <w:rPr>
          <w:rFonts w:hint="eastAsia"/>
          <w:lang w:val="en-ZW" w:eastAsia="zh-CN"/>
        </w:rPr>
        <w:t>以</w:t>
      </w:r>
      <w:r w:rsidR="00CF727F" w:rsidRPr="00CF727F">
        <w:rPr>
          <w:rFonts w:hint="eastAsia"/>
          <w:lang w:val="en-ZW" w:eastAsia="zh-CN"/>
        </w:rPr>
        <w:t>编写一份条约草案，</w:t>
      </w:r>
      <w:proofErr w:type="gramStart"/>
      <w:r w:rsidR="00CF727F" w:rsidRPr="00CF727F">
        <w:rPr>
          <w:rFonts w:hint="eastAsia"/>
          <w:lang w:val="en-ZW" w:eastAsia="zh-CN"/>
        </w:rPr>
        <w:t>供下一次</w:t>
      </w:r>
      <w:proofErr w:type="gramEnd"/>
      <w:r w:rsidR="00CF727F" w:rsidRPr="00CF727F">
        <w:rPr>
          <w:rFonts w:hint="eastAsia"/>
          <w:lang w:val="en-ZW" w:eastAsia="zh-CN"/>
        </w:rPr>
        <w:t>全权代表</w:t>
      </w:r>
      <w:r w:rsidR="00CF727F">
        <w:rPr>
          <w:rFonts w:hint="eastAsia"/>
          <w:lang w:val="en-ZW" w:eastAsia="zh-CN"/>
        </w:rPr>
        <w:t>大会</w:t>
      </w:r>
      <w:r w:rsidR="00CF727F" w:rsidRPr="00CF727F">
        <w:rPr>
          <w:rFonts w:hint="eastAsia"/>
          <w:lang w:val="en-ZW" w:eastAsia="zh-CN"/>
        </w:rPr>
        <w:t>审议，</w:t>
      </w:r>
      <w:r w:rsidR="00CF727F" w:rsidRPr="004D5A33">
        <w:rPr>
          <w:rStyle w:val="s1"/>
          <w:rFonts w:ascii="SimSun" w:hAnsi="SimSun" w:hint="eastAsia"/>
          <w:szCs w:val="24"/>
          <w:lang w:eastAsia="zh-CN"/>
        </w:rPr>
        <w:t>以便现有的</w:t>
      </w:r>
      <w:r w:rsidR="00CF727F" w:rsidRPr="004D5A33">
        <w:rPr>
          <w:rStyle w:val="s1"/>
          <w:rFonts w:ascii="SimSun" w:hAnsi="SimSun"/>
          <w:szCs w:val="24"/>
          <w:lang w:eastAsia="zh-CN"/>
        </w:rPr>
        <w:t>《国际电信规则》</w:t>
      </w:r>
      <w:r w:rsidR="00CF727F">
        <w:rPr>
          <w:rStyle w:val="s1"/>
          <w:rFonts w:ascii="SimSun" w:hAnsi="SimSun" w:hint="eastAsia"/>
          <w:szCs w:val="24"/>
          <w:lang w:eastAsia="zh-CN"/>
        </w:rPr>
        <w:t>退出历史舞台</w:t>
      </w:r>
      <w:r w:rsidR="00CF727F" w:rsidRPr="00CF727F">
        <w:rPr>
          <w:rFonts w:hint="eastAsia"/>
          <w:lang w:val="en-ZW" w:eastAsia="zh-CN"/>
        </w:rPr>
        <w:t>。</w:t>
      </w:r>
    </w:p>
    <w:p w14:paraId="43993C05" w14:textId="4379AFA0" w:rsidR="005D7628" w:rsidRPr="00EB5410" w:rsidRDefault="00EB5410" w:rsidP="00EB5410">
      <w:pPr>
        <w:pStyle w:val="enumlev1"/>
        <w:rPr>
          <w:lang w:eastAsia="zh-CN"/>
        </w:rPr>
      </w:pPr>
      <w:bookmarkStart w:id="9" w:name="lt_pId047"/>
      <w:r>
        <w:rPr>
          <w:szCs w:val="24"/>
          <w:lang w:eastAsia="zh-CN"/>
        </w:rPr>
        <w:t>2)</w:t>
      </w:r>
      <w:r>
        <w:rPr>
          <w:szCs w:val="24"/>
          <w:lang w:eastAsia="zh-CN"/>
        </w:rPr>
        <w:tab/>
      </w:r>
      <w:r w:rsidR="00D73295" w:rsidRPr="00EB5410">
        <w:rPr>
          <w:rFonts w:hint="eastAsia"/>
          <w:lang w:eastAsia="zh-CN"/>
        </w:rPr>
        <w:t>专家组应向以下成员开放：</w:t>
      </w:r>
      <w:bookmarkEnd w:id="9"/>
    </w:p>
    <w:p w14:paraId="68A063B5" w14:textId="55AE3F41" w:rsidR="005D7628" w:rsidRPr="00337E86" w:rsidRDefault="005D7628" w:rsidP="00FC0898">
      <w:pPr>
        <w:pStyle w:val="enumlev2"/>
        <w:rPr>
          <w:lang w:eastAsia="zh-CN"/>
        </w:rPr>
      </w:pPr>
      <w:r>
        <w:rPr>
          <w:rStyle w:val="s1"/>
          <w:rFonts w:asciiTheme="minorHAnsi" w:hAnsiTheme="minorHAnsi" w:cstheme="minorHAnsi"/>
          <w:szCs w:val="24"/>
          <w:lang w:eastAsia="zh-CN"/>
        </w:rPr>
        <w:t>•</w:t>
      </w:r>
      <w:r>
        <w:rPr>
          <w:rStyle w:val="s1"/>
          <w:rFonts w:asciiTheme="minorHAnsi" w:hAnsiTheme="minorHAnsi" w:cstheme="minorHAnsi"/>
          <w:szCs w:val="24"/>
          <w:lang w:eastAsia="zh-CN"/>
        </w:rPr>
        <w:tab/>
      </w:r>
      <w:r w:rsidR="004D195D" w:rsidRPr="004D195D">
        <w:rPr>
          <w:rStyle w:val="s1"/>
          <w:rFonts w:ascii="SimSun" w:hAnsi="SimSun" w:cs="Microsoft YaHei" w:hint="eastAsia"/>
          <w:szCs w:val="24"/>
          <w:lang w:eastAsia="zh-CN"/>
        </w:rPr>
        <w:t>国际电联成员国</w:t>
      </w:r>
    </w:p>
    <w:p w14:paraId="6C1DF310" w14:textId="1F8D6C02" w:rsidR="005D7628" w:rsidRDefault="005D7628" w:rsidP="00FC0898">
      <w:pPr>
        <w:pStyle w:val="enumlev2"/>
        <w:rPr>
          <w:rFonts w:asciiTheme="minorHAnsi" w:hAnsiTheme="minorHAnsi" w:cstheme="minorHAnsi"/>
          <w:lang w:eastAsia="zh-CN"/>
        </w:rPr>
      </w:pPr>
      <w:r w:rsidRPr="00337E86">
        <w:rPr>
          <w:rStyle w:val="s1"/>
          <w:rFonts w:asciiTheme="minorHAnsi" w:hAnsiTheme="minorHAnsi" w:cstheme="minorHAnsi"/>
          <w:szCs w:val="24"/>
          <w:lang w:eastAsia="zh-CN"/>
        </w:rPr>
        <w:t>•</w:t>
      </w:r>
      <w:r w:rsidRPr="00337E86">
        <w:rPr>
          <w:rStyle w:val="s1"/>
          <w:rFonts w:asciiTheme="minorHAnsi" w:hAnsiTheme="minorHAnsi" w:cstheme="minorHAnsi"/>
          <w:szCs w:val="24"/>
          <w:lang w:eastAsia="zh-CN"/>
        </w:rPr>
        <w:tab/>
      </w:r>
      <w:r w:rsidR="004D195D" w:rsidRPr="004D195D">
        <w:rPr>
          <w:rStyle w:val="s1"/>
          <w:rFonts w:ascii="SimSun" w:hAnsi="SimSun" w:cs="Microsoft YaHei" w:hint="eastAsia"/>
          <w:szCs w:val="24"/>
          <w:lang w:eastAsia="zh-CN"/>
        </w:rPr>
        <w:t>部门成员</w:t>
      </w:r>
    </w:p>
    <w:p w14:paraId="5402A49F" w14:textId="4F575246" w:rsidR="005D7628" w:rsidRPr="00337E86" w:rsidRDefault="00EB5410" w:rsidP="00EB5410">
      <w:pPr>
        <w:pStyle w:val="enumlev1"/>
        <w:rPr>
          <w:rStyle w:val="s1"/>
          <w:rFonts w:cstheme="minorHAnsi"/>
          <w:szCs w:val="24"/>
          <w:highlight w:val="cyan"/>
          <w:lang w:eastAsia="zh-CN"/>
        </w:rPr>
      </w:pPr>
      <w:r>
        <w:rPr>
          <w:szCs w:val="24"/>
          <w:lang w:eastAsia="zh-CN"/>
        </w:rPr>
        <w:t>3)</w:t>
      </w:r>
      <w:r>
        <w:rPr>
          <w:szCs w:val="24"/>
          <w:lang w:eastAsia="zh-CN"/>
        </w:rPr>
        <w:tab/>
      </w:r>
      <w:r w:rsidR="004D195D" w:rsidRPr="004D195D">
        <w:rPr>
          <w:rFonts w:hint="eastAsia"/>
          <w:lang w:eastAsia="zh-CN"/>
        </w:rPr>
        <w:t>国际电联秘书处应</w:t>
      </w:r>
      <w:r w:rsidR="004D195D" w:rsidRPr="008F3B03">
        <w:rPr>
          <w:rFonts w:hint="eastAsia"/>
          <w:lang w:eastAsia="zh-CN"/>
        </w:rPr>
        <w:t>在最大可行程度上</w:t>
      </w:r>
      <w:r w:rsidR="004D195D" w:rsidRPr="004D195D">
        <w:rPr>
          <w:rFonts w:hint="eastAsia"/>
          <w:lang w:eastAsia="zh-CN"/>
        </w:rPr>
        <w:t>为</w:t>
      </w:r>
      <w:r w:rsidR="004D195D" w:rsidRPr="004D195D">
        <w:rPr>
          <w:rFonts w:hint="eastAsia"/>
          <w:lang w:eastAsia="zh-CN"/>
        </w:rPr>
        <w:t>EG-ITRs</w:t>
      </w:r>
      <w:r w:rsidR="004D195D" w:rsidRPr="004D195D">
        <w:rPr>
          <w:rFonts w:hint="eastAsia"/>
          <w:lang w:eastAsia="zh-CN"/>
        </w:rPr>
        <w:t>的会议</w:t>
      </w:r>
      <w:r w:rsidR="00051516" w:rsidRPr="008F3B03">
        <w:rPr>
          <w:rFonts w:hint="eastAsia"/>
          <w:lang w:eastAsia="zh-CN"/>
        </w:rPr>
        <w:t>提供国际电联六种正式语文的同声传译、远程参会、网播、</w:t>
      </w:r>
      <w:proofErr w:type="gramStart"/>
      <w:r w:rsidR="00051516" w:rsidRPr="008F3B03">
        <w:rPr>
          <w:rFonts w:hint="eastAsia"/>
          <w:lang w:eastAsia="zh-CN"/>
        </w:rPr>
        <w:t>字幕和转录文本</w:t>
      </w:r>
      <w:r w:rsidR="008F3B03">
        <w:rPr>
          <w:rFonts w:hint="eastAsia"/>
          <w:lang w:eastAsia="zh-CN"/>
        </w:rPr>
        <w:t>；</w:t>
      </w:r>
      <w:proofErr w:type="gramEnd"/>
    </w:p>
    <w:p w14:paraId="05776792" w14:textId="08F7FFEB" w:rsidR="00051516" w:rsidRPr="00A2556E" w:rsidRDefault="00EB5410" w:rsidP="00EB5410">
      <w:pPr>
        <w:pStyle w:val="enumlev1"/>
        <w:rPr>
          <w:rStyle w:val="s1"/>
          <w:rFonts w:asciiTheme="minorHAnsi" w:hAnsiTheme="minorHAnsi"/>
          <w:lang w:eastAsia="zh-CN"/>
        </w:rPr>
      </w:pPr>
      <w:r>
        <w:rPr>
          <w:szCs w:val="24"/>
          <w:lang w:eastAsia="zh-CN"/>
        </w:rPr>
        <w:t>4)</w:t>
      </w:r>
      <w:r>
        <w:rPr>
          <w:szCs w:val="24"/>
          <w:lang w:eastAsia="zh-CN"/>
        </w:rPr>
        <w:tab/>
      </w:r>
      <w:r w:rsidR="004D195D" w:rsidRPr="00EB5410">
        <w:rPr>
          <w:rFonts w:hint="eastAsia"/>
          <w:lang w:eastAsia="zh-CN"/>
        </w:rPr>
        <w:t>专家组应每年至少召开一次会议，并向每届理事会会议提交一份报告，最后报告将提交给</w:t>
      </w:r>
      <w:r w:rsidR="004D195D" w:rsidRPr="00012EC9">
        <w:rPr>
          <w:rFonts w:cs="Calibri"/>
          <w:lang w:eastAsia="zh-CN"/>
        </w:rPr>
        <w:t>理事会</w:t>
      </w:r>
      <w:r w:rsidR="004D195D" w:rsidRPr="00012EC9">
        <w:rPr>
          <w:rFonts w:cs="Calibri"/>
          <w:lang w:eastAsia="zh-CN"/>
        </w:rPr>
        <w:t>2026</w:t>
      </w:r>
      <w:r w:rsidR="004D195D" w:rsidRPr="00012EC9">
        <w:rPr>
          <w:rFonts w:cs="Calibri"/>
          <w:lang w:eastAsia="zh-CN"/>
        </w:rPr>
        <w:t>年</w:t>
      </w:r>
      <w:r w:rsidR="004D195D">
        <w:rPr>
          <w:rFonts w:ascii="SimSun" w:hAnsi="SimSun" w:hint="eastAsia"/>
          <w:lang w:eastAsia="zh-CN"/>
        </w:rPr>
        <w:t>会议</w:t>
      </w:r>
      <w:r w:rsidR="004D195D" w:rsidRPr="004D195D">
        <w:rPr>
          <w:rFonts w:ascii="SimSun" w:hAnsi="SimSun" w:hint="eastAsia"/>
          <w:lang w:eastAsia="zh-CN"/>
        </w:rPr>
        <w:t>。</w:t>
      </w:r>
    </w:p>
    <w:p w14:paraId="11C1FEAC" w14:textId="5A53C893" w:rsidR="00051516" w:rsidRPr="00051516" w:rsidRDefault="00051516" w:rsidP="00051516">
      <w:pPr>
        <w:pStyle w:val="p1"/>
        <w:spacing w:before="840" w:beforeAutospacing="0" w:after="0" w:afterAutospacing="0"/>
        <w:ind w:left="360"/>
        <w:jc w:val="center"/>
        <w:rPr>
          <w:rFonts w:asciiTheme="minorHAnsi" w:hAnsiTheme="minorHAnsi"/>
        </w:rPr>
      </w:pPr>
      <w:r>
        <w:rPr>
          <w:rStyle w:val="s1"/>
          <w:rFonts w:asciiTheme="minorHAnsi" w:hAnsiTheme="minorHAnsi" w:cstheme="minorHAnsi"/>
          <w:sz w:val="24"/>
          <w:szCs w:val="24"/>
        </w:rPr>
        <w:t>_______________</w:t>
      </w:r>
    </w:p>
    <w:sectPr w:rsidR="00051516" w:rsidRPr="00051516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79B8" w14:textId="77777777" w:rsidR="00AF0FE3" w:rsidRDefault="00AF0FE3">
      <w:r>
        <w:separator/>
      </w:r>
    </w:p>
  </w:endnote>
  <w:endnote w:type="continuationSeparator" w:id="0">
    <w:p w14:paraId="5591B72D" w14:textId="77777777" w:rsidR="00AF0FE3" w:rsidRDefault="00AF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D0DCC0C" w14:textId="77777777" w:rsidTr="00E31DCE">
      <w:trPr>
        <w:jc w:val="center"/>
      </w:trPr>
      <w:tc>
        <w:tcPr>
          <w:tcW w:w="1803" w:type="dxa"/>
          <w:vAlign w:val="center"/>
        </w:tcPr>
        <w:p w14:paraId="6E5EFB30" w14:textId="58548471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3E47">
            <w:rPr>
              <w:noProof/>
            </w:rPr>
            <w:t>52</w:t>
          </w:r>
          <w:r w:rsidR="009A67C4">
            <w:rPr>
              <w:noProof/>
            </w:rPr>
            <w:t>5</w:t>
          </w:r>
          <w:r w:rsidR="007B4E0B">
            <w:rPr>
              <w:noProof/>
            </w:rPr>
            <w:t>3</w:t>
          </w:r>
          <w:r w:rsidR="00051516">
            <w:rPr>
              <w:noProof/>
            </w:rPr>
            <w:t>48</w:t>
          </w:r>
        </w:p>
      </w:tc>
      <w:tc>
        <w:tcPr>
          <w:tcW w:w="8261" w:type="dxa"/>
        </w:tcPr>
        <w:p w14:paraId="4CD75CBE" w14:textId="42C5C800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1516">
            <w:rPr>
              <w:bCs/>
            </w:rPr>
            <w:t>77</w:t>
          </w:r>
          <w:r w:rsidRPr="00623AE3">
            <w:rPr>
              <w:bCs/>
            </w:rPr>
            <w:t>-</w:t>
          </w:r>
          <w:r w:rsidR="007B4E0B"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59DF33" w14:textId="12D91E4F" w:rsidR="00B40A53" w:rsidRPr="00E24D59" w:rsidRDefault="00B40A53" w:rsidP="009D38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F3A61CE" w14:textId="77777777" w:rsidTr="00E31DCE">
      <w:trPr>
        <w:jc w:val="center"/>
      </w:trPr>
      <w:tc>
        <w:tcPr>
          <w:tcW w:w="1803" w:type="dxa"/>
          <w:vAlign w:val="center"/>
        </w:tcPr>
        <w:p w14:paraId="5C5E03F4" w14:textId="77777777" w:rsidR="00E24D59" w:rsidRDefault="002D1F70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DCA9171" w14:textId="1DAD85B9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051516">
            <w:rPr>
              <w:bCs/>
            </w:rPr>
            <w:t>77</w:t>
          </w:r>
          <w:r w:rsidRPr="00623AE3">
            <w:rPr>
              <w:bCs/>
            </w:rPr>
            <w:t>-</w:t>
          </w:r>
          <w:r w:rsidR="007B4E0B"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C72028" w14:textId="6E8C2E4C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45EBA" w14:textId="77777777" w:rsidR="00AF0FE3" w:rsidRDefault="00AF0FE3">
      <w:r>
        <w:t>____________________</w:t>
      </w:r>
    </w:p>
  </w:footnote>
  <w:footnote w:type="continuationSeparator" w:id="0">
    <w:p w14:paraId="31E9A9A6" w14:textId="77777777" w:rsidR="00AF0FE3" w:rsidRDefault="00AF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750DA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328158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7F2B8699" wp14:editId="43D78874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8F0D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5C939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97E59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03E3126C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A122" wp14:editId="4D246AC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2E2F5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E55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0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8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7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4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3334"/>
    <w:multiLevelType w:val="hybridMultilevel"/>
    <w:tmpl w:val="A390351C"/>
    <w:lvl w:ilvl="0" w:tplc="080895B4">
      <w:start w:val="1"/>
      <w:numFmt w:val="upperLetter"/>
      <w:lvlText w:val="%1."/>
      <w:lvlJc w:val="left"/>
      <w:pPr>
        <w:ind w:left="720" w:hanging="360"/>
      </w:pPr>
    </w:lvl>
    <w:lvl w:ilvl="1" w:tplc="88B63E14">
      <w:start w:val="1"/>
      <w:numFmt w:val="lowerLetter"/>
      <w:lvlText w:val="%2."/>
      <w:lvlJc w:val="left"/>
      <w:pPr>
        <w:ind w:left="1440" w:hanging="360"/>
      </w:pPr>
    </w:lvl>
    <w:lvl w:ilvl="2" w:tplc="DE32DB3C">
      <w:start w:val="1"/>
      <w:numFmt w:val="lowerRoman"/>
      <w:lvlText w:val="%3."/>
      <w:lvlJc w:val="right"/>
      <w:pPr>
        <w:ind w:left="2160" w:hanging="180"/>
      </w:pPr>
    </w:lvl>
    <w:lvl w:ilvl="3" w:tplc="173E2732">
      <w:start w:val="1"/>
      <w:numFmt w:val="decimal"/>
      <w:lvlText w:val="%4."/>
      <w:lvlJc w:val="left"/>
      <w:pPr>
        <w:ind w:left="2880" w:hanging="360"/>
      </w:pPr>
    </w:lvl>
    <w:lvl w:ilvl="4" w:tplc="0AD2568E">
      <w:start w:val="1"/>
      <w:numFmt w:val="lowerLetter"/>
      <w:lvlText w:val="%5."/>
      <w:lvlJc w:val="left"/>
      <w:pPr>
        <w:ind w:left="3600" w:hanging="360"/>
      </w:pPr>
    </w:lvl>
    <w:lvl w:ilvl="5" w:tplc="EF7C0894">
      <w:start w:val="1"/>
      <w:numFmt w:val="lowerRoman"/>
      <w:lvlText w:val="%6."/>
      <w:lvlJc w:val="right"/>
      <w:pPr>
        <w:ind w:left="4320" w:hanging="180"/>
      </w:pPr>
    </w:lvl>
    <w:lvl w:ilvl="6" w:tplc="5EA412B6">
      <w:start w:val="1"/>
      <w:numFmt w:val="decimal"/>
      <w:lvlText w:val="%7."/>
      <w:lvlJc w:val="left"/>
      <w:pPr>
        <w:ind w:left="5040" w:hanging="360"/>
      </w:pPr>
    </w:lvl>
    <w:lvl w:ilvl="7" w:tplc="1A046280">
      <w:start w:val="1"/>
      <w:numFmt w:val="lowerLetter"/>
      <w:lvlText w:val="%8."/>
      <w:lvlJc w:val="left"/>
      <w:pPr>
        <w:ind w:left="5760" w:hanging="360"/>
      </w:pPr>
    </w:lvl>
    <w:lvl w:ilvl="8" w:tplc="477255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6746D"/>
    <w:multiLevelType w:val="hybridMultilevel"/>
    <w:tmpl w:val="96246DD4"/>
    <w:lvl w:ilvl="0" w:tplc="AA32D776">
      <w:start w:val="1"/>
      <w:numFmt w:val="lowerLetter"/>
      <w:lvlText w:val="%1)"/>
      <w:lvlJc w:val="left"/>
      <w:pPr>
        <w:ind w:left="1080" w:hanging="360"/>
      </w:pPr>
    </w:lvl>
    <w:lvl w:ilvl="1" w:tplc="5E4C0D0C">
      <w:start w:val="1"/>
      <w:numFmt w:val="lowerLetter"/>
      <w:lvlText w:val="%2."/>
      <w:lvlJc w:val="left"/>
      <w:pPr>
        <w:ind w:left="1800" w:hanging="360"/>
      </w:pPr>
    </w:lvl>
    <w:lvl w:ilvl="2" w:tplc="04CC6920">
      <w:start w:val="1"/>
      <w:numFmt w:val="lowerRoman"/>
      <w:lvlText w:val="%3."/>
      <w:lvlJc w:val="right"/>
      <w:pPr>
        <w:ind w:left="2520" w:hanging="180"/>
      </w:pPr>
    </w:lvl>
    <w:lvl w:ilvl="3" w:tplc="51A47BC0">
      <w:start w:val="1"/>
      <w:numFmt w:val="decimal"/>
      <w:lvlText w:val="%4."/>
      <w:lvlJc w:val="left"/>
      <w:pPr>
        <w:ind w:left="3240" w:hanging="360"/>
      </w:pPr>
    </w:lvl>
    <w:lvl w:ilvl="4" w:tplc="EE7C8966">
      <w:start w:val="1"/>
      <w:numFmt w:val="lowerLetter"/>
      <w:lvlText w:val="%5."/>
      <w:lvlJc w:val="left"/>
      <w:pPr>
        <w:ind w:left="3960" w:hanging="360"/>
      </w:pPr>
    </w:lvl>
    <w:lvl w:ilvl="5" w:tplc="6E0C352C">
      <w:start w:val="1"/>
      <w:numFmt w:val="lowerRoman"/>
      <w:lvlText w:val="%6."/>
      <w:lvlJc w:val="right"/>
      <w:pPr>
        <w:ind w:left="4680" w:hanging="180"/>
      </w:pPr>
    </w:lvl>
    <w:lvl w:ilvl="6" w:tplc="326494BC">
      <w:start w:val="1"/>
      <w:numFmt w:val="decimal"/>
      <w:lvlText w:val="%7."/>
      <w:lvlJc w:val="left"/>
      <w:pPr>
        <w:ind w:left="5400" w:hanging="360"/>
      </w:pPr>
    </w:lvl>
    <w:lvl w:ilvl="7" w:tplc="8BEA35CC">
      <w:start w:val="1"/>
      <w:numFmt w:val="lowerLetter"/>
      <w:lvlText w:val="%8."/>
      <w:lvlJc w:val="left"/>
      <w:pPr>
        <w:ind w:left="6120" w:hanging="360"/>
      </w:pPr>
    </w:lvl>
    <w:lvl w:ilvl="8" w:tplc="573E741C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1C61"/>
    <w:multiLevelType w:val="hybridMultilevel"/>
    <w:tmpl w:val="C4E89B38"/>
    <w:lvl w:ilvl="0" w:tplc="D69A75E0">
      <w:start w:val="1"/>
      <w:numFmt w:val="decimal"/>
      <w:lvlText w:val="%1"/>
      <w:lvlJc w:val="left"/>
      <w:pPr>
        <w:ind w:left="834" w:hanging="564"/>
      </w:pPr>
    </w:lvl>
    <w:lvl w:ilvl="1" w:tplc="828A8C48">
      <w:start w:val="1"/>
      <w:numFmt w:val="lowerLetter"/>
      <w:lvlText w:val="%2."/>
      <w:lvlJc w:val="left"/>
      <w:pPr>
        <w:ind w:left="1440" w:hanging="360"/>
      </w:pPr>
    </w:lvl>
    <w:lvl w:ilvl="2" w:tplc="5266A5FE">
      <w:start w:val="1"/>
      <w:numFmt w:val="lowerRoman"/>
      <w:lvlText w:val="%3."/>
      <w:lvlJc w:val="right"/>
      <w:pPr>
        <w:ind w:left="2160" w:hanging="180"/>
      </w:pPr>
    </w:lvl>
    <w:lvl w:ilvl="3" w:tplc="72B27EB6">
      <w:start w:val="1"/>
      <w:numFmt w:val="decimal"/>
      <w:lvlText w:val="%4."/>
      <w:lvlJc w:val="left"/>
      <w:pPr>
        <w:ind w:left="2880" w:hanging="360"/>
      </w:pPr>
    </w:lvl>
    <w:lvl w:ilvl="4" w:tplc="691A6CAA">
      <w:start w:val="1"/>
      <w:numFmt w:val="lowerLetter"/>
      <w:lvlText w:val="%5."/>
      <w:lvlJc w:val="left"/>
      <w:pPr>
        <w:ind w:left="3600" w:hanging="360"/>
      </w:pPr>
    </w:lvl>
    <w:lvl w:ilvl="5" w:tplc="19401D84">
      <w:start w:val="1"/>
      <w:numFmt w:val="lowerRoman"/>
      <w:lvlText w:val="%6."/>
      <w:lvlJc w:val="right"/>
      <w:pPr>
        <w:ind w:left="4320" w:hanging="180"/>
      </w:pPr>
    </w:lvl>
    <w:lvl w:ilvl="6" w:tplc="9A2AB436">
      <w:start w:val="1"/>
      <w:numFmt w:val="decimal"/>
      <w:lvlText w:val="%7."/>
      <w:lvlJc w:val="left"/>
      <w:pPr>
        <w:ind w:left="5040" w:hanging="360"/>
      </w:pPr>
    </w:lvl>
    <w:lvl w:ilvl="7" w:tplc="0798B3F6">
      <w:start w:val="1"/>
      <w:numFmt w:val="lowerLetter"/>
      <w:lvlText w:val="%8."/>
      <w:lvlJc w:val="left"/>
      <w:pPr>
        <w:ind w:left="5760" w:hanging="360"/>
      </w:pPr>
    </w:lvl>
    <w:lvl w:ilvl="8" w:tplc="6676226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00259D"/>
    <w:multiLevelType w:val="hybridMultilevel"/>
    <w:tmpl w:val="7DE65270"/>
    <w:lvl w:ilvl="0" w:tplc="FB6278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4444"/>
        <w:sz w:val="24"/>
        <w:szCs w:val="24"/>
      </w:rPr>
    </w:lvl>
    <w:lvl w:ilvl="1" w:tplc="4C6094E4">
      <w:start w:val="1"/>
      <w:numFmt w:val="lowerLetter"/>
      <w:lvlText w:val="%2."/>
      <w:lvlJc w:val="left"/>
      <w:pPr>
        <w:ind w:left="1080" w:hanging="360"/>
      </w:pPr>
    </w:lvl>
    <w:lvl w:ilvl="2" w:tplc="51E8C206">
      <w:start w:val="1"/>
      <w:numFmt w:val="lowerRoman"/>
      <w:lvlText w:val="%3."/>
      <w:lvlJc w:val="right"/>
      <w:pPr>
        <w:ind w:left="1800" w:hanging="180"/>
      </w:pPr>
    </w:lvl>
    <w:lvl w:ilvl="3" w:tplc="D14039FA">
      <w:start w:val="1"/>
      <w:numFmt w:val="decimal"/>
      <w:lvlText w:val="%4."/>
      <w:lvlJc w:val="left"/>
      <w:pPr>
        <w:ind w:left="2520" w:hanging="360"/>
      </w:pPr>
    </w:lvl>
    <w:lvl w:ilvl="4" w:tplc="82D825DA">
      <w:start w:val="1"/>
      <w:numFmt w:val="lowerLetter"/>
      <w:lvlText w:val="%5."/>
      <w:lvlJc w:val="left"/>
      <w:pPr>
        <w:ind w:left="3240" w:hanging="360"/>
      </w:pPr>
    </w:lvl>
    <w:lvl w:ilvl="5" w:tplc="7CE256AE">
      <w:start w:val="1"/>
      <w:numFmt w:val="lowerRoman"/>
      <w:lvlText w:val="%6."/>
      <w:lvlJc w:val="right"/>
      <w:pPr>
        <w:ind w:left="3960" w:hanging="180"/>
      </w:pPr>
    </w:lvl>
    <w:lvl w:ilvl="6" w:tplc="D304D044">
      <w:start w:val="1"/>
      <w:numFmt w:val="decimal"/>
      <w:lvlText w:val="%7."/>
      <w:lvlJc w:val="left"/>
      <w:pPr>
        <w:ind w:left="4680" w:hanging="360"/>
      </w:pPr>
    </w:lvl>
    <w:lvl w:ilvl="7" w:tplc="660C540E">
      <w:start w:val="1"/>
      <w:numFmt w:val="lowerLetter"/>
      <w:lvlText w:val="%8."/>
      <w:lvlJc w:val="left"/>
      <w:pPr>
        <w:ind w:left="5400" w:hanging="360"/>
      </w:pPr>
    </w:lvl>
    <w:lvl w:ilvl="8" w:tplc="2B06DDD4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5"/>
  </w:num>
  <w:num w:numId="3" w16cid:durableId="371539808">
    <w:abstractNumId w:val="7"/>
  </w:num>
  <w:num w:numId="4" w16cid:durableId="1525828948">
    <w:abstractNumId w:val="9"/>
  </w:num>
  <w:num w:numId="5" w16cid:durableId="2033219779">
    <w:abstractNumId w:val="11"/>
  </w:num>
  <w:num w:numId="6" w16cid:durableId="349645790">
    <w:abstractNumId w:val="10"/>
  </w:num>
  <w:num w:numId="7" w16cid:durableId="1451586466">
    <w:abstractNumId w:val="3"/>
  </w:num>
  <w:num w:numId="8" w16cid:durableId="160508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899622">
    <w:abstractNumId w:val="1"/>
  </w:num>
  <w:num w:numId="10" w16cid:durableId="1686204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8487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194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47"/>
    <w:rsid w:val="00001B77"/>
    <w:rsid w:val="0000517A"/>
    <w:rsid w:val="00012EC9"/>
    <w:rsid w:val="00031E72"/>
    <w:rsid w:val="000404D2"/>
    <w:rsid w:val="00045E6F"/>
    <w:rsid w:val="00051516"/>
    <w:rsid w:val="00063A55"/>
    <w:rsid w:val="000853C0"/>
    <w:rsid w:val="0009409E"/>
    <w:rsid w:val="00095B60"/>
    <w:rsid w:val="000A1C21"/>
    <w:rsid w:val="000C0BC5"/>
    <w:rsid w:val="000D15EA"/>
    <w:rsid w:val="00100D84"/>
    <w:rsid w:val="00124C9D"/>
    <w:rsid w:val="00157773"/>
    <w:rsid w:val="00174BEC"/>
    <w:rsid w:val="0018251A"/>
    <w:rsid w:val="00190272"/>
    <w:rsid w:val="00193244"/>
    <w:rsid w:val="00195C6C"/>
    <w:rsid w:val="00195FED"/>
    <w:rsid w:val="001A4BD6"/>
    <w:rsid w:val="001D5A18"/>
    <w:rsid w:val="001D72B6"/>
    <w:rsid w:val="00223A61"/>
    <w:rsid w:val="0024124E"/>
    <w:rsid w:val="00263B65"/>
    <w:rsid w:val="00280EB8"/>
    <w:rsid w:val="002A6670"/>
    <w:rsid w:val="002D5400"/>
    <w:rsid w:val="00303502"/>
    <w:rsid w:val="00325C25"/>
    <w:rsid w:val="00362C82"/>
    <w:rsid w:val="00372C8F"/>
    <w:rsid w:val="00380ECE"/>
    <w:rsid w:val="00393DDF"/>
    <w:rsid w:val="003960D6"/>
    <w:rsid w:val="00397F55"/>
    <w:rsid w:val="003B3E47"/>
    <w:rsid w:val="003B4454"/>
    <w:rsid w:val="003C2E37"/>
    <w:rsid w:val="003F1415"/>
    <w:rsid w:val="003F4721"/>
    <w:rsid w:val="0040144C"/>
    <w:rsid w:val="00403EB7"/>
    <w:rsid w:val="00430BF0"/>
    <w:rsid w:val="004672E6"/>
    <w:rsid w:val="00474ED1"/>
    <w:rsid w:val="004831D8"/>
    <w:rsid w:val="00485998"/>
    <w:rsid w:val="00493085"/>
    <w:rsid w:val="004A36EC"/>
    <w:rsid w:val="004D163F"/>
    <w:rsid w:val="004D195D"/>
    <w:rsid w:val="004D5A33"/>
    <w:rsid w:val="004E4BFF"/>
    <w:rsid w:val="004F2598"/>
    <w:rsid w:val="005403F7"/>
    <w:rsid w:val="00540632"/>
    <w:rsid w:val="00541CF4"/>
    <w:rsid w:val="005451E8"/>
    <w:rsid w:val="005503B5"/>
    <w:rsid w:val="005507F2"/>
    <w:rsid w:val="005753CC"/>
    <w:rsid w:val="0057581F"/>
    <w:rsid w:val="005759CC"/>
    <w:rsid w:val="005A72E1"/>
    <w:rsid w:val="005C39B0"/>
    <w:rsid w:val="005C6632"/>
    <w:rsid w:val="005D1C9E"/>
    <w:rsid w:val="005D7628"/>
    <w:rsid w:val="005F2B0B"/>
    <w:rsid w:val="00654257"/>
    <w:rsid w:val="0065435A"/>
    <w:rsid w:val="006A2DD3"/>
    <w:rsid w:val="006A5AF8"/>
    <w:rsid w:val="006B7972"/>
    <w:rsid w:val="006C36CD"/>
    <w:rsid w:val="006D70E3"/>
    <w:rsid w:val="006E3642"/>
    <w:rsid w:val="006E79E5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B4E0B"/>
    <w:rsid w:val="007D6609"/>
    <w:rsid w:val="007E189D"/>
    <w:rsid w:val="007F473F"/>
    <w:rsid w:val="00807D0D"/>
    <w:rsid w:val="00811259"/>
    <w:rsid w:val="00813AA2"/>
    <w:rsid w:val="008173A3"/>
    <w:rsid w:val="008418F5"/>
    <w:rsid w:val="0086059C"/>
    <w:rsid w:val="00864589"/>
    <w:rsid w:val="00890AFB"/>
    <w:rsid w:val="00890FC4"/>
    <w:rsid w:val="00895905"/>
    <w:rsid w:val="008B5034"/>
    <w:rsid w:val="008C0AE6"/>
    <w:rsid w:val="008C694F"/>
    <w:rsid w:val="008F3B03"/>
    <w:rsid w:val="00902196"/>
    <w:rsid w:val="00911867"/>
    <w:rsid w:val="009164A9"/>
    <w:rsid w:val="009258CB"/>
    <w:rsid w:val="0093362E"/>
    <w:rsid w:val="00944563"/>
    <w:rsid w:val="009521DB"/>
    <w:rsid w:val="00953160"/>
    <w:rsid w:val="009625D8"/>
    <w:rsid w:val="0098459B"/>
    <w:rsid w:val="00984A37"/>
    <w:rsid w:val="00987196"/>
    <w:rsid w:val="00997185"/>
    <w:rsid w:val="009A67C4"/>
    <w:rsid w:val="009C2458"/>
    <w:rsid w:val="009C4A7B"/>
    <w:rsid w:val="009C6123"/>
    <w:rsid w:val="009D38E0"/>
    <w:rsid w:val="009F1E3E"/>
    <w:rsid w:val="00A03D5C"/>
    <w:rsid w:val="00A1213C"/>
    <w:rsid w:val="00A272FF"/>
    <w:rsid w:val="00A3376F"/>
    <w:rsid w:val="00A5354B"/>
    <w:rsid w:val="00A71B57"/>
    <w:rsid w:val="00AB42C1"/>
    <w:rsid w:val="00AC516F"/>
    <w:rsid w:val="00AD0617"/>
    <w:rsid w:val="00AD2EF0"/>
    <w:rsid w:val="00AD6D5F"/>
    <w:rsid w:val="00AE1009"/>
    <w:rsid w:val="00AE195F"/>
    <w:rsid w:val="00AE2926"/>
    <w:rsid w:val="00AF0FE3"/>
    <w:rsid w:val="00B0184B"/>
    <w:rsid w:val="00B035CD"/>
    <w:rsid w:val="00B0769D"/>
    <w:rsid w:val="00B16E7A"/>
    <w:rsid w:val="00B16F0D"/>
    <w:rsid w:val="00B217F8"/>
    <w:rsid w:val="00B3009B"/>
    <w:rsid w:val="00B332EA"/>
    <w:rsid w:val="00B3499D"/>
    <w:rsid w:val="00B40A53"/>
    <w:rsid w:val="00B45365"/>
    <w:rsid w:val="00B46A65"/>
    <w:rsid w:val="00B60184"/>
    <w:rsid w:val="00B62D20"/>
    <w:rsid w:val="00B81E75"/>
    <w:rsid w:val="00B97DB3"/>
    <w:rsid w:val="00BB6AAC"/>
    <w:rsid w:val="00BD1A5A"/>
    <w:rsid w:val="00BD7A9B"/>
    <w:rsid w:val="00BD7BE1"/>
    <w:rsid w:val="00BF3A64"/>
    <w:rsid w:val="00BF416B"/>
    <w:rsid w:val="00C22AD7"/>
    <w:rsid w:val="00C560E6"/>
    <w:rsid w:val="00C64E4E"/>
    <w:rsid w:val="00C66E64"/>
    <w:rsid w:val="00C761A0"/>
    <w:rsid w:val="00C85D59"/>
    <w:rsid w:val="00C85F7E"/>
    <w:rsid w:val="00C90D53"/>
    <w:rsid w:val="00CA0B2E"/>
    <w:rsid w:val="00CB1665"/>
    <w:rsid w:val="00CB5EA6"/>
    <w:rsid w:val="00CD47F0"/>
    <w:rsid w:val="00CD5566"/>
    <w:rsid w:val="00CD64D7"/>
    <w:rsid w:val="00CE283B"/>
    <w:rsid w:val="00CE6F22"/>
    <w:rsid w:val="00CF41F6"/>
    <w:rsid w:val="00CF727F"/>
    <w:rsid w:val="00CF7D3E"/>
    <w:rsid w:val="00D02B4E"/>
    <w:rsid w:val="00D21F11"/>
    <w:rsid w:val="00D36817"/>
    <w:rsid w:val="00D4188A"/>
    <w:rsid w:val="00D453EE"/>
    <w:rsid w:val="00D5666C"/>
    <w:rsid w:val="00D666BC"/>
    <w:rsid w:val="00D73295"/>
    <w:rsid w:val="00D83542"/>
    <w:rsid w:val="00D92F45"/>
    <w:rsid w:val="00D938AD"/>
    <w:rsid w:val="00D94637"/>
    <w:rsid w:val="00D9725C"/>
    <w:rsid w:val="00DA50BA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1C34"/>
    <w:rsid w:val="00E346F2"/>
    <w:rsid w:val="00E378D8"/>
    <w:rsid w:val="00E43A12"/>
    <w:rsid w:val="00E526E1"/>
    <w:rsid w:val="00E67C67"/>
    <w:rsid w:val="00E7139A"/>
    <w:rsid w:val="00E733BA"/>
    <w:rsid w:val="00E77476"/>
    <w:rsid w:val="00E8228B"/>
    <w:rsid w:val="00E827D9"/>
    <w:rsid w:val="00E96809"/>
    <w:rsid w:val="00EB5410"/>
    <w:rsid w:val="00EE5706"/>
    <w:rsid w:val="00EF373D"/>
    <w:rsid w:val="00EF3946"/>
    <w:rsid w:val="00F030B0"/>
    <w:rsid w:val="00F11595"/>
    <w:rsid w:val="00F11E07"/>
    <w:rsid w:val="00F13BC9"/>
    <w:rsid w:val="00F357B2"/>
    <w:rsid w:val="00F36556"/>
    <w:rsid w:val="00F54250"/>
    <w:rsid w:val="00F705DF"/>
    <w:rsid w:val="00F70622"/>
    <w:rsid w:val="00F77352"/>
    <w:rsid w:val="00F85624"/>
    <w:rsid w:val="00F87C05"/>
    <w:rsid w:val="00F93191"/>
    <w:rsid w:val="00F93A17"/>
    <w:rsid w:val="00FA2AF6"/>
    <w:rsid w:val="00FB073D"/>
    <w:rsid w:val="00FB771F"/>
    <w:rsid w:val="00FC0898"/>
    <w:rsid w:val="00FC5386"/>
    <w:rsid w:val="00FC7755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B9FCC"/>
  <w15:docId w15:val="{2262C6D8-0E26-41E0-8CF5-E528768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B3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617"/>
    <w:rPr>
      <w:rFonts w:ascii="Calibri" w:hAnsi="Calibri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E96809"/>
    <w:rPr>
      <w:color w:val="auto"/>
    </w:rPr>
  </w:style>
  <w:style w:type="paragraph" w:customStyle="1" w:styleId="p1">
    <w:name w:val="p1"/>
    <w:basedOn w:val="Normal"/>
    <w:rsid w:val="005D76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val="en-ZW" w:eastAsia="en-ZW"/>
    </w:rPr>
  </w:style>
  <w:style w:type="character" w:customStyle="1" w:styleId="s1">
    <w:name w:val="s1"/>
    <w:basedOn w:val="DefaultParagraphFont"/>
    <w:rsid w:val="005D7628"/>
  </w:style>
  <w:style w:type="paragraph" w:styleId="NoSpacing">
    <w:name w:val="No Spacing"/>
    <w:uiPriority w:val="1"/>
    <w:qFormat/>
    <w:rsid w:val="005D7628"/>
    <w:rPr>
      <w:rFonts w:ascii="Calibri" w:eastAsiaTheme="minorHAnsi" w:hAnsi="Calibri" w:cs="Calibri"/>
      <w:sz w:val="22"/>
      <w:szCs w:val="22"/>
      <w:lang w:val="en-ZW" w:eastAsia="en-ZW"/>
    </w:rPr>
  </w:style>
  <w:style w:type="character" w:customStyle="1" w:styleId="enumlev1Char">
    <w:name w:val="enumlev1 Char"/>
    <w:basedOn w:val="DefaultParagraphFont"/>
    <w:link w:val="enumlev1"/>
    <w:locked/>
    <w:rsid w:val="005D7628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1377</Words>
  <Characters>304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1678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Terms of reference of the Expert group on the ITRs</dc:title>
  <dc:subject>Council 2023</dc:subject>
  <dc:creator>Li, Jianying</dc:creator>
  <cp:keywords>C2023, C23, Council-23</cp:keywords>
  <dc:description/>
  <cp:lastModifiedBy>Xue, Kun</cp:lastModifiedBy>
  <cp:revision>4</cp:revision>
  <cp:lastPrinted>2015-02-24T13:23:00Z</cp:lastPrinted>
  <dcterms:created xsi:type="dcterms:W3CDTF">2023-07-05T15:27:00Z</dcterms:created>
  <dcterms:modified xsi:type="dcterms:W3CDTF">2023-07-05T15:28:00Z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