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D59E3" w14:paraId="1591300A" w14:textId="77777777" w:rsidTr="7D754B1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F3F94AF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rFonts w:hint="eastAsia"/>
                <w:b/>
                <w:lang w:eastAsia="zh-CN"/>
              </w:rPr>
              <w:t>议项：</w:t>
            </w:r>
            <w:r w:rsidR="00B27002" w:rsidRPr="006D59E3">
              <w:rPr>
                <w:b/>
              </w:rPr>
              <w:t xml:space="preserve">PL </w:t>
            </w:r>
            <w:r w:rsidR="00621412">
              <w:rPr>
                <w:b/>
              </w:rPr>
              <w:t>2</w:t>
            </w:r>
          </w:p>
        </w:tc>
        <w:tc>
          <w:tcPr>
            <w:tcW w:w="5245" w:type="dxa"/>
          </w:tcPr>
          <w:p w14:paraId="2F0CB53A" w14:textId="7A5AD26B" w:rsidR="00AD3606" w:rsidRPr="006D59E3" w:rsidRDefault="002C59E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b/>
              </w:rPr>
              <w:t xml:space="preserve"> </w:t>
            </w:r>
            <w:r w:rsidR="00AD3606" w:rsidRPr="006D59E3">
              <w:rPr>
                <w:b/>
              </w:rPr>
              <w:t>C23/</w:t>
            </w:r>
            <w:r w:rsidR="00DE78D6">
              <w:rPr>
                <w:b/>
              </w:rPr>
              <w:t>7</w:t>
            </w:r>
            <w:r w:rsidR="00621412">
              <w:rPr>
                <w:b/>
              </w:rPr>
              <w:t>4</w:t>
            </w:r>
            <w:r w:rsidR="00AD3606" w:rsidRPr="006D59E3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6D59E3" w14:paraId="777833CB" w14:textId="77777777" w:rsidTr="7D754B15">
        <w:trPr>
          <w:cantSplit/>
        </w:trPr>
        <w:tc>
          <w:tcPr>
            <w:tcW w:w="3969" w:type="dxa"/>
            <w:vMerge/>
          </w:tcPr>
          <w:p w14:paraId="7DECAB6C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630628C" w:rsidR="00AD3606" w:rsidRPr="006D59E3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D59E3">
              <w:rPr>
                <w:b/>
              </w:rPr>
              <w:t>2023</w:t>
            </w:r>
            <w:r w:rsidR="002C59E4">
              <w:rPr>
                <w:rFonts w:hint="eastAsia"/>
                <w:b/>
                <w:lang w:eastAsia="zh-CN"/>
              </w:rPr>
              <w:t>年</w:t>
            </w:r>
            <w:r w:rsidR="002C59E4">
              <w:rPr>
                <w:rFonts w:hint="eastAsia"/>
                <w:b/>
                <w:lang w:eastAsia="zh-CN"/>
              </w:rPr>
              <w:t>6</w:t>
            </w:r>
            <w:r w:rsidR="002C59E4">
              <w:rPr>
                <w:rFonts w:hint="eastAsia"/>
                <w:b/>
                <w:lang w:eastAsia="zh-CN"/>
              </w:rPr>
              <w:t>月</w:t>
            </w:r>
            <w:r w:rsidR="002C59E4">
              <w:rPr>
                <w:b/>
                <w:lang w:eastAsia="zh-CN"/>
              </w:rPr>
              <w:t>2</w:t>
            </w:r>
            <w:r w:rsidR="00DE78D6">
              <w:rPr>
                <w:b/>
                <w:lang w:eastAsia="zh-CN"/>
              </w:rPr>
              <w:t>7</w:t>
            </w:r>
            <w:r w:rsidR="002C59E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6D59E3" w14:paraId="082C2282" w14:textId="77777777" w:rsidTr="7D754B15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6D59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29744D10" w:rsidR="00AD3606" w:rsidRPr="006D59E3" w:rsidRDefault="002C59E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6D59E3" w14:paraId="3C9C7706" w14:textId="77777777" w:rsidTr="7D754B15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6D59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6D59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2C59E4" w:rsidRPr="006D59E3" w14:paraId="56107E13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35627E" w14:textId="64351001" w:rsidR="002C59E4" w:rsidRPr="006D59E3" w:rsidRDefault="003D0993" w:rsidP="00621412">
            <w:pPr>
              <w:pStyle w:val="Source"/>
              <w:framePr w:hSpace="0" w:wrap="auto" w:vAnchor="margin" w:hAnchor="text" w:xAlign="left" w:yAlign="inline"/>
              <w:rPr>
                <w:lang w:eastAsia="zh-CN"/>
              </w:rPr>
            </w:pPr>
            <w:bookmarkStart w:id="4" w:name="dsource" w:colFirst="0" w:colLast="0"/>
            <w:bookmarkEnd w:id="3"/>
            <w:r w:rsidRPr="00136711">
              <w:rPr>
                <w:rFonts w:hint="eastAsia"/>
                <w:lang w:eastAsia="zh-CN"/>
              </w:rPr>
              <w:t>捷克共和国</w:t>
            </w:r>
            <w:r>
              <w:rPr>
                <w:rFonts w:hint="eastAsia"/>
                <w:lang w:eastAsia="zh-CN"/>
              </w:rPr>
              <w:t>及</w:t>
            </w:r>
            <w:r w:rsidR="0008025D" w:rsidRPr="00136711">
              <w:rPr>
                <w:rFonts w:hint="eastAsia"/>
                <w:lang w:eastAsia="zh-CN"/>
              </w:rPr>
              <w:t>德意志（联邦共和国）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奥地利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比利时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保加利亚（共和国）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塞浦路斯（共和国）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克罗地亚（共和国）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丹麦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西班牙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爱沙尼亚（共和国）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芬兰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法国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加纳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希腊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匈牙利</w:t>
            </w:r>
            <w:r w:rsidR="00621412" w:rsidRPr="00136711">
              <w:rPr>
                <w:lang w:eastAsia="zh-CN"/>
              </w:rPr>
              <w:t>、</w:t>
            </w:r>
            <w:r w:rsidR="0008025D" w:rsidRPr="00136711">
              <w:rPr>
                <w:rFonts w:hint="eastAsia"/>
                <w:lang w:eastAsia="zh-CN"/>
              </w:rPr>
              <w:t>爱尔兰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冰岛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以色列（国）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意大利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拉脱维亚（共和国）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列支敦士登（公国）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立陶宛（共和国）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卢森堡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北马其顿（共和国）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马耳他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墨西哥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摩尔多瓦（共和国）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黑山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荷兰（王国）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秘鲁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波兰（共和国）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葡萄牙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斯洛伐克共和国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罗马尼亚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塞尔维亚（共和国）</w:t>
            </w:r>
            <w:r w:rsidR="00621412" w:rsidRPr="00136711">
              <w:rPr>
                <w:lang w:eastAsia="zh-CN"/>
              </w:rPr>
              <w:t>、</w:t>
            </w:r>
            <w:r w:rsidR="00136711" w:rsidRPr="00136711">
              <w:rPr>
                <w:rFonts w:hint="eastAsia"/>
                <w:lang w:eastAsia="zh-CN"/>
              </w:rPr>
              <w:t>斯洛文尼亚（共和国）</w:t>
            </w:r>
            <w:r w:rsidR="00621412" w:rsidRPr="00136711">
              <w:rPr>
                <w:rFonts w:hint="eastAsia"/>
                <w:lang w:eastAsia="zh-CN"/>
              </w:rPr>
              <w:t>和</w:t>
            </w:r>
            <w:r w:rsidR="00136711" w:rsidRPr="00136711">
              <w:rPr>
                <w:rFonts w:hint="eastAsia"/>
                <w:lang w:eastAsia="zh-CN"/>
              </w:rPr>
              <w:t>瑞典</w:t>
            </w:r>
            <w:r w:rsidR="00DE78D6" w:rsidRPr="00136711">
              <w:rPr>
                <w:rFonts w:hint="eastAsia"/>
                <w:lang w:eastAsia="zh-CN"/>
              </w:rPr>
              <w:t>的文稿</w:t>
            </w:r>
          </w:p>
        </w:tc>
      </w:tr>
      <w:tr w:rsidR="002C59E4" w:rsidRPr="006D59E3" w14:paraId="0589EAFA" w14:textId="77777777" w:rsidTr="7D754B1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C173F2" w14:textId="15896C67" w:rsidR="002C59E4" w:rsidRPr="006D59E3" w:rsidRDefault="006478FB" w:rsidP="00621412">
            <w:pPr>
              <w:pStyle w:val="Subtitle1"/>
              <w:framePr w:hSpace="0" w:wrap="auto" w:xAlign="left" w:yAlign="inline"/>
              <w:rPr>
                <w:lang w:eastAsia="zh-CN"/>
              </w:rPr>
            </w:pPr>
            <w:bookmarkStart w:id="5" w:name="dtitle1" w:colFirst="0" w:colLast="0"/>
            <w:bookmarkEnd w:id="4"/>
            <w:r w:rsidRPr="00505813">
              <w:rPr>
                <w:rFonts w:hint="eastAsia"/>
                <w:lang w:eastAsia="zh-CN"/>
              </w:rPr>
              <w:t>在以人为本的数字化转型愿景中</w:t>
            </w:r>
            <w:r w:rsidR="00505813">
              <w:rPr>
                <w:lang w:eastAsia="zh-CN"/>
              </w:rPr>
              <w:br/>
            </w:r>
            <w:r w:rsidRPr="00505813">
              <w:rPr>
                <w:rFonts w:hint="eastAsia"/>
                <w:lang w:eastAsia="zh-CN"/>
              </w:rPr>
              <w:t>对电信</w:t>
            </w:r>
            <w:r w:rsidRPr="00505813">
              <w:rPr>
                <w:lang w:eastAsia="zh-CN"/>
              </w:rPr>
              <w:t>/ICT</w:t>
            </w:r>
            <w:r w:rsidRPr="00505813">
              <w:rPr>
                <w:rFonts w:hint="eastAsia"/>
                <w:lang w:eastAsia="zh-CN"/>
              </w:rPr>
              <w:t>技术采取基于人权的方法</w:t>
            </w:r>
          </w:p>
        </w:tc>
      </w:tr>
      <w:tr w:rsidR="002C59E4" w:rsidRPr="006D59E3" w14:paraId="23090289" w14:textId="77777777" w:rsidTr="7D754B1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08270E" w14:textId="1BA1D624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58875E53" w14:textId="13E4F81D" w:rsidR="00621412" w:rsidRDefault="008159B4" w:rsidP="00D0718D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本文稿介绍了一组成员国的意见，这些成员国认为，如果国际电联推动以人为本的数字化转型，</w:t>
            </w:r>
            <w:r w:rsidR="00505813">
              <w:rPr>
                <w:rFonts w:hint="eastAsia"/>
                <w:lang w:eastAsia="zh-CN"/>
              </w:rPr>
              <w:t>那么</w:t>
            </w:r>
            <w:r>
              <w:rPr>
                <w:rFonts w:hint="eastAsia"/>
                <w:lang w:eastAsia="zh-CN"/>
              </w:rPr>
              <w:t>电信</w:t>
            </w:r>
            <w:r>
              <w:rPr>
                <w:lang w:eastAsia="zh-CN"/>
              </w:rPr>
              <w:t>/ICT</w:t>
            </w:r>
            <w:r>
              <w:rPr>
                <w:rFonts w:hint="eastAsia"/>
                <w:lang w:eastAsia="zh-CN"/>
              </w:rPr>
              <w:t>可能会</w:t>
            </w:r>
            <w:r w:rsidR="00800299">
              <w:rPr>
                <w:rFonts w:hint="eastAsia"/>
                <w:lang w:eastAsia="zh-CN"/>
              </w:rPr>
              <w:t>发挥</w:t>
            </w:r>
            <w:r>
              <w:rPr>
                <w:rFonts w:hint="eastAsia"/>
                <w:lang w:eastAsia="zh-CN"/>
              </w:rPr>
              <w:t>巨大</w:t>
            </w:r>
            <w:r w:rsidR="00505813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潜力，这</w:t>
            </w:r>
            <w:r w:rsidR="00505813">
              <w:rPr>
                <w:rFonts w:hint="eastAsia"/>
                <w:lang w:eastAsia="zh-CN"/>
              </w:rPr>
              <w:t>一点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 w:rsidRPr="008159B4">
              <w:rPr>
                <w:rFonts w:hint="eastAsia"/>
                <w:lang w:eastAsia="zh-CN"/>
              </w:rPr>
              <w:t>布加勒斯特全权代表大会</w:t>
            </w:r>
            <w:r w:rsidR="00505813"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eastAsia="zh-CN"/>
              </w:rPr>
              <w:t>得到广泛支持的</w:t>
            </w:r>
            <w:r w:rsidRPr="008159B4">
              <w:rPr>
                <w:rFonts w:hint="eastAsia"/>
                <w:lang w:eastAsia="zh-CN"/>
              </w:rPr>
              <w:t>政策性发言</w:t>
            </w:r>
            <w:r>
              <w:rPr>
                <w:rFonts w:hint="eastAsia"/>
                <w:lang w:eastAsia="zh-CN"/>
              </w:rPr>
              <w:t>中也有</w:t>
            </w:r>
            <w:r w:rsidR="00505813"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>提及。</w:t>
            </w:r>
          </w:p>
          <w:p w14:paraId="5C3A7430" w14:textId="092DBEB7" w:rsidR="00621412" w:rsidRPr="00813E5E" w:rsidRDefault="006E4F08" w:rsidP="00D0718D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本文稿与全体会议议项</w:t>
            </w:r>
            <w:r>
              <w:rPr>
                <w:lang w:eastAsia="zh-CN"/>
              </w:rPr>
              <w:t>2.3</w:t>
            </w:r>
            <w:r w:rsidR="00505813">
              <w:rPr>
                <w:rFonts w:hint="eastAsia"/>
                <w:lang w:eastAsia="zh-CN"/>
              </w:rPr>
              <w:t>有关</w:t>
            </w:r>
            <w:r>
              <w:rPr>
                <w:rFonts w:hint="eastAsia"/>
                <w:lang w:eastAsia="zh-CN"/>
              </w:rPr>
              <w:t>，</w:t>
            </w:r>
            <w:r w:rsidRPr="00505813">
              <w:rPr>
                <w:rFonts w:hint="eastAsia"/>
                <w:lang w:eastAsia="zh-CN"/>
              </w:rPr>
              <w:t>该议项涉及围绕联合国系统及其他国际政府间进程的标准制定过程。此外，国际电联</w:t>
            </w:r>
            <w:r w:rsidR="00E34B2C" w:rsidRPr="00505813">
              <w:rPr>
                <w:rFonts w:hint="eastAsia"/>
                <w:lang w:eastAsia="zh-CN"/>
              </w:rPr>
              <w:t>本身</w:t>
            </w:r>
            <w:r w:rsidRPr="00505813">
              <w:rPr>
                <w:rFonts w:hint="eastAsia"/>
                <w:lang w:eastAsia="zh-CN"/>
              </w:rPr>
              <w:t>也发布了报告，</w:t>
            </w:r>
            <w:r w:rsidR="00E34B2C" w:rsidRPr="00505813">
              <w:rPr>
                <w:rFonts w:hint="eastAsia"/>
                <w:lang w:eastAsia="zh-CN"/>
              </w:rPr>
              <w:t>其中</w:t>
            </w:r>
            <w:r w:rsidR="00505813" w:rsidRPr="00505813">
              <w:rPr>
                <w:rFonts w:hint="eastAsia"/>
                <w:lang w:eastAsia="zh-CN"/>
              </w:rPr>
              <w:t>在</w:t>
            </w:r>
            <w:r w:rsidRPr="00505813">
              <w:rPr>
                <w:rFonts w:hint="eastAsia"/>
                <w:lang w:eastAsia="zh-CN"/>
              </w:rPr>
              <w:t>第</w:t>
            </w:r>
            <w:r w:rsidRPr="00505813">
              <w:rPr>
                <w:lang w:eastAsia="zh-CN"/>
              </w:rPr>
              <w:t>5</w:t>
            </w:r>
            <w:r w:rsidRPr="00505813">
              <w:rPr>
                <w:rFonts w:hint="eastAsia"/>
                <w:lang w:eastAsia="zh-CN"/>
              </w:rPr>
              <w:t>点中建议加强与联合国人权事务高级专员办事处</w:t>
            </w:r>
            <w:r w:rsidR="00E34B2C">
              <w:rPr>
                <w:rFonts w:hint="eastAsia"/>
                <w:lang w:eastAsia="zh-CN"/>
              </w:rPr>
              <w:t>（</w:t>
            </w:r>
            <w:r w:rsidR="00E34B2C">
              <w:rPr>
                <w:lang w:eastAsia="zh-CN"/>
              </w:rPr>
              <w:t>OHCHR</w:t>
            </w:r>
            <w:r w:rsidR="00E34B2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及其他标准制定组织的合作。</w:t>
            </w:r>
            <w:r w:rsidR="001F48CE">
              <w:rPr>
                <w:rFonts w:ascii="Microsoft YaHei" w:eastAsia="Microsoft YaHei" w:hAnsi="Microsoft YaHei" w:cs="Microsoft YaHei" w:hint="eastAsia"/>
                <w:color w:val="000000"/>
                <w:sz w:val="20"/>
                <w:shd w:val="clear" w:color="auto" w:fill="FFFFFF"/>
                <w:lang w:eastAsia="zh-CN"/>
              </w:rPr>
              <w:t xml:space="preserve"> </w:t>
            </w:r>
            <w:r w:rsidR="001F48CE">
              <w:rPr>
                <w:rFonts w:ascii="Microsoft YaHei" w:eastAsia="Microsoft YaHei" w:hAnsi="Microsoft YaHei" w:cs="Microsoft YaHei"/>
                <w:color w:val="000000"/>
                <w:sz w:val="20"/>
                <w:shd w:val="clear" w:color="auto" w:fill="FFFFFF"/>
                <w:lang w:eastAsia="zh-CN"/>
              </w:rPr>
              <w:t xml:space="preserve"> </w:t>
            </w:r>
          </w:p>
          <w:p w14:paraId="55667C33" w14:textId="1EC14AB8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4BAA65D8" w14:textId="68C1D3A2" w:rsidR="00621412" w:rsidRPr="00484009" w:rsidRDefault="001F48CE" w:rsidP="00D0718D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请国际电联理事会将本文稿</w:t>
            </w:r>
            <w:r w:rsidRPr="00C94F8D">
              <w:rPr>
                <w:rFonts w:hint="eastAsia"/>
                <w:b/>
                <w:bCs/>
                <w:lang w:eastAsia="zh-CN"/>
              </w:rPr>
              <w:t>记录在案</w:t>
            </w:r>
            <w:r>
              <w:rPr>
                <w:rFonts w:hint="eastAsia"/>
                <w:lang w:eastAsia="zh-CN"/>
              </w:rPr>
              <w:t>。</w:t>
            </w:r>
          </w:p>
          <w:p w14:paraId="4093EA86" w14:textId="77777777" w:rsidR="002C59E4" w:rsidRPr="006D59E3" w:rsidRDefault="002C59E4" w:rsidP="00F16BAB">
            <w:pPr>
              <w:spacing w:before="160"/>
              <w:rPr>
                <w:caps/>
                <w:sz w:val="22"/>
                <w:lang w:eastAsia="zh-CN"/>
              </w:rPr>
            </w:pPr>
            <w:r w:rsidRPr="006D59E3">
              <w:rPr>
                <w:sz w:val="22"/>
                <w:lang w:eastAsia="zh-CN"/>
              </w:rPr>
              <w:t>__________________</w:t>
            </w:r>
          </w:p>
          <w:p w14:paraId="0598EC40" w14:textId="18725336" w:rsidR="002C59E4" w:rsidRPr="006D59E3" w:rsidRDefault="002C59E4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6AC175C" w14:textId="2E95F2B3" w:rsidR="002C59E4" w:rsidRPr="00621412" w:rsidRDefault="003D0993" w:rsidP="00621412">
            <w:pPr>
              <w:spacing w:before="40" w:after="40"/>
              <w:jc w:val="both"/>
              <w:rPr>
                <w:lang w:eastAsia="zh-CN"/>
              </w:rPr>
            </w:pPr>
            <w:hyperlink r:id="rId11" w:history="1">
              <w:r w:rsidR="00621412" w:rsidRPr="00CB28A2">
                <w:rPr>
                  <w:rStyle w:val="Hyperlink"/>
                  <w:lang w:eastAsia="zh-CN"/>
                </w:rPr>
                <w:t>C23/49</w:t>
              </w:r>
            </w:hyperlink>
            <w:r w:rsidR="00621412">
              <w:rPr>
                <w:rFonts w:hint="eastAsia"/>
                <w:lang w:eastAsia="zh-CN"/>
              </w:rPr>
              <w:t>号文件</w:t>
            </w:r>
          </w:p>
        </w:tc>
      </w:tr>
      <w:bookmarkEnd w:id="5"/>
    </w:tbl>
    <w:p w14:paraId="7FE52F59" w14:textId="77777777" w:rsidR="0090147A" w:rsidRPr="006D59E3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6D59E3">
        <w:rPr>
          <w:lang w:eastAsia="zh-CN"/>
        </w:rPr>
        <w:br w:type="page"/>
      </w:r>
    </w:p>
    <w:p w14:paraId="06E874B1" w14:textId="23C5C41F" w:rsidR="00621412" w:rsidRPr="00D306A5" w:rsidRDefault="001F48CE" w:rsidP="00D0718D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lang w:eastAsia="zh-CN"/>
        </w:rPr>
      </w:pPr>
      <w:r w:rsidRPr="005D6564">
        <w:rPr>
          <w:rFonts w:hint="eastAsia"/>
          <w:lang w:eastAsia="zh-CN"/>
        </w:rPr>
        <w:lastRenderedPageBreak/>
        <w:t>在布加勒斯特举行的</w:t>
      </w:r>
      <w:r w:rsidRPr="005D6564">
        <w:rPr>
          <w:lang w:eastAsia="zh-CN"/>
        </w:rPr>
        <w:t>2022</w:t>
      </w:r>
      <w:r w:rsidRPr="005D6564">
        <w:rPr>
          <w:rFonts w:hint="eastAsia"/>
          <w:lang w:eastAsia="zh-CN"/>
        </w:rPr>
        <w:t>年国际电联全权代表大会上，</w:t>
      </w:r>
      <w:r w:rsidRPr="005D6564">
        <w:rPr>
          <w:lang w:eastAsia="zh-CN"/>
        </w:rPr>
        <w:t>57</w:t>
      </w:r>
      <w:r w:rsidRPr="005D6564">
        <w:rPr>
          <w:rFonts w:hint="eastAsia"/>
          <w:lang w:eastAsia="zh-CN"/>
        </w:rPr>
        <w:t>个国家表达了</w:t>
      </w:r>
      <w:r w:rsidR="00B2712A" w:rsidRPr="005D6564">
        <w:rPr>
          <w:rFonts w:hint="eastAsia"/>
          <w:lang w:eastAsia="zh-CN"/>
        </w:rPr>
        <w:t>一种政治意愿，希望</w:t>
      </w:r>
      <w:r w:rsidR="003F0F64" w:rsidRPr="005D6564">
        <w:rPr>
          <w:rFonts w:hint="eastAsia"/>
          <w:lang w:eastAsia="zh-CN"/>
        </w:rPr>
        <w:t>国际电联对电信</w:t>
      </w:r>
      <w:r w:rsidR="003F0F64" w:rsidRPr="005D6564">
        <w:rPr>
          <w:lang w:eastAsia="zh-CN"/>
        </w:rPr>
        <w:t>/ICT</w:t>
      </w:r>
      <w:r w:rsidR="003F0F64" w:rsidRPr="005D6564">
        <w:rPr>
          <w:rFonts w:hint="eastAsia"/>
          <w:lang w:eastAsia="zh-CN"/>
        </w:rPr>
        <w:t>技术的整个生命周期（特别是国际标准制定</w:t>
      </w:r>
      <w:r w:rsidR="00655BA1" w:rsidRPr="005D6564">
        <w:rPr>
          <w:rFonts w:hint="eastAsia"/>
          <w:lang w:eastAsia="zh-CN"/>
        </w:rPr>
        <w:t>过程</w:t>
      </w:r>
      <w:r w:rsidR="003F0F64" w:rsidRPr="005D6564">
        <w:rPr>
          <w:rFonts w:hint="eastAsia"/>
          <w:lang w:eastAsia="zh-CN"/>
        </w:rPr>
        <w:t>）</w:t>
      </w:r>
      <w:r w:rsidR="00655BA1" w:rsidRPr="005D6564">
        <w:rPr>
          <w:rFonts w:hint="eastAsia"/>
          <w:lang w:eastAsia="zh-CN"/>
        </w:rPr>
        <w:t>采取</w:t>
      </w:r>
      <w:r w:rsidR="003F0F64" w:rsidRPr="005D6564">
        <w:rPr>
          <w:rFonts w:hint="eastAsia"/>
          <w:lang w:eastAsia="zh-CN"/>
        </w:rPr>
        <w:t>基于人权的</w:t>
      </w:r>
      <w:r w:rsidR="00C94F8D" w:rsidRPr="005D6564">
        <w:rPr>
          <w:rFonts w:hint="eastAsia"/>
          <w:lang w:eastAsia="zh-CN"/>
        </w:rPr>
        <w:t>方法，</w:t>
      </w:r>
      <w:r w:rsidR="003F0F64" w:rsidRPr="005D6564">
        <w:rPr>
          <w:rFonts w:hint="eastAsia"/>
          <w:lang w:eastAsia="zh-CN"/>
        </w:rPr>
        <w:t>作为以人为本的数字化转型愿景的一部分</w:t>
      </w:r>
      <w:r w:rsidR="003F0F64">
        <w:rPr>
          <w:rFonts w:hint="eastAsia"/>
          <w:lang w:eastAsia="zh-CN"/>
        </w:rPr>
        <w:t>。</w:t>
      </w:r>
    </w:p>
    <w:p w14:paraId="1ED15024" w14:textId="7501A65C" w:rsidR="00621412" w:rsidRPr="00D306A5" w:rsidRDefault="006C3F1F" w:rsidP="00D0718D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我们赞扬</w:t>
      </w:r>
      <w:r w:rsidRPr="006C3F1F">
        <w:rPr>
          <w:rFonts w:hint="eastAsia"/>
          <w:lang w:eastAsia="zh-CN"/>
        </w:rPr>
        <w:t>国际电联领导层</w:t>
      </w:r>
      <w:r w:rsidR="00B611D6">
        <w:rPr>
          <w:rFonts w:hint="eastAsia"/>
          <w:lang w:eastAsia="zh-CN"/>
        </w:rPr>
        <w:t>在此问题上采取的积极态度</w:t>
      </w:r>
      <w:r>
        <w:rPr>
          <w:rFonts w:hint="eastAsia"/>
          <w:lang w:eastAsia="zh-CN"/>
        </w:rPr>
        <w:t>，包括与兄弟组织</w:t>
      </w:r>
      <w:r w:rsidRPr="006C3F1F">
        <w:rPr>
          <w:rFonts w:hint="eastAsia"/>
          <w:lang w:eastAsia="zh-CN"/>
        </w:rPr>
        <w:t>国际标准化组织</w:t>
      </w:r>
      <w:r>
        <w:rPr>
          <w:rFonts w:hint="eastAsia"/>
          <w:lang w:eastAsia="zh-CN"/>
        </w:rPr>
        <w:t>（</w:t>
      </w:r>
      <w:r w:rsidRPr="00D306A5">
        <w:rPr>
          <w:lang w:eastAsia="zh-CN"/>
        </w:rPr>
        <w:t>ISO</w:t>
      </w:r>
      <w:r>
        <w:rPr>
          <w:rFonts w:hint="eastAsia"/>
          <w:lang w:eastAsia="zh-CN"/>
        </w:rPr>
        <w:t>）、</w:t>
      </w:r>
      <w:r w:rsidRPr="006C3F1F">
        <w:rPr>
          <w:rFonts w:hint="eastAsia"/>
          <w:lang w:eastAsia="zh-CN"/>
        </w:rPr>
        <w:t>国际电工委员会</w:t>
      </w:r>
      <w:r>
        <w:rPr>
          <w:rFonts w:hint="eastAsia"/>
          <w:lang w:eastAsia="zh-CN"/>
        </w:rPr>
        <w:t>（</w:t>
      </w:r>
      <w:r w:rsidRPr="00D306A5">
        <w:rPr>
          <w:lang w:eastAsia="zh-CN"/>
        </w:rPr>
        <w:t>IEC</w:t>
      </w:r>
      <w:r>
        <w:rPr>
          <w:rFonts w:hint="eastAsia"/>
          <w:lang w:eastAsia="zh-CN"/>
        </w:rPr>
        <w:t>）以及</w:t>
      </w:r>
      <w:r w:rsidRPr="00D306A5">
        <w:rPr>
          <w:lang w:eastAsia="zh-CN"/>
        </w:rPr>
        <w:t>OHCHR</w:t>
      </w:r>
      <w:r>
        <w:rPr>
          <w:rFonts w:hint="eastAsia"/>
          <w:lang w:eastAsia="zh-CN"/>
        </w:rPr>
        <w:t>开展密切合作。</w:t>
      </w:r>
    </w:p>
    <w:p w14:paraId="5EFC4480" w14:textId="46812D5A" w:rsidR="00621412" w:rsidRPr="00D306A5" w:rsidRDefault="006C3F1F" w:rsidP="00D0718D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我们满意地注意到</w:t>
      </w:r>
      <w:r w:rsidRPr="005D6564">
        <w:rPr>
          <w:rFonts w:hint="eastAsia"/>
          <w:lang w:eastAsia="zh-CN"/>
        </w:rPr>
        <w:t>，国际电联、</w:t>
      </w:r>
      <w:r w:rsidRPr="005D6564">
        <w:rPr>
          <w:lang w:eastAsia="zh-CN"/>
        </w:rPr>
        <w:t>ISO</w:t>
      </w:r>
      <w:r w:rsidRPr="005D6564">
        <w:rPr>
          <w:rFonts w:hint="eastAsia"/>
          <w:lang w:eastAsia="zh-CN"/>
        </w:rPr>
        <w:t>和</w:t>
      </w:r>
      <w:r w:rsidRPr="005D6564">
        <w:rPr>
          <w:lang w:eastAsia="zh-CN"/>
        </w:rPr>
        <w:t>IEC</w:t>
      </w:r>
      <w:r w:rsidR="00864A77" w:rsidRPr="005D6564">
        <w:rPr>
          <w:rFonts w:hint="eastAsia"/>
          <w:lang w:eastAsia="zh-CN"/>
        </w:rPr>
        <w:t>准备</w:t>
      </w:r>
      <w:r w:rsidR="00344607" w:rsidRPr="005D6564">
        <w:rPr>
          <w:rFonts w:hint="eastAsia"/>
          <w:lang w:eastAsia="zh-CN"/>
        </w:rPr>
        <w:t>认真</w:t>
      </w:r>
      <w:r w:rsidR="00864A77" w:rsidRPr="005D6564">
        <w:rPr>
          <w:rFonts w:hint="eastAsia"/>
          <w:lang w:eastAsia="zh-CN"/>
        </w:rPr>
        <w:t>应对人工智能领域</w:t>
      </w:r>
      <w:r w:rsidR="005D6564" w:rsidRPr="005D6564">
        <w:rPr>
          <w:rFonts w:hint="eastAsia"/>
          <w:lang w:eastAsia="zh-CN"/>
        </w:rPr>
        <w:t>的</w:t>
      </w:r>
      <w:r w:rsidR="00864A77" w:rsidRPr="005D6564">
        <w:rPr>
          <w:rFonts w:hint="eastAsia"/>
          <w:lang w:eastAsia="zh-CN"/>
        </w:rPr>
        <w:t>快速发展带来的挑战，</w:t>
      </w:r>
      <w:r w:rsidR="00344607" w:rsidRPr="005D6564">
        <w:rPr>
          <w:rFonts w:hint="eastAsia"/>
          <w:lang w:eastAsia="zh-CN"/>
        </w:rPr>
        <w:t>强调了标准在电信</w:t>
      </w:r>
      <w:r w:rsidR="00344607" w:rsidRPr="005D6564">
        <w:rPr>
          <w:lang w:eastAsia="zh-CN"/>
        </w:rPr>
        <w:t>/ICT</w:t>
      </w:r>
      <w:r w:rsidR="00344607" w:rsidRPr="005D6564">
        <w:rPr>
          <w:rFonts w:hint="eastAsia"/>
          <w:lang w:eastAsia="zh-CN"/>
        </w:rPr>
        <w:t>领域负责任、安全和可信赖的人工智能发展方面的作用</w:t>
      </w:r>
      <w:r w:rsidR="00217D39" w:rsidRPr="005D6564">
        <w:rPr>
          <w:rFonts w:hint="eastAsia"/>
          <w:lang w:eastAsia="zh-CN"/>
        </w:rPr>
        <w:t>。</w:t>
      </w:r>
    </w:p>
    <w:p w14:paraId="0EDCD106" w14:textId="40849F72" w:rsidR="00621412" w:rsidRPr="00D306A5" w:rsidRDefault="00217D39" w:rsidP="00D0718D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随着电信</w:t>
      </w:r>
      <w:r w:rsidRPr="00D306A5">
        <w:rPr>
          <w:lang w:eastAsia="zh-CN"/>
        </w:rPr>
        <w:t>/ICT</w:t>
      </w:r>
      <w:r>
        <w:rPr>
          <w:rFonts w:hint="eastAsia"/>
          <w:lang w:eastAsia="zh-CN"/>
        </w:rPr>
        <w:t>继续</w:t>
      </w:r>
      <w:r w:rsidRPr="00217D39">
        <w:rPr>
          <w:rFonts w:hint="eastAsia"/>
          <w:lang w:eastAsia="zh-CN"/>
        </w:rPr>
        <w:t>以惊人的速度</w:t>
      </w:r>
      <w:r w:rsidR="005D6564">
        <w:rPr>
          <w:rFonts w:hint="eastAsia"/>
          <w:lang w:eastAsia="zh-CN"/>
        </w:rPr>
        <w:t>扩展</w:t>
      </w:r>
      <w:r w:rsidRPr="005D6564">
        <w:rPr>
          <w:rFonts w:hint="eastAsia"/>
          <w:lang w:eastAsia="zh-CN"/>
        </w:rPr>
        <w:t>和</w:t>
      </w:r>
      <w:r w:rsidRPr="00217D39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，我们认为，</w:t>
      </w:r>
      <w:r w:rsidR="000017B7" w:rsidRPr="005D6564">
        <w:rPr>
          <w:rFonts w:hint="eastAsia"/>
          <w:lang w:eastAsia="zh-CN"/>
        </w:rPr>
        <w:t>只有国际电联推动以人（特别是弱势群体）为本的数字化转型，增强个人权能并提供有意义的连接</w:t>
      </w:r>
      <w:r w:rsidRPr="005D656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我们才能</w:t>
      </w:r>
      <w:r w:rsidRPr="00217D39">
        <w:rPr>
          <w:rFonts w:hint="eastAsia"/>
          <w:lang w:eastAsia="zh-CN"/>
        </w:rPr>
        <w:t>共同</w:t>
      </w:r>
      <w:r w:rsidR="00042DA3">
        <w:rPr>
          <w:rFonts w:hint="eastAsia"/>
          <w:lang w:eastAsia="zh-CN"/>
        </w:rPr>
        <w:t>发掘</w:t>
      </w:r>
      <w:r>
        <w:rPr>
          <w:rFonts w:hint="eastAsia"/>
          <w:lang w:eastAsia="zh-CN"/>
        </w:rPr>
        <w:t>这些技术的</w:t>
      </w:r>
      <w:r w:rsidRPr="00217D39">
        <w:rPr>
          <w:rFonts w:hint="eastAsia"/>
          <w:lang w:eastAsia="zh-CN"/>
        </w:rPr>
        <w:t>巨大潜力</w:t>
      </w:r>
      <w:r>
        <w:rPr>
          <w:rFonts w:hint="eastAsia"/>
          <w:lang w:eastAsia="zh-CN"/>
        </w:rPr>
        <w:t>。</w:t>
      </w:r>
    </w:p>
    <w:p w14:paraId="484B8395" w14:textId="143E247C" w:rsidR="00621412" w:rsidRDefault="002279C9" w:rsidP="00D0718D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因此</w:t>
      </w:r>
      <w:r w:rsidR="00217D39">
        <w:rPr>
          <w:rFonts w:hint="eastAsia"/>
          <w:lang w:eastAsia="zh-CN"/>
        </w:rPr>
        <w:t>，我们欢迎国际电联在</w:t>
      </w:r>
      <w:r>
        <w:rPr>
          <w:rFonts w:hint="eastAsia"/>
          <w:lang w:eastAsia="zh-CN"/>
        </w:rPr>
        <w:t>其</w:t>
      </w:r>
      <w:r w:rsidR="00217D39">
        <w:rPr>
          <w:rFonts w:hint="eastAsia"/>
          <w:lang w:eastAsia="zh-CN"/>
        </w:rPr>
        <w:t>具体</w:t>
      </w:r>
      <w:r>
        <w:rPr>
          <w:rFonts w:hint="eastAsia"/>
          <w:lang w:eastAsia="zh-CN"/>
        </w:rPr>
        <w:t>机构中</w:t>
      </w:r>
      <w:r w:rsidR="00217D39">
        <w:rPr>
          <w:rFonts w:hint="eastAsia"/>
          <w:lang w:eastAsia="zh-CN"/>
        </w:rPr>
        <w:t>制定具体的工作方法，以确保在制定数字标准和政策时考虑到人权问题，并将</w:t>
      </w:r>
      <w:r w:rsidR="00AF19D1">
        <w:rPr>
          <w:rFonts w:hint="eastAsia"/>
          <w:lang w:eastAsia="zh-CN"/>
        </w:rPr>
        <w:t>工作方法提交下一届理事会会议。我们随时</w:t>
      </w:r>
      <w:r>
        <w:rPr>
          <w:rFonts w:hint="eastAsia"/>
          <w:lang w:eastAsia="zh-CN"/>
        </w:rPr>
        <w:t>准备在</w:t>
      </w:r>
      <w:r w:rsidR="00AF19D1">
        <w:rPr>
          <w:rFonts w:hint="eastAsia"/>
          <w:lang w:eastAsia="zh-CN"/>
        </w:rPr>
        <w:t>此方面提供帮助。</w:t>
      </w:r>
    </w:p>
    <w:p w14:paraId="4F532459" w14:textId="77777777" w:rsidR="00621412" w:rsidRDefault="00621412" w:rsidP="00411C49">
      <w:pPr>
        <w:pStyle w:val="Reasons"/>
        <w:rPr>
          <w:lang w:eastAsia="zh-CN"/>
        </w:rPr>
      </w:pPr>
    </w:p>
    <w:p w14:paraId="43A648D1" w14:textId="77777777" w:rsidR="00621412" w:rsidRDefault="0062141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621412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E8C8" w14:textId="77777777" w:rsidR="00322512" w:rsidRDefault="00322512">
      <w:r>
        <w:separator/>
      </w:r>
    </w:p>
  </w:endnote>
  <w:endnote w:type="continuationSeparator" w:id="0">
    <w:p w14:paraId="30894BCF" w14:textId="77777777" w:rsidR="00322512" w:rsidRDefault="003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微软雅黑 Ligh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DA195EB" w:rsidR="00EE49E8" w:rsidRDefault="00B27002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DE78D6">
            <w:rPr>
              <w:noProof/>
            </w:rPr>
            <w:t>534</w:t>
          </w:r>
          <w:r w:rsidR="00621412">
            <w:rPr>
              <w:noProof/>
            </w:rPr>
            <w:t>5</w:t>
          </w:r>
        </w:p>
      </w:tc>
      <w:tc>
        <w:tcPr>
          <w:tcW w:w="8261" w:type="dxa"/>
        </w:tcPr>
        <w:p w14:paraId="35709C74" w14:textId="54807AD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D5865">
            <w:rPr>
              <w:bCs/>
            </w:rPr>
            <w:t>7</w:t>
          </w:r>
          <w:r w:rsidR="00621412">
            <w:rPr>
              <w:bCs/>
            </w:rPr>
            <w:t>4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2044C466" w:rsidR="00EE49E8" w:rsidRPr="00DE78D6" w:rsidRDefault="00EE49E8" w:rsidP="00DE78D6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3D099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5B7889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E78D6">
            <w:rPr>
              <w:bCs/>
            </w:rPr>
            <w:t>7</w:t>
          </w:r>
          <w:r w:rsidR="00621412">
            <w:rPr>
              <w:bCs/>
            </w:rPr>
            <w:t>4</w:t>
          </w:r>
          <w:r w:rsidRPr="00623AE3">
            <w:rPr>
              <w:bCs/>
            </w:rPr>
            <w:t>-</w:t>
          </w:r>
          <w:r w:rsidR="0062538D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D5DB" w14:textId="77777777" w:rsidR="00322512" w:rsidRDefault="00322512">
      <w:r>
        <w:t>____________________</w:t>
      </w:r>
    </w:p>
  </w:footnote>
  <w:footnote w:type="continuationSeparator" w:id="0">
    <w:p w14:paraId="4F68F73E" w14:textId="77777777" w:rsidR="00322512" w:rsidRDefault="0032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6B53293B" w:rsidR="00AD3606" w:rsidRPr="009621F8" w:rsidRDefault="002C59E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2C59E4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061A51B" wp14:editId="6D07F391">
                <wp:extent cx="1993900" cy="558800"/>
                <wp:effectExtent l="0" t="0" r="0" b="0"/>
                <wp:docPr id="931582849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8284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194E2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DDE"/>
    <w:multiLevelType w:val="hybridMultilevel"/>
    <w:tmpl w:val="3780727A"/>
    <w:lvl w:ilvl="0" w:tplc="66460E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90E49DA" w:tentative="1">
      <w:start w:val="1"/>
      <w:numFmt w:val="lowerLetter"/>
      <w:lvlText w:val="%2."/>
      <w:lvlJc w:val="left"/>
      <w:pPr>
        <w:ind w:left="1440" w:hanging="360"/>
      </w:pPr>
    </w:lvl>
    <w:lvl w:ilvl="2" w:tplc="7E78677C" w:tentative="1">
      <w:start w:val="1"/>
      <w:numFmt w:val="lowerRoman"/>
      <w:lvlText w:val="%3."/>
      <w:lvlJc w:val="right"/>
      <w:pPr>
        <w:ind w:left="2160" w:hanging="180"/>
      </w:pPr>
    </w:lvl>
    <w:lvl w:ilvl="3" w:tplc="6F300C10" w:tentative="1">
      <w:start w:val="1"/>
      <w:numFmt w:val="decimal"/>
      <w:lvlText w:val="%4."/>
      <w:lvlJc w:val="left"/>
      <w:pPr>
        <w:ind w:left="2880" w:hanging="360"/>
      </w:pPr>
    </w:lvl>
    <w:lvl w:ilvl="4" w:tplc="3DE28C0A" w:tentative="1">
      <w:start w:val="1"/>
      <w:numFmt w:val="lowerLetter"/>
      <w:lvlText w:val="%5."/>
      <w:lvlJc w:val="left"/>
      <w:pPr>
        <w:ind w:left="3600" w:hanging="360"/>
      </w:pPr>
    </w:lvl>
    <w:lvl w:ilvl="5" w:tplc="EDD0C91E" w:tentative="1">
      <w:start w:val="1"/>
      <w:numFmt w:val="lowerRoman"/>
      <w:lvlText w:val="%6."/>
      <w:lvlJc w:val="right"/>
      <w:pPr>
        <w:ind w:left="4320" w:hanging="180"/>
      </w:pPr>
    </w:lvl>
    <w:lvl w:ilvl="6" w:tplc="24CC2A22" w:tentative="1">
      <w:start w:val="1"/>
      <w:numFmt w:val="decimal"/>
      <w:lvlText w:val="%7."/>
      <w:lvlJc w:val="left"/>
      <w:pPr>
        <w:ind w:left="5040" w:hanging="360"/>
      </w:pPr>
    </w:lvl>
    <w:lvl w:ilvl="7" w:tplc="A3EE8884" w:tentative="1">
      <w:start w:val="1"/>
      <w:numFmt w:val="lowerLetter"/>
      <w:lvlText w:val="%8."/>
      <w:lvlJc w:val="left"/>
      <w:pPr>
        <w:ind w:left="5760" w:hanging="360"/>
      </w:pPr>
    </w:lvl>
    <w:lvl w:ilvl="8" w:tplc="991C5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510"/>
    <w:multiLevelType w:val="hybridMultilevel"/>
    <w:tmpl w:val="D870F348"/>
    <w:lvl w:ilvl="0" w:tplc="3B163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122EE"/>
    <w:multiLevelType w:val="multilevel"/>
    <w:tmpl w:val="B3CE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0310FDB"/>
    <w:multiLevelType w:val="hybridMultilevel"/>
    <w:tmpl w:val="BAD29912"/>
    <w:lvl w:ilvl="0" w:tplc="3CA2878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DBBC75F6" w:tentative="1">
      <w:start w:val="1"/>
      <w:numFmt w:val="lowerLetter"/>
      <w:lvlText w:val="%2."/>
      <w:lvlJc w:val="left"/>
      <w:pPr>
        <w:ind w:left="2160" w:hanging="360"/>
      </w:pPr>
    </w:lvl>
    <w:lvl w:ilvl="2" w:tplc="B824E600" w:tentative="1">
      <w:start w:val="1"/>
      <w:numFmt w:val="lowerRoman"/>
      <w:lvlText w:val="%3."/>
      <w:lvlJc w:val="right"/>
      <w:pPr>
        <w:ind w:left="2880" w:hanging="180"/>
      </w:pPr>
    </w:lvl>
    <w:lvl w:ilvl="3" w:tplc="418C17D0" w:tentative="1">
      <w:start w:val="1"/>
      <w:numFmt w:val="decimal"/>
      <w:lvlText w:val="%4."/>
      <w:lvlJc w:val="left"/>
      <w:pPr>
        <w:ind w:left="3600" w:hanging="360"/>
      </w:pPr>
    </w:lvl>
    <w:lvl w:ilvl="4" w:tplc="0152286E" w:tentative="1">
      <w:start w:val="1"/>
      <w:numFmt w:val="lowerLetter"/>
      <w:lvlText w:val="%5."/>
      <w:lvlJc w:val="left"/>
      <w:pPr>
        <w:ind w:left="4320" w:hanging="360"/>
      </w:pPr>
    </w:lvl>
    <w:lvl w:ilvl="5" w:tplc="4C9A365E" w:tentative="1">
      <w:start w:val="1"/>
      <w:numFmt w:val="lowerRoman"/>
      <w:lvlText w:val="%6."/>
      <w:lvlJc w:val="right"/>
      <w:pPr>
        <w:ind w:left="5040" w:hanging="180"/>
      </w:pPr>
    </w:lvl>
    <w:lvl w:ilvl="6" w:tplc="45764F64" w:tentative="1">
      <w:start w:val="1"/>
      <w:numFmt w:val="decimal"/>
      <w:lvlText w:val="%7."/>
      <w:lvlJc w:val="left"/>
      <w:pPr>
        <w:ind w:left="5760" w:hanging="360"/>
      </w:pPr>
    </w:lvl>
    <w:lvl w:ilvl="7" w:tplc="0F1E612A" w:tentative="1">
      <w:start w:val="1"/>
      <w:numFmt w:val="lowerLetter"/>
      <w:lvlText w:val="%8."/>
      <w:lvlJc w:val="left"/>
      <w:pPr>
        <w:ind w:left="6480" w:hanging="360"/>
      </w:pPr>
    </w:lvl>
    <w:lvl w:ilvl="8" w:tplc="ECA4F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B3951"/>
    <w:multiLevelType w:val="hybridMultilevel"/>
    <w:tmpl w:val="2ED2B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796E77"/>
    <w:multiLevelType w:val="hybridMultilevel"/>
    <w:tmpl w:val="4164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428"/>
    <w:multiLevelType w:val="hybridMultilevel"/>
    <w:tmpl w:val="0A5236EE"/>
    <w:lvl w:ilvl="0" w:tplc="82EAD7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6860E7A" w:tentative="1">
      <w:start w:val="1"/>
      <w:numFmt w:val="lowerLetter"/>
      <w:lvlText w:val="%2."/>
      <w:lvlJc w:val="left"/>
      <w:pPr>
        <w:ind w:left="1440" w:hanging="360"/>
      </w:pPr>
    </w:lvl>
    <w:lvl w:ilvl="2" w:tplc="C846CEE2" w:tentative="1">
      <w:start w:val="1"/>
      <w:numFmt w:val="lowerRoman"/>
      <w:lvlText w:val="%3."/>
      <w:lvlJc w:val="right"/>
      <w:pPr>
        <w:ind w:left="2160" w:hanging="180"/>
      </w:pPr>
    </w:lvl>
    <w:lvl w:ilvl="3" w:tplc="6D8AAA4E" w:tentative="1">
      <w:start w:val="1"/>
      <w:numFmt w:val="decimal"/>
      <w:lvlText w:val="%4."/>
      <w:lvlJc w:val="left"/>
      <w:pPr>
        <w:ind w:left="2880" w:hanging="360"/>
      </w:pPr>
    </w:lvl>
    <w:lvl w:ilvl="4" w:tplc="E34092D0" w:tentative="1">
      <w:start w:val="1"/>
      <w:numFmt w:val="lowerLetter"/>
      <w:lvlText w:val="%5."/>
      <w:lvlJc w:val="left"/>
      <w:pPr>
        <w:ind w:left="3600" w:hanging="360"/>
      </w:pPr>
    </w:lvl>
    <w:lvl w:ilvl="5" w:tplc="C630AE34" w:tentative="1">
      <w:start w:val="1"/>
      <w:numFmt w:val="lowerRoman"/>
      <w:lvlText w:val="%6."/>
      <w:lvlJc w:val="right"/>
      <w:pPr>
        <w:ind w:left="4320" w:hanging="180"/>
      </w:pPr>
    </w:lvl>
    <w:lvl w:ilvl="6" w:tplc="715667E4" w:tentative="1">
      <w:start w:val="1"/>
      <w:numFmt w:val="decimal"/>
      <w:lvlText w:val="%7."/>
      <w:lvlJc w:val="left"/>
      <w:pPr>
        <w:ind w:left="5040" w:hanging="360"/>
      </w:pPr>
    </w:lvl>
    <w:lvl w:ilvl="7" w:tplc="37BC9404" w:tentative="1">
      <w:start w:val="1"/>
      <w:numFmt w:val="lowerLetter"/>
      <w:lvlText w:val="%8."/>
      <w:lvlJc w:val="left"/>
      <w:pPr>
        <w:ind w:left="5760" w:hanging="360"/>
      </w:pPr>
    </w:lvl>
    <w:lvl w:ilvl="8" w:tplc="E9D66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46A"/>
    <w:multiLevelType w:val="hybridMultilevel"/>
    <w:tmpl w:val="A4641C0C"/>
    <w:lvl w:ilvl="0" w:tplc="86D66140">
      <w:start w:val="1"/>
      <w:numFmt w:val="decimal"/>
      <w:lvlText w:val="%1."/>
      <w:lvlJc w:val="left"/>
      <w:pPr>
        <w:ind w:left="720" w:hanging="360"/>
      </w:pPr>
    </w:lvl>
    <w:lvl w:ilvl="1" w:tplc="4AC24200" w:tentative="1">
      <w:start w:val="1"/>
      <w:numFmt w:val="lowerLetter"/>
      <w:lvlText w:val="%2."/>
      <w:lvlJc w:val="left"/>
      <w:pPr>
        <w:ind w:left="1440" w:hanging="360"/>
      </w:pPr>
    </w:lvl>
    <w:lvl w:ilvl="2" w:tplc="8E803A4C" w:tentative="1">
      <w:start w:val="1"/>
      <w:numFmt w:val="lowerRoman"/>
      <w:lvlText w:val="%3."/>
      <w:lvlJc w:val="right"/>
      <w:pPr>
        <w:ind w:left="2160" w:hanging="180"/>
      </w:pPr>
    </w:lvl>
    <w:lvl w:ilvl="3" w:tplc="F6C6B3D2" w:tentative="1">
      <w:start w:val="1"/>
      <w:numFmt w:val="decimal"/>
      <w:lvlText w:val="%4."/>
      <w:lvlJc w:val="left"/>
      <w:pPr>
        <w:ind w:left="2880" w:hanging="360"/>
      </w:pPr>
    </w:lvl>
    <w:lvl w:ilvl="4" w:tplc="206AE6EA" w:tentative="1">
      <w:start w:val="1"/>
      <w:numFmt w:val="lowerLetter"/>
      <w:lvlText w:val="%5."/>
      <w:lvlJc w:val="left"/>
      <w:pPr>
        <w:ind w:left="3600" w:hanging="360"/>
      </w:pPr>
    </w:lvl>
    <w:lvl w:ilvl="5" w:tplc="548E4678" w:tentative="1">
      <w:start w:val="1"/>
      <w:numFmt w:val="lowerRoman"/>
      <w:lvlText w:val="%6."/>
      <w:lvlJc w:val="right"/>
      <w:pPr>
        <w:ind w:left="4320" w:hanging="180"/>
      </w:pPr>
    </w:lvl>
    <w:lvl w:ilvl="6" w:tplc="F83CCEF2" w:tentative="1">
      <w:start w:val="1"/>
      <w:numFmt w:val="decimal"/>
      <w:lvlText w:val="%7."/>
      <w:lvlJc w:val="left"/>
      <w:pPr>
        <w:ind w:left="5040" w:hanging="360"/>
      </w:pPr>
    </w:lvl>
    <w:lvl w:ilvl="7" w:tplc="B66CCD48" w:tentative="1">
      <w:start w:val="1"/>
      <w:numFmt w:val="lowerLetter"/>
      <w:lvlText w:val="%8."/>
      <w:lvlJc w:val="left"/>
      <w:pPr>
        <w:ind w:left="5760" w:hanging="360"/>
      </w:pPr>
    </w:lvl>
    <w:lvl w:ilvl="8" w:tplc="F4343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29AE"/>
    <w:multiLevelType w:val="hybridMultilevel"/>
    <w:tmpl w:val="011CF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B309C"/>
    <w:multiLevelType w:val="hybridMultilevel"/>
    <w:tmpl w:val="63BEE8B0"/>
    <w:lvl w:ilvl="0" w:tplc="656C39C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462193772">
    <w:abstractNumId w:val="5"/>
  </w:num>
  <w:num w:numId="3" w16cid:durableId="218058068">
    <w:abstractNumId w:val="3"/>
  </w:num>
  <w:num w:numId="4" w16cid:durableId="338165864">
    <w:abstractNumId w:val="6"/>
  </w:num>
  <w:num w:numId="5" w16cid:durableId="1163812758">
    <w:abstractNumId w:val="9"/>
  </w:num>
  <w:num w:numId="6" w16cid:durableId="1203329199">
    <w:abstractNumId w:val="2"/>
  </w:num>
  <w:num w:numId="7" w16cid:durableId="609628989">
    <w:abstractNumId w:val="10"/>
  </w:num>
  <w:num w:numId="8" w16cid:durableId="1348168406">
    <w:abstractNumId w:val="8"/>
  </w:num>
  <w:num w:numId="9" w16cid:durableId="1958370862">
    <w:abstractNumId w:val="7"/>
  </w:num>
  <w:num w:numId="10" w16cid:durableId="1204173263">
    <w:abstractNumId w:val="1"/>
  </w:num>
  <w:num w:numId="11" w16cid:durableId="2125034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17B7"/>
    <w:rsid w:val="000210D4"/>
    <w:rsid w:val="000238C9"/>
    <w:rsid w:val="000270D1"/>
    <w:rsid w:val="00030C8E"/>
    <w:rsid w:val="00042DA3"/>
    <w:rsid w:val="00042FD1"/>
    <w:rsid w:val="00047543"/>
    <w:rsid w:val="000500D1"/>
    <w:rsid w:val="00063016"/>
    <w:rsid w:val="00066795"/>
    <w:rsid w:val="00076AF6"/>
    <w:rsid w:val="0008025D"/>
    <w:rsid w:val="00083725"/>
    <w:rsid w:val="00085CF2"/>
    <w:rsid w:val="0009324A"/>
    <w:rsid w:val="000A675E"/>
    <w:rsid w:val="000B1705"/>
    <w:rsid w:val="000D0162"/>
    <w:rsid w:val="000D1E70"/>
    <w:rsid w:val="000D7504"/>
    <w:rsid w:val="000D75B2"/>
    <w:rsid w:val="000E7129"/>
    <w:rsid w:val="000F41EC"/>
    <w:rsid w:val="001000AC"/>
    <w:rsid w:val="00107849"/>
    <w:rsid w:val="001121F5"/>
    <w:rsid w:val="00122CDB"/>
    <w:rsid w:val="00136711"/>
    <w:rsid w:val="001400DC"/>
    <w:rsid w:val="001403AA"/>
    <w:rsid w:val="00140CE1"/>
    <w:rsid w:val="00146BAF"/>
    <w:rsid w:val="00161902"/>
    <w:rsid w:val="00174A9C"/>
    <w:rsid w:val="0017539C"/>
    <w:rsid w:val="00175AC2"/>
    <w:rsid w:val="0017609F"/>
    <w:rsid w:val="001A2ACC"/>
    <w:rsid w:val="001A7D1D"/>
    <w:rsid w:val="001B2E61"/>
    <w:rsid w:val="001B4290"/>
    <w:rsid w:val="001B51DD"/>
    <w:rsid w:val="001C3383"/>
    <w:rsid w:val="001C628E"/>
    <w:rsid w:val="001E0F7B"/>
    <w:rsid w:val="001E24BF"/>
    <w:rsid w:val="001F1C91"/>
    <w:rsid w:val="001F48CE"/>
    <w:rsid w:val="001F7BE9"/>
    <w:rsid w:val="002119FD"/>
    <w:rsid w:val="002130E0"/>
    <w:rsid w:val="002171CF"/>
    <w:rsid w:val="00217D39"/>
    <w:rsid w:val="00222479"/>
    <w:rsid w:val="00223AFD"/>
    <w:rsid w:val="00226DDE"/>
    <w:rsid w:val="002279C9"/>
    <w:rsid w:val="002459CD"/>
    <w:rsid w:val="002504D4"/>
    <w:rsid w:val="00263DA1"/>
    <w:rsid w:val="00264425"/>
    <w:rsid w:val="0026527E"/>
    <w:rsid w:val="00265431"/>
    <w:rsid w:val="00265875"/>
    <w:rsid w:val="0027303B"/>
    <w:rsid w:val="002741C8"/>
    <w:rsid w:val="00274839"/>
    <w:rsid w:val="00276E1C"/>
    <w:rsid w:val="00280AC0"/>
    <w:rsid w:val="0028109B"/>
    <w:rsid w:val="00284A6F"/>
    <w:rsid w:val="00292B3D"/>
    <w:rsid w:val="0029316C"/>
    <w:rsid w:val="002963C3"/>
    <w:rsid w:val="002A1FB9"/>
    <w:rsid w:val="002A2188"/>
    <w:rsid w:val="002A7B05"/>
    <w:rsid w:val="002B1F58"/>
    <w:rsid w:val="002B516F"/>
    <w:rsid w:val="002C1C7A"/>
    <w:rsid w:val="002C54E2"/>
    <w:rsid w:val="002C59E4"/>
    <w:rsid w:val="002C66E3"/>
    <w:rsid w:val="002F6124"/>
    <w:rsid w:val="0030160F"/>
    <w:rsid w:val="00320223"/>
    <w:rsid w:val="00322512"/>
    <w:rsid w:val="00322D0D"/>
    <w:rsid w:val="00336D87"/>
    <w:rsid w:val="00344607"/>
    <w:rsid w:val="00344890"/>
    <w:rsid w:val="0034D8A1"/>
    <w:rsid w:val="00356C20"/>
    <w:rsid w:val="00361465"/>
    <w:rsid w:val="0037241C"/>
    <w:rsid w:val="00373245"/>
    <w:rsid w:val="003757F3"/>
    <w:rsid w:val="00376932"/>
    <w:rsid w:val="003877F5"/>
    <w:rsid w:val="003942D4"/>
    <w:rsid w:val="0039538A"/>
    <w:rsid w:val="003958A8"/>
    <w:rsid w:val="003C2533"/>
    <w:rsid w:val="003C4592"/>
    <w:rsid w:val="003D0993"/>
    <w:rsid w:val="003D5A7F"/>
    <w:rsid w:val="003F0F64"/>
    <w:rsid w:val="003F1E32"/>
    <w:rsid w:val="0040435A"/>
    <w:rsid w:val="00416A24"/>
    <w:rsid w:val="00431348"/>
    <w:rsid w:val="004317A0"/>
    <w:rsid w:val="00431D9E"/>
    <w:rsid w:val="00433CE8"/>
    <w:rsid w:val="00434A5C"/>
    <w:rsid w:val="004544D9"/>
    <w:rsid w:val="00462950"/>
    <w:rsid w:val="0046517A"/>
    <w:rsid w:val="004706A4"/>
    <w:rsid w:val="00472BAD"/>
    <w:rsid w:val="00475716"/>
    <w:rsid w:val="00484009"/>
    <w:rsid w:val="00487297"/>
    <w:rsid w:val="00490E72"/>
    <w:rsid w:val="00491157"/>
    <w:rsid w:val="004921C8"/>
    <w:rsid w:val="00495B0B"/>
    <w:rsid w:val="004A1B8B"/>
    <w:rsid w:val="004B070B"/>
    <w:rsid w:val="004D13F5"/>
    <w:rsid w:val="004D1851"/>
    <w:rsid w:val="004D599D"/>
    <w:rsid w:val="004E2EA5"/>
    <w:rsid w:val="004E3AEB"/>
    <w:rsid w:val="00500A04"/>
    <w:rsid w:val="0050223C"/>
    <w:rsid w:val="00502556"/>
    <w:rsid w:val="00505813"/>
    <w:rsid w:val="005243FF"/>
    <w:rsid w:val="00540C97"/>
    <w:rsid w:val="0055618C"/>
    <w:rsid w:val="00564FBC"/>
    <w:rsid w:val="00567BE5"/>
    <w:rsid w:val="005800BC"/>
    <w:rsid w:val="00582442"/>
    <w:rsid w:val="00591934"/>
    <w:rsid w:val="00592906"/>
    <w:rsid w:val="005C11D3"/>
    <w:rsid w:val="005D6564"/>
    <w:rsid w:val="005E4237"/>
    <w:rsid w:val="005E7DD6"/>
    <w:rsid w:val="005F1D2A"/>
    <w:rsid w:val="005F3269"/>
    <w:rsid w:val="00603F9E"/>
    <w:rsid w:val="006149B2"/>
    <w:rsid w:val="00621412"/>
    <w:rsid w:val="00623AE3"/>
    <w:rsid w:val="0062538D"/>
    <w:rsid w:val="006432BB"/>
    <w:rsid w:val="0064737F"/>
    <w:rsid w:val="006478FB"/>
    <w:rsid w:val="006500A5"/>
    <w:rsid w:val="006535F1"/>
    <w:rsid w:val="00654D68"/>
    <w:rsid w:val="0065557D"/>
    <w:rsid w:val="00655BA1"/>
    <w:rsid w:val="00660D50"/>
    <w:rsid w:val="00661211"/>
    <w:rsid w:val="00661C03"/>
    <w:rsid w:val="00662984"/>
    <w:rsid w:val="0067104A"/>
    <w:rsid w:val="006716BB"/>
    <w:rsid w:val="00676A83"/>
    <w:rsid w:val="00696B29"/>
    <w:rsid w:val="006B1859"/>
    <w:rsid w:val="006B6680"/>
    <w:rsid w:val="006B6DCC"/>
    <w:rsid w:val="006C3F1F"/>
    <w:rsid w:val="006D5017"/>
    <w:rsid w:val="006D59E3"/>
    <w:rsid w:val="006E4F08"/>
    <w:rsid w:val="006F1EB5"/>
    <w:rsid w:val="00702DEF"/>
    <w:rsid w:val="00706861"/>
    <w:rsid w:val="00730521"/>
    <w:rsid w:val="0075051B"/>
    <w:rsid w:val="0077254D"/>
    <w:rsid w:val="007807F8"/>
    <w:rsid w:val="0078758F"/>
    <w:rsid w:val="00793188"/>
    <w:rsid w:val="00794D34"/>
    <w:rsid w:val="007A294E"/>
    <w:rsid w:val="007B7B9E"/>
    <w:rsid w:val="007C05B8"/>
    <w:rsid w:val="00800299"/>
    <w:rsid w:val="00813E5E"/>
    <w:rsid w:val="008159B4"/>
    <w:rsid w:val="008335C8"/>
    <w:rsid w:val="0083581B"/>
    <w:rsid w:val="0085243F"/>
    <w:rsid w:val="008559F3"/>
    <w:rsid w:val="00863874"/>
    <w:rsid w:val="00864A77"/>
    <w:rsid w:val="00864AFF"/>
    <w:rsid w:val="00865925"/>
    <w:rsid w:val="00881785"/>
    <w:rsid w:val="00896C18"/>
    <w:rsid w:val="00896DD1"/>
    <w:rsid w:val="008A6E96"/>
    <w:rsid w:val="008B4A6A"/>
    <w:rsid w:val="008C43FD"/>
    <w:rsid w:val="008C7E27"/>
    <w:rsid w:val="008D6DE8"/>
    <w:rsid w:val="008E217B"/>
    <w:rsid w:val="008E643A"/>
    <w:rsid w:val="008F72C5"/>
    <w:rsid w:val="008F7448"/>
    <w:rsid w:val="0090147A"/>
    <w:rsid w:val="009173EF"/>
    <w:rsid w:val="00932906"/>
    <w:rsid w:val="00961B0B"/>
    <w:rsid w:val="00990E4B"/>
    <w:rsid w:val="00991082"/>
    <w:rsid w:val="009B38C3"/>
    <w:rsid w:val="009C6752"/>
    <w:rsid w:val="009C74D3"/>
    <w:rsid w:val="009D0F65"/>
    <w:rsid w:val="009D4EC8"/>
    <w:rsid w:val="009E17BD"/>
    <w:rsid w:val="009E40A2"/>
    <w:rsid w:val="009E485A"/>
    <w:rsid w:val="00A04CEC"/>
    <w:rsid w:val="00A2191F"/>
    <w:rsid w:val="00A27F92"/>
    <w:rsid w:val="00A32257"/>
    <w:rsid w:val="00A334F0"/>
    <w:rsid w:val="00A36D20"/>
    <w:rsid w:val="00A3757F"/>
    <w:rsid w:val="00A418AE"/>
    <w:rsid w:val="00A44716"/>
    <w:rsid w:val="00A514A4"/>
    <w:rsid w:val="00A54171"/>
    <w:rsid w:val="00A55622"/>
    <w:rsid w:val="00A62228"/>
    <w:rsid w:val="00A83502"/>
    <w:rsid w:val="00A841CD"/>
    <w:rsid w:val="00A873F9"/>
    <w:rsid w:val="00AA1992"/>
    <w:rsid w:val="00AA43F2"/>
    <w:rsid w:val="00AB6706"/>
    <w:rsid w:val="00AC4AE4"/>
    <w:rsid w:val="00AC7E3D"/>
    <w:rsid w:val="00AD0F79"/>
    <w:rsid w:val="00AD15B3"/>
    <w:rsid w:val="00AD1994"/>
    <w:rsid w:val="00AD3606"/>
    <w:rsid w:val="00AD4A3D"/>
    <w:rsid w:val="00AD70E3"/>
    <w:rsid w:val="00AF19D1"/>
    <w:rsid w:val="00AF6571"/>
    <w:rsid w:val="00AF6E49"/>
    <w:rsid w:val="00B017AA"/>
    <w:rsid w:val="00B04A67"/>
    <w:rsid w:val="00B0583C"/>
    <w:rsid w:val="00B10247"/>
    <w:rsid w:val="00B1724D"/>
    <w:rsid w:val="00B27002"/>
    <w:rsid w:val="00B2712A"/>
    <w:rsid w:val="00B40A81"/>
    <w:rsid w:val="00B44910"/>
    <w:rsid w:val="00B611D6"/>
    <w:rsid w:val="00B72267"/>
    <w:rsid w:val="00B72570"/>
    <w:rsid w:val="00B76EB6"/>
    <w:rsid w:val="00B7737B"/>
    <w:rsid w:val="00B824C8"/>
    <w:rsid w:val="00B84B9D"/>
    <w:rsid w:val="00B948AA"/>
    <w:rsid w:val="00B95364"/>
    <w:rsid w:val="00BA6C18"/>
    <w:rsid w:val="00BC251A"/>
    <w:rsid w:val="00BD032B"/>
    <w:rsid w:val="00BD4FDE"/>
    <w:rsid w:val="00BD5865"/>
    <w:rsid w:val="00BE0C21"/>
    <w:rsid w:val="00BE2640"/>
    <w:rsid w:val="00BE45F3"/>
    <w:rsid w:val="00BF2EA7"/>
    <w:rsid w:val="00C01189"/>
    <w:rsid w:val="00C01CDC"/>
    <w:rsid w:val="00C163DF"/>
    <w:rsid w:val="00C374DE"/>
    <w:rsid w:val="00C45268"/>
    <w:rsid w:val="00C45C06"/>
    <w:rsid w:val="00C47AD4"/>
    <w:rsid w:val="00C52D81"/>
    <w:rsid w:val="00C55198"/>
    <w:rsid w:val="00C94F8D"/>
    <w:rsid w:val="00CA6393"/>
    <w:rsid w:val="00CB18FF"/>
    <w:rsid w:val="00CB3D52"/>
    <w:rsid w:val="00CC456F"/>
    <w:rsid w:val="00CC5514"/>
    <w:rsid w:val="00CC7BFD"/>
    <w:rsid w:val="00CD0C08"/>
    <w:rsid w:val="00CE03FB"/>
    <w:rsid w:val="00CE1C03"/>
    <w:rsid w:val="00CE433C"/>
    <w:rsid w:val="00CE4808"/>
    <w:rsid w:val="00CF0161"/>
    <w:rsid w:val="00CF33F3"/>
    <w:rsid w:val="00D06183"/>
    <w:rsid w:val="00D0718D"/>
    <w:rsid w:val="00D07BDC"/>
    <w:rsid w:val="00D12A3C"/>
    <w:rsid w:val="00D17FD4"/>
    <w:rsid w:val="00D22C42"/>
    <w:rsid w:val="00D27F65"/>
    <w:rsid w:val="00D30ABC"/>
    <w:rsid w:val="00D3407B"/>
    <w:rsid w:val="00D63DAC"/>
    <w:rsid w:val="00D65041"/>
    <w:rsid w:val="00D75304"/>
    <w:rsid w:val="00D81899"/>
    <w:rsid w:val="00D82285"/>
    <w:rsid w:val="00D8504A"/>
    <w:rsid w:val="00DB1936"/>
    <w:rsid w:val="00DB384B"/>
    <w:rsid w:val="00DD2B29"/>
    <w:rsid w:val="00DE78D6"/>
    <w:rsid w:val="00DF0189"/>
    <w:rsid w:val="00E06FD5"/>
    <w:rsid w:val="00E10862"/>
    <w:rsid w:val="00E10E80"/>
    <w:rsid w:val="00E124F0"/>
    <w:rsid w:val="00E23112"/>
    <w:rsid w:val="00E2509F"/>
    <w:rsid w:val="00E34B2C"/>
    <w:rsid w:val="00E41ABE"/>
    <w:rsid w:val="00E60E31"/>
    <w:rsid w:val="00E60F04"/>
    <w:rsid w:val="00E65B24"/>
    <w:rsid w:val="00E75C6C"/>
    <w:rsid w:val="00E854E4"/>
    <w:rsid w:val="00E86DBF"/>
    <w:rsid w:val="00E8DF79"/>
    <w:rsid w:val="00E94D38"/>
    <w:rsid w:val="00EB0D6F"/>
    <w:rsid w:val="00EB2232"/>
    <w:rsid w:val="00EC5337"/>
    <w:rsid w:val="00ED0565"/>
    <w:rsid w:val="00EE49E8"/>
    <w:rsid w:val="00EF72A8"/>
    <w:rsid w:val="00F15B13"/>
    <w:rsid w:val="00F16BAB"/>
    <w:rsid w:val="00F2150A"/>
    <w:rsid w:val="00F231D8"/>
    <w:rsid w:val="00F27503"/>
    <w:rsid w:val="00F44C00"/>
    <w:rsid w:val="00F463B8"/>
    <w:rsid w:val="00F46C5F"/>
    <w:rsid w:val="00F632C0"/>
    <w:rsid w:val="00F70D84"/>
    <w:rsid w:val="00F75397"/>
    <w:rsid w:val="00F901C1"/>
    <w:rsid w:val="00F94A63"/>
    <w:rsid w:val="00FA1C28"/>
    <w:rsid w:val="00FB1279"/>
    <w:rsid w:val="00FB6B76"/>
    <w:rsid w:val="00FB7596"/>
    <w:rsid w:val="00FC3180"/>
    <w:rsid w:val="00FD4C9F"/>
    <w:rsid w:val="00FE2332"/>
    <w:rsid w:val="00FE4077"/>
    <w:rsid w:val="00FE77D2"/>
    <w:rsid w:val="011735F8"/>
    <w:rsid w:val="0127504D"/>
    <w:rsid w:val="0533F594"/>
    <w:rsid w:val="0635C81F"/>
    <w:rsid w:val="06A82609"/>
    <w:rsid w:val="070F6B68"/>
    <w:rsid w:val="073405F4"/>
    <w:rsid w:val="074D6385"/>
    <w:rsid w:val="07B4032C"/>
    <w:rsid w:val="08D5E140"/>
    <w:rsid w:val="09AEC41D"/>
    <w:rsid w:val="0C65DB65"/>
    <w:rsid w:val="0C9C5E83"/>
    <w:rsid w:val="0D27BDDD"/>
    <w:rsid w:val="10BBEDEE"/>
    <w:rsid w:val="12166C50"/>
    <w:rsid w:val="12F4BBCD"/>
    <w:rsid w:val="12FB39A8"/>
    <w:rsid w:val="150B422A"/>
    <w:rsid w:val="153B7C6C"/>
    <w:rsid w:val="1632A715"/>
    <w:rsid w:val="16E816DC"/>
    <w:rsid w:val="170C581A"/>
    <w:rsid w:val="17C37206"/>
    <w:rsid w:val="1A9A5AE0"/>
    <w:rsid w:val="1AF4FEAA"/>
    <w:rsid w:val="1B80801F"/>
    <w:rsid w:val="1C01346A"/>
    <w:rsid w:val="1CAA49F6"/>
    <w:rsid w:val="1D252665"/>
    <w:rsid w:val="1D66C821"/>
    <w:rsid w:val="1D9E3F81"/>
    <w:rsid w:val="1E2081A2"/>
    <w:rsid w:val="1EB820E1"/>
    <w:rsid w:val="20CA6E26"/>
    <w:rsid w:val="21A70C0E"/>
    <w:rsid w:val="21DD0D53"/>
    <w:rsid w:val="246E710A"/>
    <w:rsid w:val="24D5209D"/>
    <w:rsid w:val="2568BF84"/>
    <w:rsid w:val="27D7E073"/>
    <w:rsid w:val="285B57F7"/>
    <w:rsid w:val="287F86C4"/>
    <w:rsid w:val="295E4A0D"/>
    <w:rsid w:val="2A7DB4C9"/>
    <w:rsid w:val="2A911CC3"/>
    <w:rsid w:val="2B4CA99D"/>
    <w:rsid w:val="2B67AE29"/>
    <w:rsid w:val="2D84E4FE"/>
    <w:rsid w:val="2F060D9B"/>
    <w:rsid w:val="2FC0C1FF"/>
    <w:rsid w:val="34F5D65F"/>
    <w:rsid w:val="358C9F50"/>
    <w:rsid w:val="398ED77B"/>
    <w:rsid w:val="39DCEA1B"/>
    <w:rsid w:val="3B26DC50"/>
    <w:rsid w:val="3B47E847"/>
    <w:rsid w:val="3B52D747"/>
    <w:rsid w:val="3BBDE14F"/>
    <w:rsid w:val="3C89D050"/>
    <w:rsid w:val="3CEEA7A8"/>
    <w:rsid w:val="3EC3C34D"/>
    <w:rsid w:val="402177BD"/>
    <w:rsid w:val="4316CDD7"/>
    <w:rsid w:val="4404DE95"/>
    <w:rsid w:val="44A42A32"/>
    <w:rsid w:val="461CCA53"/>
    <w:rsid w:val="47D5A974"/>
    <w:rsid w:val="48A94114"/>
    <w:rsid w:val="496A684C"/>
    <w:rsid w:val="4A613028"/>
    <w:rsid w:val="4D3C86D3"/>
    <w:rsid w:val="4E4143FA"/>
    <w:rsid w:val="4EC322A9"/>
    <w:rsid w:val="4F53FCDA"/>
    <w:rsid w:val="4F7778AF"/>
    <w:rsid w:val="4FDD145B"/>
    <w:rsid w:val="51302F27"/>
    <w:rsid w:val="514B492B"/>
    <w:rsid w:val="5178E4BC"/>
    <w:rsid w:val="52D3BD75"/>
    <w:rsid w:val="5551BA24"/>
    <w:rsid w:val="5623219B"/>
    <w:rsid w:val="5786484E"/>
    <w:rsid w:val="591C0861"/>
    <w:rsid w:val="5AA689DF"/>
    <w:rsid w:val="5ACFD84A"/>
    <w:rsid w:val="5B9DA0AA"/>
    <w:rsid w:val="5C02D2BA"/>
    <w:rsid w:val="5C66A0A1"/>
    <w:rsid w:val="5C6B6EB6"/>
    <w:rsid w:val="5CD89220"/>
    <w:rsid w:val="5D6E0DCA"/>
    <w:rsid w:val="5E8BB429"/>
    <w:rsid w:val="5E94CD3A"/>
    <w:rsid w:val="5ED9752B"/>
    <w:rsid w:val="60CF0524"/>
    <w:rsid w:val="617EDCA7"/>
    <w:rsid w:val="6481B849"/>
    <w:rsid w:val="66EDE0AD"/>
    <w:rsid w:val="67704771"/>
    <w:rsid w:val="68DC71F1"/>
    <w:rsid w:val="69C336BD"/>
    <w:rsid w:val="6A569836"/>
    <w:rsid w:val="6C108562"/>
    <w:rsid w:val="6F2EFDC7"/>
    <w:rsid w:val="722349C0"/>
    <w:rsid w:val="731FE1AA"/>
    <w:rsid w:val="74D1D678"/>
    <w:rsid w:val="74E1A0FB"/>
    <w:rsid w:val="7533349D"/>
    <w:rsid w:val="7641F1A9"/>
    <w:rsid w:val="770BF683"/>
    <w:rsid w:val="79ED491A"/>
    <w:rsid w:val="7A2E2830"/>
    <w:rsid w:val="7AE5DCFD"/>
    <w:rsid w:val="7B89197B"/>
    <w:rsid w:val="7BC79749"/>
    <w:rsid w:val="7CF0B219"/>
    <w:rsid w:val="7D754B15"/>
    <w:rsid w:val="7F4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2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21412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96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C1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4EC8"/>
  </w:style>
  <w:style w:type="character" w:styleId="CommentReference">
    <w:name w:val="annotation reference"/>
    <w:basedOn w:val="DefaultParagraphFont"/>
    <w:semiHidden/>
    <w:unhideWhenUsed/>
    <w:rsid w:val="00263D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DA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DA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D0565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D1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9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1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9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6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049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B3AA-998A-4175-85ED-A3A1A89FE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D2709-F1DA-4570-ADAD-5656A5B67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DE90A-1496-4D1A-A8C5-B2C3E3B3FBDD}">
  <ds:schemaRefs>
    <ds:schemaRef ds:uri="http://schemas.microsoft.com/office/2006/metadata/properties"/>
    <ds:schemaRef ds:uri="http://schemas.microsoft.com/office/infopath/2007/PartnerControls"/>
    <ds:schemaRef ds:uri="5a9e730e-50ca-4fdd-8a7a-b4f5b57bd209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916</Words>
  <Characters>181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zhou ting</dc:creator>
  <cp:keywords>C2023, C23, Council-23</cp:keywords>
  <dc:description/>
  <cp:lastModifiedBy>Xue, Kun</cp:lastModifiedBy>
  <cp:revision>3</cp:revision>
  <cp:lastPrinted>2000-07-18T13:30:00Z</cp:lastPrinted>
  <dcterms:created xsi:type="dcterms:W3CDTF">2023-07-05T12:39:00Z</dcterms:created>
  <dcterms:modified xsi:type="dcterms:W3CDTF">2023-07-05T12:43:00Z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