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67985" w14:paraId="10472196" w14:textId="77777777" w:rsidTr="00C538FC">
        <w:trPr>
          <w:cantSplit/>
          <w:trHeight w:val="23"/>
        </w:trPr>
        <w:tc>
          <w:tcPr>
            <w:tcW w:w="3969" w:type="dxa"/>
            <w:vMerge w:val="restart"/>
            <w:tcMar>
              <w:left w:w="0" w:type="dxa"/>
            </w:tcMar>
          </w:tcPr>
          <w:p w14:paraId="45CBB290" w14:textId="7609E4E5" w:rsidR="00FE57F6" w:rsidRPr="00D67985" w:rsidRDefault="00427CAC" w:rsidP="00C538FC">
            <w:pPr>
              <w:tabs>
                <w:tab w:val="left" w:pos="851"/>
              </w:tabs>
              <w:spacing w:before="0" w:line="240" w:lineRule="atLeast"/>
              <w:rPr>
                <w:b/>
              </w:rPr>
            </w:pPr>
            <w:bookmarkStart w:id="0" w:name="_Hlk133421839"/>
            <w:r w:rsidRPr="00D67985">
              <w:rPr>
                <w:b/>
              </w:rPr>
              <w:t>Punto del orden del día: ADM</w:t>
            </w:r>
          </w:p>
        </w:tc>
        <w:tc>
          <w:tcPr>
            <w:tcW w:w="5245" w:type="dxa"/>
          </w:tcPr>
          <w:p w14:paraId="328E184D" w14:textId="68D7D189" w:rsidR="00FE57F6" w:rsidRPr="00D67985" w:rsidRDefault="00FE57F6" w:rsidP="00C538FC">
            <w:pPr>
              <w:tabs>
                <w:tab w:val="left" w:pos="851"/>
              </w:tabs>
              <w:spacing w:before="0" w:line="240" w:lineRule="atLeast"/>
              <w:jc w:val="right"/>
              <w:rPr>
                <w:b/>
              </w:rPr>
            </w:pPr>
            <w:r w:rsidRPr="00D67985">
              <w:rPr>
                <w:b/>
              </w:rPr>
              <w:t>Document</w:t>
            </w:r>
            <w:r w:rsidR="00F24B71" w:rsidRPr="00D67985">
              <w:rPr>
                <w:b/>
              </w:rPr>
              <w:t>o</w:t>
            </w:r>
            <w:r w:rsidRPr="00D67985">
              <w:rPr>
                <w:b/>
              </w:rPr>
              <w:t xml:space="preserve"> C23/</w:t>
            </w:r>
            <w:r w:rsidR="00427CAC" w:rsidRPr="00D67985">
              <w:rPr>
                <w:b/>
              </w:rPr>
              <w:t>72</w:t>
            </w:r>
            <w:r w:rsidRPr="00D67985">
              <w:rPr>
                <w:b/>
              </w:rPr>
              <w:t>-</w:t>
            </w:r>
            <w:r w:rsidR="00F24B71" w:rsidRPr="00D67985">
              <w:rPr>
                <w:b/>
              </w:rPr>
              <w:t>S</w:t>
            </w:r>
          </w:p>
        </w:tc>
      </w:tr>
      <w:tr w:rsidR="00FE57F6" w:rsidRPr="00D67985" w14:paraId="5FAF6646" w14:textId="77777777" w:rsidTr="00C538FC">
        <w:trPr>
          <w:cantSplit/>
        </w:trPr>
        <w:tc>
          <w:tcPr>
            <w:tcW w:w="3969" w:type="dxa"/>
            <w:vMerge/>
          </w:tcPr>
          <w:p w14:paraId="13E02247" w14:textId="77777777" w:rsidR="00FE57F6" w:rsidRPr="00D67985" w:rsidRDefault="00FE57F6" w:rsidP="00C538FC">
            <w:pPr>
              <w:tabs>
                <w:tab w:val="left" w:pos="851"/>
              </w:tabs>
              <w:spacing w:line="240" w:lineRule="atLeast"/>
              <w:rPr>
                <w:b/>
              </w:rPr>
            </w:pPr>
          </w:p>
        </w:tc>
        <w:tc>
          <w:tcPr>
            <w:tcW w:w="5245" w:type="dxa"/>
          </w:tcPr>
          <w:p w14:paraId="188FCCC5" w14:textId="7D84D7B9" w:rsidR="00FE57F6" w:rsidRPr="00D67985" w:rsidRDefault="00427CAC" w:rsidP="00C538FC">
            <w:pPr>
              <w:tabs>
                <w:tab w:val="left" w:pos="851"/>
              </w:tabs>
              <w:spacing w:before="0"/>
              <w:jc w:val="right"/>
              <w:rPr>
                <w:b/>
              </w:rPr>
            </w:pPr>
            <w:r w:rsidRPr="00D67985">
              <w:rPr>
                <w:b/>
              </w:rPr>
              <w:t>27 de junio de 2023</w:t>
            </w:r>
          </w:p>
        </w:tc>
      </w:tr>
      <w:tr w:rsidR="00FE57F6" w:rsidRPr="00D67985" w14:paraId="41AB8B74" w14:textId="77777777" w:rsidTr="00C538FC">
        <w:trPr>
          <w:cantSplit/>
          <w:trHeight w:val="23"/>
        </w:trPr>
        <w:tc>
          <w:tcPr>
            <w:tcW w:w="3969" w:type="dxa"/>
            <w:vMerge/>
          </w:tcPr>
          <w:p w14:paraId="66F37AEC" w14:textId="77777777" w:rsidR="00FE57F6" w:rsidRPr="00D67985" w:rsidRDefault="00FE57F6" w:rsidP="00C538FC">
            <w:pPr>
              <w:tabs>
                <w:tab w:val="left" w:pos="851"/>
              </w:tabs>
              <w:spacing w:line="240" w:lineRule="atLeast"/>
              <w:rPr>
                <w:b/>
              </w:rPr>
            </w:pPr>
          </w:p>
        </w:tc>
        <w:tc>
          <w:tcPr>
            <w:tcW w:w="5245" w:type="dxa"/>
          </w:tcPr>
          <w:p w14:paraId="25BF945D" w14:textId="77777777" w:rsidR="00FE57F6" w:rsidRPr="00D67985" w:rsidRDefault="00F24B71" w:rsidP="00C538FC">
            <w:pPr>
              <w:tabs>
                <w:tab w:val="left" w:pos="851"/>
              </w:tabs>
              <w:spacing w:before="0" w:line="240" w:lineRule="atLeast"/>
              <w:jc w:val="right"/>
              <w:rPr>
                <w:b/>
                <w:bCs/>
              </w:rPr>
            </w:pPr>
            <w:r w:rsidRPr="00D67985">
              <w:rPr>
                <w:rFonts w:cstheme="minorHAnsi"/>
                <w:b/>
                <w:bCs/>
              </w:rPr>
              <w:t>Original: inglés</w:t>
            </w:r>
          </w:p>
        </w:tc>
      </w:tr>
      <w:tr w:rsidR="00FE57F6" w:rsidRPr="00D67985" w14:paraId="0066E9D9" w14:textId="77777777" w:rsidTr="00C538FC">
        <w:trPr>
          <w:cantSplit/>
          <w:trHeight w:val="23"/>
        </w:trPr>
        <w:tc>
          <w:tcPr>
            <w:tcW w:w="3969" w:type="dxa"/>
          </w:tcPr>
          <w:p w14:paraId="6D11A88B" w14:textId="77777777" w:rsidR="00FE57F6" w:rsidRPr="00D67985" w:rsidRDefault="00FE57F6" w:rsidP="00C538FC">
            <w:pPr>
              <w:tabs>
                <w:tab w:val="left" w:pos="851"/>
              </w:tabs>
              <w:spacing w:line="240" w:lineRule="atLeast"/>
              <w:rPr>
                <w:b/>
              </w:rPr>
            </w:pPr>
          </w:p>
        </w:tc>
        <w:tc>
          <w:tcPr>
            <w:tcW w:w="5245" w:type="dxa"/>
          </w:tcPr>
          <w:p w14:paraId="597BE0AB" w14:textId="77777777" w:rsidR="00FE57F6" w:rsidRPr="00D67985" w:rsidRDefault="00FE57F6" w:rsidP="00C538FC">
            <w:pPr>
              <w:tabs>
                <w:tab w:val="left" w:pos="851"/>
              </w:tabs>
              <w:spacing w:before="0" w:line="240" w:lineRule="atLeast"/>
              <w:jc w:val="right"/>
              <w:rPr>
                <w:b/>
              </w:rPr>
            </w:pPr>
          </w:p>
        </w:tc>
      </w:tr>
      <w:tr w:rsidR="00FE57F6" w:rsidRPr="00D67985" w14:paraId="5459FDD8" w14:textId="77777777" w:rsidTr="00C538FC">
        <w:trPr>
          <w:cantSplit/>
        </w:trPr>
        <w:tc>
          <w:tcPr>
            <w:tcW w:w="9214" w:type="dxa"/>
            <w:gridSpan w:val="2"/>
            <w:tcMar>
              <w:left w:w="0" w:type="dxa"/>
            </w:tcMar>
          </w:tcPr>
          <w:p w14:paraId="0725E8A0" w14:textId="4D16E16B" w:rsidR="00FE57F6" w:rsidRPr="00D67985" w:rsidRDefault="00427CAC" w:rsidP="00C538FC">
            <w:pPr>
              <w:pStyle w:val="Source"/>
              <w:jc w:val="left"/>
              <w:rPr>
                <w:sz w:val="34"/>
                <w:szCs w:val="34"/>
              </w:rPr>
            </w:pPr>
            <w:r w:rsidRPr="00D67985">
              <w:rPr>
                <w:rFonts w:cstheme="minorHAnsi"/>
                <w:sz w:val="34"/>
                <w:szCs w:val="34"/>
              </w:rPr>
              <w:t>Contribución de: Argelia (República Argelina Democrática y Popular), Burkina Faso, Côte d’Ivoire (República de), Egipto (República Árabe de), Ghana, Kenya (República de), Mauricio (República de), Nigeria (República Federal de), Senegal (República del), Sudafricana (República), Túnez y Zimbabwe (República de)</w:t>
            </w:r>
          </w:p>
        </w:tc>
      </w:tr>
      <w:tr w:rsidR="00FE57F6" w:rsidRPr="00D67985" w14:paraId="1F181FEC" w14:textId="77777777" w:rsidTr="00C538FC">
        <w:trPr>
          <w:cantSplit/>
        </w:trPr>
        <w:tc>
          <w:tcPr>
            <w:tcW w:w="9214" w:type="dxa"/>
            <w:gridSpan w:val="2"/>
            <w:tcMar>
              <w:left w:w="0" w:type="dxa"/>
            </w:tcMar>
          </w:tcPr>
          <w:p w14:paraId="1B6C26C5" w14:textId="0578D130" w:rsidR="00FE57F6" w:rsidRPr="00D67985" w:rsidRDefault="00427CAC" w:rsidP="00C538FC">
            <w:pPr>
              <w:pStyle w:val="Subtitle"/>
              <w:framePr w:hSpace="0" w:wrap="auto" w:hAnchor="text" w:xAlign="left" w:yAlign="inline"/>
              <w:rPr>
                <w:lang w:val="es-ES_tradnl"/>
              </w:rPr>
            </w:pPr>
            <w:bookmarkStart w:id="1" w:name="_Hlk138777387"/>
            <w:r w:rsidRPr="00D67985">
              <w:rPr>
                <w:spacing w:val="2"/>
                <w:lang w:val="es-ES_tradnl"/>
              </w:rPr>
              <w:t>GARANTIZAR UN ENFOQUE UnaUIT EN PRO DE UNA PLANIFICACIÓN FINANCIERA SÓLIDA, RESPONSABILIDAD Y AGILIDAD EN BENEFICIO DE TODOS LOS PAÍSES Y EL FUTURO DE LA UNIÓN</w:t>
            </w:r>
            <w:bookmarkEnd w:id="1"/>
          </w:p>
        </w:tc>
      </w:tr>
      <w:tr w:rsidR="00FE57F6" w:rsidRPr="00D67985" w14:paraId="4EBD4AD5" w14:textId="77777777" w:rsidTr="00C538FC">
        <w:trPr>
          <w:cantSplit/>
        </w:trPr>
        <w:tc>
          <w:tcPr>
            <w:tcW w:w="9214" w:type="dxa"/>
            <w:gridSpan w:val="2"/>
            <w:tcBorders>
              <w:top w:val="single" w:sz="4" w:space="0" w:color="auto"/>
              <w:bottom w:val="single" w:sz="4" w:space="0" w:color="auto"/>
            </w:tcBorders>
            <w:tcMar>
              <w:left w:w="0" w:type="dxa"/>
            </w:tcMar>
          </w:tcPr>
          <w:p w14:paraId="7B8D57BA" w14:textId="43E46B97" w:rsidR="00FE57F6" w:rsidRPr="00D67985" w:rsidRDefault="00F24B71" w:rsidP="00C538FC">
            <w:pPr>
              <w:spacing w:before="160"/>
              <w:rPr>
                <w:b/>
                <w:bCs/>
                <w:sz w:val="26"/>
                <w:szCs w:val="26"/>
              </w:rPr>
            </w:pPr>
            <w:r w:rsidRPr="00D67985">
              <w:rPr>
                <w:b/>
                <w:bCs/>
                <w:sz w:val="26"/>
                <w:szCs w:val="26"/>
              </w:rPr>
              <w:t>Finalidad</w:t>
            </w:r>
          </w:p>
          <w:p w14:paraId="786B8735" w14:textId="00553E63" w:rsidR="00FE57F6" w:rsidRPr="00D67985" w:rsidRDefault="00427CAC" w:rsidP="00C538FC">
            <w:r w:rsidRPr="00D67985">
              <w:t>Mejorar la gestión y responsabilidad financieras, aumentar la agilidad institucional y la influencia de UnaUIT para todos los países, propiciando al mismo tiempo un cambio cultural duradero y positivo.</w:t>
            </w:r>
          </w:p>
          <w:p w14:paraId="502EFA35" w14:textId="77777777" w:rsidR="00FE57F6" w:rsidRPr="00D67985" w:rsidRDefault="00F24B71" w:rsidP="00C538FC">
            <w:pPr>
              <w:spacing w:before="160"/>
              <w:rPr>
                <w:b/>
                <w:bCs/>
                <w:sz w:val="26"/>
                <w:szCs w:val="26"/>
              </w:rPr>
            </w:pPr>
            <w:r w:rsidRPr="00D67985">
              <w:rPr>
                <w:b/>
                <w:bCs/>
                <w:sz w:val="26"/>
                <w:szCs w:val="26"/>
              </w:rPr>
              <w:t xml:space="preserve">Acción solicitada </w:t>
            </w:r>
            <w:r w:rsidR="00677A97" w:rsidRPr="00D67985">
              <w:rPr>
                <w:b/>
                <w:bCs/>
                <w:sz w:val="26"/>
                <w:szCs w:val="26"/>
              </w:rPr>
              <w:t>al</w:t>
            </w:r>
            <w:r w:rsidRPr="00D67985">
              <w:rPr>
                <w:b/>
                <w:bCs/>
                <w:sz w:val="26"/>
                <w:szCs w:val="26"/>
              </w:rPr>
              <w:t xml:space="preserve"> Consejo</w:t>
            </w:r>
          </w:p>
          <w:p w14:paraId="3541AA22" w14:textId="3A337BCA" w:rsidR="00FE57F6" w:rsidRPr="00D67985" w:rsidRDefault="00427CAC" w:rsidP="00C538FC">
            <w:bookmarkStart w:id="2" w:name="_Hlk138853358"/>
            <w:r w:rsidRPr="00D67985">
              <w:t xml:space="preserve">Se invita al Consejo a enviar los proyectos de propuesta reproducidos en los Documentos </w:t>
            </w:r>
            <w:hyperlink r:id="rId6" w:history="1">
              <w:r w:rsidRPr="00D67985">
                <w:rPr>
                  <w:rStyle w:val="Hyperlink"/>
                </w:rPr>
                <w:t>C23/13</w:t>
              </w:r>
            </w:hyperlink>
            <w:r w:rsidRPr="00D67985">
              <w:t xml:space="preserve">, </w:t>
            </w:r>
            <w:hyperlink r:id="rId7" w:history="1">
              <w:r w:rsidRPr="00D67985">
                <w:rPr>
                  <w:rStyle w:val="Hyperlink"/>
                </w:rPr>
                <w:t>C23/27</w:t>
              </w:r>
            </w:hyperlink>
            <w:r w:rsidRPr="00D67985">
              <w:t xml:space="preserve">, </w:t>
            </w:r>
            <w:hyperlink r:id="rId8" w:history="1">
              <w:r w:rsidRPr="00D67985">
                <w:rPr>
                  <w:rStyle w:val="Hyperlink"/>
                </w:rPr>
                <w:t>C23/50</w:t>
              </w:r>
            </w:hyperlink>
            <w:r w:rsidRPr="00D67985">
              <w:t xml:space="preserve"> y </w:t>
            </w:r>
            <w:hyperlink r:id="rId9" w:history="1">
              <w:r w:rsidRPr="00D67985">
                <w:rPr>
                  <w:rStyle w:val="Hyperlink"/>
                </w:rPr>
                <w:t>C23/52</w:t>
              </w:r>
            </w:hyperlink>
            <w:r w:rsidRPr="00D67985">
              <w:t xml:space="preserve"> al GTC-RHF para su ulterior estudio y para la definición de IFR de excelencia institucional, de conformidad con la Resolución</w:t>
            </w:r>
            <w:bookmarkEnd w:id="2"/>
            <w:r w:rsidRPr="00D67985">
              <w:t xml:space="preserve"> 151 de la PP y el mandato del GTC-RHF revisado.</w:t>
            </w:r>
          </w:p>
          <w:p w14:paraId="716C997E" w14:textId="77777777" w:rsidR="00FE57F6" w:rsidRPr="00D67985" w:rsidRDefault="00FE57F6" w:rsidP="00C538FC">
            <w:pPr>
              <w:spacing w:before="160"/>
              <w:rPr>
                <w:caps/>
                <w:sz w:val="22"/>
              </w:rPr>
            </w:pPr>
            <w:r w:rsidRPr="00D67985">
              <w:rPr>
                <w:sz w:val="22"/>
              </w:rPr>
              <w:t>__________________</w:t>
            </w:r>
          </w:p>
          <w:p w14:paraId="6E497E04" w14:textId="43D5D084" w:rsidR="00FE57F6" w:rsidRPr="00D67985" w:rsidRDefault="00F24B71" w:rsidP="00C538FC">
            <w:pPr>
              <w:spacing w:before="160"/>
              <w:rPr>
                <w:b/>
                <w:bCs/>
                <w:sz w:val="26"/>
                <w:szCs w:val="26"/>
              </w:rPr>
            </w:pPr>
            <w:r w:rsidRPr="00D67985">
              <w:rPr>
                <w:b/>
                <w:bCs/>
                <w:sz w:val="26"/>
                <w:szCs w:val="26"/>
              </w:rPr>
              <w:t>Referencia</w:t>
            </w:r>
            <w:r w:rsidR="00427CAC" w:rsidRPr="00D67985">
              <w:rPr>
                <w:b/>
                <w:bCs/>
                <w:sz w:val="26"/>
                <w:szCs w:val="26"/>
              </w:rPr>
              <w:t>s</w:t>
            </w:r>
          </w:p>
          <w:p w14:paraId="6C6684A3" w14:textId="0210589C" w:rsidR="00427CAC" w:rsidRPr="00D67985" w:rsidRDefault="001334A1" w:rsidP="00427CAC">
            <w:pPr>
              <w:rPr>
                <w:i/>
                <w:iCs/>
              </w:rPr>
            </w:pPr>
            <w:hyperlink r:id="rId10" w:history="1">
              <w:r w:rsidR="00427CAC" w:rsidRPr="00D67985">
                <w:rPr>
                  <w:rStyle w:val="Hyperlink"/>
                  <w:i/>
                  <w:iCs/>
                </w:rPr>
                <w:t>Constitución de la UIT</w:t>
              </w:r>
            </w:hyperlink>
            <w:r w:rsidR="00427CAC" w:rsidRPr="00D67985">
              <w:rPr>
                <w:i/>
                <w:iCs/>
              </w:rPr>
              <w:t>;</w:t>
            </w:r>
          </w:p>
          <w:p w14:paraId="33FB611E" w14:textId="648E7117" w:rsidR="00427CAC" w:rsidRPr="00D67985" w:rsidRDefault="00427CAC" w:rsidP="00427CAC">
            <w:pPr>
              <w:spacing w:before="0"/>
              <w:rPr>
                <w:i/>
                <w:iCs/>
              </w:rPr>
            </w:pPr>
            <w:r w:rsidRPr="00D67985">
              <w:rPr>
                <w:i/>
                <w:iCs/>
              </w:rPr>
              <w:t xml:space="preserve">Resoluciones </w:t>
            </w:r>
            <w:hyperlink r:id="rId11" w:history="1">
              <w:r w:rsidRPr="00D67985">
                <w:rPr>
                  <w:rStyle w:val="Hyperlink"/>
                  <w:i/>
                  <w:iCs/>
                </w:rPr>
                <w:t>25</w:t>
              </w:r>
            </w:hyperlink>
            <w:r w:rsidRPr="00D67985">
              <w:rPr>
                <w:i/>
                <w:iCs/>
              </w:rPr>
              <w:t xml:space="preserve">, </w:t>
            </w:r>
            <w:hyperlink r:id="rId12" w:history="1">
              <w:r w:rsidRPr="00D67985">
                <w:rPr>
                  <w:rStyle w:val="Hyperlink"/>
                  <w:i/>
                  <w:iCs/>
                </w:rPr>
                <w:t>71</w:t>
              </w:r>
            </w:hyperlink>
            <w:r w:rsidRPr="00D67985">
              <w:rPr>
                <w:i/>
                <w:iCs/>
              </w:rPr>
              <w:t xml:space="preserve">, </w:t>
            </w:r>
            <w:hyperlink r:id="rId13" w:history="1">
              <w:r w:rsidRPr="00D67985">
                <w:rPr>
                  <w:rStyle w:val="Hyperlink"/>
                  <w:i/>
                  <w:iCs/>
                </w:rPr>
                <w:t>94</w:t>
              </w:r>
            </w:hyperlink>
            <w:r w:rsidRPr="00D67985">
              <w:rPr>
                <w:i/>
                <w:iCs/>
              </w:rPr>
              <w:t xml:space="preserve">, </w:t>
            </w:r>
            <w:hyperlink r:id="rId14" w:history="1">
              <w:r w:rsidRPr="00D67985">
                <w:rPr>
                  <w:rStyle w:val="Hyperlink"/>
                  <w:i/>
                  <w:iCs/>
                </w:rPr>
                <w:t>151</w:t>
              </w:r>
            </w:hyperlink>
            <w:r w:rsidRPr="00D67985">
              <w:rPr>
                <w:i/>
                <w:iCs/>
              </w:rPr>
              <w:t xml:space="preserve"> y </w:t>
            </w:r>
            <w:hyperlink r:id="rId15" w:history="1">
              <w:r w:rsidRPr="00D67985">
                <w:rPr>
                  <w:rStyle w:val="Hyperlink"/>
                  <w:i/>
                  <w:iCs/>
                </w:rPr>
                <w:t>191</w:t>
              </w:r>
            </w:hyperlink>
            <w:r w:rsidRPr="00D67985">
              <w:rPr>
                <w:i/>
                <w:iCs/>
              </w:rPr>
              <w:t xml:space="preserve"> de la Conferencia de Plenipotenciarios</w:t>
            </w:r>
          </w:p>
          <w:p w14:paraId="4DC99822" w14:textId="38AC7669" w:rsidR="00427CAC" w:rsidRPr="00D67985" w:rsidRDefault="00427CAC" w:rsidP="00427CAC">
            <w:pPr>
              <w:spacing w:before="0"/>
              <w:rPr>
                <w:i/>
                <w:iCs/>
              </w:rPr>
            </w:pPr>
            <w:r w:rsidRPr="00D67985">
              <w:rPr>
                <w:i/>
                <w:iCs/>
              </w:rPr>
              <w:t xml:space="preserve">Decisión </w:t>
            </w:r>
            <w:hyperlink r:id="rId16" w:history="1">
              <w:r w:rsidRPr="00D67985">
                <w:rPr>
                  <w:rStyle w:val="Hyperlink"/>
                  <w:i/>
                  <w:iCs/>
                </w:rPr>
                <w:t>5</w:t>
              </w:r>
            </w:hyperlink>
            <w:r w:rsidRPr="00D67985">
              <w:rPr>
                <w:i/>
                <w:iCs/>
              </w:rPr>
              <w:t xml:space="preserve"> (Rev. Bucarest, 2022) de la Conferencia de Plenipotenciarios</w:t>
            </w:r>
          </w:p>
          <w:p w14:paraId="14745A6A" w14:textId="0F195D3A" w:rsidR="00FE57F6" w:rsidRPr="00D67985" w:rsidRDefault="001334A1" w:rsidP="00427CAC">
            <w:pPr>
              <w:spacing w:before="0" w:after="120"/>
            </w:pPr>
            <w:hyperlink r:id="rId17" w:history="1">
              <w:r w:rsidR="00427CAC" w:rsidRPr="00D67985">
                <w:rPr>
                  <w:rStyle w:val="Hyperlink"/>
                  <w:i/>
                  <w:iCs/>
                </w:rPr>
                <w:t>Plan de Acción de Kigali</w:t>
              </w:r>
            </w:hyperlink>
          </w:p>
        </w:tc>
      </w:tr>
      <w:bookmarkEnd w:id="0"/>
    </w:tbl>
    <w:p w14:paraId="4EEC9B4E" w14:textId="77777777" w:rsidR="00093EEB" w:rsidRPr="00D67985" w:rsidRDefault="00093EEB"/>
    <w:p w14:paraId="660ED594" w14:textId="77777777" w:rsidR="001559F5" w:rsidRPr="00D67985" w:rsidRDefault="001559F5">
      <w:pPr>
        <w:tabs>
          <w:tab w:val="clear" w:pos="567"/>
          <w:tab w:val="clear" w:pos="1134"/>
          <w:tab w:val="clear" w:pos="1701"/>
          <w:tab w:val="clear" w:pos="2268"/>
          <w:tab w:val="clear" w:pos="2835"/>
        </w:tabs>
        <w:overflowPunct/>
        <w:autoSpaceDE/>
        <w:autoSpaceDN/>
        <w:adjustRightInd/>
        <w:spacing w:before="0"/>
        <w:textAlignment w:val="auto"/>
      </w:pPr>
      <w:r w:rsidRPr="00D67985">
        <w:br w:type="page"/>
      </w:r>
    </w:p>
    <w:p w14:paraId="2FE65CB9" w14:textId="77777777" w:rsidR="00427CAC" w:rsidRPr="00D67985" w:rsidRDefault="00427CAC" w:rsidP="00427CAC">
      <w:pPr>
        <w:pStyle w:val="Headingb"/>
      </w:pPr>
      <w:r w:rsidRPr="00D67985">
        <w:lastRenderedPageBreak/>
        <w:t>Antecedentes</w:t>
      </w:r>
    </w:p>
    <w:p w14:paraId="337FF023" w14:textId="2A59193B" w:rsidR="00427CAC" w:rsidRPr="00D67985" w:rsidRDefault="00427CAC" w:rsidP="00427CAC">
      <w:r w:rsidRPr="00D67985">
        <w:t>La Constitución de la UIT, la Resolución 71 (Rev. Bucarest, 2022) y las Reglas Financieras de la UIT dictan que cada Oficina y la Secretaría General de la UIT tengan una función exclusiva en la implementación de los Planes Estratégicos de la UIT y se ajusten a sus respectivos mandatos específicos. Asimismo, cada Oficina es independiente y se rige por las diversas disposiciones de la Constitución de la UIT que le atañen y las Resoluciones correspondientes que definen su mandato. Por consiguiente, las Oficinas operan de manera independiente y se rigen por diversas disposiciones de la Constitución de la UIT y por las Resoluciones pertinentes.</w:t>
      </w:r>
    </w:p>
    <w:p w14:paraId="4E2C3AC4" w14:textId="25325475" w:rsidR="00427CAC" w:rsidRPr="00D67985" w:rsidRDefault="00427CAC" w:rsidP="00427CAC">
      <w:bookmarkStart w:id="3" w:name="_Hlk139278019"/>
      <w:r w:rsidRPr="00D67985">
        <w:t xml:space="preserve">A pesar de ello, la UIT encuentra problemas de eficacia y equidad, reflejados, por ejemplo, </w:t>
      </w:r>
      <w:r w:rsidR="00D67985" w:rsidRPr="00D67985">
        <w:t xml:space="preserve">en </w:t>
      </w:r>
      <w:r w:rsidRPr="00D67985">
        <w:t xml:space="preserve">el elevado coste que supone la celebración de foros y eventos en la Sede y en otros países, así como la traducción, la interpretación y la logística. </w:t>
      </w:r>
    </w:p>
    <w:bookmarkEnd w:id="3"/>
    <w:p w14:paraId="11D7590F" w14:textId="77777777" w:rsidR="00427CAC" w:rsidRPr="00D67985" w:rsidRDefault="00427CAC" w:rsidP="00427CAC">
      <w:r w:rsidRPr="00D67985">
        <w:t xml:space="preserve">Consideramos que la tecnología y los nuevos métodos de trabajo, incluidas la automatización y la GBR, pueden aumentar la productividad y rentabilidad, generando un mayor conocimiento a fin de lograr una mayor influencia, en lugar de realizar gastos excesivos en servicios de apoyo. </w:t>
      </w:r>
    </w:p>
    <w:p w14:paraId="0D803E7D" w14:textId="77777777" w:rsidR="00427CAC" w:rsidRPr="00D67985" w:rsidRDefault="00427CAC" w:rsidP="00427CAC">
      <w:r w:rsidRPr="00D67985">
        <w:t>Una transformación institucional adaptada a las necesidades de los países en desarrollo debe ofrecer diversos beneficios, entre ellos la reducción del coste de los eventos para los anfitriones, un mejor acceso al contenido pertinente en todos los idiomas y nuevos conocimientos especializados de todos los sectores, en particular en las Oficinas Zonales de la UIT.</w:t>
      </w:r>
    </w:p>
    <w:p w14:paraId="0BE9F111" w14:textId="77777777" w:rsidR="00427CAC" w:rsidRPr="00D67985" w:rsidRDefault="00427CAC" w:rsidP="00427CAC">
      <w:pPr>
        <w:pStyle w:val="Headingb"/>
        <w:rPr>
          <w:rFonts w:cstheme="minorHAnsi"/>
          <w:szCs w:val="24"/>
        </w:rPr>
      </w:pPr>
      <w:r w:rsidRPr="00D67985">
        <w:t>Propuesta</w:t>
      </w:r>
    </w:p>
    <w:p w14:paraId="28D1E0BC" w14:textId="0524A51B" w:rsidR="00427CAC" w:rsidRPr="00D67985" w:rsidRDefault="00427CAC" w:rsidP="00427CAC">
      <w:r w:rsidRPr="00D67985">
        <w:t xml:space="preserve">Se recuerda a los miembros del Consejo que el concepto de </w:t>
      </w:r>
      <w:r w:rsidR="00A32AD0" w:rsidRPr="00D67985">
        <w:t>"</w:t>
      </w:r>
      <w:r w:rsidRPr="00D67985">
        <w:t>UnaUIT</w:t>
      </w:r>
      <w:r w:rsidR="00A32AD0" w:rsidRPr="00D67985">
        <w:t>"</w:t>
      </w:r>
      <w:r w:rsidRPr="00D67985">
        <w:t xml:space="preserve">, cuyo objetivo es mejorar la prestación de servicios de la UIT a los Estados Miembros, sigue sin estar definido, lo que hace que resulte problemático y prematuro definir estrategias institucionales concretas. </w:t>
      </w:r>
    </w:p>
    <w:p w14:paraId="16A751AF" w14:textId="77777777" w:rsidR="00427CAC" w:rsidRPr="00D67985" w:rsidRDefault="00427CAC" w:rsidP="00427CAC">
      <w:r w:rsidRPr="00D67985">
        <w:t>Por consiguiente, se solicita a los miembros del Consejo que encarguen al GTC-RHF la definición del concepto y de sus indicadores fundamentales de rendimiento (IFR) mensurables.</w:t>
      </w:r>
    </w:p>
    <w:p w14:paraId="2BF561B2" w14:textId="71B54490" w:rsidR="00427CAC" w:rsidRPr="00D67985" w:rsidRDefault="00427CAC" w:rsidP="00427CAC">
      <w:r w:rsidRPr="00D67985">
        <w:t xml:space="preserve">Además, se invita a los miembros del Consejo a remitir al GTC-RHF los proyectos de propuesta de los Documentos </w:t>
      </w:r>
      <w:hyperlink r:id="rId18" w:history="1">
        <w:r w:rsidRPr="00D67985">
          <w:rPr>
            <w:rStyle w:val="Hyperlink"/>
          </w:rPr>
          <w:t>C23/13</w:t>
        </w:r>
      </w:hyperlink>
      <w:r w:rsidRPr="00D67985">
        <w:t xml:space="preserve">, </w:t>
      </w:r>
      <w:hyperlink r:id="rId19" w:history="1">
        <w:r w:rsidRPr="00D67985">
          <w:rPr>
            <w:rStyle w:val="Hyperlink"/>
          </w:rPr>
          <w:t>C23/27</w:t>
        </w:r>
      </w:hyperlink>
      <w:r w:rsidRPr="00D67985">
        <w:t xml:space="preserve">, </w:t>
      </w:r>
      <w:hyperlink r:id="rId20" w:history="1">
        <w:r w:rsidRPr="00D67985">
          <w:rPr>
            <w:rStyle w:val="Hyperlink"/>
          </w:rPr>
          <w:t>C23/50</w:t>
        </w:r>
      </w:hyperlink>
      <w:r w:rsidRPr="00D67985">
        <w:t xml:space="preserve"> y </w:t>
      </w:r>
      <w:hyperlink r:id="rId21" w:history="1">
        <w:r w:rsidRPr="00D67985">
          <w:rPr>
            <w:rStyle w:val="Hyperlink"/>
          </w:rPr>
          <w:t>C23/52</w:t>
        </w:r>
      </w:hyperlink>
      <w:r w:rsidRPr="00D67985">
        <w:t xml:space="preserve"> para su ulterior estudio en paralelo a la definición del concepto de UnaUIT y de los IFR de excelencia institucional, de conformidad con la Resolución 151 de la PP y el mandato del GTC-RHF revisado.</w:t>
      </w:r>
    </w:p>
    <w:p w14:paraId="05711A9D" w14:textId="77777777" w:rsidR="00427CAC" w:rsidRPr="00D67985" w:rsidRDefault="00427CAC" w:rsidP="00411C49">
      <w:pPr>
        <w:pStyle w:val="Reasons"/>
      </w:pPr>
    </w:p>
    <w:p w14:paraId="5F16BDD1" w14:textId="77777777" w:rsidR="00427CAC" w:rsidRPr="00D67985" w:rsidRDefault="00427CAC">
      <w:pPr>
        <w:jc w:val="center"/>
      </w:pPr>
      <w:r w:rsidRPr="00D67985">
        <w:t>______________</w:t>
      </w:r>
    </w:p>
    <w:sectPr w:rsidR="00427CAC" w:rsidRPr="00D67985" w:rsidSect="00C538FC">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A619" w14:textId="77777777" w:rsidR="00833F25" w:rsidRDefault="00833F25">
      <w:r>
        <w:separator/>
      </w:r>
    </w:p>
  </w:endnote>
  <w:endnote w:type="continuationSeparator" w:id="0">
    <w:p w14:paraId="0A258BA3" w14:textId="77777777" w:rsidR="00833F25" w:rsidRDefault="008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7184DC9" w14:textId="77777777" w:rsidTr="00E31DCE">
      <w:trPr>
        <w:jc w:val="center"/>
      </w:trPr>
      <w:tc>
        <w:tcPr>
          <w:tcW w:w="1803" w:type="dxa"/>
          <w:vAlign w:val="center"/>
        </w:tcPr>
        <w:p w14:paraId="5D5DA7E7" w14:textId="2BC01596" w:rsidR="003273A4" w:rsidRDefault="003273A4" w:rsidP="003273A4">
          <w:pPr>
            <w:pStyle w:val="Header"/>
            <w:jc w:val="left"/>
            <w:rPr>
              <w:noProof/>
            </w:rPr>
          </w:pPr>
          <w:r>
            <w:rPr>
              <w:noProof/>
            </w:rPr>
            <w:t xml:space="preserve">DPS </w:t>
          </w:r>
          <w:r w:rsidR="00D67985">
            <w:rPr>
              <w:noProof/>
            </w:rPr>
            <w:t>525342</w:t>
          </w:r>
        </w:p>
      </w:tc>
      <w:tc>
        <w:tcPr>
          <w:tcW w:w="8261" w:type="dxa"/>
        </w:tcPr>
        <w:p w14:paraId="6CFF3EC7" w14:textId="3324447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67985">
            <w:rPr>
              <w:bCs/>
            </w:rPr>
            <w:t>72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A6CC44E"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CCE3B3F" w14:textId="77777777" w:rsidTr="00E31DCE">
      <w:trPr>
        <w:jc w:val="center"/>
      </w:trPr>
      <w:tc>
        <w:tcPr>
          <w:tcW w:w="1803" w:type="dxa"/>
          <w:vAlign w:val="center"/>
        </w:tcPr>
        <w:p w14:paraId="60596C0C" w14:textId="77777777" w:rsidR="00F24B71" w:rsidRDefault="001334A1" w:rsidP="00F24B71">
          <w:pPr>
            <w:pStyle w:val="Header"/>
            <w:jc w:val="left"/>
            <w:rPr>
              <w:noProof/>
            </w:rPr>
          </w:pPr>
          <w:hyperlink r:id="rId1" w:history="1">
            <w:r w:rsidR="00F24B71" w:rsidRPr="00A514A4">
              <w:rPr>
                <w:rStyle w:val="Hyperlink"/>
                <w:szCs w:val="14"/>
              </w:rPr>
              <w:t>www.itu.int/council</w:t>
            </w:r>
          </w:hyperlink>
        </w:p>
      </w:tc>
      <w:tc>
        <w:tcPr>
          <w:tcW w:w="8261" w:type="dxa"/>
        </w:tcPr>
        <w:p w14:paraId="6192EE56" w14:textId="0A0985A7"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27CAC">
            <w:rPr>
              <w:bCs/>
            </w:rPr>
            <w:t>72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C3D034"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6F75" w14:textId="77777777" w:rsidR="00833F25" w:rsidRDefault="00833F25">
      <w:r>
        <w:t>____________________</w:t>
      </w:r>
    </w:p>
  </w:footnote>
  <w:footnote w:type="continuationSeparator" w:id="0">
    <w:p w14:paraId="21CC55BA" w14:textId="77777777" w:rsidR="00833F25" w:rsidRDefault="0083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AFD08D1" w14:textId="77777777" w:rsidTr="00E31DCE">
      <w:trPr>
        <w:trHeight w:val="1104"/>
        <w:jc w:val="center"/>
      </w:trPr>
      <w:tc>
        <w:tcPr>
          <w:tcW w:w="4390" w:type="dxa"/>
          <w:vAlign w:val="center"/>
        </w:tcPr>
        <w:p w14:paraId="5BD66115"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12DAE8CF" wp14:editId="7321FC07">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A57599D" w14:textId="77777777" w:rsidR="001559F5" w:rsidRDefault="001559F5" w:rsidP="001559F5">
          <w:pPr>
            <w:pStyle w:val="Header"/>
            <w:jc w:val="right"/>
            <w:rPr>
              <w:rFonts w:ascii="Arial" w:hAnsi="Arial" w:cs="Arial"/>
              <w:b/>
              <w:bCs/>
              <w:color w:val="009CD6"/>
              <w:szCs w:val="18"/>
            </w:rPr>
          </w:pPr>
        </w:p>
        <w:p w14:paraId="1415C6F6" w14:textId="77777777" w:rsidR="001559F5" w:rsidRDefault="001559F5" w:rsidP="001559F5">
          <w:pPr>
            <w:pStyle w:val="Header"/>
            <w:jc w:val="right"/>
            <w:rPr>
              <w:rFonts w:ascii="Arial" w:hAnsi="Arial" w:cs="Arial"/>
              <w:b/>
              <w:bCs/>
              <w:color w:val="009CD6"/>
              <w:szCs w:val="18"/>
            </w:rPr>
          </w:pPr>
        </w:p>
        <w:p w14:paraId="227E8690"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0848373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9CE8689" wp14:editId="030C287D">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949E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25"/>
    <w:rsid w:val="000007D1"/>
    <w:rsid w:val="00093EEB"/>
    <w:rsid w:val="000B0D00"/>
    <w:rsid w:val="000B7C15"/>
    <w:rsid w:val="000D1D0F"/>
    <w:rsid w:val="000F5290"/>
    <w:rsid w:val="0010165C"/>
    <w:rsid w:val="001334A1"/>
    <w:rsid w:val="00146BFB"/>
    <w:rsid w:val="001559F5"/>
    <w:rsid w:val="001F14A2"/>
    <w:rsid w:val="002801AA"/>
    <w:rsid w:val="002C4676"/>
    <w:rsid w:val="002C70B0"/>
    <w:rsid w:val="002F3CC4"/>
    <w:rsid w:val="003273A4"/>
    <w:rsid w:val="00427CAC"/>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33F25"/>
    <w:rsid w:val="008451E8"/>
    <w:rsid w:val="00913B9C"/>
    <w:rsid w:val="00927F93"/>
    <w:rsid w:val="00956E77"/>
    <w:rsid w:val="009F4811"/>
    <w:rsid w:val="00A32AD0"/>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67985"/>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B2DEE"/>
  <w15:docId w15:val="{612CF8A3-9D46-472B-B897-47C6801F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0/es" TargetMode="External"/><Relationship Id="rId13" Type="http://schemas.openxmlformats.org/officeDocument/2006/relationships/hyperlink" Target="https://www.itu.int/en/council/Documents/basic-texts-2023/RES-094-s.pdf" TargetMode="External"/><Relationship Id="rId18" Type="http://schemas.openxmlformats.org/officeDocument/2006/relationships/hyperlink" Target="https://www.itu.int/md/S23-CL-C-0013/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S23-CL-C-0052/es" TargetMode="External"/><Relationship Id="rId7" Type="http://schemas.openxmlformats.org/officeDocument/2006/relationships/hyperlink" Target="https://www.itu.int/md/S23-CL-C-0027/es" TargetMode="External"/><Relationship Id="rId12" Type="http://schemas.openxmlformats.org/officeDocument/2006/relationships/hyperlink" Target="https://www.itu.int/en/council/Documents/basic-texts-2023/RES-071-s.pdf" TargetMode="External"/><Relationship Id="rId17" Type="http://schemas.openxmlformats.org/officeDocument/2006/relationships/hyperlink" Target="https://www.itu.int/dms_pub/itu-d/opb/tdc/D-TDC-WTDC-2022-PDF-s.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en/council/Documents/basic-texts-2023/DEC-005-s.pdf" TargetMode="External"/><Relationship Id="rId20" Type="http://schemas.openxmlformats.org/officeDocument/2006/relationships/hyperlink" Target="https://www.itu.int/md/S23-CL-C-0050/es" TargetMode="External"/><Relationship Id="rId1" Type="http://schemas.openxmlformats.org/officeDocument/2006/relationships/styles" Target="styles.xml"/><Relationship Id="rId6" Type="http://schemas.openxmlformats.org/officeDocument/2006/relationships/hyperlink" Target="https://www.itu.int/md/S23-CL-C-0013/es" TargetMode="External"/><Relationship Id="rId11" Type="http://schemas.openxmlformats.org/officeDocument/2006/relationships/hyperlink" Target="https://www.itu.int/en/council/Documents/basic-texts-2023/RES-025-s.pdf"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council/Documents/basic-texts-2023/RES-191-s.pdf" TargetMode="External"/><Relationship Id="rId23" Type="http://schemas.openxmlformats.org/officeDocument/2006/relationships/header" Target="header1.xml"/><Relationship Id="rId10" Type="http://schemas.openxmlformats.org/officeDocument/2006/relationships/hyperlink" Target="https://www.itu.int/en/council/Documents/basic-texts/Constitution-s.pdf" TargetMode="External"/><Relationship Id="rId19" Type="http://schemas.openxmlformats.org/officeDocument/2006/relationships/hyperlink" Target="https://www.itu.int/md/S23-CL-C-0027/es" TargetMode="External"/><Relationship Id="rId4" Type="http://schemas.openxmlformats.org/officeDocument/2006/relationships/footnotes" Target="footnotes.xml"/><Relationship Id="rId9" Type="http://schemas.openxmlformats.org/officeDocument/2006/relationships/hyperlink" Target="https://www.itu.int/md/S23-CL-C-0052/es" TargetMode="External"/><Relationship Id="rId14" Type="http://schemas.openxmlformats.org/officeDocument/2006/relationships/hyperlink" Target="https://www.itu.int/en/council/Documents/basic-texts-2023/RES-151-s.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0</TotalTime>
  <Pages>2</Pages>
  <Words>573</Words>
  <Characters>4267</Characters>
  <Application>Microsoft Office Word</Application>
  <DocSecurity>4</DocSecurity>
  <Lines>35</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4831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dc:creator>
  <cp:keywords>C2023, C23, Council-23</cp:keywords>
  <dc:description/>
  <cp:lastModifiedBy>Xue, Kun</cp:lastModifiedBy>
  <cp:revision>2</cp:revision>
  <cp:lastPrinted>2006-03-24T09:51:00Z</cp:lastPrinted>
  <dcterms:created xsi:type="dcterms:W3CDTF">2023-07-07T18:07:00Z</dcterms:created>
  <dcterms:modified xsi:type="dcterms:W3CDTF">2023-07-07T18:07:00Z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