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034BE" w14:paraId="4D1C3EB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24FB7912" w:rsidR="00796BD3" w:rsidRPr="002034BE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034BE">
              <w:rPr>
                <w:b/>
                <w:lang w:val="ru-RU"/>
              </w:rPr>
              <w:t>Пункт повестки дня:</w:t>
            </w:r>
            <w:r w:rsidR="00E34C92" w:rsidRPr="002034BE">
              <w:rPr>
                <w:b/>
                <w:lang w:val="ru-RU"/>
              </w:rPr>
              <w:t xml:space="preserve"> ADM</w:t>
            </w:r>
          </w:p>
        </w:tc>
        <w:tc>
          <w:tcPr>
            <w:tcW w:w="5245" w:type="dxa"/>
          </w:tcPr>
          <w:p w14:paraId="77107317" w14:textId="1C5DC28A" w:rsidR="00796BD3" w:rsidRPr="002034B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034BE">
              <w:rPr>
                <w:b/>
                <w:lang w:val="ru-RU"/>
              </w:rPr>
              <w:t xml:space="preserve">Документ </w:t>
            </w:r>
            <w:r w:rsidR="00796BD3" w:rsidRPr="002034BE">
              <w:rPr>
                <w:b/>
                <w:lang w:val="ru-RU"/>
              </w:rPr>
              <w:t>C23/</w:t>
            </w:r>
            <w:r w:rsidR="00E34C92" w:rsidRPr="002034BE">
              <w:rPr>
                <w:b/>
                <w:lang w:val="ru-RU"/>
              </w:rPr>
              <w:t>72</w:t>
            </w:r>
            <w:r w:rsidR="00796BD3" w:rsidRPr="002034BE">
              <w:rPr>
                <w:b/>
                <w:lang w:val="ru-RU"/>
              </w:rPr>
              <w:t>-R</w:t>
            </w:r>
          </w:p>
        </w:tc>
      </w:tr>
      <w:tr w:rsidR="00796BD3" w:rsidRPr="002034BE" w14:paraId="6D20B162" w14:textId="77777777" w:rsidTr="00E31DCE">
        <w:trPr>
          <w:cantSplit/>
        </w:trPr>
        <w:tc>
          <w:tcPr>
            <w:tcW w:w="3969" w:type="dxa"/>
            <w:vMerge/>
          </w:tcPr>
          <w:p w14:paraId="4F9F4BB2" w14:textId="77777777" w:rsidR="00796BD3" w:rsidRPr="002034B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3A5B35D3" w:rsidR="00796BD3" w:rsidRPr="002034BE" w:rsidRDefault="00E34C92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034BE">
              <w:rPr>
                <w:b/>
                <w:lang w:val="ru-RU"/>
              </w:rPr>
              <w:t>27 июня</w:t>
            </w:r>
            <w:r w:rsidR="00796BD3" w:rsidRPr="002034BE">
              <w:rPr>
                <w:b/>
                <w:lang w:val="ru-RU"/>
              </w:rPr>
              <w:t xml:space="preserve"> 2023</w:t>
            </w:r>
            <w:r w:rsidRPr="002034BE">
              <w:rPr>
                <w:b/>
                <w:lang w:val="ru-RU"/>
              </w:rPr>
              <w:t xml:space="preserve"> года</w:t>
            </w:r>
          </w:p>
        </w:tc>
      </w:tr>
      <w:tr w:rsidR="00796BD3" w:rsidRPr="002034BE" w14:paraId="2A3BA1D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2034B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4FE3E1C3" w:rsidR="00796BD3" w:rsidRPr="002034B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034BE">
              <w:rPr>
                <w:b/>
                <w:lang w:val="ru-RU"/>
              </w:rPr>
              <w:t xml:space="preserve">Оригинал: </w:t>
            </w:r>
            <w:r w:rsidR="00E34C92" w:rsidRPr="002034BE">
              <w:rPr>
                <w:b/>
                <w:lang w:val="ru-RU"/>
              </w:rPr>
              <w:t>английский</w:t>
            </w:r>
          </w:p>
        </w:tc>
      </w:tr>
      <w:tr w:rsidR="00796BD3" w:rsidRPr="002034BE" w14:paraId="19434816" w14:textId="77777777" w:rsidTr="00E31DCE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2034B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2034B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034BE" w14:paraId="0DA3AB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73B40B89" w:rsidR="00796BD3" w:rsidRPr="002034BE" w:rsidRDefault="00D3191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034BE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E34C92" w:rsidRPr="002034BE">
              <w:rPr>
                <w:rFonts w:cstheme="minorHAnsi"/>
                <w:sz w:val="32"/>
                <w:szCs w:val="32"/>
                <w:lang w:val="ru-RU"/>
              </w:rPr>
              <w:t>от Алжир</w:t>
            </w:r>
            <w:r w:rsidR="009D07D6" w:rsidRPr="002034BE">
              <w:rPr>
                <w:rFonts w:cstheme="minorHAnsi"/>
                <w:sz w:val="32"/>
                <w:szCs w:val="32"/>
                <w:lang w:val="ru-RU"/>
              </w:rPr>
              <w:t>ской Народной Демократической Республики, Буркина-Фасо, Кот-д'Ивуара (Республики), Египта (Арабской Республики), Г</w:t>
            </w:r>
            <w:r w:rsidR="00E34C92" w:rsidRPr="002034BE"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="009D07D6" w:rsidRPr="002034BE">
              <w:rPr>
                <w:rFonts w:cstheme="minorHAnsi"/>
                <w:sz w:val="32"/>
                <w:szCs w:val="32"/>
                <w:lang w:val="ru-RU"/>
              </w:rPr>
              <w:t>ны, Кении (Республики), Маврикия (Республики), Нигерии (Федеративной Республики), Сенегала (Республики), Южно-Африканской Республики, Туниса и Зимбабве (Республики)</w:t>
            </w:r>
          </w:p>
        </w:tc>
      </w:tr>
      <w:tr w:rsidR="00796BD3" w:rsidRPr="002034BE" w14:paraId="30B8D6E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1A2E7E6C" w:rsidR="00796BD3" w:rsidRPr="002034BE" w:rsidRDefault="00A81E67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2034BE">
              <w:rPr>
                <w:rFonts w:cstheme="minorHAnsi"/>
                <w:sz w:val="32"/>
                <w:szCs w:val="32"/>
                <w:lang w:val="ru-RU"/>
              </w:rPr>
              <w:t>ОБЕСПЕЧЕНИЕ ПОДХОДА "ЕДИНЫЙ МСЭ" ДЛЯ РА</w:t>
            </w:r>
            <w:r w:rsidR="00FF0CF7" w:rsidRPr="002034BE">
              <w:rPr>
                <w:rFonts w:cstheme="minorHAnsi"/>
                <w:sz w:val="32"/>
                <w:szCs w:val="32"/>
                <w:lang w:val="ru-RU"/>
              </w:rPr>
              <w:t>ЦИОНАЛЬНОГО</w:t>
            </w:r>
            <w:r w:rsidRPr="002034BE">
              <w:rPr>
                <w:rFonts w:cstheme="minorHAnsi"/>
                <w:sz w:val="32"/>
                <w:szCs w:val="32"/>
                <w:lang w:val="ru-RU"/>
              </w:rPr>
              <w:t xml:space="preserve"> ФИНАНСОВОГО ПЛАНИРОВАНИЯ, ПОДОТЧЕТНОСТИ И ГИБКОСТИ ВО БЛАГО ВСЕХ СТРАН И ДЛЯ БУДУЩЕГО СОЮЗА</w:t>
            </w:r>
          </w:p>
        </w:tc>
      </w:tr>
      <w:tr w:rsidR="00796BD3" w:rsidRPr="002034BE" w14:paraId="76E16821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5D2B75BD" w:rsidR="00796BD3" w:rsidRPr="002034B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034B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239C9D2" w14:textId="69F807F9" w:rsidR="00796BD3" w:rsidRPr="002034BE" w:rsidRDefault="00A81E67" w:rsidP="00E31DCE">
            <w:pPr>
              <w:rPr>
                <w:sz w:val="18"/>
                <w:szCs w:val="16"/>
                <w:lang w:val="ru-RU"/>
              </w:rPr>
            </w:pPr>
            <w:r w:rsidRPr="002034BE">
              <w:rPr>
                <w:color w:val="333333"/>
                <w:szCs w:val="22"/>
                <w:shd w:val="clear" w:color="auto" w:fill="FFFFFF"/>
                <w:lang w:val="ru-RU"/>
              </w:rPr>
              <w:t>Укреплять управление финансами и подотчетность, повышать организационную гибкость и усиливать воздействие "Единого МСЭ" для всех стран, обеспечивая при этом долгосрочные и позитивные изменения в культуре.</w:t>
            </w:r>
          </w:p>
          <w:p w14:paraId="5E005840" w14:textId="77777777" w:rsidR="00796BD3" w:rsidRPr="002034B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034B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E467CB8" w14:textId="72690B06" w:rsidR="00796BD3" w:rsidRPr="002034BE" w:rsidRDefault="00120F2C" w:rsidP="00E31DCE">
            <w:pPr>
              <w:rPr>
                <w:szCs w:val="22"/>
                <w:lang w:val="ru-RU"/>
              </w:rPr>
            </w:pPr>
            <w:bookmarkStart w:id="7" w:name="_Hlk138853358"/>
            <w:bookmarkStart w:id="8" w:name="lt_pId014"/>
            <w:r w:rsidRPr="002034BE">
              <w:rPr>
                <w:color w:val="333333"/>
                <w:szCs w:val="22"/>
                <w:shd w:val="clear" w:color="auto" w:fill="FFFFFF"/>
                <w:lang w:val="ru-RU"/>
              </w:rPr>
              <w:t>Совету предлагается направить проекты предложений, содержащи</w:t>
            </w:r>
            <w:r w:rsidR="00FF0CF7" w:rsidRPr="002034BE">
              <w:rPr>
                <w:color w:val="333333"/>
                <w:szCs w:val="22"/>
                <w:shd w:val="clear" w:color="auto" w:fill="FFFFFF"/>
                <w:lang w:val="ru-RU"/>
              </w:rPr>
              <w:t>е</w:t>
            </w:r>
            <w:r w:rsidRPr="002034BE">
              <w:rPr>
                <w:color w:val="333333"/>
                <w:szCs w:val="22"/>
                <w:shd w:val="clear" w:color="auto" w:fill="FFFFFF"/>
                <w:lang w:val="ru-RU"/>
              </w:rPr>
              <w:t xml:space="preserve">ся в Документах </w:t>
            </w:r>
            <w:hyperlink r:id="rId7" w:history="1">
              <w:r w:rsidRPr="002034BE">
                <w:rPr>
                  <w:rStyle w:val="Hyperlink"/>
                  <w:szCs w:val="22"/>
                  <w:lang w:val="ru-RU"/>
                </w:rPr>
                <w:t>C23/13</w:t>
              </w:r>
            </w:hyperlink>
            <w:r w:rsidRPr="002034BE">
              <w:rPr>
                <w:szCs w:val="22"/>
                <w:lang w:val="ru-RU"/>
              </w:rPr>
              <w:t xml:space="preserve">, </w:t>
            </w:r>
            <w:hyperlink r:id="rId8" w:history="1">
              <w:r w:rsidRPr="002034BE">
                <w:rPr>
                  <w:rStyle w:val="Hyperlink"/>
                  <w:szCs w:val="22"/>
                  <w:lang w:val="ru-RU"/>
                </w:rPr>
                <w:t>C23/27</w:t>
              </w:r>
            </w:hyperlink>
            <w:r w:rsidRPr="002034BE">
              <w:rPr>
                <w:szCs w:val="22"/>
                <w:lang w:val="ru-RU"/>
              </w:rPr>
              <w:t xml:space="preserve">, </w:t>
            </w:r>
            <w:hyperlink r:id="rId9" w:history="1">
              <w:r w:rsidRPr="002034BE">
                <w:rPr>
                  <w:rStyle w:val="Hyperlink"/>
                  <w:szCs w:val="22"/>
                  <w:lang w:val="ru-RU"/>
                </w:rPr>
                <w:t>C23/50</w:t>
              </w:r>
            </w:hyperlink>
            <w:r w:rsidRPr="002034BE">
              <w:rPr>
                <w:szCs w:val="22"/>
                <w:lang w:val="ru-RU"/>
              </w:rPr>
              <w:t xml:space="preserve"> и </w:t>
            </w:r>
            <w:hyperlink r:id="rId10" w:history="1">
              <w:r w:rsidRPr="002034BE">
                <w:rPr>
                  <w:rStyle w:val="Hyperlink"/>
                  <w:szCs w:val="22"/>
                  <w:lang w:val="ru-RU"/>
                </w:rPr>
                <w:t>C23/52</w:t>
              </w:r>
            </w:hyperlink>
            <w:r w:rsidRPr="002034BE">
              <w:rPr>
                <w:rStyle w:val="Hyperlink"/>
                <w:color w:val="auto"/>
                <w:szCs w:val="22"/>
                <w:u w:val="none"/>
                <w:lang w:val="ru-RU"/>
              </w:rPr>
              <w:t xml:space="preserve"> </w:t>
            </w:r>
            <w:r w:rsidRPr="002034BE">
              <w:rPr>
                <w:color w:val="333333"/>
                <w:szCs w:val="22"/>
                <w:shd w:val="clear" w:color="auto" w:fill="FFFFFF"/>
                <w:lang w:val="ru-RU"/>
              </w:rPr>
              <w:t>РГС-ФЛР для дальнейшего изучения и разработки KPI для организационной эффективности в соответствии с Резолюцией 151 ПК и пересмотренным кругом ведения РГС-ФЛР.</w:t>
            </w:r>
            <w:bookmarkEnd w:id="7"/>
            <w:bookmarkEnd w:id="8"/>
          </w:p>
          <w:p w14:paraId="7B14D1B0" w14:textId="77777777" w:rsidR="00796BD3" w:rsidRPr="002034BE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2034BE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2034BE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2034B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9" w:name="lt_pId017"/>
          <w:p w14:paraId="40A43711" w14:textId="2F04D0FA" w:rsidR="00796BD3" w:rsidRPr="002034BE" w:rsidRDefault="00A81E67" w:rsidP="002034BE">
            <w:pPr>
              <w:spacing w:after="120"/>
              <w:rPr>
                <w:lang w:val="ru-RU"/>
              </w:rPr>
            </w:pPr>
            <w:r w:rsidRPr="002034BE">
              <w:fldChar w:fldCharType="begin"/>
            </w:r>
            <w:r w:rsidR="002034BE">
              <w:rPr>
                <w:lang w:val="ru-RU"/>
              </w:rPr>
              <w:instrText>HYPERLINK "https://www.itu.int/en/council/Documents/basic-texts/Constitution-R.pdf"</w:instrText>
            </w:r>
            <w:r w:rsidRPr="002034BE">
              <w:fldChar w:fldCharType="separate"/>
            </w:r>
            <w:r w:rsidR="00120F2C" w:rsidRPr="002034BE">
              <w:rPr>
                <w:rStyle w:val="Hyperlink"/>
                <w:i/>
                <w:iCs/>
                <w:lang w:val="ru-RU"/>
              </w:rPr>
              <w:t>Устав МСЭ</w:t>
            </w:r>
            <w:r w:rsidRPr="002034BE">
              <w:rPr>
                <w:rStyle w:val="Hyperlink"/>
                <w:i/>
                <w:iCs/>
                <w:lang w:val="ru-RU"/>
              </w:rPr>
              <w:fldChar w:fldCharType="end"/>
            </w:r>
            <w:bookmarkEnd w:id="9"/>
            <w:r w:rsidR="002034BE">
              <w:rPr>
                <w:rStyle w:val="Hyperlink"/>
                <w:i/>
                <w:iCs/>
                <w:lang w:val="ru-RU"/>
              </w:rPr>
              <w:br/>
            </w:r>
            <w:bookmarkStart w:id="10" w:name="lt_pId018"/>
            <w:r w:rsidR="00120F2C" w:rsidRPr="002034BE">
              <w:rPr>
                <w:i/>
                <w:iCs/>
                <w:lang w:val="ru-RU"/>
              </w:rPr>
              <w:t>Резолюции</w:t>
            </w:r>
            <w:r w:rsidRPr="002034BE">
              <w:rPr>
                <w:i/>
                <w:iCs/>
                <w:lang w:val="ru-RU"/>
              </w:rPr>
              <w:t xml:space="preserve"> </w:t>
            </w:r>
            <w:hyperlink r:id="rId11" w:history="1">
              <w:r w:rsidRPr="002034BE">
                <w:rPr>
                  <w:rStyle w:val="Hyperlink"/>
                  <w:i/>
                  <w:iCs/>
                  <w:lang w:val="ru-RU"/>
                </w:rPr>
                <w:t>25</w:t>
              </w:r>
            </w:hyperlink>
            <w:r w:rsidRPr="002034BE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Pr="002034BE">
                <w:rPr>
                  <w:rStyle w:val="Hyperlink"/>
                  <w:i/>
                  <w:iCs/>
                  <w:lang w:val="ru-RU"/>
                </w:rPr>
                <w:t>71</w:t>
              </w:r>
            </w:hyperlink>
            <w:r w:rsidRPr="002034BE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Pr="002034BE">
                <w:rPr>
                  <w:rStyle w:val="Hyperlink"/>
                  <w:i/>
                  <w:iCs/>
                  <w:lang w:val="ru-RU"/>
                </w:rPr>
                <w:t>94</w:t>
              </w:r>
            </w:hyperlink>
            <w:r w:rsidRPr="002034BE">
              <w:rPr>
                <w:i/>
                <w:iCs/>
                <w:lang w:val="ru-RU"/>
              </w:rPr>
              <w:t xml:space="preserve">, </w:t>
            </w:r>
            <w:hyperlink r:id="rId14" w:history="1">
              <w:r w:rsidRPr="002034BE">
                <w:rPr>
                  <w:rStyle w:val="Hyperlink"/>
                  <w:i/>
                  <w:iCs/>
                  <w:lang w:val="ru-RU"/>
                </w:rPr>
                <w:t>151</w:t>
              </w:r>
            </w:hyperlink>
            <w:r w:rsidRPr="002034BE">
              <w:rPr>
                <w:i/>
                <w:iCs/>
                <w:lang w:val="ru-RU"/>
              </w:rPr>
              <w:t xml:space="preserve"> </w:t>
            </w:r>
            <w:r w:rsidR="00120F2C" w:rsidRPr="002034BE">
              <w:rPr>
                <w:i/>
                <w:iCs/>
                <w:lang w:val="ru-RU"/>
              </w:rPr>
              <w:t>и</w:t>
            </w:r>
            <w:r w:rsidRPr="002034BE">
              <w:rPr>
                <w:i/>
                <w:iCs/>
                <w:lang w:val="ru-RU"/>
              </w:rPr>
              <w:t xml:space="preserve"> </w:t>
            </w:r>
            <w:hyperlink r:id="rId15" w:history="1">
              <w:r w:rsidRPr="002034BE">
                <w:rPr>
                  <w:rStyle w:val="Hyperlink"/>
                  <w:i/>
                  <w:iCs/>
                  <w:lang w:val="ru-RU"/>
                </w:rPr>
                <w:t>191</w:t>
              </w:r>
            </w:hyperlink>
            <w:r w:rsidRPr="002034BE">
              <w:rPr>
                <w:i/>
                <w:iCs/>
                <w:lang w:val="ru-RU"/>
              </w:rPr>
              <w:t xml:space="preserve"> </w:t>
            </w:r>
            <w:r w:rsidR="00120F2C" w:rsidRPr="002034BE">
              <w:rPr>
                <w:i/>
                <w:iCs/>
                <w:lang w:val="ru-RU"/>
              </w:rPr>
              <w:t>Полномочной конференции</w:t>
            </w:r>
            <w:bookmarkEnd w:id="10"/>
            <w:r w:rsidR="002034BE">
              <w:rPr>
                <w:i/>
                <w:iCs/>
                <w:lang w:val="ru-RU"/>
              </w:rPr>
              <w:br/>
            </w:r>
            <w:bookmarkStart w:id="11" w:name="lt_pId019"/>
            <w:r w:rsidR="00120F2C" w:rsidRPr="002034BE">
              <w:rPr>
                <w:i/>
                <w:iCs/>
                <w:lang w:val="ru-RU"/>
              </w:rPr>
              <w:t>Решение</w:t>
            </w:r>
            <w:r w:rsidRPr="002034BE">
              <w:rPr>
                <w:i/>
                <w:iCs/>
                <w:lang w:val="ru-RU"/>
              </w:rPr>
              <w:t xml:space="preserve"> </w:t>
            </w:r>
            <w:hyperlink r:id="rId16" w:history="1">
              <w:r w:rsidRPr="002034BE">
                <w:rPr>
                  <w:rStyle w:val="Hyperlink"/>
                  <w:i/>
                  <w:iCs/>
                  <w:lang w:val="ru-RU"/>
                </w:rPr>
                <w:t>5</w:t>
              </w:r>
            </w:hyperlink>
            <w:r w:rsidRPr="002034BE">
              <w:rPr>
                <w:i/>
                <w:iCs/>
                <w:lang w:val="ru-RU"/>
              </w:rPr>
              <w:t xml:space="preserve"> (</w:t>
            </w:r>
            <w:r w:rsidR="00120F2C" w:rsidRPr="002034BE">
              <w:rPr>
                <w:i/>
                <w:iCs/>
                <w:lang w:val="ru-RU"/>
              </w:rPr>
              <w:t>Пересм. Бухарест</w:t>
            </w:r>
            <w:r w:rsidRPr="002034BE">
              <w:rPr>
                <w:i/>
                <w:iCs/>
                <w:lang w:val="ru-RU"/>
              </w:rPr>
              <w:t>, 2022</w:t>
            </w:r>
            <w:r w:rsidR="00120F2C" w:rsidRPr="002034BE">
              <w:rPr>
                <w:i/>
                <w:iCs/>
                <w:lang w:val="ru-RU"/>
              </w:rPr>
              <w:t> г.</w:t>
            </w:r>
            <w:r w:rsidRPr="002034BE">
              <w:rPr>
                <w:i/>
                <w:iCs/>
                <w:lang w:val="ru-RU"/>
              </w:rPr>
              <w:t xml:space="preserve">) </w:t>
            </w:r>
            <w:r w:rsidR="00120F2C" w:rsidRPr="002034BE">
              <w:rPr>
                <w:i/>
                <w:iCs/>
                <w:lang w:val="ru-RU"/>
              </w:rPr>
              <w:t>Полномочной конференции</w:t>
            </w:r>
            <w:bookmarkEnd w:id="11"/>
            <w:r w:rsidR="002034BE">
              <w:rPr>
                <w:i/>
                <w:iCs/>
                <w:lang w:val="ru-RU"/>
              </w:rPr>
              <w:br/>
            </w:r>
            <w:hyperlink r:id="rId17" w:history="1">
              <w:bookmarkStart w:id="12" w:name="lt_pId020"/>
              <w:r w:rsidR="00120F2C" w:rsidRPr="002034BE">
                <w:rPr>
                  <w:rStyle w:val="Hyperlink"/>
                  <w:i/>
                  <w:iCs/>
                  <w:lang w:val="ru-RU"/>
                </w:rPr>
                <w:t>Кигалийский план действий</w:t>
              </w:r>
              <w:bookmarkEnd w:id="12"/>
            </w:hyperlink>
          </w:p>
        </w:tc>
      </w:tr>
      <w:bookmarkEnd w:id="2"/>
      <w:bookmarkEnd w:id="6"/>
    </w:tbl>
    <w:p w14:paraId="4064BBD7" w14:textId="77777777" w:rsidR="00796BD3" w:rsidRPr="002034BE" w:rsidRDefault="00796BD3" w:rsidP="00796BD3">
      <w:pPr>
        <w:rPr>
          <w:lang w:val="ru-RU"/>
        </w:rPr>
      </w:pPr>
    </w:p>
    <w:p w14:paraId="7386F8B3" w14:textId="77777777" w:rsidR="00165D06" w:rsidRPr="002034BE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034BE">
        <w:rPr>
          <w:lang w:val="ru-RU"/>
        </w:rPr>
        <w:br w:type="page"/>
      </w:r>
    </w:p>
    <w:p w14:paraId="1BFFE3D0" w14:textId="2D8FDA14" w:rsidR="00796BD3" w:rsidRPr="002034BE" w:rsidRDefault="00A81E67" w:rsidP="008B07F4">
      <w:pPr>
        <w:pStyle w:val="Headingb"/>
        <w:rPr>
          <w:lang w:val="ru-RU"/>
        </w:rPr>
      </w:pPr>
      <w:r w:rsidRPr="002034BE">
        <w:rPr>
          <w:lang w:val="ru-RU"/>
        </w:rPr>
        <w:lastRenderedPageBreak/>
        <w:t>Базовая информация</w:t>
      </w:r>
    </w:p>
    <w:p w14:paraId="76C48560" w14:textId="53B8F7BA" w:rsidR="00A81E67" w:rsidRPr="008B07F4" w:rsidRDefault="00661FFA" w:rsidP="008B07F4">
      <w:pPr>
        <w:rPr>
          <w:lang w:val="ru-RU"/>
        </w:rPr>
      </w:pPr>
      <w:r w:rsidRPr="008B07F4">
        <w:rPr>
          <w:lang w:val="ru-RU"/>
        </w:rPr>
        <w:t>Отмеча</w:t>
      </w:r>
      <w:r w:rsidR="00FF0CF7" w:rsidRPr="008B07F4">
        <w:rPr>
          <w:lang w:val="ru-RU"/>
        </w:rPr>
        <w:t>ется</w:t>
      </w:r>
      <w:r w:rsidRPr="008B07F4">
        <w:rPr>
          <w:lang w:val="ru-RU"/>
        </w:rPr>
        <w:t>, что Уставом МСЭ, Резолюцией 71 (Пересм. Бухарест, 2022 г.) и Финансовыми правилами предусматривается, что каждое Бюро МСЭ и Генеральный секретариат должны играть уникальную роль в выполнении стратегических планов МСЭ и в выполнении конкретных и уникальных мандатов.</w:t>
      </w:r>
      <w:r w:rsidR="00A81E67" w:rsidRPr="008B07F4">
        <w:rPr>
          <w:lang w:val="ru-RU"/>
        </w:rPr>
        <w:t xml:space="preserve"> </w:t>
      </w:r>
      <w:bookmarkStart w:id="13" w:name="lt_pId023"/>
      <w:r w:rsidR="00B762C0" w:rsidRPr="008B07F4">
        <w:rPr>
          <w:lang w:val="ru-RU"/>
        </w:rPr>
        <w:t>Аналогичным образом, все Бюро являются независимыми и уполномочены различными положениями Устава МСЭ и соответствующих Резолюций на выполнение своих мандатов. Таким образом, Бюро действуют независимо друг от друга, и их мандаты определены различными положениями Устава МСЭ и соответствующих Резолюций</w:t>
      </w:r>
      <w:r w:rsidR="00A81E67" w:rsidRPr="008B07F4">
        <w:rPr>
          <w:lang w:val="ru-RU"/>
        </w:rPr>
        <w:t>.</w:t>
      </w:r>
      <w:bookmarkEnd w:id="13"/>
    </w:p>
    <w:p w14:paraId="58403D54" w14:textId="3BB34383" w:rsidR="00A81E67" w:rsidRPr="008B07F4" w:rsidRDefault="00B762C0" w:rsidP="008B07F4">
      <w:pPr>
        <w:rPr>
          <w:lang w:val="ru-RU"/>
        </w:rPr>
      </w:pPr>
      <w:r w:rsidRPr="008B07F4">
        <w:rPr>
          <w:lang w:val="ru-RU"/>
        </w:rPr>
        <w:t>Несмотря на это, перед МСЭ стоят проблемы эффективности и справедливости, такие как высокие затраты, связанные с проведением форумов и мероприятий в штаб-квартире и в других странах, включая письменный перевод, устный перевод и материально-техническое обеспечение.</w:t>
      </w:r>
    </w:p>
    <w:p w14:paraId="337DA68B" w14:textId="52E28D9E" w:rsidR="00A81E67" w:rsidRPr="008B07F4" w:rsidRDefault="00966A4F" w:rsidP="008B07F4">
      <w:pPr>
        <w:rPr>
          <w:lang w:val="ru-RU"/>
        </w:rPr>
      </w:pPr>
      <w:r w:rsidRPr="008B07F4">
        <w:rPr>
          <w:lang w:val="ru-RU"/>
        </w:rPr>
        <w:t>Мы считаем, что технологии и новые методы работы, включая автоматизацию и УОР, могут повысить производительность труда и эффективность затрат и углубить специальные знания и опыт в целях повышения эффективности воздействия, без чрезмерных затрат на вспомогательные услуги.</w:t>
      </w:r>
    </w:p>
    <w:p w14:paraId="766AF2F7" w14:textId="15E6F3FA" w:rsidR="00A81E67" w:rsidRPr="008B07F4" w:rsidRDefault="00966A4F" w:rsidP="008B07F4">
      <w:pPr>
        <w:rPr>
          <w:lang w:val="ru-RU"/>
        </w:rPr>
      </w:pPr>
      <w:r w:rsidRPr="008B07F4">
        <w:rPr>
          <w:lang w:val="ru-RU"/>
        </w:rPr>
        <w:t>Организационное преобразование, разработанное с учетом потребностей развивающихся стран, обеспечило бы несколько преимуществ, в том числе снижение затрат на проведение у себя мероприятий, улучшение доступа к соответствующему контенту на всех языках и создание новых специальных знаний и опыта во всех секторах, особенно в зональных отделениях МСЭ.</w:t>
      </w:r>
    </w:p>
    <w:p w14:paraId="4E9B6B5F" w14:textId="706D150A" w:rsidR="00A81E67" w:rsidRPr="002034BE" w:rsidRDefault="00A81E67" w:rsidP="008B07F4">
      <w:pPr>
        <w:pStyle w:val="Headingb"/>
        <w:rPr>
          <w:lang w:val="ru-RU"/>
        </w:rPr>
      </w:pPr>
      <w:r w:rsidRPr="002034BE">
        <w:rPr>
          <w:lang w:val="ru-RU"/>
        </w:rPr>
        <w:t>Предложение</w:t>
      </w:r>
    </w:p>
    <w:p w14:paraId="092FD82C" w14:textId="1AE8EE4F" w:rsidR="00A81E67" w:rsidRPr="008B07F4" w:rsidRDefault="008E135D" w:rsidP="008B07F4">
      <w:pPr>
        <w:rPr>
          <w:lang w:val="ru-RU"/>
        </w:rPr>
      </w:pPr>
      <w:bookmarkStart w:id="14" w:name="lt_pId029"/>
      <w:r w:rsidRPr="008B07F4">
        <w:rPr>
          <w:lang w:val="ru-RU"/>
        </w:rPr>
        <w:t>Напоминаем членам Совета, что концепция "Единый МСЭ", целью которой является улучшение работы МСЭ с Государствами-Членами, в настоящее время не определена. Ввиду этого определение конкретных организационных стратегий является сложным и преждевременным</w:t>
      </w:r>
      <w:r w:rsidR="00A81E67" w:rsidRPr="008B07F4">
        <w:rPr>
          <w:lang w:val="ru-RU"/>
        </w:rPr>
        <w:t>.</w:t>
      </w:r>
      <w:bookmarkEnd w:id="14"/>
      <w:r w:rsidR="00A81E67" w:rsidRPr="008B07F4">
        <w:rPr>
          <w:lang w:val="ru-RU"/>
        </w:rPr>
        <w:t xml:space="preserve"> </w:t>
      </w:r>
    </w:p>
    <w:p w14:paraId="0B84C663" w14:textId="662C68AE" w:rsidR="00A81E67" w:rsidRPr="008B07F4" w:rsidRDefault="008E135D" w:rsidP="008B07F4">
      <w:pPr>
        <w:rPr>
          <w:lang w:val="ru-RU"/>
        </w:rPr>
      </w:pPr>
      <w:r w:rsidRPr="008B07F4">
        <w:rPr>
          <w:lang w:val="ru-RU"/>
        </w:rPr>
        <w:t>Вследствие этого членам Совета предлагается поручить РГС-ФЛР разработать концепцию и установить ее измеримые ключевые показатели деятельности (KPI).</w:t>
      </w:r>
    </w:p>
    <w:p w14:paraId="7FBB727E" w14:textId="7D337F9A" w:rsidR="00A81E67" w:rsidRPr="008B07F4" w:rsidRDefault="008E135D" w:rsidP="008B07F4">
      <w:pPr>
        <w:rPr>
          <w:lang w:val="ru-RU"/>
        </w:rPr>
      </w:pPr>
      <w:bookmarkStart w:id="15" w:name="lt_pId031"/>
      <w:r w:rsidRPr="008B07F4">
        <w:rPr>
          <w:lang w:val="ru-RU"/>
        </w:rPr>
        <w:t>Наряду с этим членам Совета предлагается направить РГС-ФЛР проекты предложений из Документов</w:t>
      </w:r>
      <w:r w:rsidR="008B07F4">
        <w:rPr>
          <w:lang w:val="en-US"/>
        </w:rPr>
        <w:t> </w:t>
      </w:r>
      <w:hyperlink r:id="rId18" w:history="1">
        <w:r w:rsidRPr="008B07F4">
          <w:rPr>
            <w:rStyle w:val="Hyperlink"/>
            <w:lang w:val="ru-RU"/>
          </w:rPr>
          <w:t>C23/13</w:t>
        </w:r>
      </w:hyperlink>
      <w:r w:rsidRPr="008B07F4">
        <w:rPr>
          <w:lang w:val="ru-RU"/>
        </w:rPr>
        <w:t xml:space="preserve">, </w:t>
      </w:r>
      <w:hyperlink r:id="rId19" w:history="1">
        <w:r w:rsidRPr="008B07F4">
          <w:rPr>
            <w:rStyle w:val="Hyperlink"/>
            <w:lang w:val="ru-RU"/>
          </w:rPr>
          <w:t>C23/27</w:t>
        </w:r>
      </w:hyperlink>
      <w:r w:rsidRPr="008B07F4">
        <w:rPr>
          <w:lang w:val="ru-RU"/>
        </w:rPr>
        <w:t xml:space="preserve">, </w:t>
      </w:r>
      <w:hyperlink r:id="rId20" w:history="1">
        <w:r w:rsidRPr="008B07F4">
          <w:rPr>
            <w:rStyle w:val="Hyperlink"/>
            <w:lang w:val="ru-RU"/>
          </w:rPr>
          <w:t>C23/50</w:t>
        </w:r>
      </w:hyperlink>
      <w:r w:rsidRPr="008B07F4">
        <w:rPr>
          <w:lang w:val="ru-RU"/>
        </w:rPr>
        <w:t xml:space="preserve"> и </w:t>
      </w:r>
      <w:hyperlink r:id="rId21" w:history="1">
        <w:r w:rsidRPr="008B07F4">
          <w:rPr>
            <w:rStyle w:val="Hyperlink"/>
            <w:lang w:val="ru-RU"/>
          </w:rPr>
          <w:t>C23/52</w:t>
        </w:r>
      </w:hyperlink>
      <w:r w:rsidRPr="008B07F4">
        <w:rPr>
          <w:lang w:val="ru-RU"/>
        </w:rPr>
        <w:t xml:space="preserve"> для дальнейшего изучения. </w:t>
      </w:r>
      <w:bookmarkEnd w:id="15"/>
      <w:r w:rsidRPr="008B07F4">
        <w:rPr>
          <w:lang w:val="ru-RU"/>
        </w:rPr>
        <w:t>Это связано с определением концепции "Единый МСЭ" и разработкой KPI по организационной эффективности, согласно Резолюции 151 ПК и пересмотренному кругу ведения РГС-ФЛР.</w:t>
      </w:r>
    </w:p>
    <w:p w14:paraId="110A9F67" w14:textId="77777777" w:rsidR="002034BE" w:rsidRDefault="002034BE" w:rsidP="002034BE">
      <w:pPr>
        <w:spacing w:before="720"/>
        <w:jc w:val="center"/>
      </w:pPr>
      <w:r>
        <w:t>______________</w:t>
      </w:r>
    </w:p>
    <w:sectPr w:rsidR="002034BE" w:rsidSect="00796BD3"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EE4" w14:textId="77777777" w:rsidR="007C2E56" w:rsidRDefault="007C2E56">
      <w:r>
        <w:separator/>
      </w:r>
    </w:p>
  </w:endnote>
  <w:endnote w:type="continuationSeparator" w:id="0">
    <w:p w14:paraId="28F8AEBB" w14:textId="77777777" w:rsidR="007C2E56" w:rsidRDefault="007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0FA072F3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034BE">
            <w:rPr>
              <w:noProof/>
            </w:rPr>
            <w:t>525342</w:t>
          </w:r>
        </w:p>
      </w:tc>
      <w:tc>
        <w:tcPr>
          <w:tcW w:w="8261" w:type="dxa"/>
        </w:tcPr>
        <w:p w14:paraId="573E0694" w14:textId="60977B6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034BE">
            <w:rPr>
              <w:bCs/>
            </w:rPr>
            <w:t>72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B510DC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3F3E292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034BE">
            <w:rPr>
              <w:bCs/>
            </w:rPr>
            <w:t>72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74E9" w14:textId="77777777" w:rsidR="007C2E56" w:rsidRDefault="007C2E56">
      <w:r>
        <w:t>____________________</w:t>
      </w:r>
    </w:p>
  </w:footnote>
  <w:footnote w:type="continuationSeparator" w:id="0">
    <w:p w14:paraId="3110E7AE" w14:textId="77777777" w:rsidR="007C2E56" w:rsidRDefault="007C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6" w:name="_Hlk133422111"/>
          <w:r>
            <w:rPr>
              <w:noProof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6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B03F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80E82"/>
    <w:rsid w:val="000B2DE7"/>
    <w:rsid w:val="000E568E"/>
    <w:rsid w:val="00120F2C"/>
    <w:rsid w:val="0014734F"/>
    <w:rsid w:val="0015710D"/>
    <w:rsid w:val="00163A32"/>
    <w:rsid w:val="00165D06"/>
    <w:rsid w:val="00192B41"/>
    <w:rsid w:val="001B7B09"/>
    <w:rsid w:val="001E6719"/>
    <w:rsid w:val="001E7F50"/>
    <w:rsid w:val="002034BE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F35D2"/>
    <w:rsid w:val="005A64D5"/>
    <w:rsid w:val="005B3DEC"/>
    <w:rsid w:val="00601994"/>
    <w:rsid w:val="00661FFA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B07F4"/>
    <w:rsid w:val="008B62B4"/>
    <w:rsid w:val="008D2D7B"/>
    <w:rsid w:val="008E0737"/>
    <w:rsid w:val="008E135D"/>
    <w:rsid w:val="008F7C2C"/>
    <w:rsid w:val="00940E96"/>
    <w:rsid w:val="00966A4F"/>
    <w:rsid w:val="009B0BAE"/>
    <w:rsid w:val="009C1C89"/>
    <w:rsid w:val="009D07D6"/>
    <w:rsid w:val="009F3448"/>
    <w:rsid w:val="00A01CF9"/>
    <w:rsid w:val="00A71773"/>
    <w:rsid w:val="00A81E67"/>
    <w:rsid w:val="00AE2C85"/>
    <w:rsid w:val="00B12A37"/>
    <w:rsid w:val="00B41837"/>
    <w:rsid w:val="00B510DC"/>
    <w:rsid w:val="00B63EF2"/>
    <w:rsid w:val="00B762C0"/>
    <w:rsid w:val="00B81339"/>
    <w:rsid w:val="00BA7D89"/>
    <w:rsid w:val="00BC0D39"/>
    <w:rsid w:val="00BC7BC0"/>
    <w:rsid w:val="00BD57B7"/>
    <w:rsid w:val="00BE63E2"/>
    <w:rsid w:val="00CD2009"/>
    <w:rsid w:val="00CF629C"/>
    <w:rsid w:val="00D31911"/>
    <w:rsid w:val="00D92EEA"/>
    <w:rsid w:val="00DA5D4E"/>
    <w:rsid w:val="00E176BA"/>
    <w:rsid w:val="00E34C92"/>
    <w:rsid w:val="00E423EC"/>
    <w:rsid w:val="00E55121"/>
    <w:rsid w:val="00EB4FCB"/>
    <w:rsid w:val="00EC6BC5"/>
    <w:rsid w:val="00F35898"/>
    <w:rsid w:val="00F5225B"/>
    <w:rsid w:val="00FE5701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27/en" TargetMode="External"/><Relationship Id="rId13" Type="http://schemas.openxmlformats.org/officeDocument/2006/relationships/hyperlink" Target="https://www.itu.int/en/council/Documents/basic-texts-2023/RES-094-R.pdf" TargetMode="External"/><Relationship Id="rId18" Type="http://schemas.openxmlformats.org/officeDocument/2006/relationships/hyperlink" Target="https://www.itu.int/md/S23-CL-C-0013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3-CL-C-0052/en" TargetMode="External"/><Relationship Id="rId7" Type="http://schemas.openxmlformats.org/officeDocument/2006/relationships/hyperlink" Target="https://www.itu.int/md/S23-CL-C-0013/en" TargetMode="External"/><Relationship Id="rId12" Type="http://schemas.openxmlformats.org/officeDocument/2006/relationships/hyperlink" Target="https://www.itu.int/en/council/Documents/basic-texts-2023/RES-071-R.pdf" TargetMode="External"/><Relationship Id="rId17" Type="http://schemas.openxmlformats.org/officeDocument/2006/relationships/hyperlink" Target="https://www.itu.int/dms_pub/itu-d/opb/tdc/D-TDC-WTDC-2022-PDF-R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en/council/Documents/basic-texts-2023/DEC-005-R.pdf" TargetMode="External"/><Relationship Id="rId20" Type="http://schemas.openxmlformats.org/officeDocument/2006/relationships/hyperlink" Target="https://www.itu.int/md/S23-CL-C-0050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-2023/RES-025-R.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council/Documents/basic-texts-2023/RES-191-R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23-CL-C-0052/en" TargetMode="External"/><Relationship Id="rId19" Type="http://schemas.openxmlformats.org/officeDocument/2006/relationships/hyperlink" Target="https://www.itu.int/md/S23-CL-C-002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50/en" TargetMode="External"/><Relationship Id="rId14" Type="http://schemas.openxmlformats.org/officeDocument/2006/relationships/hyperlink" Target="https://www.itu.int/en/council/Documents/basic-texts-2023/RES-151-R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4176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Ensuring a OneITU approach for sound financial planning, accountability and agility for the benefit of all countries and the future of the Union</dc:title>
  <dc:subject>Council 2023</dc:subject>
  <dc:creator>Xue, Kun</dc:creator>
  <cp:keywords>C2023, C23, Council-23</cp:keywords>
  <dc:description/>
  <cp:lastModifiedBy>Xue, Kun</cp:lastModifiedBy>
  <cp:revision>2</cp:revision>
  <cp:lastPrinted>2006-03-28T16:12:00Z</cp:lastPrinted>
  <dcterms:created xsi:type="dcterms:W3CDTF">2023-07-07T18:02:00Z</dcterms:created>
  <dcterms:modified xsi:type="dcterms:W3CDTF">2023-07-07T18:02:00Z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