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163BA3" w:rsidRPr="00A571F3" w14:paraId="4DBDFC69" w14:textId="77777777">
        <w:trPr>
          <w:cantSplit/>
          <w:trHeight w:val="23"/>
        </w:trPr>
        <w:tc>
          <w:tcPr>
            <w:tcW w:w="3969" w:type="dxa"/>
            <w:vMerge w:val="restart"/>
            <w:tcMar>
              <w:left w:w="0" w:type="dxa"/>
            </w:tcMar>
          </w:tcPr>
          <w:p w14:paraId="23BB9391" w14:textId="53D11F37" w:rsidR="00163BA3" w:rsidRPr="00A571F3" w:rsidRDefault="00042676" w:rsidP="00327E1B">
            <w:pPr>
              <w:tabs>
                <w:tab w:val="left" w:pos="851"/>
              </w:tabs>
              <w:spacing w:before="0"/>
              <w:rPr>
                <w:b/>
              </w:rPr>
            </w:pPr>
            <w:r w:rsidRPr="00A571F3">
              <w:rPr>
                <w:b/>
              </w:rPr>
              <w:t>Point de l'ordre du jour: ADM</w:t>
            </w:r>
          </w:p>
        </w:tc>
        <w:tc>
          <w:tcPr>
            <w:tcW w:w="5245" w:type="dxa"/>
          </w:tcPr>
          <w:p w14:paraId="6E18F00C" w14:textId="656A8524" w:rsidR="00163BA3" w:rsidRPr="00A571F3" w:rsidRDefault="00042676" w:rsidP="00327E1B">
            <w:pPr>
              <w:tabs>
                <w:tab w:val="left" w:pos="851"/>
              </w:tabs>
              <w:spacing w:before="0"/>
              <w:jc w:val="right"/>
              <w:rPr>
                <w:b/>
              </w:rPr>
            </w:pPr>
            <w:r w:rsidRPr="00A571F3">
              <w:rPr>
                <w:b/>
              </w:rPr>
              <w:t>Document C23/72-F</w:t>
            </w:r>
          </w:p>
        </w:tc>
      </w:tr>
      <w:tr w:rsidR="00163BA3" w:rsidRPr="00A571F3" w14:paraId="1A9173E6" w14:textId="77777777">
        <w:trPr>
          <w:cantSplit/>
        </w:trPr>
        <w:tc>
          <w:tcPr>
            <w:tcW w:w="3969" w:type="dxa"/>
            <w:vMerge/>
          </w:tcPr>
          <w:p w14:paraId="0C893252" w14:textId="77777777" w:rsidR="00163BA3" w:rsidRPr="00A571F3" w:rsidRDefault="00163BA3" w:rsidP="00327E1B">
            <w:pPr>
              <w:tabs>
                <w:tab w:val="left" w:pos="851"/>
              </w:tabs>
              <w:rPr>
                <w:b/>
              </w:rPr>
            </w:pPr>
          </w:p>
        </w:tc>
        <w:tc>
          <w:tcPr>
            <w:tcW w:w="5245" w:type="dxa"/>
          </w:tcPr>
          <w:p w14:paraId="065C3608" w14:textId="717642D4" w:rsidR="00163BA3" w:rsidRPr="00A571F3" w:rsidRDefault="00042676" w:rsidP="00327E1B">
            <w:pPr>
              <w:tabs>
                <w:tab w:val="left" w:pos="851"/>
              </w:tabs>
              <w:spacing w:before="0"/>
              <w:jc w:val="right"/>
              <w:rPr>
                <w:b/>
              </w:rPr>
            </w:pPr>
            <w:r w:rsidRPr="00A571F3">
              <w:rPr>
                <w:b/>
              </w:rPr>
              <w:t>27 juin 2023</w:t>
            </w:r>
          </w:p>
        </w:tc>
      </w:tr>
      <w:tr w:rsidR="00163BA3" w:rsidRPr="00A571F3" w14:paraId="69A274E7" w14:textId="77777777">
        <w:trPr>
          <w:cantSplit/>
          <w:trHeight w:val="23"/>
        </w:trPr>
        <w:tc>
          <w:tcPr>
            <w:tcW w:w="3969" w:type="dxa"/>
            <w:vMerge/>
          </w:tcPr>
          <w:p w14:paraId="591811B9" w14:textId="77777777" w:rsidR="00163BA3" w:rsidRPr="00A571F3" w:rsidRDefault="00163BA3" w:rsidP="00327E1B">
            <w:pPr>
              <w:tabs>
                <w:tab w:val="left" w:pos="851"/>
              </w:tabs>
              <w:rPr>
                <w:b/>
              </w:rPr>
            </w:pPr>
          </w:p>
        </w:tc>
        <w:tc>
          <w:tcPr>
            <w:tcW w:w="5245" w:type="dxa"/>
          </w:tcPr>
          <w:p w14:paraId="0B6CD7E0" w14:textId="18A757D3" w:rsidR="00163BA3" w:rsidRPr="00A571F3" w:rsidRDefault="00042676" w:rsidP="00327E1B">
            <w:pPr>
              <w:tabs>
                <w:tab w:val="left" w:pos="851"/>
              </w:tabs>
              <w:spacing w:before="0"/>
              <w:jc w:val="right"/>
              <w:rPr>
                <w:b/>
              </w:rPr>
            </w:pPr>
            <w:r w:rsidRPr="00A571F3">
              <w:rPr>
                <w:b/>
              </w:rPr>
              <w:t>Original: anglais</w:t>
            </w:r>
          </w:p>
        </w:tc>
      </w:tr>
      <w:tr w:rsidR="00163BA3" w:rsidRPr="00A571F3" w14:paraId="18AD73D7" w14:textId="77777777">
        <w:trPr>
          <w:cantSplit/>
          <w:trHeight w:val="23"/>
        </w:trPr>
        <w:tc>
          <w:tcPr>
            <w:tcW w:w="3969" w:type="dxa"/>
          </w:tcPr>
          <w:p w14:paraId="186BBB88" w14:textId="77777777" w:rsidR="00163BA3" w:rsidRPr="00A571F3" w:rsidRDefault="00163BA3" w:rsidP="00D154CC">
            <w:pPr>
              <w:tabs>
                <w:tab w:val="left" w:pos="851"/>
              </w:tabs>
              <w:spacing w:before="60"/>
              <w:rPr>
                <w:b/>
              </w:rPr>
            </w:pPr>
          </w:p>
        </w:tc>
        <w:tc>
          <w:tcPr>
            <w:tcW w:w="5245" w:type="dxa"/>
          </w:tcPr>
          <w:p w14:paraId="7805FC50" w14:textId="77777777" w:rsidR="00163BA3" w:rsidRPr="00A571F3" w:rsidRDefault="00163BA3" w:rsidP="00D154CC">
            <w:pPr>
              <w:tabs>
                <w:tab w:val="left" w:pos="851"/>
              </w:tabs>
              <w:spacing w:before="60"/>
              <w:jc w:val="right"/>
              <w:rPr>
                <w:b/>
              </w:rPr>
            </w:pPr>
          </w:p>
        </w:tc>
      </w:tr>
      <w:tr w:rsidR="00163BA3" w:rsidRPr="00A571F3" w14:paraId="5F811A67" w14:textId="77777777">
        <w:trPr>
          <w:cantSplit/>
        </w:trPr>
        <w:tc>
          <w:tcPr>
            <w:tcW w:w="9214" w:type="dxa"/>
            <w:gridSpan w:val="2"/>
            <w:tcMar>
              <w:left w:w="0" w:type="dxa"/>
            </w:tcMar>
          </w:tcPr>
          <w:p w14:paraId="5141AC70" w14:textId="73D152FA" w:rsidR="00163BA3" w:rsidRPr="00A571F3" w:rsidRDefault="00042676" w:rsidP="00D154CC">
            <w:pPr>
              <w:pStyle w:val="Source"/>
              <w:spacing w:before="720"/>
              <w:jc w:val="left"/>
              <w:rPr>
                <w:sz w:val="34"/>
                <w:szCs w:val="34"/>
              </w:rPr>
            </w:pPr>
            <w:r w:rsidRPr="00A571F3">
              <w:rPr>
                <w:rFonts w:cstheme="minorHAnsi"/>
                <w:color w:val="000000"/>
                <w:sz w:val="34"/>
                <w:szCs w:val="34"/>
              </w:rPr>
              <w:t>Contribution de</w:t>
            </w:r>
            <w:r w:rsidR="00327E1B" w:rsidRPr="00A571F3">
              <w:rPr>
                <w:rFonts w:cstheme="minorHAnsi"/>
                <w:color w:val="000000"/>
                <w:sz w:val="34"/>
                <w:szCs w:val="34"/>
              </w:rPr>
              <w:t xml:space="preserve"> l'</w:t>
            </w:r>
            <w:r w:rsidRPr="00A571F3">
              <w:rPr>
                <w:rFonts w:cstheme="minorHAnsi"/>
                <w:color w:val="000000"/>
                <w:sz w:val="34"/>
                <w:szCs w:val="34"/>
              </w:rPr>
              <w:t xml:space="preserve">Algérie (République algérienne démocratique et populaire), du Burkina Faso, </w:t>
            </w:r>
            <w:r w:rsidR="00327E1B" w:rsidRPr="00A571F3">
              <w:rPr>
                <w:rFonts w:cstheme="minorHAnsi"/>
                <w:color w:val="000000"/>
                <w:sz w:val="34"/>
                <w:szCs w:val="34"/>
              </w:rPr>
              <w:t xml:space="preserve">de </w:t>
            </w:r>
            <w:r w:rsidRPr="00A571F3">
              <w:rPr>
                <w:rFonts w:cstheme="minorHAnsi"/>
                <w:color w:val="000000"/>
                <w:sz w:val="34"/>
                <w:szCs w:val="34"/>
              </w:rPr>
              <w:t>la Côte d'Ivoire (République</w:t>
            </w:r>
            <w:r w:rsidR="00B23C34">
              <w:rPr>
                <w:rFonts w:cstheme="minorHAnsi"/>
                <w:color w:val="000000"/>
                <w:sz w:val="34"/>
                <w:szCs w:val="34"/>
              </w:rPr>
              <w:t> </w:t>
            </w:r>
            <w:r w:rsidRPr="00A571F3">
              <w:rPr>
                <w:rFonts w:cstheme="minorHAnsi"/>
                <w:color w:val="000000"/>
                <w:sz w:val="34"/>
                <w:szCs w:val="34"/>
              </w:rPr>
              <w:t xml:space="preserve">de), </w:t>
            </w:r>
            <w:r w:rsidR="00327E1B" w:rsidRPr="00A571F3">
              <w:rPr>
                <w:rFonts w:cstheme="minorHAnsi"/>
                <w:color w:val="000000"/>
                <w:sz w:val="34"/>
                <w:szCs w:val="34"/>
              </w:rPr>
              <w:t>de l'</w:t>
            </w:r>
            <w:r w:rsidRPr="00A571F3">
              <w:rPr>
                <w:rFonts w:cstheme="minorHAnsi"/>
                <w:color w:val="000000"/>
                <w:sz w:val="34"/>
                <w:szCs w:val="34"/>
              </w:rPr>
              <w:t xml:space="preserve">Égypte (République arabe d'), du Ghana, du Kenya (République du), </w:t>
            </w:r>
            <w:r w:rsidR="00327E1B" w:rsidRPr="00A571F3">
              <w:rPr>
                <w:rFonts w:cstheme="minorHAnsi"/>
                <w:color w:val="000000"/>
                <w:sz w:val="34"/>
                <w:szCs w:val="34"/>
              </w:rPr>
              <w:t xml:space="preserve">de </w:t>
            </w:r>
            <w:r w:rsidRPr="00A571F3">
              <w:rPr>
                <w:rFonts w:cstheme="minorHAnsi"/>
                <w:color w:val="000000"/>
                <w:sz w:val="34"/>
                <w:szCs w:val="34"/>
              </w:rPr>
              <w:t xml:space="preserve">Maurice (République de), </w:t>
            </w:r>
            <w:r w:rsidR="00327E1B" w:rsidRPr="00A571F3">
              <w:rPr>
                <w:rFonts w:cstheme="minorHAnsi"/>
                <w:color w:val="000000"/>
                <w:sz w:val="34"/>
                <w:szCs w:val="34"/>
              </w:rPr>
              <w:t>du</w:t>
            </w:r>
            <w:r w:rsidR="00B23C34">
              <w:rPr>
                <w:rFonts w:cstheme="minorHAnsi"/>
                <w:color w:val="000000"/>
                <w:sz w:val="34"/>
                <w:szCs w:val="34"/>
              </w:rPr>
              <w:t> </w:t>
            </w:r>
            <w:r w:rsidRPr="00A571F3">
              <w:rPr>
                <w:rFonts w:cstheme="minorHAnsi"/>
                <w:color w:val="000000"/>
                <w:sz w:val="34"/>
                <w:szCs w:val="34"/>
              </w:rPr>
              <w:t xml:space="preserve">Nigéria (République fédérale du), </w:t>
            </w:r>
            <w:r w:rsidR="00327E1B" w:rsidRPr="00A571F3">
              <w:rPr>
                <w:rFonts w:cstheme="minorHAnsi"/>
                <w:color w:val="000000"/>
                <w:sz w:val="34"/>
                <w:szCs w:val="34"/>
              </w:rPr>
              <w:t xml:space="preserve">du </w:t>
            </w:r>
            <w:r w:rsidRPr="00A571F3">
              <w:rPr>
                <w:rFonts w:cstheme="minorHAnsi"/>
                <w:color w:val="000000"/>
                <w:sz w:val="34"/>
                <w:szCs w:val="34"/>
              </w:rPr>
              <w:t>Sénégal (République</w:t>
            </w:r>
            <w:r w:rsidR="00B23C34">
              <w:rPr>
                <w:rFonts w:cstheme="minorHAnsi"/>
                <w:color w:val="000000"/>
                <w:sz w:val="34"/>
                <w:szCs w:val="34"/>
              </w:rPr>
              <w:t> </w:t>
            </w:r>
            <w:r w:rsidRPr="00A571F3">
              <w:rPr>
                <w:rFonts w:cstheme="minorHAnsi"/>
                <w:color w:val="000000"/>
                <w:sz w:val="34"/>
                <w:szCs w:val="34"/>
              </w:rPr>
              <w:t>du),</w:t>
            </w:r>
            <w:r w:rsidR="00327E1B" w:rsidRPr="00A571F3">
              <w:rPr>
                <w:rFonts w:cstheme="minorHAnsi"/>
                <w:color w:val="000000"/>
                <w:sz w:val="34"/>
                <w:szCs w:val="34"/>
              </w:rPr>
              <w:t xml:space="preserve"> de la République s</w:t>
            </w:r>
            <w:r w:rsidRPr="00A571F3">
              <w:rPr>
                <w:rFonts w:cstheme="minorHAnsi"/>
                <w:color w:val="000000"/>
                <w:sz w:val="34"/>
                <w:szCs w:val="34"/>
              </w:rPr>
              <w:t>udafricaine</w:t>
            </w:r>
            <w:r w:rsidR="00327E1B" w:rsidRPr="00A571F3">
              <w:rPr>
                <w:rFonts w:cstheme="minorHAnsi"/>
                <w:color w:val="000000"/>
                <w:sz w:val="34"/>
                <w:szCs w:val="34"/>
              </w:rPr>
              <w:t xml:space="preserve">, de </w:t>
            </w:r>
            <w:r w:rsidRPr="00A571F3">
              <w:rPr>
                <w:rFonts w:cstheme="minorHAnsi"/>
                <w:color w:val="000000"/>
                <w:sz w:val="34"/>
                <w:szCs w:val="34"/>
              </w:rPr>
              <w:t>la Tunisie et du Zimbabwe (République d</w:t>
            </w:r>
            <w:r w:rsidR="00327E1B" w:rsidRPr="00A571F3">
              <w:rPr>
                <w:rFonts w:cstheme="minorHAnsi"/>
                <w:color w:val="000000"/>
                <w:sz w:val="34"/>
                <w:szCs w:val="34"/>
              </w:rPr>
              <w:t>u</w:t>
            </w:r>
            <w:r w:rsidRPr="00A571F3">
              <w:rPr>
                <w:rFonts w:cstheme="minorHAnsi"/>
                <w:color w:val="000000"/>
                <w:sz w:val="34"/>
                <w:szCs w:val="34"/>
              </w:rPr>
              <w:t>)</w:t>
            </w:r>
          </w:p>
        </w:tc>
      </w:tr>
      <w:tr w:rsidR="00163BA3" w:rsidRPr="00A571F3" w14:paraId="5E576FE2" w14:textId="77777777">
        <w:trPr>
          <w:cantSplit/>
        </w:trPr>
        <w:tc>
          <w:tcPr>
            <w:tcW w:w="9214" w:type="dxa"/>
            <w:gridSpan w:val="2"/>
            <w:tcMar>
              <w:left w:w="0" w:type="dxa"/>
            </w:tcMar>
          </w:tcPr>
          <w:p w14:paraId="76DED9D3" w14:textId="1D2D602E" w:rsidR="00163BA3" w:rsidRPr="00A571F3" w:rsidRDefault="00776AF6" w:rsidP="00327E1B">
            <w:pPr>
              <w:pStyle w:val="Subtitle"/>
              <w:framePr w:hSpace="0" w:wrap="auto" w:hAnchor="text" w:xAlign="left" w:yAlign="inline"/>
              <w:rPr>
                <w:lang w:val="fr-FR"/>
              </w:rPr>
            </w:pPr>
            <w:r w:rsidRPr="00A571F3">
              <w:rPr>
                <w:lang w:val="fr-FR"/>
              </w:rPr>
              <w:t>GARANTIR LA MISE EN ŒUVRE DE L'APPROCHE "UNE UIT UNIE DANS L'ACTION" AUX FINS DE L'AM</w:t>
            </w:r>
            <w:r w:rsidR="00B23C34">
              <w:rPr>
                <w:lang w:val="fr-FR"/>
              </w:rPr>
              <w:t>É</w:t>
            </w:r>
            <w:r w:rsidRPr="00A571F3">
              <w:rPr>
                <w:lang w:val="fr-FR"/>
              </w:rPr>
              <w:t>LIORATION DE LA PLANIFICATION FINANCIÈRE, DE LA RESPONSABILISATION ET DE LA SOUPLESSE AU PROFIT DE TOUS LES PAYS ET DE L'AVENIR DE L'UNION</w:t>
            </w:r>
          </w:p>
        </w:tc>
      </w:tr>
      <w:tr w:rsidR="00163BA3" w:rsidRPr="00A571F3" w14:paraId="57D5E946" w14:textId="77777777">
        <w:trPr>
          <w:cantSplit/>
        </w:trPr>
        <w:tc>
          <w:tcPr>
            <w:tcW w:w="9214" w:type="dxa"/>
            <w:gridSpan w:val="2"/>
            <w:tcBorders>
              <w:top w:val="single" w:sz="4" w:space="0" w:color="auto"/>
              <w:bottom w:val="single" w:sz="4" w:space="0" w:color="auto"/>
            </w:tcBorders>
            <w:tcMar>
              <w:left w:w="0" w:type="dxa"/>
            </w:tcMar>
          </w:tcPr>
          <w:p w14:paraId="5B6C113C" w14:textId="13E61362" w:rsidR="00163BA3" w:rsidRPr="00A571F3" w:rsidRDefault="00042676" w:rsidP="00D154CC">
            <w:pPr>
              <w:rPr>
                <w:b/>
                <w:bCs/>
                <w:sz w:val="26"/>
                <w:szCs w:val="26"/>
              </w:rPr>
            </w:pPr>
            <w:r w:rsidRPr="00A571F3">
              <w:rPr>
                <w:b/>
                <w:bCs/>
                <w:sz w:val="26"/>
                <w:szCs w:val="26"/>
              </w:rPr>
              <w:t>Objet</w:t>
            </w:r>
          </w:p>
          <w:p w14:paraId="5BDE065C" w14:textId="0ABB450C" w:rsidR="00163BA3" w:rsidRPr="00A571F3" w:rsidRDefault="00042676" w:rsidP="00327E1B">
            <w:r w:rsidRPr="00A571F3">
              <w:t>Renforcer la gestion financière et la responsabili</w:t>
            </w:r>
            <w:r w:rsidR="00776AF6" w:rsidRPr="00A571F3">
              <w:t>sation et</w:t>
            </w:r>
            <w:r w:rsidRPr="00A571F3">
              <w:t xml:space="preserve"> améliorer </w:t>
            </w:r>
            <w:r w:rsidR="00776AF6" w:rsidRPr="00A571F3">
              <w:t>la souplesse institutionnelle</w:t>
            </w:r>
            <w:r w:rsidRPr="00A571F3">
              <w:t xml:space="preserve"> et </w:t>
            </w:r>
            <w:r w:rsidR="00776AF6" w:rsidRPr="00A571F3">
              <w:t>la portée de l'approche "Une UIT unie dans l'action" au profit de tous les pays</w:t>
            </w:r>
            <w:r w:rsidRPr="00A571F3">
              <w:t xml:space="preserve">, tout en </w:t>
            </w:r>
            <w:r w:rsidR="00776AF6" w:rsidRPr="00A571F3">
              <w:t>favorisant</w:t>
            </w:r>
            <w:r w:rsidRPr="00A571F3">
              <w:t xml:space="preserve"> </w:t>
            </w:r>
            <w:r w:rsidR="00776AF6" w:rsidRPr="00A571F3">
              <w:t>une évolution</w:t>
            </w:r>
            <w:r w:rsidRPr="00A571F3">
              <w:t xml:space="preserve"> durable et positi</w:t>
            </w:r>
            <w:r w:rsidR="00776AF6" w:rsidRPr="00A571F3">
              <w:t>ve de la culture de l'Union.</w:t>
            </w:r>
          </w:p>
          <w:p w14:paraId="6FA6CFE9" w14:textId="77777777" w:rsidR="00163BA3" w:rsidRPr="00A571F3" w:rsidRDefault="00042676" w:rsidP="00D154CC">
            <w:pPr>
              <w:rPr>
                <w:b/>
                <w:bCs/>
                <w:sz w:val="26"/>
                <w:szCs w:val="26"/>
              </w:rPr>
            </w:pPr>
            <w:r w:rsidRPr="00A571F3">
              <w:rPr>
                <w:b/>
                <w:bCs/>
                <w:sz w:val="26"/>
                <w:szCs w:val="26"/>
              </w:rPr>
              <w:t>Suite à donner par le Conseil</w:t>
            </w:r>
          </w:p>
          <w:p w14:paraId="37CF3CAC" w14:textId="467F5933" w:rsidR="00163BA3" w:rsidRPr="00A571F3" w:rsidRDefault="00042676" w:rsidP="00327E1B">
            <w:bookmarkStart w:id="0" w:name="_Hlk138853358"/>
            <w:r w:rsidRPr="00A571F3">
              <w:t xml:space="preserve">Le Conseil est invité à transmettre </w:t>
            </w:r>
            <w:r w:rsidR="00776AF6" w:rsidRPr="00A571F3">
              <w:t xml:space="preserve">au GTC-FHR </w:t>
            </w:r>
            <w:r w:rsidRPr="00A571F3">
              <w:t xml:space="preserve">les projets de propositions </w:t>
            </w:r>
            <w:r w:rsidR="00776AF6" w:rsidRPr="00A571F3">
              <w:t>figurant</w:t>
            </w:r>
            <w:r w:rsidRPr="00A571F3">
              <w:t xml:space="preserve"> dans les </w:t>
            </w:r>
            <w:r w:rsidR="00D154CC">
              <w:t>D</w:t>
            </w:r>
            <w:r w:rsidRPr="00A571F3">
              <w:t xml:space="preserve">ocuments </w:t>
            </w:r>
            <w:hyperlink r:id="rId6" w:history="1">
              <w:r w:rsidRPr="00A571F3">
                <w:rPr>
                  <w:rStyle w:val="Hyperlink"/>
                </w:rPr>
                <w:t>C23/13</w:t>
              </w:r>
            </w:hyperlink>
            <w:r w:rsidRPr="00A571F3">
              <w:t xml:space="preserve">, </w:t>
            </w:r>
            <w:hyperlink r:id="rId7" w:history="1">
              <w:r w:rsidRPr="00A571F3">
                <w:rPr>
                  <w:rStyle w:val="Hyperlink"/>
                </w:rPr>
                <w:t>C23/27</w:t>
              </w:r>
            </w:hyperlink>
            <w:r w:rsidRPr="00A571F3">
              <w:t xml:space="preserve">, </w:t>
            </w:r>
            <w:hyperlink r:id="rId8" w:history="1">
              <w:r w:rsidRPr="00A571F3">
                <w:rPr>
                  <w:rStyle w:val="Hyperlink"/>
                </w:rPr>
                <w:t>C23/50</w:t>
              </w:r>
            </w:hyperlink>
            <w:r w:rsidRPr="00A571F3">
              <w:t xml:space="preserve"> et </w:t>
            </w:r>
            <w:hyperlink r:id="rId9" w:history="1">
              <w:r w:rsidRPr="00A571F3">
                <w:rPr>
                  <w:rStyle w:val="Hyperlink"/>
                </w:rPr>
                <w:t>C23/52</w:t>
              </w:r>
            </w:hyperlink>
            <w:r w:rsidRPr="00A571F3">
              <w:t xml:space="preserve"> </w:t>
            </w:r>
            <w:r w:rsidR="00776AF6" w:rsidRPr="00A571F3">
              <w:t>en vue d'un complément d'examen</w:t>
            </w:r>
            <w:r w:rsidRPr="00A571F3">
              <w:t xml:space="preserve"> </w:t>
            </w:r>
            <w:bookmarkEnd w:id="0"/>
            <w:r w:rsidRPr="00A571F3">
              <w:t xml:space="preserve">et </w:t>
            </w:r>
            <w:r w:rsidR="00F20AA7" w:rsidRPr="00A571F3">
              <w:t>de</w:t>
            </w:r>
            <w:r w:rsidRPr="00A571F3">
              <w:t xml:space="preserve"> l'élaboration d'indicateurs </w:t>
            </w:r>
            <w:r w:rsidR="00F20AA7" w:rsidRPr="00A571F3">
              <w:t>fondamentaux</w:t>
            </w:r>
            <w:r w:rsidRPr="00A571F3">
              <w:t xml:space="preserve"> de performance </w:t>
            </w:r>
            <w:r w:rsidR="00F20AA7" w:rsidRPr="00A571F3">
              <w:t>pour l'excellence institutionnelle</w:t>
            </w:r>
            <w:r w:rsidRPr="00A571F3">
              <w:t xml:space="preserve">, conformément à la </w:t>
            </w:r>
            <w:r w:rsidR="00F20AA7" w:rsidRPr="00A571F3">
              <w:t>R</w:t>
            </w:r>
            <w:r w:rsidRPr="00A571F3">
              <w:t>ésolution 151</w:t>
            </w:r>
            <w:r w:rsidR="005E6367" w:rsidRPr="00A571F3">
              <w:t xml:space="preserve"> (Rév. Bucarest, 2022)</w:t>
            </w:r>
            <w:r w:rsidR="00F20AA7" w:rsidRPr="00A571F3">
              <w:t xml:space="preserve"> de la PP</w:t>
            </w:r>
            <w:r w:rsidRPr="00A571F3">
              <w:t xml:space="preserve"> et au mandat révisé du </w:t>
            </w:r>
            <w:r w:rsidR="00F20AA7" w:rsidRPr="00A571F3">
              <w:t>GTC</w:t>
            </w:r>
            <w:r w:rsidRPr="00A571F3">
              <w:t>-FHR.</w:t>
            </w:r>
          </w:p>
          <w:p w14:paraId="5218999B" w14:textId="77777777" w:rsidR="00163BA3" w:rsidRPr="00A571F3" w:rsidRDefault="00042676" w:rsidP="00327E1B">
            <w:pPr>
              <w:spacing w:before="160"/>
              <w:rPr>
                <w:caps/>
                <w:sz w:val="22"/>
              </w:rPr>
            </w:pPr>
            <w:r w:rsidRPr="00A571F3">
              <w:rPr>
                <w:sz w:val="22"/>
              </w:rPr>
              <w:t>__________________</w:t>
            </w:r>
          </w:p>
          <w:p w14:paraId="14C9B537" w14:textId="77777777" w:rsidR="00163BA3" w:rsidRPr="00A571F3" w:rsidRDefault="00042676" w:rsidP="00D154CC">
            <w:pPr>
              <w:rPr>
                <w:b/>
                <w:bCs/>
                <w:sz w:val="26"/>
                <w:szCs w:val="26"/>
              </w:rPr>
            </w:pPr>
            <w:r w:rsidRPr="00A571F3">
              <w:rPr>
                <w:b/>
                <w:bCs/>
                <w:sz w:val="26"/>
                <w:szCs w:val="26"/>
              </w:rPr>
              <w:t>Références</w:t>
            </w:r>
          </w:p>
          <w:p w14:paraId="15294864" w14:textId="3DD8F7A2" w:rsidR="00163BA3" w:rsidRPr="00A571F3" w:rsidRDefault="00000000" w:rsidP="00327E1B">
            <w:pPr>
              <w:rPr>
                <w:i/>
                <w:iCs/>
              </w:rPr>
            </w:pPr>
            <w:hyperlink r:id="rId10" w:history="1">
              <w:r w:rsidR="00042676" w:rsidRPr="00B23C34">
                <w:rPr>
                  <w:rStyle w:val="Hyperlink"/>
                  <w:i/>
                  <w:iCs/>
                </w:rPr>
                <w:t>Constitution de l'UIT</w:t>
              </w:r>
            </w:hyperlink>
            <w:r w:rsidR="00042676" w:rsidRPr="00A571F3">
              <w:rPr>
                <w:i/>
                <w:iCs/>
              </w:rPr>
              <w:t>;</w:t>
            </w:r>
          </w:p>
          <w:p w14:paraId="6BCAEF1B" w14:textId="24DB6DBA" w:rsidR="00163BA3" w:rsidRPr="00A571F3" w:rsidRDefault="00042676" w:rsidP="00327E1B">
            <w:pPr>
              <w:spacing w:before="0"/>
              <w:rPr>
                <w:i/>
                <w:iCs/>
              </w:rPr>
            </w:pPr>
            <w:r w:rsidRPr="00A571F3">
              <w:rPr>
                <w:i/>
                <w:iCs/>
              </w:rPr>
              <w:t xml:space="preserve">Résolutions </w:t>
            </w:r>
            <w:hyperlink r:id="rId11" w:history="1">
              <w:r w:rsidRPr="00A571F3">
                <w:rPr>
                  <w:rStyle w:val="Hyperlink"/>
                  <w:i/>
                  <w:iCs/>
                </w:rPr>
                <w:t>25</w:t>
              </w:r>
            </w:hyperlink>
            <w:r w:rsidRPr="00A571F3">
              <w:rPr>
                <w:i/>
                <w:iCs/>
              </w:rPr>
              <w:t xml:space="preserve">, </w:t>
            </w:r>
            <w:hyperlink r:id="rId12" w:history="1">
              <w:r w:rsidRPr="00A571F3">
                <w:rPr>
                  <w:rStyle w:val="Hyperlink"/>
                  <w:i/>
                  <w:iCs/>
                </w:rPr>
                <w:t>71</w:t>
              </w:r>
            </w:hyperlink>
            <w:r w:rsidRPr="00A571F3">
              <w:rPr>
                <w:i/>
                <w:iCs/>
              </w:rPr>
              <w:t xml:space="preserve">, </w:t>
            </w:r>
            <w:hyperlink r:id="rId13" w:history="1">
              <w:r w:rsidRPr="00A571F3">
                <w:rPr>
                  <w:rStyle w:val="Hyperlink"/>
                  <w:i/>
                  <w:iCs/>
                </w:rPr>
                <w:t>94</w:t>
              </w:r>
            </w:hyperlink>
            <w:r w:rsidRPr="00A571F3">
              <w:rPr>
                <w:i/>
                <w:iCs/>
              </w:rPr>
              <w:t xml:space="preserve">, </w:t>
            </w:r>
            <w:hyperlink r:id="rId14" w:history="1">
              <w:r w:rsidRPr="00A571F3">
                <w:rPr>
                  <w:rStyle w:val="Hyperlink"/>
                  <w:i/>
                  <w:iCs/>
                </w:rPr>
                <w:t>151</w:t>
              </w:r>
            </w:hyperlink>
            <w:r w:rsidRPr="00A571F3">
              <w:rPr>
                <w:i/>
                <w:iCs/>
              </w:rPr>
              <w:t xml:space="preserve"> et </w:t>
            </w:r>
            <w:hyperlink r:id="rId15" w:history="1">
              <w:r w:rsidRPr="00A571F3">
                <w:rPr>
                  <w:rStyle w:val="Hyperlink"/>
                  <w:i/>
                  <w:iCs/>
                </w:rPr>
                <w:t>191</w:t>
              </w:r>
            </w:hyperlink>
            <w:r w:rsidRPr="00A571F3">
              <w:rPr>
                <w:i/>
                <w:iCs/>
              </w:rPr>
              <w:t xml:space="preserve"> de la Conférence de plénipotentiaires</w:t>
            </w:r>
          </w:p>
          <w:p w14:paraId="6343C349" w14:textId="685BDE13" w:rsidR="00163BA3" w:rsidRPr="00A571F3" w:rsidRDefault="00042676" w:rsidP="00327E1B">
            <w:pPr>
              <w:spacing w:before="0"/>
              <w:rPr>
                <w:i/>
                <w:iCs/>
              </w:rPr>
            </w:pPr>
            <w:r w:rsidRPr="00A571F3">
              <w:rPr>
                <w:i/>
                <w:iCs/>
              </w:rPr>
              <w:t xml:space="preserve">Décision </w:t>
            </w:r>
            <w:hyperlink r:id="rId16" w:history="1">
              <w:r w:rsidRPr="00A571F3">
                <w:rPr>
                  <w:rStyle w:val="Hyperlink"/>
                  <w:i/>
                  <w:iCs/>
                </w:rPr>
                <w:t>5</w:t>
              </w:r>
            </w:hyperlink>
            <w:r w:rsidRPr="00A571F3">
              <w:rPr>
                <w:i/>
                <w:iCs/>
              </w:rPr>
              <w:t xml:space="preserve"> (Rév. Bucarest, 2022) de la Conférence de plénipotentiaires</w:t>
            </w:r>
          </w:p>
          <w:p w14:paraId="1939C20B" w14:textId="1459FBDB" w:rsidR="00163BA3" w:rsidRPr="00A571F3" w:rsidRDefault="00000000" w:rsidP="00D154CC">
            <w:pPr>
              <w:spacing w:before="0" w:after="160"/>
            </w:pPr>
            <w:hyperlink r:id="rId17" w:history="1">
              <w:r w:rsidR="00042676" w:rsidRPr="00B23C34">
                <w:rPr>
                  <w:rStyle w:val="Hyperlink"/>
                  <w:i/>
                  <w:iCs/>
                </w:rPr>
                <w:t>Plan d'action de Kigali</w:t>
              </w:r>
            </w:hyperlink>
          </w:p>
        </w:tc>
      </w:tr>
    </w:tbl>
    <w:p w14:paraId="4AC68654" w14:textId="332A566A" w:rsidR="00163BA3" w:rsidRPr="00A571F3" w:rsidRDefault="00042676" w:rsidP="00327E1B">
      <w:pPr>
        <w:pStyle w:val="Headingb"/>
      </w:pPr>
      <w:r w:rsidRPr="00A571F3">
        <w:lastRenderedPageBreak/>
        <w:t>Considérations générales</w:t>
      </w:r>
    </w:p>
    <w:p w14:paraId="3D1C1643" w14:textId="60F55A21" w:rsidR="00163BA3" w:rsidRPr="00A571F3" w:rsidRDefault="005E6367" w:rsidP="00327E1B">
      <w:r w:rsidRPr="00A571F3">
        <w:t>C</w:t>
      </w:r>
      <w:r w:rsidR="00F20AA7" w:rsidRPr="00A571F3">
        <w:t>onformément à</w:t>
      </w:r>
      <w:r w:rsidR="00042676" w:rsidRPr="00A571F3">
        <w:t xml:space="preserve"> la Constitution de l'UIT, </w:t>
      </w:r>
      <w:r w:rsidR="00F20AA7" w:rsidRPr="00A571F3">
        <w:t xml:space="preserve">à </w:t>
      </w:r>
      <w:r w:rsidR="00042676" w:rsidRPr="00A571F3">
        <w:t xml:space="preserve">la Résolution 71 (Rév. Bucarest, 2022) de la PP et </w:t>
      </w:r>
      <w:r w:rsidR="00F20AA7" w:rsidRPr="00A571F3">
        <w:t>aux</w:t>
      </w:r>
      <w:r w:rsidR="00042676" w:rsidRPr="00A571F3">
        <w:t xml:space="preserve"> Règles financières</w:t>
      </w:r>
      <w:r w:rsidR="00F20AA7" w:rsidRPr="00A571F3">
        <w:t xml:space="preserve">, </w:t>
      </w:r>
      <w:r w:rsidR="00042676" w:rsidRPr="00A571F3">
        <w:t xml:space="preserve">chaque Bureau de l'UIT </w:t>
      </w:r>
      <w:r w:rsidR="00F20AA7" w:rsidRPr="00A571F3">
        <w:t>ainsi que</w:t>
      </w:r>
      <w:r w:rsidR="00042676" w:rsidRPr="00A571F3">
        <w:t xml:space="preserve"> le Secrétariat général ont un rôle unique </w:t>
      </w:r>
      <w:r w:rsidR="00F20AA7" w:rsidRPr="00A571F3">
        <w:t xml:space="preserve">à jouer </w:t>
      </w:r>
      <w:r w:rsidR="00042676" w:rsidRPr="00A571F3">
        <w:t>dans la mise en œuvre des plans stratégiques de l'UIT et dans l'accomplissement de mandats spécifiques et exclusifs. De la même manière, chaque Bureau</w:t>
      </w:r>
      <w:r w:rsidR="00F20AA7" w:rsidRPr="00A571F3">
        <w:t xml:space="preserve"> est </w:t>
      </w:r>
      <w:r w:rsidR="00042676" w:rsidRPr="00A571F3">
        <w:t xml:space="preserve">indépendant et </w:t>
      </w:r>
      <w:r w:rsidR="00F20AA7" w:rsidRPr="00A571F3">
        <w:t>guidé</w:t>
      </w:r>
      <w:r w:rsidR="00042676" w:rsidRPr="00A571F3">
        <w:t xml:space="preserve"> par </w:t>
      </w:r>
      <w:r w:rsidR="00F20AA7" w:rsidRPr="00A571F3">
        <w:t>des</w:t>
      </w:r>
      <w:r w:rsidR="00042676" w:rsidRPr="00A571F3">
        <w:t xml:space="preserve"> dispositions de la Constitution de l'UIT et des résolutions dans l'accomplissement de son mandat</w:t>
      </w:r>
      <w:r w:rsidR="00F20AA7" w:rsidRPr="00A571F3">
        <w:t xml:space="preserve">. </w:t>
      </w:r>
      <w:r w:rsidR="00042676" w:rsidRPr="00A571F3">
        <w:t>Par conséquent, les Bureaux fonctionnent de manière indépendante</w:t>
      </w:r>
      <w:r w:rsidR="00F20AA7" w:rsidRPr="00A571F3">
        <w:t xml:space="preserve">, et leur mandat est établi dans </w:t>
      </w:r>
      <w:r w:rsidR="00042676" w:rsidRPr="00A571F3">
        <w:t>diverses dispositions de la Constitution de l'UIT et résolutions pertinentes.</w:t>
      </w:r>
    </w:p>
    <w:p w14:paraId="798EE8B2" w14:textId="35BE50B2" w:rsidR="00163BA3" w:rsidRPr="00A571F3" w:rsidRDefault="00042676" w:rsidP="00327E1B">
      <w:r w:rsidRPr="00A571F3">
        <w:t xml:space="preserve">Malgré </w:t>
      </w:r>
      <w:r w:rsidR="00F20AA7" w:rsidRPr="00A571F3">
        <w:t>tout</w:t>
      </w:r>
      <w:r w:rsidRPr="00A571F3">
        <w:t xml:space="preserve">, l'UIT </w:t>
      </w:r>
      <w:r w:rsidR="00F20AA7" w:rsidRPr="00A571F3">
        <w:t xml:space="preserve">se heurte </w:t>
      </w:r>
      <w:r w:rsidRPr="00A571F3">
        <w:t xml:space="preserve">à des problèmes </w:t>
      </w:r>
      <w:r w:rsidR="00F20AA7" w:rsidRPr="00A571F3">
        <w:t>en termes d'</w:t>
      </w:r>
      <w:r w:rsidRPr="00A571F3">
        <w:t xml:space="preserve">efficacité et d'équité, tels que les coûts élevés liés à l'organisation de forums et </w:t>
      </w:r>
      <w:r w:rsidR="00F20AA7" w:rsidRPr="00A571F3">
        <w:t xml:space="preserve">de manifestations au </w:t>
      </w:r>
      <w:r w:rsidRPr="00A571F3">
        <w:t>siège et dans d'autres pays, notamment en ce qui concerne la traduction, l'interprétation et la logistique.</w:t>
      </w:r>
    </w:p>
    <w:p w14:paraId="7A81E521" w14:textId="3F8F8997" w:rsidR="00163BA3" w:rsidRPr="00A571F3" w:rsidRDefault="00042676" w:rsidP="00327E1B">
      <w:r w:rsidRPr="00A571F3">
        <w:t>Nous sommes d'avis que l</w:t>
      </w:r>
      <w:r w:rsidR="00F20AA7" w:rsidRPr="00A571F3">
        <w:t>es</w:t>
      </w:r>
      <w:r w:rsidRPr="00A571F3">
        <w:t xml:space="preserve"> technologie</w:t>
      </w:r>
      <w:r w:rsidR="00F20AA7" w:rsidRPr="00A571F3">
        <w:t>s</w:t>
      </w:r>
      <w:r w:rsidRPr="00A571F3">
        <w:t xml:space="preserve"> et les nouvelles méthodes de travail, </w:t>
      </w:r>
      <w:r w:rsidR="00F20AA7" w:rsidRPr="00A571F3">
        <w:t>notamment</w:t>
      </w:r>
      <w:r w:rsidRPr="00A571F3">
        <w:t xml:space="preserve"> l'automatisation et la gestion axée sur les résultats, peuvent </w:t>
      </w:r>
      <w:r w:rsidR="00F20AA7" w:rsidRPr="00A571F3">
        <w:t>permettre d'améliorer</w:t>
      </w:r>
      <w:r w:rsidRPr="00A571F3">
        <w:t xml:space="preserve"> la productivité et </w:t>
      </w:r>
      <w:r w:rsidR="005E6367" w:rsidRPr="00A571F3">
        <w:t>l'efficacité économique</w:t>
      </w:r>
      <w:r w:rsidRPr="00A571F3">
        <w:t xml:space="preserve"> et </w:t>
      </w:r>
      <w:r w:rsidR="00F20AA7" w:rsidRPr="00A571F3">
        <w:t>d'approfondir les connaissances spécialisées afin de produire davantage de retombées</w:t>
      </w:r>
      <w:r w:rsidRPr="00A571F3">
        <w:t xml:space="preserve">, </w:t>
      </w:r>
      <w:r w:rsidR="00F20AA7" w:rsidRPr="00A571F3">
        <w:t>ce qui serait préférable plutôt</w:t>
      </w:r>
      <w:r w:rsidRPr="00A571F3">
        <w:t xml:space="preserve"> que d'engager des dépenses excessives dans les services d'appui.</w:t>
      </w:r>
    </w:p>
    <w:p w14:paraId="6440158D" w14:textId="009E4B63" w:rsidR="00163BA3" w:rsidRPr="00A571F3" w:rsidRDefault="00042676" w:rsidP="00327E1B">
      <w:r w:rsidRPr="00A571F3">
        <w:t xml:space="preserve">Une transformation </w:t>
      </w:r>
      <w:r w:rsidR="00F20AA7" w:rsidRPr="00A571F3">
        <w:t>institutionnelle</w:t>
      </w:r>
      <w:r w:rsidRPr="00A571F3">
        <w:t xml:space="preserve"> adaptée aux besoins des pays en développement offrirait plusieurs avantages, notamment une réduction des </w:t>
      </w:r>
      <w:r w:rsidR="005E6367" w:rsidRPr="00A571F3">
        <w:t xml:space="preserve">coûts </w:t>
      </w:r>
      <w:r w:rsidR="00F20AA7" w:rsidRPr="00A571F3">
        <w:t>liés à l'organisation</w:t>
      </w:r>
      <w:r w:rsidRPr="00A571F3">
        <w:t xml:space="preserve"> des manifestations, un </w:t>
      </w:r>
      <w:r w:rsidR="00F20AA7" w:rsidRPr="00A571F3">
        <w:t>renforcement de l'</w:t>
      </w:r>
      <w:r w:rsidRPr="00A571F3">
        <w:t xml:space="preserve">accès à </w:t>
      </w:r>
      <w:r w:rsidR="00F20AA7" w:rsidRPr="00A571F3">
        <w:t>des</w:t>
      </w:r>
      <w:r w:rsidRPr="00A571F3">
        <w:t xml:space="preserve"> contenu</w:t>
      </w:r>
      <w:r w:rsidR="00F20AA7" w:rsidRPr="00A571F3">
        <w:t>s</w:t>
      </w:r>
      <w:r w:rsidRPr="00A571F3">
        <w:t xml:space="preserve"> pertinent</w:t>
      </w:r>
      <w:r w:rsidR="00F20AA7" w:rsidRPr="00A571F3">
        <w:t>s</w:t>
      </w:r>
      <w:r w:rsidRPr="00A571F3">
        <w:t xml:space="preserve"> dans toutes les langues et </w:t>
      </w:r>
      <w:r w:rsidR="00F20AA7" w:rsidRPr="00A571F3">
        <w:t>la mise à disposition de</w:t>
      </w:r>
      <w:r w:rsidRPr="00A571F3">
        <w:t xml:space="preserve"> nouvelles </w:t>
      </w:r>
      <w:r w:rsidR="00F20AA7" w:rsidRPr="00A571F3">
        <w:t>connaissances spécialisées</w:t>
      </w:r>
      <w:r w:rsidRPr="00A571F3">
        <w:t xml:space="preserve"> provenant de tous les secteurs, notamment dans les bureaux de zone de l'UIT.</w:t>
      </w:r>
    </w:p>
    <w:p w14:paraId="0987B817" w14:textId="7A318480" w:rsidR="00163BA3" w:rsidRPr="00A571F3" w:rsidRDefault="00042676" w:rsidP="00327E1B">
      <w:pPr>
        <w:pStyle w:val="Headingb"/>
      </w:pPr>
      <w:r w:rsidRPr="00A571F3">
        <w:t>Proposition</w:t>
      </w:r>
    </w:p>
    <w:p w14:paraId="36ADF31E" w14:textId="6BB0CE0E" w:rsidR="00163BA3" w:rsidRPr="00A571F3" w:rsidRDefault="00042676" w:rsidP="00327E1B">
      <w:r w:rsidRPr="00A571F3">
        <w:t xml:space="preserve">Il est rappelé aux membres du Conseil que le concept </w:t>
      </w:r>
      <w:r w:rsidR="00F20AA7" w:rsidRPr="00A571F3">
        <w:t>d'"Une UIT unie dans l'action",</w:t>
      </w:r>
      <w:r w:rsidRPr="00A571F3">
        <w:t xml:space="preserve"> qui vise à améliorer les</w:t>
      </w:r>
      <w:r w:rsidR="00F20AA7" w:rsidRPr="00A571F3">
        <w:t xml:space="preserve"> services que </w:t>
      </w:r>
      <w:r w:rsidRPr="00A571F3">
        <w:t xml:space="preserve">l'UIT </w:t>
      </w:r>
      <w:r w:rsidR="00F20AA7" w:rsidRPr="00A571F3">
        <w:t xml:space="preserve">fournit aux </w:t>
      </w:r>
      <w:r w:rsidRPr="00A571F3">
        <w:t xml:space="preserve">États </w:t>
      </w:r>
      <w:r w:rsidR="00F20AA7" w:rsidRPr="00A571F3">
        <w:t>M</w:t>
      </w:r>
      <w:r w:rsidRPr="00A571F3">
        <w:t xml:space="preserve">embres, n'est pas encore défini, </w:t>
      </w:r>
      <w:r w:rsidR="00F20AA7" w:rsidRPr="00A571F3">
        <w:t xml:space="preserve">de sorte qu'il est </w:t>
      </w:r>
      <w:r w:rsidRPr="00A571F3">
        <w:t xml:space="preserve">difficile et prématuré </w:t>
      </w:r>
      <w:r w:rsidR="00F20AA7" w:rsidRPr="00A571F3">
        <w:t>de définir des</w:t>
      </w:r>
      <w:r w:rsidRPr="00A571F3">
        <w:t xml:space="preserve"> stratégies </w:t>
      </w:r>
      <w:r w:rsidR="00F20AA7" w:rsidRPr="00A571F3">
        <w:t>institutionnelles</w:t>
      </w:r>
      <w:r w:rsidRPr="00A571F3">
        <w:t xml:space="preserve"> concrètes.</w:t>
      </w:r>
    </w:p>
    <w:p w14:paraId="4A54988B" w14:textId="59D18093" w:rsidR="00163BA3" w:rsidRPr="00A571F3" w:rsidRDefault="00042676" w:rsidP="00327E1B">
      <w:r w:rsidRPr="00A571F3">
        <w:t xml:space="preserve">Par conséquent, </w:t>
      </w:r>
      <w:r w:rsidR="005E6367" w:rsidRPr="00A571F3">
        <w:t xml:space="preserve">il est demandé aux </w:t>
      </w:r>
      <w:r w:rsidRPr="00A571F3">
        <w:t>membres du Conseil</w:t>
      </w:r>
      <w:r w:rsidR="00F20AA7" w:rsidRPr="00A571F3">
        <w:t xml:space="preserve"> </w:t>
      </w:r>
      <w:r w:rsidR="005E6367" w:rsidRPr="00A571F3">
        <w:t>de bien vouloir</w:t>
      </w:r>
      <w:r w:rsidR="00F20AA7" w:rsidRPr="00A571F3">
        <w:t xml:space="preserve"> charger </w:t>
      </w:r>
      <w:r w:rsidRPr="00A571F3">
        <w:t xml:space="preserve">le </w:t>
      </w:r>
      <w:r w:rsidR="00F20AA7" w:rsidRPr="00A571F3">
        <w:t>GTC</w:t>
      </w:r>
      <w:r w:rsidRPr="00A571F3">
        <w:t>-FHR de définir</w:t>
      </w:r>
      <w:r w:rsidR="00F20AA7" w:rsidRPr="00A571F3">
        <w:t xml:space="preserve"> ce</w:t>
      </w:r>
      <w:r w:rsidRPr="00A571F3">
        <w:t xml:space="preserve"> concept et d'élaborer</w:t>
      </w:r>
      <w:r w:rsidR="00F20AA7" w:rsidRPr="00A571F3">
        <w:t xml:space="preserve"> les</w:t>
      </w:r>
      <w:r w:rsidRPr="00A571F3">
        <w:t xml:space="preserve"> indicateurs </w:t>
      </w:r>
      <w:r w:rsidR="00F20AA7" w:rsidRPr="00A571F3">
        <w:t xml:space="preserve">fondamentaux </w:t>
      </w:r>
      <w:r w:rsidRPr="00A571F3">
        <w:t>de performance mesurables</w:t>
      </w:r>
      <w:r w:rsidR="00F20AA7" w:rsidRPr="00A571F3">
        <w:t xml:space="preserve"> qui lui sont associés</w:t>
      </w:r>
      <w:r w:rsidRPr="00A571F3">
        <w:t>.</w:t>
      </w:r>
    </w:p>
    <w:p w14:paraId="530B0FF8" w14:textId="25E86043" w:rsidR="00163BA3" w:rsidRPr="00A571F3" w:rsidRDefault="00042676" w:rsidP="00327E1B">
      <w:r w:rsidRPr="00A571F3">
        <w:t xml:space="preserve">En outre, les membres du Conseil sont invités à transmettre au GTC-FHR les projets de propositions qui figurent dans les </w:t>
      </w:r>
      <w:r w:rsidR="00D154CC">
        <w:t>D</w:t>
      </w:r>
      <w:r w:rsidRPr="00A571F3">
        <w:t xml:space="preserve">ocuments </w:t>
      </w:r>
      <w:hyperlink r:id="rId18" w:history="1">
        <w:r w:rsidRPr="00A571F3">
          <w:rPr>
            <w:rStyle w:val="Hyperlink"/>
          </w:rPr>
          <w:t>C23/13</w:t>
        </w:r>
      </w:hyperlink>
      <w:r w:rsidRPr="00A571F3">
        <w:t xml:space="preserve">, </w:t>
      </w:r>
      <w:hyperlink r:id="rId19" w:history="1">
        <w:r w:rsidRPr="00A571F3">
          <w:rPr>
            <w:rStyle w:val="Hyperlink"/>
          </w:rPr>
          <w:t>C23/27</w:t>
        </w:r>
      </w:hyperlink>
      <w:r w:rsidRPr="00A571F3">
        <w:t xml:space="preserve">, </w:t>
      </w:r>
      <w:hyperlink r:id="rId20" w:history="1">
        <w:r w:rsidRPr="00A571F3">
          <w:rPr>
            <w:rStyle w:val="Hyperlink"/>
          </w:rPr>
          <w:t>C23/50</w:t>
        </w:r>
      </w:hyperlink>
      <w:r w:rsidRPr="00A571F3">
        <w:rPr>
          <w:rStyle w:val="Hyperlink"/>
        </w:rPr>
        <w:t xml:space="preserve"> </w:t>
      </w:r>
      <w:r w:rsidRPr="00A571F3">
        <w:t xml:space="preserve">et </w:t>
      </w:r>
      <w:hyperlink r:id="rId21" w:history="1">
        <w:r w:rsidRPr="00A571F3">
          <w:rPr>
            <w:rStyle w:val="Hyperlink"/>
          </w:rPr>
          <w:t>C23/52</w:t>
        </w:r>
      </w:hyperlink>
      <w:r w:rsidRPr="00A571F3">
        <w:t xml:space="preserve"> en vue d'un complément d'examen, </w:t>
      </w:r>
      <w:r w:rsidR="00257DE8" w:rsidRPr="00A571F3">
        <w:t>dans le cadre du travail de définition du</w:t>
      </w:r>
      <w:r w:rsidRPr="00A571F3">
        <w:t xml:space="preserve"> concept d'"Une UIT unie dans l'action" et d'élabor</w:t>
      </w:r>
      <w:r w:rsidR="00257DE8" w:rsidRPr="00A571F3">
        <w:t>ation</w:t>
      </w:r>
      <w:r w:rsidRPr="00A571F3">
        <w:t xml:space="preserve"> des indicateurs fondamentaux de performance pour l'excellence institutionnelle, comme indiqué dans la Résolution 151 </w:t>
      </w:r>
      <w:r w:rsidR="00257DE8" w:rsidRPr="00A571F3">
        <w:t xml:space="preserve">(Rév. Bucarest, 2022) </w:t>
      </w:r>
      <w:r w:rsidRPr="00A571F3">
        <w:t>de la PP et le mandat révisé du GTC-FHR.</w:t>
      </w:r>
    </w:p>
    <w:p w14:paraId="6A900057" w14:textId="77777777" w:rsidR="00163BA3" w:rsidRPr="00A571F3" w:rsidRDefault="00042676" w:rsidP="00327E1B">
      <w:pPr>
        <w:jc w:val="center"/>
      </w:pPr>
      <w:r w:rsidRPr="00A571F3">
        <w:t>______________</w:t>
      </w:r>
    </w:p>
    <w:sectPr w:rsidR="00163BA3" w:rsidRPr="00A571F3">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5A2" w14:textId="77777777" w:rsidR="00546B2D" w:rsidRDefault="00546B2D">
      <w:r>
        <w:separator/>
      </w:r>
    </w:p>
  </w:endnote>
  <w:endnote w:type="continuationSeparator" w:id="0">
    <w:p w14:paraId="6D939EE4" w14:textId="77777777" w:rsidR="00546B2D" w:rsidRDefault="0054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5F572A2E" w:rsidR="00163BA3" w:rsidRDefault="00B23C34">
    <w:pPr>
      <w:pStyle w:val="Footer"/>
    </w:pPr>
    <w:fldSimple w:instr=" FILENAME \p \* MERGEFORMAT ">
      <w:r w:rsidR="00042676">
        <w:t>Document1</w:t>
      </w:r>
    </w:fldSimple>
    <w:r w:rsidR="00042676">
      <w:t xml:space="preserve"> </w:t>
    </w:r>
    <w:r w:rsidR="00042676">
      <w:fldChar w:fldCharType="begin"/>
    </w:r>
    <w:r w:rsidR="00042676">
      <w:instrText xml:space="preserve"> savedate \@ dd.MM.yy </w:instrText>
    </w:r>
    <w:r w:rsidR="00042676">
      <w:fldChar w:fldCharType="separate"/>
    </w:r>
    <w:r w:rsidR="00924F90">
      <w:rPr>
        <w:noProof/>
      </w:rPr>
      <w:t>04.07.23</w:t>
    </w:r>
    <w:r w:rsidR="00042676">
      <w:fldChar w:fldCharType="end"/>
    </w:r>
    <w:r w:rsidR="00042676">
      <w:t xml:space="preserve"> </w:t>
    </w:r>
    <w:r w:rsidR="00042676">
      <w:fldChar w:fldCharType="begin"/>
    </w:r>
    <w:r w:rsidR="00042676">
      <w:instrText xml:space="preserve"> printdate \@ dd.MM.yy </w:instrText>
    </w:r>
    <w:r w:rsidR="00042676">
      <w:fldChar w:fldCharType="separate"/>
    </w:r>
    <w:r w:rsidR="00042676">
      <w:t>18.07.00</w:t>
    </w:r>
    <w:r w:rsidR="000426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3BFBE81A" w14:textId="77777777" w:rsidTr="00E72A6A">
      <w:trPr>
        <w:jc w:val="center"/>
      </w:trPr>
      <w:tc>
        <w:tcPr>
          <w:tcW w:w="1803" w:type="dxa"/>
          <w:vAlign w:val="center"/>
        </w:tcPr>
        <w:p w14:paraId="1D08BC55" w14:textId="4526019C" w:rsidR="00A571F3" w:rsidRDefault="00A571F3" w:rsidP="00A571F3">
          <w:pPr>
            <w:pStyle w:val="Header"/>
            <w:jc w:val="left"/>
            <w:rPr>
              <w:noProof/>
            </w:rPr>
          </w:pPr>
          <w:r>
            <w:rPr>
              <w:noProof/>
            </w:rPr>
            <w:t>DPS 525342</w:t>
          </w:r>
        </w:p>
      </w:tc>
      <w:tc>
        <w:tcPr>
          <w:tcW w:w="8261" w:type="dxa"/>
        </w:tcPr>
        <w:p w14:paraId="732DB815" w14:textId="2CD4BEF7" w:rsidR="00A571F3" w:rsidRPr="00E06FD5" w:rsidRDefault="00A571F3" w:rsidP="00A571F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B06AB">
            <w:rPr>
              <w:bCs/>
            </w:rPr>
            <w:t>72</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606B478" w14:textId="1EE209CF"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406EFEDC" w14:textId="77777777" w:rsidTr="00E72A6A">
      <w:trPr>
        <w:jc w:val="center"/>
      </w:trPr>
      <w:tc>
        <w:tcPr>
          <w:tcW w:w="1803" w:type="dxa"/>
          <w:vAlign w:val="center"/>
        </w:tcPr>
        <w:p w14:paraId="670F7923" w14:textId="77777777" w:rsidR="00A571F3" w:rsidRDefault="00000000" w:rsidP="00A571F3">
          <w:pPr>
            <w:pStyle w:val="Header"/>
            <w:jc w:val="left"/>
            <w:rPr>
              <w:noProof/>
            </w:rPr>
          </w:pPr>
          <w:hyperlink r:id="rId1" w:history="1">
            <w:r w:rsidR="00A571F3" w:rsidRPr="00A514A4">
              <w:rPr>
                <w:rStyle w:val="Hyperlink"/>
                <w:szCs w:val="14"/>
              </w:rPr>
              <w:t>www.itu.int/council</w:t>
            </w:r>
          </w:hyperlink>
        </w:p>
      </w:tc>
      <w:tc>
        <w:tcPr>
          <w:tcW w:w="8261" w:type="dxa"/>
        </w:tcPr>
        <w:p w14:paraId="57A718CB" w14:textId="1E9B0EED" w:rsidR="00A571F3" w:rsidRPr="00E06FD5" w:rsidRDefault="00A571F3" w:rsidP="00A571F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72</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2A3E37EC" w14:textId="7C32D02D"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90D4" w14:textId="77777777" w:rsidR="00546B2D" w:rsidRDefault="00546B2D">
      <w:r>
        <w:t>____________________</w:t>
      </w:r>
    </w:p>
  </w:footnote>
  <w:footnote w:type="continuationSeparator" w:id="0">
    <w:p w14:paraId="730E491F" w14:textId="77777777" w:rsidR="00546B2D" w:rsidRDefault="0054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163BA3" w:rsidRDefault="00042676">
    <w:pPr>
      <w:pStyle w:val="Header"/>
    </w:pPr>
    <w:r>
      <w:t xml:space="preserve">- </w:t>
    </w:r>
    <w:r>
      <w:fldChar w:fldCharType="begin"/>
    </w:r>
    <w:r>
      <w:instrText>PAGE</w:instrText>
    </w:r>
    <w:r>
      <w:fldChar w:fldCharType="separate"/>
    </w:r>
    <w:r>
      <w:t>2</w:t>
    </w:r>
    <w:r>
      <w:fldChar w:fldCharType="end"/>
    </w:r>
    <w:r>
      <w:t xml:space="preserve"> -</w:t>
    </w:r>
  </w:p>
  <w:p w14:paraId="7E57C5E2" w14:textId="77777777" w:rsidR="00163BA3" w:rsidRDefault="0004267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63BA3" w14:paraId="3FF5CF41" w14:textId="77777777">
      <w:trPr>
        <w:trHeight w:val="1104"/>
        <w:jc w:val="center"/>
      </w:trPr>
      <w:tc>
        <w:tcPr>
          <w:tcW w:w="4390" w:type="dxa"/>
          <w:vAlign w:val="center"/>
        </w:tcPr>
        <w:p w14:paraId="67F2D0FF" w14:textId="77777777" w:rsidR="00163BA3" w:rsidRDefault="00042676">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163BA3" w:rsidRDefault="00163BA3">
          <w:pPr>
            <w:pStyle w:val="Header"/>
            <w:jc w:val="right"/>
            <w:rPr>
              <w:rFonts w:ascii="Arial" w:hAnsi="Arial" w:cs="Arial"/>
              <w:b/>
              <w:bCs/>
              <w:color w:val="009CD6"/>
              <w:szCs w:val="18"/>
            </w:rPr>
          </w:pPr>
        </w:p>
        <w:p w14:paraId="24FBBA91" w14:textId="77777777" w:rsidR="00163BA3" w:rsidRDefault="00163BA3">
          <w:pPr>
            <w:pStyle w:val="Header"/>
            <w:jc w:val="right"/>
            <w:rPr>
              <w:rFonts w:ascii="Arial" w:hAnsi="Arial" w:cs="Arial"/>
              <w:b/>
              <w:bCs/>
              <w:color w:val="009CD6"/>
              <w:szCs w:val="18"/>
            </w:rPr>
          </w:pPr>
        </w:p>
        <w:p w14:paraId="68312218" w14:textId="77777777" w:rsidR="00163BA3" w:rsidRDefault="00042676">
          <w:pPr>
            <w:pStyle w:val="Header"/>
            <w:jc w:val="right"/>
            <w:rPr>
              <w:rFonts w:ascii="Arial" w:hAnsi="Arial" w:cs="Arial"/>
              <w:color w:val="009CD6"/>
              <w:szCs w:val="18"/>
            </w:rPr>
          </w:pPr>
          <w:r>
            <w:rPr>
              <w:rFonts w:ascii="Arial" w:hAnsi="Arial" w:cs="Arial"/>
              <w:b/>
              <w:bCs/>
              <w:color w:val="009CD6"/>
              <w:szCs w:val="18"/>
            </w:rPr>
            <w:t xml:space="preserve"> </w:t>
          </w:r>
        </w:p>
      </w:tc>
    </w:tr>
  </w:tbl>
  <w:p w14:paraId="541CD6F7" w14:textId="77777777" w:rsidR="00163BA3" w:rsidRDefault="0004267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3"/>
    <w:rsid w:val="00042676"/>
    <w:rsid w:val="00163BA3"/>
    <w:rsid w:val="00257DE8"/>
    <w:rsid w:val="00327E1B"/>
    <w:rsid w:val="00546B2D"/>
    <w:rsid w:val="005934F1"/>
    <w:rsid w:val="005E6367"/>
    <w:rsid w:val="00776AF6"/>
    <w:rsid w:val="00924F90"/>
    <w:rsid w:val="00960A47"/>
    <w:rsid w:val="00A571F3"/>
    <w:rsid w:val="00A75110"/>
    <w:rsid w:val="00B23C34"/>
    <w:rsid w:val="00BB06AB"/>
    <w:rsid w:val="00C74E1A"/>
    <w:rsid w:val="00D154CC"/>
    <w:rsid w:val="00F20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5E636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0/en" TargetMode="External"/><Relationship Id="rId13" Type="http://schemas.openxmlformats.org/officeDocument/2006/relationships/hyperlink" Target="https://www.itu.int/en/council/Documents/basic-texts-2023/RES-094-F.pdf" TargetMode="External"/><Relationship Id="rId18" Type="http://schemas.openxmlformats.org/officeDocument/2006/relationships/hyperlink" Target="https://www.itu.int/md/S23-CL-C-0013/en"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S23-CL-C-0052/en" TargetMode="External"/><Relationship Id="rId7" Type="http://schemas.openxmlformats.org/officeDocument/2006/relationships/hyperlink" Target="https://www.itu.int/md/S23-CL-C-0027/en" TargetMode="External"/><Relationship Id="rId12" Type="http://schemas.openxmlformats.org/officeDocument/2006/relationships/hyperlink" Target="https://www.itu.int/en/council/Documents/basic-texts-2023/RES-071-F.pdf" TargetMode="External"/><Relationship Id="rId17" Type="http://schemas.openxmlformats.org/officeDocument/2006/relationships/hyperlink" Target="https://www.itu.int/dms_pub/itu-d/opb/tdc/D-TDC-WTDC-2022-PDF-F.pdf"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en/council/Documents/basic-texts-2023/DEC-005-F.pdf" TargetMode="External"/><Relationship Id="rId20" Type="http://schemas.openxmlformats.org/officeDocument/2006/relationships/hyperlink" Target="https://www.itu.int/md/S23-CL-C-0050/en" TargetMode="External"/><Relationship Id="rId1" Type="http://schemas.openxmlformats.org/officeDocument/2006/relationships/styles" Target="styles.xml"/><Relationship Id="rId6" Type="http://schemas.openxmlformats.org/officeDocument/2006/relationships/hyperlink" Target="https://www.itu.int/md/S23-CL-C-0013/en" TargetMode="External"/><Relationship Id="rId11" Type="http://schemas.openxmlformats.org/officeDocument/2006/relationships/hyperlink" Target="https://www.itu.int/en/council/Documents/basic-texts-2023/RES-025-F.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2023/RES-191-F.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en/council/Documents/basic-texts/Constitution-F.pdf" TargetMode="External"/><Relationship Id="rId19" Type="http://schemas.openxmlformats.org/officeDocument/2006/relationships/hyperlink" Target="https://www.itu.int/md/S23-CL-C-0027/en" TargetMode="External"/><Relationship Id="rId4" Type="http://schemas.openxmlformats.org/officeDocument/2006/relationships/footnotes" Target="footnotes.xml"/><Relationship Id="rId9" Type="http://schemas.openxmlformats.org/officeDocument/2006/relationships/hyperlink" Target="https://www.itu.int/md/S23-CL-C-0052/en" TargetMode="External"/><Relationship Id="rId14" Type="http://schemas.openxmlformats.org/officeDocument/2006/relationships/hyperlink" Target="https://www.itu.int/en/council/Documents/basic-texts-2023/RES-151-F.pdf"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Garantir la mise en œuvre de l'approche "UNE UIT unie dans l'action" aux fins de l'amélioration de la planification financière, de la responsabilisation et de la souplesse au profit de tous les pays et de l'avenir de l'Union</dc:title>
  <dc:subject>Conseil 2023</dc:subject>
  <dc:creator>Brouard, Ricarda</dc:creator>
  <cp:keywords>C2023, C23, Council-23</cp:keywords>
  <dc:description/>
  <cp:lastModifiedBy>Xue, Kun</cp:lastModifiedBy>
  <cp:revision>4</cp:revision>
  <cp:lastPrinted>2000-07-18T08:55:00Z</cp:lastPrinted>
  <dcterms:created xsi:type="dcterms:W3CDTF">2023-07-07T17:58:00Z</dcterms:created>
  <dcterms:modified xsi:type="dcterms:W3CDTF">2023-07-07T18:00:00Z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