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9C3907" w:rsidRPr="00813E5E" w14:paraId="21DAC28B" w14:textId="77777777" w:rsidTr="00CB3E7C">
        <w:trPr>
          <w:cantSplit/>
          <w:trHeight w:val="23"/>
        </w:trPr>
        <w:tc>
          <w:tcPr>
            <w:tcW w:w="3969" w:type="dxa"/>
            <w:vMerge w:val="restart"/>
            <w:tcMar>
              <w:left w:w="0" w:type="dxa"/>
            </w:tcMar>
          </w:tcPr>
          <w:p w14:paraId="69AACCDF" w14:textId="476373E8" w:rsidR="009C3907" w:rsidRPr="00E85629" w:rsidRDefault="009C3907" w:rsidP="00CB3E7C">
            <w:pPr>
              <w:tabs>
                <w:tab w:val="left" w:pos="851"/>
              </w:tabs>
              <w:spacing w:before="0" w:line="240" w:lineRule="atLeast"/>
              <w:rPr>
                <w:b/>
              </w:rPr>
            </w:pPr>
            <w:bookmarkStart w:id="0" w:name="dmeeting" w:colFirst="0" w:colLast="0"/>
            <w:bookmarkStart w:id="1" w:name="dnum" w:colFirst="1" w:colLast="1"/>
            <w:r>
              <w:rPr>
                <w:b/>
              </w:rPr>
              <w:t xml:space="preserve">Agenda item: </w:t>
            </w:r>
            <w:r w:rsidR="00242E6D">
              <w:rPr>
                <w:b/>
              </w:rPr>
              <w:t>ADM 2</w:t>
            </w:r>
          </w:p>
        </w:tc>
        <w:tc>
          <w:tcPr>
            <w:tcW w:w="5245" w:type="dxa"/>
          </w:tcPr>
          <w:p w14:paraId="588282A4" w14:textId="0124F1C2" w:rsidR="009C3907" w:rsidRPr="00E85629" w:rsidRDefault="009C3907" w:rsidP="00CB3E7C">
            <w:pPr>
              <w:tabs>
                <w:tab w:val="left" w:pos="851"/>
              </w:tabs>
              <w:spacing w:before="0" w:line="240" w:lineRule="atLeast"/>
              <w:jc w:val="right"/>
              <w:rPr>
                <w:b/>
              </w:rPr>
            </w:pPr>
            <w:r>
              <w:rPr>
                <w:b/>
              </w:rPr>
              <w:t>Document C23/</w:t>
            </w:r>
            <w:r w:rsidR="00242E6D">
              <w:rPr>
                <w:b/>
              </w:rPr>
              <w:t>69</w:t>
            </w:r>
            <w:r w:rsidRPr="00772164">
              <w:rPr>
                <w:b/>
              </w:rPr>
              <w:t>-E</w:t>
            </w:r>
          </w:p>
        </w:tc>
      </w:tr>
      <w:tr w:rsidR="009C3907" w:rsidRPr="00813E5E" w14:paraId="7D588217" w14:textId="77777777" w:rsidTr="00CB3E7C">
        <w:trPr>
          <w:cantSplit/>
        </w:trPr>
        <w:tc>
          <w:tcPr>
            <w:tcW w:w="3969" w:type="dxa"/>
            <w:vMerge/>
          </w:tcPr>
          <w:p w14:paraId="606616BA" w14:textId="77777777" w:rsidR="009C3907" w:rsidRPr="00813E5E" w:rsidRDefault="009C3907" w:rsidP="00CB3E7C">
            <w:pPr>
              <w:tabs>
                <w:tab w:val="left" w:pos="851"/>
              </w:tabs>
              <w:spacing w:line="240" w:lineRule="atLeast"/>
              <w:rPr>
                <w:b/>
              </w:rPr>
            </w:pPr>
            <w:bookmarkStart w:id="2" w:name="ddate" w:colFirst="1" w:colLast="1"/>
            <w:bookmarkEnd w:id="0"/>
            <w:bookmarkEnd w:id="1"/>
          </w:p>
        </w:tc>
        <w:tc>
          <w:tcPr>
            <w:tcW w:w="5245" w:type="dxa"/>
          </w:tcPr>
          <w:p w14:paraId="4782BB4E" w14:textId="55C1653A" w:rsidR="009C3907" w:rsidRPr="00E85629" w:rsidRDefault="00772164" w:rsidP="00CB3E7C">
            <w:pPr>
              <w:tabs>
                <w:tab w:val="left" w:pos="851"/>
              </w:tabs>
              <w:spacing w:before="0"/>
              <w:jc w:val="right"/>
              <w:rPr>
                <w:b/>
              </w:rPr>
            </w:pPr>
            <w:r w:rsidRPr="00772164">
              <w:rPr>
                <w:b/>
              </w:rPr>
              <w:t>27 June</w:t>
            </w:r>
            <w:r w:rsidR="009C3907">
              <w:rPr>
                <w:b/>
              </w:rPr>
              <w:t xml:space="preserve"> 2023</w:t>
            </w:r>
          </w:p>
        </w:tc>
      </w:tr>
      <w:tr w:rsidR="009C3907" w:rsidRPr="00813E5E" w14:paraId="6C25E97A" w14:textId="77777777" w:rsidTr="00CB3E7C">
        <w:trPr>
          <w:cantSplit/>
          <w:trHeight w:val="23"/>
        </w:trPr>
        <w:tc>
          <w:tcPr>
            <w:tcW w:w="3969" w:type="dxa"/>
            <w:vMerge/>
          </w:tcPr>
          <w:p w14:paraId="478395A1" w14:textId="77777777" w:rsidR="009C3907" w:rsidRPr="00813E5E" w:rsidRDefault="009C3907" w:rsidP="00CB3E7C">
            <w:pPr>
              <w:tabs>
                <w:tab w:val="left" w:pos="851"/>
              </w:tabs>
              <w:spacing w:line="240" w:lineRule="atLeast"/>
              <w:rPr>
                <w:b/>
              </w:rPr>
            </w:pPr>
            <w:bookmarkStart w:id="3" w:name="dorlang" w:colFirst="1" w:colLast="1"/>
            <w:bookmarkEnd w:id="2"/>
          </w:p>
        </w:tc>
        <w:tc>
          <w:tcPr>
            <w:tcW w:w="5245" w:type="dxa"/>
          </w:tcPr>
          <w:p w14:paraId="1E102346" w14:textId="77777777" w:rsidR="009C3907" w:rsidRPr="00E85629" w:rsidRDefault="009C3907" w:rsidP="00CB3E7C">
            <w:pPr>
              <w:tabs>
                <w:tab w:val="left" w:pos="851"/>
              </w:tabs>
              <w:spacing w:before="0" w:line="240" w:lineRule="atLeast"/>
              <w:jc w:val="right"/>
              <w:rPr>
                <w:b/>
              </w:rPr>
            </w:pPr>
            <w:r>
              <w:rPr>
                <w:b/>
              </w:rPr>
              <w:t>Original: English</w:t>
            </w:r>
          </w:p>
        </w:tc>
      </w:tr>
      <w:tr w:rsidR="009C3907" w:rsidRPr="00813E5E" w14:paraId="59957742" w14:textId="77777777" w:rsidTr="00CB3E7C">
        <w:trPr>
          <w:cantSplit/>
          <w:trHeight w:val="23"/>
        </w:trPr>
        <w:tc>
          <w:tcPr>
            <w:tcW w:w="3969" w:type="dxa"/>
          </w:tcPr>
          <w:p w14:paraId="057ADE3E" w14:textId="77777777" w:rsidR="009C3907" w:rsidRPr="00813E5E" w:rsidRDefault="009C3907" w:rsidP="00CB3E7C">
            <w:pPr>
              <w:tabs>
                <w:tab w:val="left" w:pos="851"/>
              </w:tabs>
              <w:spacing w:line="240" w:lineRule="atLeast"/>
              <w:rPr>
                <w:b/>
              </w:rPr>
            </w:pPr>
          </w:p>
        </w:tc>
        <w:tc>
          <w:tcPr>
            <w:tcW w:w="5245" w:type="dxa"/>
          </w:tcPr>
          <w:p w14:paraId="55AC99CF" w14:textId="77777777" w:rsidR="009C3907" w:rsidRDefault="009C3907" w:rsidP="00CB3E7C">
            <w:pPr>
              <w:tabs>
                <w:tab w:val="left" w:pos="851"/>
              </w:tabs>
              <w:spacing w:before="0" w:line="240" w:lineRule="atLeast"/>
              <w:jc w:val="right"/>
              <w:rPr>
                <w:b/>
              </w:rPr>
            </w:pPr>
          </w:p>
        </w:tc>
      </w:tr>
      <w:tr w:rsidR="009C3907" w:rsidRPr="00813E5E" w14:paraId="4E21D406" w14:textId="77777777" w:rsidTr="00CB3E7C">
        <w:trPr>
          <w:cantSplit/>
        </w:trPr>
        <w:tc>
          <w:tcPr>
            <w:tcW w:w="9214" w:type="dxa"/>
            <w:gridSpan w:val="2"/>
            <w:tcMar>
              <w:left w:w="0" w:type="dxa"/>
            </w:tcMar>
          </w:tcPr>
          <w:p w14:paraId="560D0FBE" w14:textId="77777777" w:rsidR="009C3907" w:rsidRPr="00813E5E" w:rsidRDefault="009C3907" w:rsidP="009C3907">
            <w:pPr>
              <w:pStyle w:val="Source"/>
              <w:jc w:val="left"/>
            </w:pPr>
            <w:bookmarkStart w:id="4" w:name="dsource" w:colFirst="0" w:colLast="0"/>
            <w:bookmarkEnd w:id="3"/>
            <w:r w:rsidRPr="009C3907">
              <w:rPr>
                <w:rFonts w:eastAsia="SimSun"/>
                <w:sz w:val="34"/>
              </w:rPr>
              <w:t>Contribution from Australia</w:t>
            </w:r>
          </w:p>
        </w:tc>
      </w:tr>
      <w:tr w:rsidR="009C3907" w:rsidRPr="00813E5E" w14:paraId="784C3DBA" w14:textId="77777777" w:rsidTr="00CB3E7C">
        <w:trPr>
          <w:cantSplit/>
        </w:trPr>
        <w:tc>
          <w:tcPr>
            <w:tcW w:w="9214" w:type="dxa"/>
            <w:gridSpan w:val="2"/>
            <w:tcMar>
              <w:left w:w="0" w:type="dxa"/>
            </w:tcMar>
          </w:tcPr>
          <w:p w14:paraId="02CFC885" w14:textId="77777777" w:rsidR="009C3907" w:rsidRPr="00813E5E" w:rsidRDefault="009C3907" w:rsidP="00CB3E7C">
            <w:pPr>
              <w:pStyle w:val="Subtitle"/>
              <w:framePr w:hSpace="0" w:wrap="auto" w:hAnchor="text" w:xAlign="left" w:yAlign="inline"/>
            </w:pPr>
            <w:bookmarkStart w:id="5" w:name="dtitle1" w:colFirst="0" w:colLast="0"/>
            <w:bookmarkEnd w:id="4"/>
            <w:r>
              <w:t>INCREASING TRANSPARENCY OF MEMORANDA OF UNDERSTANDING</w:t>
            </w:r>
          </w:p>
        </w:tc>
      </w:tr>
      <w:tr w:rsidR="009C3907" w:rsidRPr="00813E5E" w14:paraId="11C2B091" w14:textId="77777777" w:rsidTr="00CB3E7C">
        <w:trPr>
          <w:cantSplit/>
        </w:trPr>
        <w:tc>
          <w:tcPr>
            <w:tcW w:w="9214" w:type="dxa"/>
            <w:gridSpan w:val="2"/>
            <w:tcBorders>
              <w:top w:val="single" w:sz="4" w:space="0" w:color="auto"/>
              <w:bottom w:val="single" w:sz="4" w:space="0" w:color="auto"/>
            </w:tcBorders>
            <w:tcMar>
              <w:left w:w="0" w:type="dxa"/>
            </w:tcMar>
          </w:tcPr>
          <w:p w14:paraId="1FE8F73E" w14:textId="5097E169" w:rsidR="009C3907" w:rsidRPr="00F16BAB" w:rsidRDefault="009C3907" w:rsidP="00CB3E7C">
            <w:pPr>
              <w:spacing w:before="160"/>
              <w:rPr>
                <w:b/>
                <w:bCs/>
                <w:sz w:val="26"/>
                <w:szCs w:val="26"/>
              </w:rPr>
            </w:pPr>
            <w:r w:rsidRPr="00F16BAB">
              <w:rPr>
                <w:b/>
                <w:bCs/>
                <w:sz w:val="26"/>
                <w:szCs w:val="26"/>
              </w:rPr>
              <w:t>Purpose</w:t>
            </w:r>
          </w:p>
          <w:p w14:paraId="4761DADE" w14:textId="77777777" w:rsidR="009C3907" w:rsidRPr="00813E5E" w:rsidRDefault="009C3907" w:rsidP="00CB3E7C">
            <w:r>
              <w:t xml:space="preserve">This </w:t>
            </w:r>
            <w:r>
              <w:rPr>
                <w:rFonts w:asciiTheme="minorHAnsi" w:hAnsiTheme="minorHAnsi" w:cstheme="minorHAnsi"/>
              </w:rPr>
              <w:t>contribution recommends</w:t>
            </w:r>
            <w:r w:rsidRPr="008108B7">
              <w:rPr>
                <w:rFonts w:asciiTheme="minorHAnsi" w:hAnsiTheme="minorHAnsi" w:cstheme="minorHAnsi"/>
              </w:rPr>
              <w:t xml:space="preserve"> </w:t>
            </w:r>
            <w:r>
              <w:rPr>
                <w:rFonts w:asciiTheme="minorHAnsi" w:hAnsiTheme="minorHAnsi" w:cstheme="minorHAnsi"/>
              </w:rPr>
              <w:t>that ITU take steps to continue its momentum towards greater transparency and accountability of Memoranda of Understanding (MoUs), consistent with decisions of PP-18 and PP-22.</w:t>
            </w:r>
          </w:p>
          <w:p w14:paraId="10164C38" w14:textId="77777777" w:rsidR="009C3907" w:rsidRPr="00F16BAB" w:rsidRDefault="009C3907" w:rsidP="00CB3E7C">
            <w:pPr>
              <w:spacing w:before="160"/>
              <w:rPr>
                <w:b/>
                <w:bCs/>
                <w:sz w:val="26"/>
                <w:szCs w:val="26"/>
              </w:rPr>
            </w:pPr>
            <w:r w:rsidRPr="00F16BAB">
              <w:rPr>
                <w:b/>
                <w:bCs/>
                <w:sz w:val="26"/>
                <w:szCs w:val="26"/>
              </w:rPr>
              <w:t>Action required by the Council</w:t>
            </w:r>
          </w:p>
          <w:p w14:paraId="4276C474" w14:textId="77777777" w:rsidR="009C3907" w:rsidRPr="005970AB" w:rsidRDefault="009C3907" w:rsidP="00CB3E7C">
            <w:pPr>
              <w:spacing w:after="120"/>
              <w:jc w:val="both"/>
              <w:rPr>
                <w:rFonts w:cstheme="minorHAnsi"/>
              </w:rPr>
            </w:pPr>
            <w:r>
              <w:rPr>
                <w:rFonts w:cstheme="minorHAnsi"/>
                <w:color w:val="000000" w:themeColor="text1"/>
              </w:rPr>
              <w:t xml:space="preserve">This document </w:t>
            </w:r>
            <w:r w:rsidRPr="005970AB">
              <w:rPr>
                <w:rFonts w:cstheme="minorHAnsi"/>
                <w:color w:val="000000" w:themeColor="text1"/>
              </w:rPr>
              <w:t>is submitted</w:t>
            </w:r>
            <w:r>
              <w:rPr>
                <w:rFonts w:cstheme="minorHAnsi"/>
                <w:color w:val="000000" w:themeColor="text1"/>
              </w:rPr>
              <w:t xml:space="preserve"> </w:t>
            </w:r>
            <w:r w:rsidRPr="00242E6D">
              <w:rPr>
                <w:rFonts w:cstheme="minorHAnsi"/>
                <w:b/>
                <w:bCs/>
                <w:color w:val="000000" w:themeColor="text1"/>
              </w:rPr>
              <w:t>for Council consideration</w:t>
            </w:r>
            <w:r>
              <w:rPr>
                <w:rFonts w:cstheme="minorHAnsi"/>
                <w:color w:val="000000" w:themeColor="text1"/>
              </w:rPr>
              <w:t xml:space="preserve">. Council is invited to </w:t>
            </w:r>
            <w:r w:rsidRPr="00242E6D">
              <w:rPr>
                <w:rFonts w:cstheme="minorHAnsi"/>
                <w:b/>
                <w:bCs/>
                <w:color w:val="000000" w:themeColor="text1"/>
              </w:rPr>
              <w:t>provide guidance</w:t>
            </w:r>
            <w:r>
              <w:rPr>
                <w:rFonts w:cstheme="minorHAnsi"/>
                <w:color w:val="000000" w:themeColor="text1"/>
              </w:rPr>
              <w:t xml:space="preserve"> on the proposal</w:t>
            </w:r>
            <w:r w:rsidRPr="007F4A85">
              <w:rPr>
                <w:rFonts w:cstheme="minorHAnsi"/>
              </w:rPr>
              <w:t>.</w:t>
            </w:r>
          </w:p>
          <w:p w14:paraId="615B7440" w14:textId="77777777" w:rsidR="009C3907" w:rsidRPr="00813E5E" w:rsidRDefault="009C3907" w:rsidP="00CB3E7C">
            <w:pPr>
              <w:spacing w:before="160"/>
              <w:rPr>
                <w:caps/>
                <w:sz w:val="22"/>
              </w:rPr>
            </w:pPr>
            <w:r w:rsidRPr="00813E5E">
              <w:rPr>
                <w:sz w:val="22"/>
              </w:rPr>
              <w:t>____________</w:t>
            </w:r>
            <w:r>
              <w:rPr>
                <w:sz w:val="22"/>
              </w:rPr>
              <w:t>______</w:t>
            </w:r>
          </w:p>
          <w:p w14:paraId="0C879A7D" w14:textId="77777777" w:rsidR="009C3907" w:rsidRDefault="009C3907" w:rsidP="00CB3E7C">
            <w:pPr>
              <w:spacing w:before="160"/>
              <w:rPr>
                <w:b/>
                <w:bCs/>
                <w:sz w:val="26"/>
                <w:szCs w:val="26"/>
              </w:rPr>
            </w:pPr>
            <w:r w:rsidRPr="00F16BAB">
              <w:rPr>
                <w:b/>
                <w:bCs/>
                <w:sz w:val="26"/>
                <w:szCs w:val="26"/>
              </w:rPr>
              <w:t>References</w:t>
            </w:r>
          </w:p>
          <w:p w14:paraId="493E5BB7" w14:textId="62E45E91" w:rsidR="009C3907" w:rsidRDefault="009C3907" w:rsidP="009C3907">
            <w:pPr>
              <w:pStyle w:val="ListParagraph"/>
              <w:numPr>
                <w:ilvl w:val="0"/>
                <w:numId w:val="22"/>
              </w:numPr>
              <w:rPr>
                <w:rStyle w:val="Hyperlink"/>
              </w:rPr>
            </w:pPr>
            <w:r w:rsidRPr="00914CC8">
              <w:rPr>
                <w:szCs w:val="24"/>
              </w:rPr>
              <w:t>PP-18 decision on MoUs</w:t>
            </w:r>
            <w:r w:rsidRPr="00914CC8">
              <w:rPr>
                <w:color w:val="242424"/>
                <w:shd w:val="clear" w:color="auto" w:fill="FFFFFF"/>
              </w:rPr>
              <w:t xml:space="preserve"> at 2.13 of </w:t>
            </w:r>
            <w:hyperlink r:id="rId11" w:history="1">
              <w:r w:rsidR="00242E6D" w:rsidRPr="00242E6D">
                <w:rPr>
                  <w:rStyle w:val="Hyperlink"/>
                  <w:shd w:val="clear" w:color="auto" w:fill="FFFFFF"/>
                </w:rPr>
                <w:t>Document PP-18/173</w:t>
              </w:r>
            </w:hyperlink>
          </w:p>
          <w:p w14:paraId="78515F0F" w14:textId="7474E5D7" w:rsidR="009C3907" w:rsidRDefault="009C3907" w:rsidP="009C3907">
            <w:pPr>
              <w:pStyle w:val="ListParagraph"/>
              <w:numPr>
                <w:ilvl w:val="0"/>
                <w:numId w:val="22"/>
              </w:numPr>
            </w:pPr>
            <w:r w:rsidRPr="00914CC8">
              <w:rPr>
                <w:color w:val="242424"/>
                <w:shd w:val="clear" w:color="auto" w:fill="FFFFFF"/>
              </w:rPr>
              <w:t>Re</w:t>
            </w:r>
            <w:r>
              <w:rPr>
                <w:color w:val="242424"/>
                <w:shd w:val="clear" w:color="auto" w:fill="FFFFFF"/>
              </w:rPr>
              <w:t>-con</w:t>
            </w:r>
            <w:r w:rsidRPr="00914CC8">
              <w:rPr>
                <w:color w:val="242424"/>
                <w:shd w:val="clear" w:color="auto" w:fill="FFFFFF"/>
              </w:rPr>
              <w:t xml:space="preserve">firmation of </w:t>
            </w:r>
            <w:r>
              <w:rPr>
                <w:color w:val="242424"/>
                <w:shd w:val="clear" w:color="auto" w:fill="FFFFFF"/>
              </w:rPr>
              <w:t xml:space="preserve">the </w:t>
            </w:r>
            <w:r w:rsidRPr="00914CC8">
              <w:rPr>
                <w:color w:val="242424"/>
                <w:shd w:val="clear" w:color="auto" w:fill="FFFFFF"/>
              </w:rPr>
              <w:t xml:space="preserve">PP-18 decision at PP-22 (recommendation 3 in the </w:t>
            </w:r>
            <w:hyperlink r:id="rId12" w:history="1">
              <w:r w:rsidRPr="00242E6D">
                <w:rPr>
                  <w:rStyle w:val="Hyperlink"/>
                </w:rPr>
                <w:t>Co</w:t>
              </w:r>
              <w:r w:rsidRPr="00242E6D">
                <w:rPr>
                  <w:rStyle w:val="Hyperlink"/>
                </w:rPr>
                <w:t>m</w:t>
              </w:r>
              <w:r w:rsidRPr="00242E6D">
                <w:rPr>
                  <w:rStyle w:val="Hyperlink"/>
                </w:rPr>
                <w:t>mittee 5 Chair’s report to Plenary</w:t>
              </w:r>
              <w:r w:rsidR="00242E6D" w:rsidRPr="00242E6D">
                <w:rPr>
                  <w:rStyle w:val="Hyperlink"/>
                </w:rPr>
                <w:t xml:space="preserve"> (Document PP-22/189)</w:t>
              </w:r>
            </w:hyperlink>
            <w:r>
              <w:t xml:space="preserve">, which was approved at the 16th Plenary Meeting at 3.9 of </w:t>
            </w:r>
            <w:hyperlink r:id="rId13" w:history="1">
              <w:r w:rsidR="00242E6D" w:rsidRPr="00242E6D">
                <w:rPr>
                  <w:rStyle w:val="Hyperlink"/>
                </w:rPr>
                <w:t>Document PP-22/206</w:t>
              </w:r>
            </w:hyperlink>
            <w:r>
              <w:t>).</w:t>
            </w:r>
          </w:p>
          <w:p w14:paraId="64B8ABA6" w14:textId="77777777" w:rsidR="009C3907" w:rsidRPr="005970AB" w:rsidRDefault="00D97EF3" w:rsidP="009C3907">
            <w:pPr>
              <w:pStyle w:val="ListParagraph"/>
              <w:numPr>
                <w:ilvl w:val="0"/>
                <w:numId w:val="22"/>
              </w:numPr>
              <w:rPr>
                <w:rStyle w:val="Hyperlink"/>
                <w:color w:val="auto"/>
                <w:u w:val="none"/>
                <w:lang w:val="en-US"/>
              </w:rPr>
            </w:pPr>
            <w:hyperlink r:id="rId14" w:history="1">
              <w:r w:rsidR="009C3907" w:rsidRPr="00914CC8">
                <w:rPr>
                  <w:rStyle w:val="Hyperlink"/>
                  <w:lang w:val="en-US"/>
                </w:rPr>
                <w:t>ITU M</w:t>
              </w:r>
              <w:r w:rsidR="009C3907" w:rsidRPr="00914CC8">
                <w:rPr>
                  <w:rStyle w:val="Hyperlink"/>
                  <w:lang w:val="en-US"/>
                </w:rPr>
                <w:t>o</w:t>
              </w:r>
              <w:r w:rsidR="009C3907" w:rsidRPr="00914CC8">
                <w:rPr>
                  <w:rStyle w:val="Hyperlink"/>
                  <w:lang w:val="en-US"/>
                </w:rPr>
                <w:t>U Dashboard</w:t>
              </w:r>
            </w:hyperlink>
          </w:p>
          <w:p w14:paraId="1B9DDA0C" w14:textId="496CE6A5" w:rsidR="009C3907" w:rsidRPr="005970AB" w:rsidRDefault="009C3907" w:rsidP="009C3907">
            <w:pPr>
              <w:pStyle w:val="ListParagraph"/>
              <w:numPr>
                <w:ilvl w:val="0"/>
                <w:numId w:val="22"/>
              </w:numPr>
              <w:rPr>
                <w:lang w:val="en-US"/>
              </w:rPr>
            </w:pPr>
            <w:r>
              <w:t xml:space="preserve">2021 Council reporting of </w:t>
            </w:r>
            <w:proofErr w:type="spellStart"/>
            <w:r>
              <w:t>MoUs</w:t>
            </w:r>
            <w:proofErr w:type="spellEnd"/>
            <w:r>
              <w:t xml:space="preserve">, </w:t>
            </w:r>
            <w:hyperlink r:id="rId15" w:history="1">
              <w:r w:rsidR="00242E6D" w:rsidRPr="00242E6D">
                <w:rPr>
                  <w:rStyle w:val="Hyperlink"/>
                </w:rPr>
                <w:t>Document C21/45</w:t>
              </w:r>
            </w:hyperlink>
            <w:r>
              <w:rPr>
                <w:rStyle w:val="Hyperlink"/>
              </w:rPr>
              <w:br/>
            </w:r>
          </w:p>
        </w:tc>
      </w:tr>
      <w:bookmarkEnd w:id="5"/>
    </w:tbl>
    <w:p w14:paraId="74FC529C" w14:textId="77777777" w:rsidR="009C3907" w:rsidRPr="00242E6D" w:rsidRDefault="009C3907" w:rsidP="009C3907">
      <w:pPr>
        <w:tabs>
          <w:tab w:val="clear" w:pos="567"/>
          <w:tab w:val="clear" w:pos="1134"/>
          <w:tab w:val="clear" w:pos="1701"/>
          <w:tab w:val="clear" w:pos="2268"/>
          <w:tab w:val="clear" w:pos="2835"/>
        </w:tabs>
        <w:overflowPunct/>
        <w:autoSpaceDE/>
        <w:autoSpaceDN/>
        <w:adjustRightInd/>
        <w:spacing w:before="0"/>
        <w:textAlignment w:val="auto"/>
        <w:rPr>
          <w:b/>
        </w:rPr>
      </w:pPr>
      <w:r w:rsidRPr="00242E6D">
        <w:br w:type="page"/>
      </w:r>
    </w:p>
    <w:p w14:paraId="0EFA23C2" w14:textId="77777777" w:rsidR="009C3907" w:rsidRPr="009C3907" w:rsidRDefault="009C3907" w:rsidP="00242E6D">
      <w:pPr>
        <w:spacing w:before="240" w:after="120"/>
        <w:rPr>
          <w:rFonts w:asciiTheme="minorHAnsi" w:hAnsiTheme="minorHAnsi" w:cstheme="minorHAnsi"/>
          <w:b/>
          <w:bCs/>
          <w:sz w:val="26"/>
          <w:szCs w:val="26"/>
        </w:rPr>
      </w:pPr>
      <w:r w:rsidRPr="009C3907">
        <w:rPr>
          <w:rFonts w:asciiTheme="minorHAnsi" w:hAnsiTheme="minorHAnsi" w:cstheme="minorHAnsi"/>
          <w:b/>
          <w:bCs/>
          <w:sz w:val="26"/>
          <w:szCs w:val="26"/>
        </w:rPr>
        <w:lastRenderedPageBreak/>
        <w:t>Introduction</w:t>
      </w:r>
    </w:p>
    <w:p w14:paraId="2D3A9156" w14:textId="77777777" w:rsidR="009C3907" w:rsidRDefault="009C3907" w:rsidP="00242E6D">
      <w:pPr>
        <w:ind w:right="-1"/>
        <w:jc w:val="both"/>
      </w:pPr>
      <w:r>
        <w:t>Transparency promotes accountability and contributes to building ITU Members’ knowledge and trust in ITU’s activities. With transparent reporting of MoUs, ITU Members are better informed and better positioned to generate insights that can help support ITU’s efficiency and effectiveness. ITU Member States can also be confident that their financial contributions are supporting resource mobilisation that contributes to achieving ITU’s mission, to connect the world.</w:t>
      </w:r>
    </w:p>
    <w:p w14:paraId="3AE64B23" w14:textId="696B264D" w:rsidR="009C3907" w:rsidRDefault="009C3907" w:rsidP="00242E6D">
      <w:pPr>
        <w:jc w:val="both"/>
        <w:rPr>
          <w:sz w:val="22"/>
          <w:lang w:val="en-AU"/>
        </w:rPr>
      </w:pPr>
      <w:r>
        <w:t>Following extensive discussions on improving the transparency of ITU MoUs at PP-22, the conference reaffirmed the PP-18 decision (</w:t>
      </w:r>
      <w:r>
        <w:rPr>
          <w:color w:val="242424"/>
          <w:shd w:val="clear" w:color="auto" w:fill="FFFFFF"/>
        </w:rPr>
        <w:t xml:space="preserve">at 2.13 of </w:t>
      </w:r>
      <w:hyperlink r:id="rId16" w:history="1">
        <w:r w:rsidR="00242E6D" w:rsidRPr="00242E6D">
          <w:rPr>
            <w:rStyle w:val="Hyperlink"/>
            <w:shd w:val="clear" w:color="auto" w:fill="FFFFFF"/>
          </w:rPr>
          <w:t>Document PP-18/173</w:t>
        </w:r>
      </w:hyperlink>
      <w:r>
        <w:rPr>
          <w:color w:val="242424"/>
          <w:shd w:val="clear" w:color="auto" w:fill="FFFFFF"/>
        </w:rPr>
        <w:t xml:space="preserve">), that the </w:t>
      </w:r>
      <w:r>
        <w:rPr>
          <w:lang w:val="en-CA"/>
        </w:rPr>
        <w:t xml:space="preserve">Secretary-General shall submit to the ordinary session of the Council for prior approval MoUs that </w:t>
      </w:r>
      <w:r>
        <w:rPr>
          <w:rFonts w:cs="Calibri"/>
          <w:szCs w:val="24"/>
          <w:lang w:val="en-CA"/>
        </w:rPr>
        <w:t>have substantial financial and/or strategic implications</w:t>
      </w:r>
      <w:r>
        <w:rPr>
          <w:color w:val="242424"/>
          <w:shd w:val="clear" w:color="auto" w:fill="FFFFFF"/>
        </w:rPr>
        <w:t>; and that other (non-significant) MoUs should continue to be reported to Council (at PP</w:t>
      </w:r>
      <w:r>
        <w:rPr>
          <w:color w:val="242424"/>
          <w:shd w:val="clear" w:color="auto" w:fill="FFFFFF"/>
        </w:rPr>
        <w:noBreakHyphen/>
        <w:t xml:space="preserve">22, this was recommendation 3 in the </w:t>
      </w:r>
      <w:hyperlink r:id="rId17" w:history="1">
        <w:r>
          <w:rPr>
            <w:rStyle w:val="Hyperlink"/>
          </w:rPr>
          <w:t>Committee 5 Chair’s report to Plenary</w:t>
        </w:r>
      </w:hyperlink>
      <w:r w:rsidR="00242E6D">
        <w:rPr>
          <w:rStyle w:val="Hyperlink"/>
        </w:rPr>
        <w:t xml:space="preserve"> </w:t>
      </w:r>
      <w:r w:rsidR="00242E6D" w:rsidRPr="00242E6D">
        <w:rPr>
          <w:rStyle w:val="Hyperlink"/>
        </w:rPr>
        <w:t>(Document PP-22/189)</w:t>
      </w:r>
      <w:r>
        <w:t xml:space="preserve">, which was approved at the 16th Plenary Meeting at 3.9 of </w:t>
      </w:r>
      <w:hyperlink r:id="rId18" w:history="1">
        <w:r w:rsidR="00242E6D" w:rsidRPr="00242E6D">
          <w:rPr>
            <w:rStyle w:val="Hyperlink"/>
          </w:rPr>
          <w:t>Document PP-22/206</w:t>
        </w:r>
      </w:hyperlink>
      <w:r>
        <w:t>).</w:t>
      </w:r>
    </w:p>
    <w:p w14:paraId="2FDD4EB7" w14:textId="77777777" w:rsidR="009C3907" w:rsidRDefault="009C3907" w:rsidP="00242E6D">
      <w:pPr>
        <w:jc w:val="both"/>
        <w:rPr>
          <w:lang w:val="en-US"/>
        </w:rPr>
      </w:pPr>
      <w:r>
        <w:rPr>
          <w:lang w:val="en-US"/>
        </w:rPr>
        <w:t xml:space="preserve">Australia commends ITU’s progress to date to improve transparency and accountability, including launching the </w:t>
      </w:r>
      <w:bookmarkStart w:id="6" w:name="_Hlk134629210"/>
      <w:r>
        <w:rPr>
          <w:lang w:val="en-US"/>
        </w:rPr>
        <w:fldChar w:fldCharType="begin"/>
      </w:r>
      <w:r>
        <w:rPr>
          <w:lang w:val="en-US"/>
        </w:rPr>
        <w:instrText xml:space="preserve"> HYPERLINK "https://www.itu.int/en/council/dashboard/Pages/Mou.aspx" </w:instrText>
      </w:r>
      <w:r>
        <w:rPr>
          <w:lang w:val="en-US"/>
        </w:rPr>
      </w:r>
      <w:r>
        <w:rPr>
          <w:lang w:val="en-US"/>
        </w:rPr>
        <w:fldChar w:fldCharType="separate"/>
      </w:r>
      <w:r w:rsidRPr="0096624D">
        <w:rPr>
          <w:rStyle w:val="Hyperlink"/>
          <w:lang w:val="en-US"/>
        </w:rPr>
        <w:t>ITU MoU Dashboard</w:t>
      </w:r>
      <w:r>
        <w:rPr>
          <w:lang w:val="en-US"/>
        </w:rPr>
        <w:fldChar w:fldCharType="end"/>
      </w:r>
      <w:bookmarkEnd w:id="6"/>
      <w:r>
        <w:rPr>
          <w:lang w:val="en-US"/>
        </w:rPr>
        <w:t xml:space="preserve"> that provides links to Council reporting on MoUs. Australia also notes that, since the PP-18 decision: </w:t>
      </w:r>
    </w:p>
    <w:p w14:paraId="58218384" w14:textId="675ADD2D" w:rsidR="009C3907" w:rsidRDefault="009C3907" w:rsidP="00242E6D">
      <w:pPr>
        <w:pStyle w:val="ListParagraph"/>
        <w:numPr>
          <w:ilvl w:val="0"/>
          <w:numId w:val="20"/>
        </w:numPr>
        <w:tabs>
          <w:tab w:val="clear" w:pos="567"/>
          <w:tab w:val="clear" w:pos="1134"/>
          <w:tab w:val="clear" w:pos="1701"/>
          <w:tab w:val="clear" w:pos="2268"/>
          <w:tab w:val="clear" w:pos="2835"/>
        </w:tabs>
        <w:overflowPunct/>
        <w:autoSpaceDE/>
        <w:autoSpaceDN/>
        <w:adjustRightInd/>
        <w:ind w:left="357" w:hanging="357"/>
        <w:contextualSpacing w:val="0"/>
        <w:jc w:val="both"/>
        <w:textAlignment w:val="auto"/>
      </w:pPr>
      <w:r>
        <w:rPr>
          <w:lang w:val="en-US"/>
        </w:rPr>
        <w:t xml:space="preserve">ITU has not assessed any </w:t>
      </w:r>
      <w:proofErr w:type="spellStart"/>
      <w:r>
        <w:rPr>
          <w:lang w:val="en-US"/>
        </w:rPr>
        <w:t>MoUs</w:t>
      </w:r>
      <w:proofErr w:type="spellEnd"/>
      <w:r>
        <w:rPr>
          <w:lang w:val="en-US"/>
        </w:rPr>
        <w:t xml:space="preserve"> as having significant strategic or financial implications (this</w:t>
      </w:r>
      <w:r w:rsidR="00242E6D">
        <w:rPr>
          <w:lang w:val="en-US"/>
        </w:rPr>
        <w:t xml:space="preserve"> </w:t>
      </w:r>
      <w:r>
        <w:rPr>
          <w:lang w:val="en-US"/>
        </w:rPr>
        <w:t>is evident as</w:t>
      </w:r>
      <w:r w:rsidR="00242E6D">
        <w:rPr>
          <w:lang w:val="en-US"/>
        </w:rPr>
        <w:t xml:space="preserve"> </w:t>
      </w:r>
      <w:r>
        <w:t xml:space="preserve">no </w:t>
      </w:r>
      <w:proofErr w:type="spellStart"/>
      <w:r>
        <w:t>MoUs</w:t>
      </w:r>
      <w:proofErr w:type="spellEnd"/>
      <w:r>
        <w:t xml:space="preserve"> have been provided to Council for approval)</w:t>
      </w:r>
    </w:p>
    <w:p w14:paraId="18BF5245" w14:textId="7CBACCA2" w:rsidR="009C3907" w:rsidRDefault="009C3907" w:rsidP="00242E6D">
      <w:pPr>
        <w:pStyle w:val="ListParagraph"/>
        <w:numPr>
          <w:ilvl w:val="0"/>
          <w:numId w:val="20"/>
        </w:numPr>
        <w:tabs>
          <w:tab w:val="clear" w:pos="567"/>
          <w:tab w:val="clear" w:pos="1134"/>
          <w:tab w:val="clear" w:pos="1701"/>
          <w:tab w:val="clear" w:pos="2268"/>
          <w:tab w:val="clear" w:pos="2835"/>
        </w:tabs>
        <w:overflowPunct/>
        <w:autoSpaceDE/>
        <w:autoSpaceDN/>
        <w:adjustRightInd/>
        <w:ind w:left="357" w:hanging="357"/>
        <w:contextualSpacing w:val="0"/>
        <w:jc w:val="both"/>
        <w:textAlignment w:val="auto"/>
      </w:pPr>
      <w:proofErr w:type="gramStart"/>
      <w:r>
        <w:t>a number of</w:t>
      </w:r>
      <w:proofErr w:type="gramEnd"/>
      <w:r>
        <w:t xml:space="preserve"> MoUs appear not to have been reported to Council, perhaps as they are not specifically titled as such (for</w:t>
      </w:r>
      <w:r w:rsidR="00242E6D">
        <w:t xml:space="preserve"> </w:t>
      </w:r>
      <w:r>
        <w:t>example, they may instead be labelled ‘Memorandum of Cooperation’ or ‘Memorandum of Agreement’).</w:t>
      </w:r>
    </w:p>
    <w:p w14:paraId="7EC3E972" w14:textId="4632E371" w:rsidR="009C3907" w:rsidRDefault="009C3907" w:rsidP="00242E6D">
      <w:pPr>
        <w:jc w:val="both"/>
      </w:pPr>
      <w:r>
        <w:rPr>
          <w:lang w:val="en-US"/>
        </w:rPr>
        <w:t>This contribution from Australia proposes next steps to continue ITU’s momentum towards achieving greater transparency</w:t>
      </w:r>
      <w:r>
        <w:t>.</w:t>
      </w:r>
    </w:p>
    <w:p w14:paraId="3CDFA616" w14:textId="77777777" w:rsidR="009C3907" w:rsidRPr="009C3907" w:rsidRDefault="009C3907" w:rsidP="00242E6D">
      <w:pPr>
        <w:spacing w:before="240" w:after="120"/>
        <w:rPr>
          <w:rFonts w:asciiTheme="minorHAnsi" w:hAnsiTheme="minorHAnsi" w:cstheme="minorHAnsi"/>
          <w:b/>
          <w:bCs/>
          <w:sz w:val="26"/>
          <w:szCs w:val="26"/>
        </w:rPr>
      </w:pPr>
      <w:r w:rsidRPr="009C3907">
        <w:rPr>
          <w:rFonts w:asciiTheme="minorHAnsi" w:hAnsiTheme="minorHAnsi" w:cstheme="minorHAnsi"/>
          <w:b/>
          <w:bCs/>
          <w:sz w:val="26"/>
          <w:szCs w:val="26"/>
        </w:rPr>
        <w:t xml:space="preserve">Proposal </w:t>
      </w:r>
    </w:p>
    <w:p w14:paraId="6AF37494" w14:textId="77777777" w:rsidR="009C3907" w:rsidRDefault="009C3907" w:rsidP="00242E6D">
      <w:pPr>
        <w:jc w:val="both"/>
        <w:rPr>
          <w:lang w:val="en-US"/>
        </w:rPr>
      </w:pPr>
      <w:r>
        <w:rPr>
          <w:lang w:val="en-US"/>
        </w:rPr>
        <w:t>Australia proposes that the ITU Secretariat provide to Council the criteria it uses to determine whether a MoU has significant strategic and/or financial implications, for review. This will build a mutual understanding of which MoUs are to be provided to Council for prior approval.</w:t>
      </w:r>
    </w:p>
    <w:p w14:paraId="18CC42C3" w14:textId="77777777" w:rsidR="009C3907" w:rsidRDefault="009C3907" w:rsidP="00242E6D">
      <w:pPr>
        <w:rPr>
          <w:lang w:val="en-US"/>
        </w:rPr>
      </w:pPr>
      <w:r>
        <w:rPr>
          <w:lang w:val="en-US"/>
        </w:rPr>
        <w:t>Australia further proposes that the ITU Secretariat update the MoU dashboard, to:</w:t>
      </w:r>
    </w:p>
    <w:p w14:paraId="6F29E304" w14:textId="77777777" w:rsidR="009C3907" w:rsidRPr="00AE371D" w:rsidRDefault="009C3907" w:rsidP="00242E6D">
      <w:pPr>
        <w:pStyle w:val="ListParagraph"/>
        <w:numPr>
          <w:ilvl w:val="0"/>
          <w:numId w:val="20"/>
        </w:numPr>
        <w:tabs>
          <w:tab w:val="clear" w:pos="567"/>
          <w:tab w:val="clear" w:pos="1134"/>
          <w:tab w:val="clear" w:pos="1701"/>
          <w:tab w:val="clear" w:pos="2268"/>
          <w:tab w:val="clear" w:pos="2835"/>
        </w:tabs>
        <w:overflowPunct/>
        <w:autoSpaceDE/>
        <w:autoSpaceDN/>
        <w:adjustRightInd/>
        <w:ind w:left="357" w:hanging="357"/>
        <w:contextualSpacing w:val="0"/>
        <w:textAlignment w:val="auto"/>
        <w:rPr>
          <w:sz w:val="22"/>
          <w:lang w:val="en-AU"/>
        </w:rPr>
      </w:pPr>
      <w:r w:rsidRPr="00AE371D">
        <w:rPr>
          <w:lang w:val="en-US"/>
        </w:rPr>
        <w:t xml:space="preserve">review </w:t>
      </w:r>
      <w:r>
        <w:rPr>
          <w:lang w:val="en-US"/>
        </w:rPr>
        <w:t>its</w:t>
      </w:r>
      <w:r w:rsidRPr="00AE371D">
        <w:rPr>
          <w:lang w:val="en-US"/>
        </w:rPr>
        <w:t xml:space="preserve"> presentation, so it can </w:t>
      </w:r>
      <w:r>
        <w:rPr>
          <w:lang w:val="en-US"/>
        </w:rPr>
        <w:t xml:space="preserve">serve </w:t>
      </w:r>
      <w:r w:rsidRPr="00AE371D">
        <w:rPr>
          <w:lang w:val="en-US"/>
        </w:rPr>
        <w:t>as a</w:t>
      </w:r>
      <w:r>
        <w:rPr>
          <w:lang w:val="en-US"/>
        </w:rPr>
        <w:t xml:space="preserve"> useful </w:t>
      </w:r>
      <w:r w:rsidRPr="00AE371D">
        <w:rPr>
          <w:lang w:val="en-US"/>
        </w:rPr>
        <w:t>tool</w:t>
      </w:r>
      <w:r>
        <w:rPr>
          <w:lang w:val="en-US"/>
        </w:rPr>
        <w:t xml:space="preserve"> for analysis</w:t>
      </w:r>
      <w:r w:rsidRPr="00AE371D">
        <w:rPr>
          <w:lang w:val="en-US"/>
        </w:rPr>
        <w:t xml:space="preserve">. </w:t>
      </w:r>
      <w:r>
        <w:rPr>
          <w:lang w:val="en-US"/>
        </w:rPr>
        <w:t>F</w:t>
      </w:r>
      <w:r w:rsidRPr="00AE371D">
        <w:rPr>
          <w:lang w:val="en-US"/>
        </w:rPr>
        <w:t>or example, the dashboard could be laid out as a table with table headers</w:t>
      </w:r>
      <w:r>
        <w:rPr>
          <w:lang w:val="en-US"/>
        </w:rPr>
        <w:t>, with each MoU entered in a separate line:</w:t>
      </w:r>
    </w:p>
    <w:p w14:paraId="34F708CA" w14:textId="2C951D19" w:rsidR="009C3907" w:rsidRPr="00AE371D" w:rsidRDefault="009C3907" w:rsidP="00242E6D">
      <w:pPr>
        <w:pStyle w:val="ListParagraph"/>
        <w:numPr>
          <w:ilvl w:val="1"/>
          <w:numId w:val="20"/>
        </w:numPr>
        <w:tabs>
          <w:tab w:val="clear" w:pos="567"/>
          <w:tab w:val="clear" w:pos="1134"/>
          <w:tab w:val="clear" w:pos="1701"/>
          <w:tab w:val="clear" w:pos="2268"/>
          <w:tab w:val="clear" w:pos="2835"/>
        </w:tabs>
        <w:overflowPunct/>
        <w:autoSpaceDE/>
        <w:autoSpaceDN/>
        <w:adjustRightInd/>
        <w:ind w:left="1077" w:hanging="357"/>
        <w:contextualSpacing w:val="0"/>
        <w:textAlignment w:val="auto"/>
        <w:rPr>
          <w:sz w:val="22"/>
          <w:lang w:val="en-AU"/>
        </w:rPr>
      </w:pPr>
      <w:r>
        <w:rPr>
          <w:lang w:val="en-US"/>
        </w:rPr>
        <w:t xml:space="preserve">ITU has previously used headers and these could be re-incorporated. Those headings </w:t>
      </w:r>
      <w:proofErr w:type="gramStart"/>
      <w:r>
        <w:rPr>
          <w:lang w:val="en-US"/>
        </w:rPr>
        <w:t>include:</w:t>
      </w:r>
      <w:proofErr w:type="gramEnd"/>
      <w:r>
        <w:rPr>
          <w:lang w:val="en-US"/>
        </w:rPr>
        <w:t xml:space="preserve"> </w:t>
      </w:r>
      <w:r>
        <w:t xml:space="preserve">Counterpart(s); Subject; Date of signature; ITU Focal Point, (see 2021 Council reporting, </w:t>
      </w:r>
      <w:hyperlink r:id="rId19" w:history="1">
        <w:r w:rsidR="00242E6D" w:rsidRPr="00242E6D">
          <w:rPr>
            <w:rStyle w:val="Hyperlink"/>
          </w:rPr>
          <w:t>Document C21/45</w:t>
        </w:r>
      </w:hyperlink>
      <w:r>
        <w:t>)</w:t>
      </w:r>
    </w:p>
    <w:p w14:paraId="0418FC70" w14:textId="77777777" w:rsidR="009C3907" w:rsidRPr="00AE371D" w:rsidRDefault="009C3907" w:rsidP="00242E6D">
      <w:pPr>
        <w:pStyle w:val="ListParagraph"/>
        <w:numPr>
          <w:ilvl w:val="1"/>
          <w:numId w:val="20"/>
        </w:numPr>
        <w:tabs>
          <w:tab w:val="clear" w:pos="567"/>
          <w:tab w:val="clear" w:pos="1134"/>
          <w:tab w:val="clear" w:pos="1701"/>
          <w:tab w:val="clear" w:pos="2268"/>
          <w:tab w:val="clear" w:pos="2835"/>
        </w:tabs>
        <w:overflowPunct/>
        <w:autoSpaceDE/>
        <w:autoSpaceDN/>
        <w:adjustRightInd/>
        <w:ind w:left="1077" w:hanging="357"/>
        <w:contextualSpacing w:val="0"/>
        <w:textAlignment w:val="auto"/>
      </w:pPr>
      <w:r>
        <w:t>Additional useful</w:t>
      </w:r>
      <w:r w:rsidRPr="00AE371D">
        <w:t xml:space="preserve"> headers </w:t>
      </w:r>
      <w:r>
        <w:t>could</w:t>
      </w:r>
      <w:r w:rsidRPr="00AE371D">
        <w:t xml:space="preserve"> include: end date; status of MoU activities; financial and/or other resources expended by ITU in the performance of its obligations under the MoU; expected impact / outcomes</w:t>
      </w:r>
      <w:r>
        <w:t>.</w:t>
      </w:r>
    </w:p>
    <w:p w14:paraId="4D98FA00" w14:textId="77777777" w:rsidR="009C3907" w:rsidRPr="00CC325D" w:rsidRDefault="009C3907" w:rsidP="00242E6D">
      <w:pPr>
        <w:pStyle w:val="ListParagraph"/>
        <w:numPr>
          <w:ilvl w:val="0"/>
          <w:numId w:val="20"/>
        </w:numPr>
        <w:tabs>
          <w:tab w:val="clear" w:pos="567"/>
          <w:tab w:val="clear" w:pos="1134"/>
          <w:tab w:val="clear" w:pos="1701"/>
          <w:tab w:val="clear" w:pos="2268"/>
          <w:tab w:val="clear" w:pos="2835"/>
        </w:tabs>
        <w:overflowPunct/>
        <w:autoSpaceDE/>
        <w:autoSpaceDN/>
        <w:adjustRightInd/>
        <w:ind w:left="357" w:hanging="357"/>
        <w:contextualSpacing w:val="0"/>
        <w:jc w:val="both"/>
        <w:textAlignment w:val="auto"/>
        <w:rPr>
          <w:lang w:val="en-US"/>
        </w:rPr>
      </w:pPr>
      <w:r>
        <w:rPr>
          <w:lang w:val="en-US"/>
        </w:rPr>
        <w:t>ensure it captures all MoUs, consistent with the spirit of the PP-18 decision re</w:t>
      </w:r>
      <w:r>
        <w:rPr>
          <w:lang w:val="en-US"/>
        </w:rPr>
        <w:noBreakHyphen/>
        <w:t>affirmed at PP</w:t>
      </w:r>
      <w:r>
        <w:rPr>
          <w:lang w:val="en-US"/>
        </w:rPr>
        <w:noBreakHyphen/>
        <w:t>22. T</w:t>
      </w:r>
      <w:r w:rsidRPr="00CC325D">
        <w:rPr>
          <w:lang w:val="en-US"/>
        </w:rPr>
        <w:t xml:space="preserve">his would include MoUs with alternate titles, such as: </w:t>
      </w:r>
      <w:r>
        <w:rPr>
          <w:lang w:val="en-US"/>
        </w:rPr>
        <w:t xml:space="preserve">partnership agreements; </w:t>
      </w:r>
      <w:r>
        <w:t>collaboration arrangements; Memoranda of Cooperation; Member State Voluntary Contribution agreements; and agreements intended for pluri-regional, regional or national development initiatives.</w:t>
      </w:r>
    </w:p>
    <w:p w14:paraId="673D07A3" w14:textId="0FD68BD7" w:rsidR="004A1B8B" w:rsidRPr="009C3907" w:rsidRDefault="00242E6D" w:rsidP="00242E6D">
      <w:pPr>
        <w:spacing w:before="240"/>
        <w:jc w:val="center"/>
      </w:pPr>
      <w:r>
        <w:t>________________</w:t>
      </w:r>
    </w:p>
    <w:sectPr w:rsidR="004A1B8B" w:rsidRPr="009C3907" w:rsidSect="009C3907">
      <w:footerReference w:type="default" r:id="rId20"/>
      <w:headerReference w:type="firs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85E4" w14:textId="77777777" w:rsidR="00C6352D" w:rsidRDefault="00C6352D">
      <w:r>
        <w:separator/>
      </w:r>
    </w:p>
  </w:endnote>
  <w:endnote w:type="continuationSeparator" w:id="0">
    <w:p w14:paraId="7C46CB16" w14:textId="77777777" w:rsidR="00C6352D" w:rsidRDefault="00C6352D">
      <w:r>
        <w:continuationSeparator/>
      </w:r>
    </w:p>
  </w:endnote>
  <w:endnote w:type="continuationNotice" w:id="1">
    <w:p w14:paraId="1E952FBA" w14:textId="77777777" w:rsidR="002722E5" w:rsidRDefault="002722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C3907" w:rsidRPr="00784011" w14:paraId="4946A28E" w14:textId="77777777" w:rsidTr="00CB3E7C">
      <w:trPr>
        <w:jc w:val="center"/>
      </w:trPr>
      <w:tc>
        <w:tcPr>
          <w:tcW w:w="1803" w:type="dxa"/>
          <w:vAlign w:val="center"/>
        </w:tcPr>
        <w:p w14:paraId="3B4A8C98" w14:textId="54E336EB" w:rsidR="009C3907" w:rsidRDefault="00242E6D" w:rsidP="009C3907">
          <w:pPr>
            <w:pStyle w:val="Header"/>
            <w:jc w:val="left"/>
            <w:rPr>
              <w:noProof/>
            </w:rPr>
          </w:pPr>
          <w:r>
            <w:rPr>
              <w:noProof/>
            </w:rPr>
            <w:t>DPS 525317</w:t>
          </w:r>
        </w:p>
      </w:tc>
      <w:tc>
        <w:tcPr>
          <w:tcW w:w="8261" w:type="dxa"/>
        </w:tcPr>
        <w:p w14:paraId="36006C47" w14:textId="6CEF2D12" w:rsidR="009C3907" w:rsidRPr="00E06FD5" w:rsidRDefault="009C3907" w:rsidP="009C390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242E6D">
            <w:rPr>
              <w:bCs/>
            </w:rPr>
            <w:t>/</w:t>
          </w:r>
          <w:r w:rsidR="00242E6D" w:rsidRPr="00242E6D">
            <w:rPr>
              <w:bCs/>
            </w:rPr>
            <w:t>69</w:t>
          </w:r>
          <w:r w:rsidRPr="00242E6D">
            <w:rPr>
              <w:bCs/>
            </w:rPr>
            <w:t>-E</w:t>
          </w:r>
          <w:r w:rsidRPr="00242E6D">
            <w:rPr>
              <w:bCs/>
            </w:rPr>
            <w:tab/>
          </w:r>
          <w:r w:rsidRPr="00242E6D">
            <w:fldChar w:fldCharType="begin"/>
          </w:r>
          <w:r w:rsidRPr="00242E6D">
            <w:instrText>PAGE</w:instrText>
          </w:r>
          <w:r w:rsidRPr="00242E6D">
            <w:fldChar w:fldCharType="separate"/>
          </w:r>
          <w:r w:rsidRPr="00242E6D">
            <w:t>1</w:t>
          </w:r>
          <w:r w:rsidRPr="00242E6D">
            <w:rPr>
              <w:noProof/>
            </w:rPr>
            <w:fldChar w:fldCharType="end"/>
          </w:r>
        </w:p>
      </w:tc>
    </w:tr>
  </w:tbl>
  <w:p w14:paraId="673D07AC" w14:textId="0126745C" w:rsidR="00C6352D" w:rsidRPr="009C3907" w:rsidRDefault="00C6352D" w:rsidP="009C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C3907" w:rsidRPr="00784011" w14:paraId="5F330FF3" w14:textId="77777777" w:rsidTr="00CB3E7C">
      <w:trPr>
        <w:jc w:val="center"/>
      </w:trPr>
      <w:tc>
        <w:tcPr>
          <w:tcW w:w="1803" w:type="dxa"/>
          <w:vAlign w:val="center"/>
        </w:tcPr>
        <w:p w14:paraId="0CB5F583" w14:textId="77777777" w:rsidR="009C3907" w:rsidRDefault="00D97EF3" w:rsidP="009C3907">
          <w:pPr>
            <w:pStyle w:val="Header"/>
            <w:jc w:val="left"/>
            <w:rPr>
              <w:noProof/>
            </w:rPr>
          </w:pPr>
          <w:hyperlink r:id="rId1" w:history="1">
            <w:r w:rsidR="009C3907" w:rsidRPr="00A514A4">
              <w:rPr>
                <w:rStyle w:val="Hyperlink"/>
                <w:szCs w:val="14"/>
                <w:u w:val="none"/>
              </w:rPr>
              <w:t>www.itu.int/council</w:t>
            </w:r>
          </w:hyperlink>
        </w:p>
      </w:tc>
      <w:tc>
        <w:tcPr>
          <w:tcW w:w="8261" w:type="dxa"/>
        </w:tcPr>
        <w:p w14:paraId="3B985CF6" w14:textId="41C5F407" w:rsidR="009C3907" w:rsidRPr="00E06FD5" w:rsidRDefault="009C3907" w:rsidP="009C3907">
          <w:pPr>
            <w:pStyle w:val="Header"/>
            <w:tabs>
              <w:tab w:val="left" w:pos="7070"/>
              <w:tab w:val="right" w:pos="8505"/>
              <w:tab w:val="right" w:pos="9639"/>
            </w:tabs>
            <w:jc w:val="left"/>
            <w:rPr>
              <w:rFonts w:ascii="Arial" w:hAnsi="Arial" w:cs="Arial"/>
              <w:b/>
              <w:bCs/>
              <w:szCs w:val="18"/>
            </w:rPr>
          </w:pPr>
          <w:r>
            <w:rPr>
              <w:bCs/>
            </w:rPr>
            <w:tab/>
          </w:r>
          <w:r w:rsidRPr="00242E6D">
            <w:rPr>
              <w:bCs/>
            </w:rPr>
            <w:t>C23/</w:t>
          </w:r>
          <w:r w:rsidR="00242E6D" w:rsidRPr="00242E6D">
            <w:rPr>
              <w:bCs/>
            </w:rPr>
            <w:t>69</w:t>
          </w:r>
          <w:r w:rsidRPr="00242E6D">
            <w:rPr>
              <w:bCs/>
            </w:rPr>
            <w:t>-E</w:t>
          </w:r>
          <w:r>
            <w:rPr>
              <w:bCs/>
            </w:rPr>
            <w:tab/>
          </w:r>
          <w:r>
            <w:fldChar w:fldCharType="begin"/>
          </w:r>
          <w:r>
            <w:instrText>PAGE</w:instrText>
          </w:r>
          <w:r>
            <w:fldChar w:fldCharType="separate"/>
          </w:r>
          <w:r>
            <w:t>1</w:t>
          </w:r>
          <w:r>
            <w:rPr>
              <w:noProof/>
            </w:rPr>
            <w:fldChar w:fldCharType="end"/>
          </w:r>
        </w:p>
      </w:tc>
    </w:tr>
  </w:tbl>
  <w:p w14:paraId="673D07AD" w14:textId="21F3454A" w:rsidR="00C6352D" w:rsidRPr="009C3907" w:rsidRDefault="00C6352D" w:rsidP="009C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FFA1" w14:textId="77777777" w:rsidR="00C6352D" w:rsidRDefault="00C6352D">
      <w:r>
        <w:t>____________________</w:t>
      </w:r>
    </w:p>
  </w:footnote>
  <w:footnote w:type="continuationSeparator" w:id="0">
    <w:p w14:paraId="6CFDCC66" w14:textId="77777777" w:rsidR="00C6352D" w:rsidRDefault="00C6352D">
      <w:r>
        <w:continuationSeparator/>
      </w:r>
    </w:p>
  </w:footnote>
  <w:footnote w:type="continuationNotice" w:id="1">
    <w:p w14:paraId="3B99573D" w14:textId="77777777" w:rsidR="002722E5" w:rsidRDefault="002722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C3907" w14:paraId="2A91689D" w14:textId="77777777" w:rsidTr="009C3907">
      <w:trPr>
        <w:trHeight w:val="1104"/>
        <w:jc w:val="center"/>
      </w:trPr>
      <w:tc>
        <w:tcPr>
          <w:tcW w:w="4390" w:type="dxa"/>
          <w:vAlign w:val="center"/>
          <w:hideMark/>
        </w:tcPr>
        <w:p w14:paraId="1E6B6CF8" w14:textId="615A524F" w:rsidR="009C3907" w:rsidRDefault="009C3907" w:rsidP="009C3907">
          <w:pPr>
            <w:pStyle w:val="Header"/>
            <w:jc w:val="left"/>
            <w:rPr>
              <w:rFonts w:ascii="Arial" w:hAnsi="Arial" w:cs="Arial"/>
              <w:b/>
              <w:bCs/>
              <w:color w:val="009CD6"/>
              <w:sz w:val="36"/>
              <w:szCs w:val="36"/>
            </w:rPr>
          </w:pPr>
          <w:r>
            <w:rPr>
              <w:noProof/>
            </w:rPr>
            <w:drawing>
              <wp:inline distT="0" distB="0" distL="0" distR="0" wp14:anchorId="770BE55F" wp14:editId="429B7813">
                <wp:extent cx="1905000" cy="533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tc>
      <w:tc>
        <w:tcPr>
          <w:tcW w:w="5630" w:type="dxa"/>
        </w:tcPr>
        <w:p w14:paraId="1A401886" w14:textId="77777777" w:rsidR="009C3907" w:rsidRDefault="009C3907" w:rsidP="009C3907">
          <w:pPr>
            <w:pStyle w:val="Header"/>
            <w:jc w:val="right"/>
            <w:rPr>
              <w:rFonts w:ascii="Arial" w:hAnsi="Arial" w:cs="Arial"/>
              <w:b/>
              <w:bCs/>
              <w:color w:val="009CD6"/>
              <w:szCs w:val="18"/>
            </w:rPr>
          </w:pPr>
        </w:p>
        <w:p w14:paraId="27F98986" w14:textId="77777777" w:rsidR="009C3907" w:rsidRDefault="009C3907" w:rsidP="009C3907">
          <w:pPr>
            <w:pStyle w:val="Header"/>
            <w:jc w:val="right"/>
            <w:rPr>
              <w:rFonts w:ascii="Arial" w:hAnsi="Arial" w:cs="Arial"/>
              <w:b/>
              <w:bCs/>
              <w:color w:val="009CD6"/>
              <w:szCs w:val="18"/>
            </w:rPr>
          </w:pPr>
        </w:p>
        <w:p w14:paraId="2B1DA00A" w14:textId="77777777" w:rsidR="009C3907" w:rsidRDefault="009C3907" w:rsidP="009C3907">
          <w:pPr>
            <w:pStyle w:val="Header"/>
            <w:jc w:val="right"/>
            <w:rPr>
              <w:rFonts w:ascii="Arial" w:hAnsi="Arial" w:cs="Arial"/>
              <w:color w:val="009CD6"/>
              <w:szCs w:val="18"/>
            </w:rPr>
          </w:pPr>
          <w:r>
            <w:rPr>
              <w:rFonts w:ascii="Arial" w:hAnsi="Arial" w:cs="Arial"/>
              <w:b/>
              <w:bCs/>
              <w:color w:val="009CD6"/>
              <w:szCs w:val="18"/>
            </w:rPr>
            <w:t xml:space="preserve"> </w:t>
          </w:r>
        </w:p>
      </w:tc>
    </w:tr>
  </w:tbl>
  <w:p w14:paraId="276725BB" w14:textId="68531474" w:rsidR="009C3907" w:rsidRDefault="009C3907" w:rsidP="009C3907">
    <w:pPr>
      <w:pStyle w:val="Header"/>
      <w:rPr>
        <w:color w:val="7F7F7F" w:themeColor="text1" w:themeTint="80"/>
      </w:rPr>
    </w:pPr>
    <w:r>
      <w:rPr>
        <w:noProof/>
        <w:color w:val="7F7F7F" w:themeColor="text1" w:themeTint="80"/>
      </w:rPr>
      <mc:AlternateContent>
        <mc:Choice Requires="wps">
          <w:drawing>
            <wp:anchor distT="0" distB="0" distL="114300" distR="114300" simplePos="0" relativeHeight="251659264" behindDoc="0" locked="0" layoutInCell="1" allowOverlap="1" wp14:anchorId="5FAC7B87" wp14:editId="1352BE16">
              <wp:simplePos x="0" y="0"/>
              <wp:positionH relativeFrom="page">
                <wp:posOffset>13335</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7F5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NPD+iLfAAAACAEAAA8AAABkcnMvZG93bnJldi54bWxMj0FPwkAQhe8m/IfNkHiTbRutpHZLiNED&#10;wYMgF25Ld2gL3dnaXaD46x1OenqZeS9vvslng23FGXvfOFIQTyIQSKUzDVUKNl/vD1MQPmgyunWE&#10;Cq7oYVaM7nKdGXehFZ7XoRJcQj7TCuoQukxKX9ZotZ+4Dom9veutDjz2lTS9vnC5bWUSRam0uiG+&#10;UOsOX2ssj+uTVRC2SfV8/VyGZPO2/P44LBbNj9kqdT8e5i8gAg7hLww3fEaHgpl27kTGi1ZBEnOQ&#10;11Gcgrj5KeuO9Wn6CLLI5f8Hil8AAAD//wMAUEsBAi0AFAAGAAgAAAAhALaDOJL+AAAA4QEAABMA&#10;AAAAAAAAAAAAAAAAAAAAAFtDb250ZW50X1R5cGVzXS54bWxQSwECLQAUAAYACAAAACEAOP0h/9YA&#10;AACUAQAACwAAAAAAAAAAAAAAAAAvAQAAX3JlbHMvLnJlbHNQSwECLQAUAAYACAAAACEA8o1Wl38C&#10;AAD5BAAADgAAAAAAAAAAAAAAAAAuAgAAZHJzL2Uyb0RvYy54bWxQSwECLQAUAAYACAAAACEA08P6&#10;It8AAAAIAQAADwAAAAAAAAAAAAAAAADZBAAAZHJzL2Rvd25yZXYueG1sUEsFBgAAAAAEAAQA8wAA&#10;AOUFAAAAAA==&#10;" fillcolor="#009cd5" stroked="f">
              <w10:wrap anchorx="page" anchory="margin"/>
            </v:rect>
          </w:pict>
        </mc:Fallback>
      </mc:AlternateContent>
    </w:r>
  </w:p>
  <w:p w14:paraId="3D68BAA0" w14:textId="77777777" w:rsidR="009C3907" w:rsidRPr="009C3907" w:rsidRDefault="009C3907" w:rsidP="009C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911D1"/>
    <w:multiLevelType w:val="hybridMultilevel"/>
    <w:tmpl w:val="2AD6AA1A"/>
    <w:lvl w:ilvl="0" w:tplc="54F0DA74">
      <w:numFmt w:val="bullet"/>
      <w:lvlText w:val="-"/>
      <w:lvlJc w:val="left"/>
      <w:pPr>
        <w:ind w:left="720" w:hanging="360"/>
      </w:pPr>
      <w:rPr>
        <w:rFonts w:ascii="Helvetica" w:eastAsia="Times New Roman" w:hAnsi="Helvetica" w:cs="Times New Roman" w:hint="default"/>
        <w:color w:val="212529"/>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051D7"/>
    <w:multiLevelType w:val="hybridMultilevel"/>
    <w:tmpl w:val="0F404A38"/>
    <w:lvl w:ilvl="0" w:tplc="0C090001">
      <w:start w:val="1"/>
      <w:numFmt w:val="bullet"/>
      <w:lvlText w:val=""/>
      <w:lvlJc w:val="left"/>
      <w:pPr>
        <w:ind w:left="720" w:hanging="360"/>
      </w:pPr>
      <w:rPr>
        <w:rFonts w:ascii="Symbol" w:hAnsi="Symbol" w:hint="default"/>
        <w:b w:val="0"/>
        <w:sz w:val="22"/>
        <w:szCs w:val="22"/>
      </w:rPr>
    </w:lvl>
    <w:lvl w:ilvl="1" w:tplc="9D006FE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650F4"/>
    <w:multiLevelType w:val="hybridMultilevel"/>
    <w:tmpl w:val="C8E44C1E"/>
    <w:lvl w:ilvl="0" w:tplc="54F0DA74">
      <w:numFmt w:val="bullet"/>
      <w:lvlText w:val="-"/>
      <w:lvlJc w:val="left"/>
      <w:pPr>
        <w:ind w:left="720" w:hanging="360"/>
      </w:pPr>
      <w:rPr>
        <w:rFonts w:ascii="Helvetica" w:eastAsia="Times New Roman" w:hAnsi="Helvetica" w:cs="Times New Roman" w:hint="default"/>
        <w:color w:val="212529"/>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4746A8"/>
    <w:multiLevelType w:val="hybridMultilevel"/>
    <w:tmpl w:val="A872BF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C7213"/>
    <w:multiLevelType w:val="hybridMultilevel"/>
    <w:tmpl w:val="4058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89533F"/>
    <w:multiLevelType w:val="hybridMultilevel"/>
    <w:tmpl w:val="D6D065F8"/>
    <w:lvl w:ilvl="0" w:tplc="C29EB9DC">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C332164"/>
    <w:multiLevelType w:val="multilevel"/>
    <w:tmpl w:val="689A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C6393"/>
    <w:multiLevelType w:val="hybridMultilevel"/>
    <w:tmpl w:val="712E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97729"/>
    <w:multiLevelType w:val="hybridMultilevel"/>
    <w:tmpl w:val="0EFC36C2"/>
    <w:lvl w:ilvl="0" w:tplc="FAF8B43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B9022D0"/>
    <w:multiLevelType w:val="hybridMultilevel"/>
    <w:tmpl w:val="61DEF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044612"/>
    <w:multiLevelType w:val="hybridMultilevel"/>
    <w:tmpl w:val="DF161310"/>
    <w:lvl w:ilvl="0" w:tplc="040C0001">
      <w:start w:val="1"/>
      <w:numFmt w:val="bullet"/>
      <w:lvlText w:val=""/>
      <w:lvlJc w:val="left"/>
      <w:pPr>
        <w:ind w:left="84" w:hanging="360"/>
      </w:pPr>
      <w:rPr>
        <w:rFonts w:ascii="Symbol" w:hAnsi="Symbol" w:hint="default"/>
      </w:rPr>
    </w:lvl>
    <w:lvl w:ilvl="1" w:tplc="040C0003">
      <w:start w:val="1"/>
      <w:numFmt w:val="bullet"/>
      <w:lvlText w:val="o"/>
      <w:lvlJc w:val="left"/>
      <w:pPr>
        <w:ind w:left="804" w:hanging="360"/>
      </w:pPr>
      <w:rPr>
        <w:rFonts w:ascii="Courier New" w:hAnsi="Courier New" w:cs="Courier New" w:hint="default"/>
      </w:rPr>
    </w:lvl>
    <w:lvl w:ilvl="2" w:tplc="040C0005">
      <w:start w:val="1"/>
      <w:numFmt w:val="bullet"/>
      <w:lvlText w:val=""/>
      <w:lvlJc w:val="left"/>
      <w:pPr>
        <w:ind w:left="1524" w:hanging="360"/>
      </w:pPr>
      <w:rPr>
        <w:rFonts w:ascii="Wingdings" w:hAnsi="Wingdings" w:hint="default"/>
      </w:rPr>
    </w:lvl>
    <w:lvl w:ilvl="3" w:tplc="040C0001" w:tentative="1">
      <w:start w:val="1"/>
      <w:numFmt w:val="bullet"/>
      <w:lvlText w:val=""/>
      <w:lvlJc w:val="left"/>
      <w:pPr>
        <w:ind w:left="2244" w:hanging="360"/>
      </w:pPr>
      <w:rPr>
        <w:rFonts w:ascii="Symbol" w:hAnsi="Symbol" w:hint="default"/>
      </w:rPr>
    </w:lvl>
    <w:lvl w:ilvl="4" w:tplc="040C0003" w:tentative="1">
      <w:start w:val="1"/>
      <w:numFmt w:val="bullet"/>
      <w:lvlText w:val="o"/>
      <w:lvlJc w:val="left"/>
      <w:pPr>
        <w:ind w:left="2964" w:hanging="360"/>
      </w:pPr>
      <w:rPr>
        <w:rFonts w:ascii="Courier New" w:hAnsi="Courier New" w:cs="Courier New" w:hint="default"/>
      </w:rPr>
    </w:lvl>
    <w:lvl w:ilvl="5" w:tplc="040C0005" w:tentative="1">
      <w:start w:val="1"/>
      <w:numFmt w:val="bullet"/>
      <w:lvlText w:val=""/>
      <w:lvlJc w:val="left"/>
      <w:pPr>
        <w:ind w:left="3684" w:hanging="360"/>
      </w:pPr>
      <w:rPr>
        <w:rFonts w:ascii="Wingdings" w:hAnsi="Wingdings" w:hint="default"/>
      </w:rPr>
    </w:lvl>
    <w:lvl w:ilvl="6" w:tplc="040C0001" w:tentative="1">
      <w:start w:val="1"/>
      <w:numFmt w:val="bullet"/>
      <w:lvlText w:val=""/>
      <w:lvlJc w:val="left"/>
      <w:pPr>
        <w:ind w:left="4404" w:hanging="360"/>
      </w:pPr>
      <w:rPr>
        <w:rFonts w:ascii="Symbol" w:hAnsi="Symbol" w:hint="default"/>
      </w:rPr>
    </w:lvl>
    <w:lvl w:ilvl="7" w:tplc="040C0003" w:tentative="1">
      <w:start w:val="1"/>
      <w:numFmt w:val="bullet"/>
      <w:lvlText w:val="o"/>
      <w:lvlJc w:val="left"/>
      <w:pPr>
        <w:ind w:left="5124" w:hanging="360"/>
      </w:pPr>
      <w:rPr>
        <w:rFonts w:ascii="Courier New" w:hAnsi="Courier New" w:cs="Courier New" w:hint="default"/>
      </w:rPr>
    </w:lvl>
    <w:lvl w:ilvl="8" w:tplc="040C0005" w:tentative="1">
      <w:start w:val="1"/>
      <w:numFmt w:val="bullet"/>
      <w:lvlText w:val=""/>
      <w:lvlJc w:val="left"/>
      <w:pPr>
        <w:ind w:left="5844" w:hanging="360"/>
      </w:pPr>
      <w:rPr>
        <w:rFonts w:ascii="Wingdings" w:hAnsi="Wingdings" w:hint="default"/>
      </w:rPr>
    </w:lvl>
  </w:abstractNum>
  <w:abstractNum w:abstractNumId="12" w15:restartNumberingAfterBreak="0">
    <w:nsid w:val="59E62026"/>
    <w:multiLevelType w:val="hybridMultilevel"/>
    <w:tmpl w:val="80D4BDC0"/>
    <w:lvl w:ilvl="0" w:tplc="C46622D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36C70"/>
    <w:multiLevelType w:val="hybridMultilevel"/>
    <w:tmpl w:val="6EA2DFA2"/>
    <w:lvl w:ilvl="0" w:tplc="406CDA5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110722"/>
    <w:multiLevelType w:val="multilevel"/>
    <w:tmpl w:val="9B12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C5F29"/>
    <w:multiLevelType w:val="hybridMultilevel"/>
    <w:tmpl w:val="E8D27B50"/>
    <w:lvl w:ilvl="0" w:tplc="0C090001">
      <w:start w:val="1"/>
      <w:numFmt w:val="bullet"/>
      <w:lvlText w:val=""/>
      <w:lvlJc w:val="left"/>
      <w:pPr>
        <w:ind w:left="720" w:hanging="360"/>
      </w:pPr>
      <w:rPr>
        <w:rFonts w:ascii="Symbol" w:hAnsi="Symbol" w:hint="default"/>
        <w:color w:val="212529"/>
        <w:sz w:val="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7F4090"/>
    <w:multiLevelType w:val="hybridMultilevel"/>
    <w:tmpl w:val="6450E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63405"/>
    <w:multiLevelType w:val="multilevel"/>
    <w:tmpl w:val="CC5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9639F"/>
    <w:multiLevelType w:val="hybridMultilevel"/>
    <w:tmpl w:val="8EA6DC1C"/>
    <w:lvl w:ilvl="0" w:tplc="DD76890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FD337B5"/>
    <w:multiLevelType w:val="hybridMultilevel"/>
    <w:tmpl w:val="BDF02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CF20AA"/>
    <w:multiLevelType w:val="hybridMultilevel"/>
    <w:tmpl w:val="9EBC3110"/>
    <w:lvl w:ilvl="0" w:tplc="C5062A64">
      <w:start w:val="1"/>
      <w:numFmt w:val="bullet"/>
      <w:lvlText w:val=""/>
      <w:lvlJc w:val="left"/>
      <w:pPr>
        <w:ind w:left="360" w:hanging="360"/>
      </w:pPr>
      <w:rPr>
        <w:rFonts w:ascii="Symbol" w:hAnsi="Symbol"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6980584">
    <w:abstractNumId w:val="0"/>
  </w:num>
  <w:num w:numId="2" w16cid:durableId="1970700223">
    <w:abstractNumId w:val="16"/>
  </w:num>
  <w:num w:numId="3" w16cid:durableId="158080216">
    <w:abstractNumId w:val="19"/>
  </w:num>
  <w:num w:numId="4" w16cid:durableId="1706154">
    <w:abstractNumId w:val="11"/>
  </w:num>
  <w:num w:numId="5" w16cid:durableId="1526749634">
    <w:abstractNumId w:val="9"/>
  </w:num>
  <w:num w:numId="6" w16cid:durableId="1536694739">
    <w:abstractNumId w:val="11"/>
  </w:num>
  <w:num w:numId="7" w16cid:durableId="1880244966">
    <w:abstractNumId w:val="4"/>
  </w:num>
  <w:num w:numId="8" w16cid:durableId="2004118319">
    <w:abstractNumId w:val="10"/>
  </w:num>
  <w:num w:numId="9" w16cid:durableId="256716941">
    <w:abstractNumId w:val="1"/>
  </w:num>
  <w:num w:numId="10" w16cid:durableId="888422218">
    <w:abstractNumId w:val="17"/>
  </w:num>
  <w:num w:numId="11" w16cid:durableId="841819359">
    <w:abstractNumId w:val="7"/>
  </w:num>
  <w:num w:numId="12" w16cid:durableId="1129543787">
    <w:abstractNumId w:val="14"/>
  </w:num>
  <w:num w:numId="13" w16cid:durableId="90198559">
    <w:abstractNumId w:val="3"/>
  </w:num>
  <w:num w:numId="14" w16cid:durableId="1793206883">
    <w:abstractNumId w:val="15"/>
  </w:num>
  <w:num w:numId="15" w16cid:durableId="1704207397">
    <w:abstractNumId w:val="8"/>
  </w:num>
  <w:num w:numId="16" w16cid:durableId="27147477">
    <w:abstractNumId w:val="5"/>
  </w:num>
  <w:num w:numId="17" w16cid:durableId="12542015">
    <w:abstractNumId w:val="18"/>
  </w:num>
  <w:num w:numId="18" w16cid:durableId="575746813">
    <w:abstractNumId w:val="12"/>
  </w:num>
  <w:num w:numId="19" w16cid:durableId="136648282">
    <w:abstractNumId w:val="13"/>
  </w:num>
  <w:num w:numId="20" w16cid:durableId="646737832">
    <w:abstractNumId w:val="2"/>
  </w:num>
  <w:num w:numId="21" w16cid:durableId="847256770">
    <w:abstractNumId w:val="6"/>
  </w:num>
  <w:num w:numId="22" w16cid:durableId="10308346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02DA5"/>
    <w:rsid w:val="000045B6"/>
    <w:rsid w:val="00007B73"/>
    <w:rsid w:val="000100F9"/>
    <w:rsid w:val="0001773F"/>
    <w:rsid w:val="00017DBA"/>
    <w:rsid w:val="000210D4"/>
    <w:rsid w:val="000258E7"/>
    <w:rsid w:val="00032A7C"/>
    <w:rsid w:val="0003377F"/>
    <w:rsid w:val="00033BA5"/>
    <w:rsid w:val="00034B63"/>
    <w:rsid w:val="00040CDE"/>
    <w:rsid w:val="0004229E"/>
    <w:rsid w:val="000423E9"/>
    <w:rsid w:val="00042E9A"/>
    <w:rsid w:val="00045A63"/>
    <w:rsid w:val="000519B8"/>
    <w:rsid w:val="00051EC4"/>
    <w:rsid w:val="0005255B"/>
    <w:rsid w:val="00054351"/>
    <w:rsid w:val="000549EB"/>
    <w:rsid w:val="00055157"/>
    <w:rsid w:val="00056B49"/>
    <w:rsid w:val="00063016"/>
    <w:rsid w:val="00066795"/>
    <w:rsid w:val="000703DA"/>
    <w:rsid w:val="0007518E"/>
    <w:rsid w:val="00076AF6"/>
    <w:rsid w:val="00085CF2"/>
    <w:rsid w:val="000926AD"/>
    <w:rsid w:val="000A10D2"/>
    <w:rsid w:val="000A2BE2"/>
    <w:rsid w:val="000A54D6"/>
    <w:rsid w:val="000B1705"/>
    <w:rsid w:val="000B20DA"/>
    <w:rsid w:val="000B4573"/>
    <w:rsid w:val="000B619C"/>
    <w:rsid w:val="000C0145"/>
    <w:rsid w:val="000D0EFF"/>
    <w:rsid w:val="000D603D"/>
    <w:rsid w:val="000D75B2"/>
    <w:rsid w:val="000E067B"/>
    <w:rsid w:val="000E2859"/>
    <w:rsid w:val="000E4182"/>
    <w:rsid w:val="000F0095"/>
    <w:rsid w:val="000F748C"/>
    <w:rsid w:val="000F7E8E"/>
    <w:rsid w:val="00100398"/>
    <w:rsid w:val="00105EAC"/>
    <w:rsid w:val="0010633B"/>
    <w:rsid w:val="001068BC"/>
    <w:rsid w:val="00107A3F"/>
    <w:rsid w:val="001121F5"/>
    <w:rsid w:val="001147A2"/>
    <w:rsid w:val="0013108F"/>
    <w:rsid w:val="00131217"/>
    <w:rsid w:val="00132033"/>
    <w:rsid w:val="001320EF"/>
    <w:rsid w:val="0013384F"/>
    <w:rsid w:val="00134809"/>
    <w:rsid w:val="001400DC"/>
    <w:rsid w:val="00140CE1"/>
    <w:rsid w:val="00141B23"/>
    <w:rsid w:val="00144836"/>
    <w:rsid w:val="00145B10"/>
    <w:rsid w:val="0014634F"/>
    <w:rsid w:val="00147DAC"/>
    <w:rsid w:val="0017539C"/>
    <w:rsid w:val="00175AC2"/>
    <w:rsid w:val="0017609F"/>
    <w:rsid w:val="001772F2"/>
    <w:rsid w:val="00192873"/>
    <w:rsid w:val="001B2D59"/>
    <w:rsid w:val="001B64DC"/>
    <w:rsid w:val="001C12F6"/>
    <w:rsid w:val="001C3A44"/>
    <w:rsid w:val="001C628E"/>
    <w:rsid w:val="001D076D"/>
    <w:rsid w:val="001D3A90"/>
    <w:rsid w:val="001D6724"/>
    <w:rsid w:val="001E0F7B"/>
    <w:rsid w:val="001E5B85"/>
    <w:rsid w:val="0020042C"/>
    <w:rsid w:val="002012D3"/>
    <w:rsid w:val="00204D21"/>
    <w:rsid w:val="00205544"/>
    <w:rsid w:val="00206577"/>
    <w:rsid w:val="00206968"/>
    <w:rsid w:val="002119FD"/>
    <w:rsid w:val="00211CE2"/>
    <w:rsid w:val="002130E0"/>
    <w:rsid w:val="00217030"/>
    <w:rsid w:val="00221439"/>
    <w:rsid w:val="002274D6"/>
    <w:rsid w:val="00235B4D"/>
    <w:rsid w:val="00242E6D"/>
    <w:rsid w:val="00264425"/>
    <w:rsid w:val="00265875"/>
    <w:rsid w:val="00270428"/>
    <w:rsid w:val="0027210D"/>
    <w:rsid w:val="002722E5"/>
    <w:rsid w:val="0027303B"/>
    <w:rsid w:val="002731EA"/>
    <w:rsid w:val="00276F00"/>
    <w:rsid w:val="002772E2"/>
    <w:rsid w:val="0028109B"/>
    <w:rsid w:val="00286D5C"/>
    <w:rsid w:val="002A2188"/>
    <w:rsid w:val="002B1F58"/>
    <w:rsid w:val="002B2CD7"/>
    <w:rsid w:val="002B3960"/>
    <w:rsid w:val="002C1C7A"/>
    <w:rsid w:val="002C69AC"/>
    <w:rsid w:val="002D0120"/>
    <w:rsid w:val="002D13D0"/>
    <w:rsid w:val="002D2130"/>
    <w:rsid w:val="002D5B45"/>
    <w:rsid w:val="002E12E5"/>
    <w:rsid w:val="002E225D"/>
    <w:rsid w:val="002E2477"/>
    <w:rsid w:val="002E44BA"/>
    <w:rsid w:val="002F337B"/>
    <w:rsid w:val="0030160F"/>
    <w:rsid w:val="003075D7"/>
    <w:rsid w:val="00316298"/>
    <w:rsid w:val="00320223"/>
    <w:rsid w:val="00321019"/>
    <w:rsid w:val="00322D0D"/>
    <w:rsid w:val="003274B5"/>
    <w:rsid w:val="00330725"/>
    <w:rsid w:val="003307D6"/>
    <w:rsid w:val="0033347D"/>
    <w:rsid w:val="00335853"/>
    <w:rsid w:val="00336568"/>
    <w:rsid w:val="0033796C"/>
    <w:rsid w:val="00341D68"/>
    <w:rsid w:val="00342CC9"/>
    <w:rsid w:val="0035070B"/>
    <w:rsid w:val="0035502A"/>
    <w:rsid w:val="00362222"/>
    <w:rsid w:val="00363355"/>
    <w:rsid w:val="00364166"/>
    <w:rsid w:val="0037285A"/>
    <w:rsid w:val="003733D8"/>
    <w:rsid w:val="003831A0"/>
    <w:rsid w:val="003942D4"/>
    <w:rsid w:val="003958A8"/>
    <w:rsid w:val="00396292"/>
    <w:rsid w:val="00397B04"/>
    <w:rsid w:val="003A2A0A"/>
    <w:rsid w:val="003A54F1"/>
    <w:rsid w:val="003C2533"/>
    <w:rsid w:val="003C5EC1"/>
    <w:rsid w:val="003D07D3"/>
    <w:rsid w:val="003D1D8A"/>
    <w:rsid w:val="003D5C6C"/>
    <w:rsid w:val="003D76EB"/>
    <w:rsid w:val="003E3427"/>
    <w:rsid w:val="003F0963"/>
    <w:rsid w:val="003F1C69"/>
    <w:rsid w:val="003F5431"/>
    <w:rsid w:val="004020D1"/>
    <w:rsid w:val="00402D89"/>
    <w:rsid w:val="0040435A"/>
    <w:rsid w:val="00416A24"/>
    <w:rsid w:val="00416B48"/>
    <w:rsid w:val="00417FE0"/>
    <w:rsid w:val="00420EFA"/>
    <w:rsid w:val="00431D9E"/>
    <w:rsid w:val="00433481"/>
    <w:rsid w:val="00433CE8"/>
    <w:rsid w:val="00434A5C"/>
    <w:rsid w:val="004412E1"/>
    <w:rsid w:val="004520A8"/>
    <w:rsid w:val="00452D31"/>
    <w:rsid w:val="00453CEF"/>
    <w:rsid w:val="004540E6"/>
    <w:rsid w:val="004544D9"/>
    <w:rsid w:val="00456EBE"/>
    <w:rsid w:val="00463B15"/>
    <w:rsid w:val="0046474F"/>
    <w:rsid w:val="004703ED"/>
    <w:rsid w:val="00473EF6"/>
    <w:rsid w:val="004801B2"/>
    <w:rsid w:val="004825E9"/>
    <w:rsid w:val="00483EA1"/>
    <w:rsid w:val="00487FEE"/>
    <w:rsid w:val="00490E72"/>
    <w:rsid w:val="00491157"/>
    <w:rsid w:val="004921C8"/>
    <w:rsid w:val="004934C3"/>
    <w:rsid w:val="00493D02"/>
    <w:rsid w:val="004A124D"/>
    <w:rsid w:val="004A1B8B"/>
    <w:rsid w:val="004B12D2"/>
    <w:rsid w:val="004B6DFA"/>
    <w:rsid w:val="004C0835"/>
    <w:rsid w:val="004C0EAC"/>
    <w:rsid w:val="004D1851"/>
    <w:rsid w:val="004D361C"/>
    <w:rsid w:val="004D47A1"/>
    <w:rsid w:val="004D55EB"/>
    <w:rsid w:val="004D5856"/>
    <w:rsid w:val="004D599D"/>
    <w:rsid w:val="004E2E36"/>
    <w:rsid w:val="004E2EA5"/>
    <w:rsid w:val="004E3AEB"/>
    <w:rsid w:val="004E3DA6"/>
    <w:rsid w:val="004E42B2"/>
    <w:rsid w:val="004E6E9C"/>
    <w:rsid w:val="004F031A"/>
    <w:rsid w:val="004F768F"/>
    <w:rsid w:val="0050223C"/>
    <w:rsid w:val="00506498"/>
    <w:rsid w:val="00512B30"/>
    <w:rsid w:val="00515FFF"/>
    <w:rsid w:val="0051636F"/>
    <w:rsid w:val="00521521"/>
    <w:rsid w:val="005233C9"/>
    <w:rsid w:val="005243FF"/>
    <w:rsid w:val="00532E97"/>
    <w:rsid w:val="005347DC"/>
    <w:rsid w:val="00537430"/>
    <w:rsid w:val="00543744"/>
    <w:rsid w:val="00557121"/>
    <w:rsid w:val="00564FBC"/>
    <w:rsid w:val="005743EA"/>
    <w:rsid w:val="005757B7"/>
    <w:rsid w:val="00581AD0"/>
    <w:rsid w:val="00582442"/>
    <w:rsid w:val="00586C5C"/>
    <w:rsid w:val="005A6BD1"/>
    <w:rsid w:val="005B10CD"/>
    <w:rsid w:val="005B5C9E"/>
    <w:rsid w:val="005B6715"/>
    <w:rsid w:val="005C1EC1"/>
    <w:rsid w:val="005C7B65"/>
    <w:rsid w:val="005D11F7"/>
    <w:rsid w:val="005D3BE0"/>
    <w:rsid w:val="005E0BBE"/>
    <w:rsid w:val="005E0CC0"/>
    <w:rsid w:val="005F093A"/>
    <w:rsid w:val="005F3269"/>
    <w:rsid w:val="00601BE0"/>
    <w:rsid w:val="00611697"/>
    <w:rsid w:val="00614C76"/>
    <w:rsid w:val="006176D9"/>
    <w:rsid w:val="00617F12"/>
    <w:rsid w:val="006227C8"/>
    <w:rsid w:val="00623185"/>
    <w:rsid w:val="00623AB9"/>
    <w:rsid w:val="00623AE3"/>
    <w:rsid w:val="006279A1"/>
    <w:rsid w:val="006309C9"/>
    <w:rsid w:val="00644597"/>
    <w:rsid w:val="006466E6"/>
    <w:rsid w:val="00646961"/>
    <w:rsid w:val="0064737F"/>
    <w:rsid w:val="00650608"/>
    <w:rsid w:val="00651B23"/>
    <w:rsid w:val="00652D44"/>
    <w:rsid w:val="006535F1"/>
    <w:rsid w:val="0065557D"/>
    <w:rsid w:val="00662984"/>
    <w:rsid w:val="00666AF5"/>
    <w:rsid w:val="00667237"/>
    <w:rsid w:val="006716BB"/>
    <w:rsid w:val="006764AC"/>
    <w:rsid w:val="00676B51"/>
    <w:rsid w:val="00677F1E"/>
    <w:rsid w:val="00680833"/>
    <w:rsid w:val="006876DF"/>
    <w:rsid w:val="006949FC"/>
    <w:rsid w:val="006A1952"/>
    <w:rsid w:val="006B2EE6"/>
    <w:rsid w:val="006B5635"/>
    <w:rsid w:val="006B5E63"/>
    <w:rsid w:val="006B6680"/>
    <w:rsid w:val="006B69D1"/>
    <w:rsid w:val="006B6DCC"/>
    <w:rsid w:val="006C0A2A"/>
    <w:rsid w:val="006C5826"/>
    <w:rsid w:val="006C7A5B"/>
    <w:rsid w:val="006C7E4D"/>
    <w:rsid w:val="006D6B15"/>
    <w:rsid w:val="006D7E6D"/>
    <w:rsid w:val="006E1134"/>
    <w:rsid w:val="006E1806"/>
    <w:rsid w:val="006E191A"/>
    <w:rsid w:val="006F0126"/>
    <w:rsid w:val="006F027C"/>
    <w:rsid w:val="006F0A4B"/>
    <w:rsid w:val="006F39DE"/>
    <w:rsid w:val="00702DEF"/>
    <w:rsid w:val="00702EC1"/>
    <w:rsid w:val="00706861"/>
    <w:rsid w:val="0072431B"/>
    <w:rsid w:val="007244CD"/>
    <w:rsid w:val="007348DB"/>
    <w:rsid w:val="00734DFF"/>
    <w:rsid w:val="0075025A"/>
    <w:rsid w:val="0075051B"/>
    <w:rsid w:val="0076767C"/>
    <w:rsid w:val="00772164"/>
    <w:rsid w:val="00781E59"/>
    <w:rsid w:val="00782A11"/>
    <w:rsid w:val="00785AB7"/>
    <w:rsid w:val="00793188"/>
    <w:rsid w:val="0079409E"/>
    <w:rsid w:val="00794D34"/>
    <w:rsid w:val="00795626"/>
    <w:rsid w:val="007A5AB8"/>
    <w:rsid w:val="007A633D"/>
    <w:rsid w:val="007A6EA4"/>
    <w:rsid w:val="007B79FF"/>
    <w:rsid w:val="007C2B42"/>
    <w:rsid w:val="007C5787"/>
    <w:rsid w:val="007D621F"/>
    <w:rsid w:val="007D7171"/>
    <w:rsid w:val="007E0C8E"/>
    <w:rsid w:val="007E3897"/>
    <w:rsid w:val="007E6665"/>
    <w:rsid w:val="007E6FF7"/>
    <w:rsid w:val="007F1163"/>
    <w:rsid w:val="007F168C"/>
    <w:rsid w:val="007F3D48"/>
    <w:rsid w:val="007F4A85"/>
    <w:rsid w:val="00803054"/>
    <w:rsid w:val="00803314"/>
    <w:rsid w:val="008047D0"/>
    <w:rsid w:val="00806937"/>
    <w:rsid w:val="008108B7"/>
    <w:rsid w:val="00811117"/>
    <w:rsid w:val="00813E5E"/>
    <w:rsid w:val="00816914"/>
    <w:rsid w:val="008314CA"/>
    <w:rsid w:val="00831E03"/>
    <w:rsid w:val="00832ABE"/>
    <w:rsid w:val="0083581B"/>
    <w:rsid w:val="008371F2"/>
    <w:rsid w:val="0084325F"/>
    <w:rsid w:val="00851FCD"/>
    <w:rsid w:val="0085528C"/>
    <w:rsid w:val="00855A0F"/>
    <w:rsid w:val="00861AA9"/>
    <w:rsid w:val="00863B25"/>
    <w:rsid w:val="00864AFF"/>
    <w:rsid w:val="00864D3E"/>
    <w:rsid w:val="00870653"/>
    <w:rsid w:val="008838DB"/>
    <w:rsid w:val="00885D04"/>
    <w:rsid w:val="00891B39"/>
    <w:rsid w:val="008958C1"/>
    <w:rsid w:val="00895B03"/>
    <w:rsid w:val="008A0047"/>
    <w:rsid w:val="008A151B"/>
    <w:rsid w:val="008A51FA"/>
    <w:rsid w:val="008B1952"/>
    <w:rsid w:val="008B1E47"/>
    <w:rsid w:val="008B4A6A"/>
    <w:rsid w:val="008B6CC1"/>
    <w:rsid w:val="008C22F1"/>
    <w:rsid w:val="008C383B"/>
    <w:rsid w:val="008C7E27"/>
    <w:rsid w:val="008D010D"/>
    <w:rsid w:val="008D499E"/>
    <w:rsid w:val="008E1B84"/>
    <w:rsid w:val="008F5B5B"/>
    <w:rsid w:val="008F6A9C"/>
    <w:rsid w:val="00914CC8"/>
    <w:rsid w:val="009173EF"/>
    <w:rsid w:val="009177EA"/>
    <w:rsid w:val="009204E6"/>
    <w:rsid w:val="00920A06"/>
    <w:rsid w:val="00921A0B"/>
    <w:rsid w:val="00925A4F"/>
    <w:rsid w:val="00927BB7"/>
    <w:rsid w:val="009307DD"/>
    <w:rsid w:val="0093162B"/>
    <w:rsid w:val="00932906"/>
    <w:rsid w:val="0093407F"/>
    <w:rsid w:val="00944D49"/>
    <w:rsid w:val="00961B0B"/>
    <w:rsid w:val="00962316"/>
    <w:rsid w:val="00964BEA"/>
    <w:rsid w:val="0096624D"/>
    <w:rsid w:val="00972779"/>
    <w:rsid w:val="00973F3E"/>
    <w:rsid w:val="00980ED1"/>
    <w:rsid w:val="00994649"/>
    <w:rsid w:val="0099516B"/>
    <w:rsid w:val="00997336"/>
    <w:rsid w:val="009A315A"/>
    <w:rsid w:val="009A43AC"/>
    <w:rsid w:val="009A636F"/>
    <w:rsid w:val="009A7142"/>
    <w:rsid w:val="009B1CF4"/>
    <w:rsid w:val="009B38C3"/>
    <w:rsid w:val="009B3F25"/>
    <w:rsid w:val="009B3F32"/>
    <w:rsid w:val="009B7945"/>
    <w:rsid w:val="009C3907"/>
    <w:rsid w:val="009C39CF"/>
    <w:rsid w:val="009E135B"/>
    <w:rsid w:val="009E17BD"/>
    <w:rsid w:val="009E309B"/>
    <w:rsid w:val="009E485A"/>
    <w:rsid w:val="009F3165"/>
    <w:rsid w:val="009F388F"/>
    <w:rsid w:val="009F617F"/>
    <w:rsid w:val="009F6A49"/>
    <w:rsid w:val="00A02FC1"/>
    <w:rsid w:val="00A04CEC"/>
    <w:rsid w:val="00A05947"/>
    <w:rsid w:val="00A06934"/>
    <w:rsid w:val="00A07674"/>
    <w:rsid w:val="00A12917"/>
    <w:rsid w:val="00A13626"/>
    <w:rsid w:val="00A1419A"/>
    <w:rsid w:val="00A14586"/>
    <w:rsid w:val="00A22A23"/>
    <w:rsid w:val="00A27DE6"/>
    <w:rsid w:val="00A27F92"/>
    <w:rsid w:val="00A303C6"/>
    <w:rsid w:val="00A32257"/>
    <w:rsid w:val="00A36D20"/>
    <w:rsid w:val="00A50065"/>
    <w:rsid w:val="00A55622"/>
    <w:rsid w:val="00A55E43"/>
    <w:rsid w:val="00A56C86"/>
    <w:rsid w:val="00A630F9"/>
    <w:rsid w:val="00A773DF"/>
    <w:rsid w:val="00A80DA6"/>
    <w:rsid w:val="00A83502"/>
    <w:rsid w:val="00A91368"/>
    <w:rsid w:val="00A920BC"/>
    <w:rsid w:val="00AA1F1D"/>
    <w:rsid w:val="00AA2367"/>
    <w:rsid w:val="00AB3F54"/>
    <w:rsid w:val="00AB59E2"/>
    <w:rsid w:val="00AD15B3"/>
    <w:rsid w:val="00AD1C3C"/>
    <w:rsid w:val="00AE27FF"/>
    <w:rsid w:val="00AE2941"/>
    <w:rsid w:val="00AE4808"/>
    <w:rsid w:val="00AF6E49"/>
    <w:rsid w:val="00AF77E3"/>
    <w:rsid w:val="00AF7D63"/>
    <w:rsid w:val="00B0250B"/>
    <w:rsid w:val="00B04A67"/>
    <w:rsid w:val="00B0583C"/>
    <w:rsid w:val="00B1121A"/>
    <w:rsid w:val="00B35050"/>
    <w:rsid w:val="00B40552"/>
    <w:rsid w:val="00B40A81"/>
    <w:rsid w:val="00B44910"/>
    <w:rsid w:val="00B61AD0"/>
    <w:rsid w:val="00B648E9"/>
    <w:rsid w:val="00B65E84"/>
    <w:rsid w:val="00B72267"/>
    <w:rsid w:val="00B76EB6"/>
    <w:rsid w:val="00B7737B"/>
    <w:rsid w:val="00B824C8"/>
    <w:rsid w:val="00B84B9D"/>
    <w:rsid w:val="00B854C0"/>
    <w:rsid w:val="00B87FA6"/>
    <w:rsid w:val="00B960AA"/>
    <w:rsid w:val="00B972CA"/>
    <w:rsid w:val="00BA3D49"/>
    <w:rsid w:val="00BA41FA"/>
    <w:rsid w:val="00BA4729"/>
    <w:rsid w:val="00BB0330"/>
    <w:rsid w:val="00BB2862"/>
    <w:rsid w:val="00BB3E6C"/>
    <w:rsid w:val="00BC251A"/>
    <w:rsid w:val="00BD032B"/>
    <w:rsid w:val="00BD11E7"/>
    <w:rsid w:val="00BD63A7"/>
    <w:rsid w:val="00BD6485"/>
    <w:rsid w:val="00BD7E1C"/>
    <w:rsid w:val="00BE08A8"/>
    <w:rsid w:val="00BE2640"/>
    <w:rsid w:val="00BE326D"/>
    <w:rsid w:val="00BE6009"/>
    <w:rsid w:val="00BF1CC4"/>
    <w:rsid w:val="00C0109C"/>
    <w:rsid w:val="00C01189"/>
    <w:rsid w:val="00C106A2"/>
    <w:rsid w:val="00C11A4C"/>
    <w:rsid w:val="00C1222C"/>
    <w:rsid w:val="00C16801"/>
    <w:rsid w:val="00C17C36"/>
    <w:rsid w:val="00C22589"/>
    <w:rsid w:val="00C31516"/>
    <w:rsid w:val="00C374DE"/>
    <w:rsid w:val="00C45E9E"/>
    <w:rsid w:val="00C47AD4"/>
    <w:rsid w:val="00C5080A"/>
    <w:rsid w:val="00C52246"/>
    <w:rsid w:val="00C52D81"/>
    <w:rsid w:val="00C55198"/>
    <w:rsid w:val="00C6352D"/>
    <w:rsid w:val="00C67B5A"/>
    <w:rsid w:val="00C7244B"/>
    <w:rsid w:val="00C760E3"/>
    <w:rsid w:val="00C76345"/>
    <w:rsid w:val="00C76996"/>
    <w:rsid w:val="00C81EA5"/>
    <w:rsid w:val="00C821A5"/>
    <w:rsid w:val="00C908DB"/>
    <w:rsid w:val="00C92C5C"/>
    <w:rsid w:val="00CA114A"/>
    <w:rsid w:val="00CA6393"/>
    <w:rsid w:val="00CB18FF"/>
    <w:rsid w:val="00CB19C2"/>
    <w:rsid w:val="00CC0558"/>
    <w:rsid w:val="00CC09CA"/>
    <w:rsid w:val="00CC325D"/>
    <w:rsid w:val="00CD0C08"/>
    <w:rsid w:val="00CD20AA"/>
    <w:rsid w:val="00CD3777"/>
    <w:rsid w:val="00CD5A5B"/>
    <w:rsid w:val="00CD5FF3"/>
    <w:rsid w:val="00CD7261"/>
    <w:rsid w:val="00CE03FB"/>
    <w:rsid w:val="00CE05A1"/>
    <w:rsid w:val="00CE0A41"/>
    <w:rsid w:val="00CE0B11"/>
    <w:rsid w:val="00CE433C"/>
    <w:rsid w:val="00CE6522"/>
    <w:rsid w:val="00CE6E59"/>
    <w:rsid w:val="00CF257F"/>
    <w:rsid w:val="00CF2DA8"/>
    <w:rsid w:val="00CF33F3"/>
    <w:rsid w:val="00D03C5F"/>
    <w:rsid w:val="00D06183"/>
    <w:rsid w:val="00D1144F"/>
    <w:rsid w:val="00D1345E"/>
    <w:rsid w:val="00D13CC1"/>
    <w:rsid w:val="00D1772C"/>
    <w:rsid w:val="00D206B3"/>
    <w:rsid w:val="00D22C42"/>
    <w:rsid w:val="00D334C9"/>
    <w:rsid w:val="00D41318"/>
    <w:rsid w:val="00D4581F"/>
    <w:rsid w:val="00D4700A"/>
    <w:rsid w:val="00D55E33"/>
    <w:rsid w:val="00D60DA7"/>
    <w:rsid w:val="00D65041"/>
    <w:rsid w:val="00D66429"/>
    <w:rsid w:val="00D66C11"/>
    <w:rsid w:val="00D70D7C"/>
    <w:rsid w:val="00D7231E"/>
    <w:rsid w:val="00D8423F"/>
    <w:rsid w:val="00D94476"/>
    <w:rsid w:val="00D97277"/>
    <w:rsid w:val="00D97EF3"/>
    <w:rsid w:val="00DA0C15"/>
    <w:rsid w:val="00DA4A82"/>
    <w:rsid w:val="00DA6C4C"/>
    <w:rsid w:val="00DB384B"/>
    <w:rsid w:val="00DB4528"/>
    <w:rsid w:val="00DB4A7C"/>
    <w:rsid w:val="00DC000F"/>
    <w:rsid w:val="00DC11BC"/>
    <w:rsid w:val="00DC5837"/>
    <w:rsid w:val="00DD64C5"/>
    <w:rsid w:val="00DE0193"/>
    <w:rsid w:val="00DF49B8"/>
    <w:rsid w:val="00DF5698"/>
    <w:rsid w:val="00E003FF"/>
    <w:rsid w:val="00E10E80"/>
    <w:rsid w:val="00E124F0"/>
    <w:rsid w:val="00E1357A"/>
    <w:rsid w:val="00E21F30"/>
    <w:rsid w:val="00E22582"/>
    <w:rsid w:val="00E25D98"/>
    <w:rsid w:val="00E27CC0"/>
    <w:rsid w:val="00E36F0D"/>
    <w:rsid w:val="00E420D0"/>
    <w:rsid w:val="00E46AA8"/>
    <w:rsid w:val="00E47417"/>
    <w:rsid w:val="00E47D7F"/>
    <w:rsid w:val="00E60F04"/>
    <w:rsid w:val="00E62E1A"/>
    <w:rsid w:val="00E71B92"/>
    <w:rsid w:val="00E758E5"/>
    <w:rsid w:val="00E82C17"/>
    <w:rsid w:val="00E854E4"/>
    <w:rsid w:val="00E8619A"/>
    <w:rsid w:val="00EB0D6F"/>
    <w:rsid w:val="00EB2232"/>
    <w:rsid w:val="00EB3297"/>
    <w:rsid w:val="00EB685C"/>
    <w:rsid w:val="00EC21FB"/>
    <w:rsid w:val="00EC2261"/>
    <w:rsid w:val="00EC5337"/>
    <w:rsid w:val="00EC54B2"/>
    <w:rsid w:val="00EC5849"/>
    <w:rsid w:val="00EC5CA8"/>
    <w:rsid w:val="00ED5AB2"/>
    <w:rsid w:val="00ED5CD8"/>
    <w:rsid w:val="00EF0031"/>
    <w:rsid w:val="00EF13C0"/>
    <w:rsid w:val="00EF4C40"/>
    <w:rsid w:val="00EF4DD8"/>
    <w:rsid w:val="00EF5FC9"/>
    <w:rsid w:val="00EF66D4"/>
    <w:rsid w:val="00F018E9"/>
    <w:rsid w:val="00F02140"/>
    <w:rsid w:val="00F02801"/>
    <w:rsid w:val="00F068FA"/>
    <w:rsid w:val="00F1038D"/>
    <w:rsid w:val="00F11EB1"/>
    <w:rsid w:val="00F17E78"/>
    <w:rsid w:val="00F20C37"/>
    <w:rsid w:val="00F2150A"/>
    <w:rsid w:val="00F231D8"/>
    <w:rsid w:val="00F2660E"/>
    <w:rsid w:val="00F33319"/>
    <w:rsid w:val="00F40C75"/>
    <w:rsid w:val="00F42063"/>
    <w:rsid w:val="00F42543"/>
    <w:rsid w:val="00F45246"/>
    <w:rsid w:val="00F46C5F"/>
    <w:rsid w:val="00F6377B"/>
    <w:rsid w:val="00F64A73"/>
    <w:rsid w:val="00F67954"/>
    <w:rsid w:val="00F757EE"/>
    <w:rsid w:val="00F81BB7"/>
    <w:rsid w:val="00F920FC"/>
    <w:rsid w:val="00F94A63"/>
    <w:rsid w:val="00FA1C28"/>
    <w:rsid w:val="00FA6B3D"/>
    <w:rsid w:val="00FB1279"/>
    <w:rsid w:val="00FB3775"/>
    <w:rsid w:val="00FB4F74"/>
    <w:rsid w:val="00FB7596"/>
    <w:rsid w:val="00FB788F"/>
    <w:rsid w:val="00FC5E3B"/>
    <w:rsid w:val="00FE0E53"/>
    <w:rsid w:val="00FE2334"/>
    <w:rsid w:val="00FE4077"/>
    <w:rsid w:val="00FE4E2F"/>
    <w:rsid w:val="00FE77D2"/>
    <w:rsid w:val="00FF22E7"/>
    <w:rsid w:val="00FF2A2B"/>
    <w:rsid w:val="00FF6D1C"/>
    <w:rsid w:val="00FF7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73D0770"/>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8108B7"/>
    <w:pPr>
      <w:ind w:left="720"/>
      <w:contextualSpacing/>
    </w:pPr>
  </w:style>
  <w:style w:type="character" w:styleId="CommentReference">
    <w:name w:val="annotation reference"/>
    <w:basedOn w:val="DefaultParagraphFont"/>
    <w:semiHidden/>
    <w:unhideWhenUsed/>
    <w:rsid w:val="00CC0558"/>
    <w:rPr>
      <w:sz w:val="16"/>
      <w:szCs w:val="16"/>
    </w:rPr>
  </w:style>
  <w:style w:type="paragraph" w:styleId="CommentText">
    <w:name w:val="annotation text"/>
    <w:basedOn w:val="Normal"/>
    <w:link w:val="CommentTextChar"/>
    <w:semiHidden/>
    <w:unhideWhenUsed/>
    <w:rsid w:val="00CC0558"/>
    <w:rPr>
      <w:sz w:val="20"/>
    </w:rPr>
  </w:style>
  <w:style w:type="character" w:customStyle="1" w:styleId="CommentTextChar">
    <w:name w:val="Comment Text Char"/>
    <w:basedOn w:val="DefaultParagraphFont"/>
    <w:link w:val="CommentText"/>
    <w:semiHidden/>
    <w:rsid w:val="00CC0558"/>
    <w:rPr>
      <w:rFonts w:ascii="Calibri" w:hAnsi="Calibri"/>
      <w:lang w:val="en-GB" w:eastAsia="en-US"/>
    </w:rPr>
  </w:style>
  <w:style w:type="paragraph" w:styleId="CommentSubject">
    <w:name w:val="annotation subject"/>
    <w:basedOn w:val="CommentText"/>
    <w:next w:val="CommentText"/>
    <w:link w:val="CommentSubjectChar"/>
    <w:semiHidden/>
    <w:unhideWhenUsed/>
    <w:rsid w:val="00CC0558"/>
    <w:rPr>
      <w:b/>
      <w:bCs/>
    </w:rPr>
  </w:style>
  <w:style w:type="character" w:customStyle="1" w:styleId="CommentSubjectChar">
    <w:name w:val="Comment Subject Char"/>
    <w:basedOn w:val="CommentTextChar"/>
    <w:link w:val="CommentSubject"/>
    <w:semiHidden/>
    <w:rsid w:val="00CC0558"/>
    <w:rPr>
      <w:rFonts w:ascii="Calibri" w:hAnsi="Calibri"/>
      <w:b/>
      <w:bCs/>
      <w:lang w:val="en-GB" w:eastAsia="en-US"/>
    </w:rPr>
  </w:style>
  <w:style w:type="paragraph" w:styleId="BalloonText">
    <w:name w:val="Balloon Text"/>
    <w:basedOn w:val="Normal"/>
    <w:link w:val="BalloonTextChar"/>
    <w:semiHidden/>
    <w:unhideWhenUsed/>
    <w:rsid w:val="00CC05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0558"/>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611697"/>
    <w:rPr>
      <w:color w:val="605E5C"/>
      <w:shd w:val="clear" w:color="auto" w:fill="E1DFDD"/>
    </w:rPr>
  </w:style>
  <w:style w:type="paragraph" w:styleId="NormalWeb">
    <w:name w:val="Normal (Web)"/>
    <w:basedOn w:val="Normal"/>
    <w:uiPriority w:val="99"/>
    <w:semiHidden/>
    <w:unhideWhenUsed/>
    <w:rsid w:val="003162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AU" w:eastAsia="en-AU"/>
    </w:rPr>
  </w:style>
  <w:style w:type="character" w:customStyle="1" w:styleId="tag-mark">
    <w:name w:val="tag-mark"/>
    <w:basedOn w:val="DefaultParagraphFont"/>
    <w:rsid w:val="007C5787"/>
  </w:style>
  <w:style w:type="character" w:styleId="UnresolvedMention">
    <w:name w:val="Unresolved Mention"/>
    <w:basedOn w:val="DefaultParagraphFont"/>
    <w:uiPriority w:val="99"/>
    <w:semiHidden/>
    <w:unhideWhenUsed/>
    <w:rsid w:val="00994649"/>
    <w:rPr>
      <w:color w:val="605E5C"/>
      <w:shd w:val="clear" w:color="auto" w:fill="E1DFDD"/>
    </w:rPr>
  </w:style>
  <w:style w:type="paragraph" w:styleId="Revision">
    <w:name w:val="Revision"/>
    <w:hidden/>
    <w:uiPriority w:val="99"/>
    <w:semiHidden/>
    <w:rsid w:val="00CC325D"/>
    <w:rPr>
      <w:rFonts w:ascii="Calibri" w:hAnsi="Calibri"/>
      <w:sz w:val="24"/>
      <w:lang w:val="en-GB" w:eastAsia="en-US"/>
    </w:rPr>
  </w:style>
  <w:style w:type="character" w:customStyle="1" w:styleId="HeaderChar">
    <w:name w:val="Header Char"/>
    <w:basedOn w:val="DefaultParagraphFont"/>
    <w:link w:val="Header"/>
    <w:uiPriority w:val="99"/>
    <w:rsid w:val="009C3907"/>
    <w:rPr>
      <w:rFonts w:ascii="Calibri" w:hAnsi="Calibri"/>
      <w:sz w:val="18"/>
      <w:lang w:val="en-GB" w:eastAsia="en-US"/>
    </w:rPr>
  </w:style>
  <w:style w:type="table" w:styleId="TableGrid">
    <w:name w:val="Table Grid"/>
    <w:basedOn w:val="TableNormal"/>
    <w:uiPriority w:val="39"/>
    <w:rsid w:val="009C390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9C3907"/>
    <w:pPr>
      <w:framePr w:hSpace="180" w:wrap="around" w:hAnchor="page" w:x="1821" w:y="2317"/>
      <w:spacing w:before="120" w:after="160"/>
      <w:jc w:val="left"/>
    </w:pPr>
    <w:rPr>
      <w:rFonts w:eastAsia="SimSu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428">
      <w:bodyDiv w:val="1"/>
      <w:marLeft w:val="0"/>
      <w:marRight w:val="0"/>
      <w:marTop w:val="0"/>
      <w:marBottom w:val="0"/>
      <w:divBdr>
        <w:top w:val="none" w:sz="0" w:space="0" w:color="auto"/>
        <w:left w:val="none" w:sz="0" w:space="0" w:color="auto"/>
        <w:bottom w:val="none" w:sz="0" w:space="0" w:color="auto"/>
        <w:right w:val="none" w:sz="0" w:space="0" w:color="auto"/>
      </w:divBdr>
    </w:div>
    <w:div w:id="259608245">
      <w:bodyDiv w:val="1"/>
      <w:marLeft w:val="0"/>
      <w:marRight w:val="0"/>
      <w:marTop w:val="0"/>
      <w:marBottom w:val="0"/>
      <w:divBdr>
        <w:top w:val="none" w:sz="0" w:space="0" w:color="auto"/>
        <w:left w:val="none" w:sz="0" w:space="0" w:color="auto"/>
        <w:bottom w:val="none" w:sz="0" w:space="0" w:color="auto"/>
        <w:right w:val="none" w:sz="0" w:space="0" w:color="auto"/>
      </w:divBdr>
    </w:div>
    <w:div w:id="287588244">
      <w:bodyDiv w:val="1"/>
      <w:marLeft w:val="0"/>
      <w:marRight w:val="0"/>
      <w:marTop w:val="0"/>
      <w:marBottom w:val="0"/>
      <w:divBdr>
        <w:top w:val="none" w:sz="0" w:space="0" w:color="auto"/>
        <w:left w:val="none" w:sz="0" w:space="0" w:color="auto"/>
        <w:bottom w:val="none" w:sz="0" w:space="0" w:color="auto"/>
        <w:right w:val="none" w:sz="0" w:space="0" w:color="auto"/>
      </w:divBdr>
    </w:div>
    <w:div w:id="403650018">
      <w:bodyDiv w:val="1"/>
      <w:marLeft w:val="0"/>
      <w:marRight w:val="0"/>
      <w:marTop w:val="0"/>
      <w:marBottom w:val="0"/>
      <w:divBdr>
        <w:top w:val="none" w:sz="0" w:space="0" w:color="auto"/>
        <w:left w:val="none" w:sz="0" w:space="0" w:color="auto"/>
        <w:bottom w:val="none" w:sz="0" w:space="0" w:color="auto"/>
        <w:right w:val="none" w:sz="0" w:space="0" w:color="auto"/>
      </w:divBdr>
    </w:div>
    <w:div w:id="611128651">
      <w:bodyDiv w:val="1"/>
      <w:marLeft w:val="0"/>
      <w:marRight w:val="0"/>
      <w:marTop w:val="0"/>
      <w:marBottom w:val="0"/>
      <w:divBdr>
        <w:top w:val="none" w:sz="0" w:space="0" w:color="auto"/>
        <w:left w:val="none" w:sz="0" w:space="0" w:color="auto"/>
        <w:bottom w:val="none" w:sz="0" w:space="0" w:color="auto"/>
        <w:right w:val="none" w:sz="0" w:space="0" w:color="auto"/>
      </w:divBdr>
    </w:div>
    <w:div w:id="614141758">
      <w:bodyDiv w:val="1"/>
      <w:marLeft w:val="0"/>
      <w:marRight w:val="0"/>
      <w:marTop w:val="0"/>
      <w:marBottom w:val="0"/>
      <w:divBdr>
        <w:top w:val="none" w:sz="0" w:space="0" w:color="auto"/>
        <w:left w:val="none" w:sz="0" w:space="0" w:color="auto"/>
        <w:bottom w:val="none" w:sz="0" w:space="0" w:color="auto"/>
        <w:right w:val="none" w:sz="0" w:space="0" w:color="auto"/>
      </w:divBdr>
    </w:div>
    <w:div w:id="923075261">
      <w:bodyDiv w:val="1"/>
      <w:marLeft w:val="0"/>
      <w:marRight w:val="0"/>
      <w:marTop w:val="0"/>
      <w:marBottom w:val="0"/>
      <w:divBdr>
        <w:top w:val="none" w:sz="0" w:space="0" w:color="auto"/>
        <w:left w:val="none" w:sz="0" w:space="0" w:color="auto"/>
        <w:bottom w:val="none" w:sz="0" w:space="0" w:color="auto"/>
        <w:right w:val="none" w:sz="0" w:space="0" w:color="auto"/>
      </w:divBdr>
    </w:div>
    <w:div w:id="1034886425">
      <w:bodyDiv w:val="1"/>
      <w:marLeft w:val="0"/>
      <w:marRight w:val="0"/>
      <w:marTop w:val="0"/>
      <w:marBottom w:val="0"/>
      <w:divBdr>
        <w:top w:val="none" w:sz="0" w:space="0" w:color="auto"/>
        <w:left w:val="none" w:sz="0" w:space="0" w:color="auto"/>
        <w:bottom w:val="none" w:sz="0" w:space="0" w:color="auto"/>
        <w:right w:val="none" w:sz="0" w:space="0" w:color="auto"/>
      </w:divBdr>
    </w:div>
    <w:div w:id="1089546951">
      <w:bodyDiv w:val="1"/>
      <w:marLeft w:val="0"/>
      <w:marRight w:val="0"/>
      <w:marTop w:val="0"/>
      <w:marBottom w:val="0"/>
      <w:divBdr>
        <w:top w:val="none" w:sz="0" w:space="0" w:color="auto"/>
        <w:left w:val="none" w:sz="0" w:space="0" w:color="auto"/>
        <w:bottom w:val="none" w:sz="0" w:space="0" w:color="auto"/>
        <w:right w:val="none" w:sz="0" w:space="0" w:color="auto"/>
      </w:divBdr>
    </w:div>
    <w:div w:id="1380351816">
      <w:bodyDiv w:val="1"/>
      <w:marLeft w:val="0"/>
      <w:marRight w:val="0"/>
      <w:marTop w:val="0"/>
      <w:marBottom w:val="0"/>
      <w:divBdr>
        <w:top w:val="none" w:sz="0" w:space="0" w:color="auto"/>
        <w:left w:val="none" w:sz="0" w:space="0" w:color="auto"/>
        <w:bottom w:val="none" w:sz="0" w:space="0" w:color="auto"/>
        <w:right w:val="none" w:sz="0" w:space="0" w:color="auto"/>
      </w:divBdr>
    </w:div>
    <w:div w:id="1519152844">
      <w:bodyDiv w:val="1"/>
      <w:marLeft w:val="0"/>
      <w:marRight w:val="0"/>
      <w:marTop w:val="0"/>
      <w:marBottom w:val="0"/>
      <w:divBdr>
        <w:top w:val="none" w:sz="0" w:space="0" w:color="auto"/>
        <w:left w:val="none" w:sz="0" w:space="0" w:color="auto"/>
        <w:bottom w:val="none" w:sz="0" w:space="0" w:color="auto"/>
        <w:right w:val="none" w:sz="0" w:space="0" w:color="auto"/>
      </w:divBdr>
    </w:div>
    <w:div w:id="1519272195">
      <w:bodyDiv w:val="1"/>
      <w:marLeft w:val="0"/>
      <w:marRight w:val="0"/>
      <w:marTop w:val="0"/>
      <w:marBottom w:val="0"/>
      <w:divBdr>
        <w:top w:val="none" w:sz="0" w:space="0" w:color="auto"/>
        <w:left w:val="none" w:sz="0" w:space="0" w:color="auto"/>
        <w:bottom w:val="none" w:sz="0" w:space="0" w:color="auto"/>
        <w:right w:val="none" w:sz="0" w:space="0" w:color="auto"/>
      </w:divBdr>
    </w:div>
    <w:div w:id="1570187440">
      <w:bodyDiv w:val="1"/>
      <w:marLeft w:val="0"/>
      <w:marRight w:val="0"/>
      <w:marTop w:val="0"/>
      <w:marBottom w:val="0"/>
      <w:divBdr>
        <w:top w:val="none" w:sz="0" w:space="0" w:color="auto"/>
        <w:left w:val="none" w:sz="0" w:space="0" w:color="auto"/>
        <w:bottom w:val="none" w:sz="0" w:space="0" w:color="auto"/>
        <w:right w:val="none" w:sz="0" w:space="0" w:color="auto"/>
      </w:divBdr>
    </w:div>
    <w:div w:id="1571770668">
      <w:bodyDiv w:val="1"/>
      <w:marLeft w:val="0"/>
      <w:marRight w:val="0"/>
      <w:marTop w:val="0"/>
      <w:marBottom w:val="0"/>
      <w:divBdr>
        <w:top w:val="none" w:sz="0" w:space="0" w:color="auto"/>
        <w:left w:val="none" w:sz="0" w:space="0" w:color="auto"/>
        <w:bottom w:val="none" w:sz="0" w:space="0" w:color="auto"/>
        <w:right w:val="none" w:sz="0" w:space="0" w:color="auto"/>
      </w:divBdr>
    </w:div>
    <w:div w:id="1700812728">
      <w:bodyDiv w:val="1"/>
      <w:marLeft w:val="0"/>
      <w:marRight w:val="0"/>
      <w:marTop w:val="0"/>
      <w:marBottom w:val="0"/>
      <w:divBdr>
        <w:top w:val="none" w:sz="0" w:space="0" w:color="auto"/>
        <w:left w:val="none" w:sz="0" w:space="0" w:color="auto"/>
        <w:bottom w:val="none" w:sz="0" w:space="0" w:color="auto"/>
        <w:right w:val="none" w:sz="0" w:space="0" w:color="auto"/>
      </w:divBdr>
    </w:div>
    <w:div w:id="1707607139">
      <w:bodyDiv w:val="1"/>
      <w:marLeft w:val="0"/>
      <w:marRight w:val="0"/>
      <w:marTop w:val="0"/>
      <w:marBottom w:val="0"/>
      <w:divBdr>
        <w:top w:val="none" w:sz="0" w:space="0" w:color="auto"/>
        <w:left w:val="none" w:sz="0" w:space="0" w:color="auto"/>
        <w:bottom w:val="none" w:sz="0" w:space="0" w:color="auto"/>
        <w:right w:val="none" w:sz="0" w:space="0" w:color="auto"/>
      </w:divBdr>
    </w:div>
    <w:div w:id="1714111667">
      <w:bodyDiv w:val="1"/>
      <w:marLeft w:val="0"/>
      <w:marRight w:val="0"/>
      <w:marTop w:val="0"/>
      <w:marBottom w:val="0"/>
      <w:divBdr>
        <w:top w:val="none" w:sz="0" w:space="0" w:color="auto"/>
        <w:left w:val="none" w:sz="0" w:space="0" w:color="auto"/>
        <w:bottom w:val="none" w:sz="0" w:space="0" w:color="auto"/>
        <w:right w:val="none" w:sz="0" w:space="0" w:color="auto"/>
      </w:divBdr>
    </w:div>
    <w:div w:id="1748382429">
      <w:bodyDiv w:val="1"/>
      <w:marLeft w:val="0"/>
      <w:marRight w:val="0"/>
      <w:marTop w:val="0"/>
      <w:marBottom w:val="0"/>
      <w:divBdr>
        <w:top w:val="none" w:sz="0" w:space="0" w:color="auto"/>
        <w:left w:val="none" w:sz="0" w:space="0" w:color="auto"/>
        <w:bottom w:val="none" w:sz="0" w:space="0" w:color="auto"/>
        <w:right w:val="none" w:sz="0" w:space="0" w:color="auto"/>
      </w:divBdr>
    </w:div>
    <w:div w:id="1893610301">
      <w:bodyDiv w:val="1"/>
      <w:marLeft w:val="0"/>
      <w:marRight w:val="0"/>
      <w:marTop w:val="0"/>
      <w:marBottom w:val="0"/>
      <w:divBdr>
        <w:top w:val="none" w:sz="0" w:space="0" w:color="auto"/>
        <w:left w:val="none" w:sz="0" w:space="0" w:color="auto"/>
        <w:bottom w:val="none" w:sz="0" w:space="0" w:color="auto"/>
        <w:right w:val="none" w:sz="0" w:space="0" w:color="auto"/>
      </w:divBdr>
    </w:div>
    <w:div w:id="2023166862">
      <w:bodyDiv w:val="1"/>
      <w:marLeft w:val="0"/>
      <w:marRight w:val="0"/>
      <w:marTop w:val="0"/>
      <w:marBottom w:val="0"/>
      <w:divBdr>
        <w:top w:val="none" w:sz="0" w:space="0" w:color="auto"/>
        <w:left w:val="none" w:sz="0" w:space="0" w:color="auto"/>
        <w:bottom w:val="none" w:sz="0" w:space="0" w:color="auto"/>
        <w:right w:val="none" w:sz="0" w:space="0" w:color="auto"/>
      </w:divBdr>
    </w:div>
    <w:div w:id="2041934829">
      <w:bodyDiv w:val="1"/>
      <w:marLeft w:val="0"/>
      <w:marRight w:val="0"/>
      <w:marTop w:val="0"/>
      <w:marBottom w:val="0"/>
      <w:divBdr>
        <w:top w:val="none" w:sz="0" w:space="0" w:color="auto"/>
        <w:left w:val="none" w:sz="0" w:space="0" w:color="auto"/>
        <w:bottom w:val="none" w:sz="0" w:space="0" w:color="auto"/>
        <w:right w:val="none" w:sz="0" w:space="0" w:color="auto"/>
      </w:divBdr>
    </w:div>
    <w:div w:id="2090495611">
      <w:bodyDiv w:val="1"/>
      <w:marLeft w:val="0"/>
      <w:marRight w:val="0"/>
      <w:marTop w:val="0"/>
      <w:marBottom w:val="0"/>
      <w:divBdr>
        <w:top w:val="none" w:sz="0" w:space="0" w:color="auto"/>
        <w:left w:val="none" w:sz="0" w:space="0" w:color="auto"/>
        <w:bottom w:val="none" w:sz="0" w:space="0" w:color="auto"/>
        <w:right w:val="none" w:sz="0" w:space="0" w:color="auto"/>
      </w:divBdr>
    </w:div>
    <w:div w:id="2112972538">
      <w:bodyDiv w:val="1"/>
      <w:marLeft w:val="0"/>
      <w:marRight w:val="0"/>
      <w:marTop w:val="0"/>
      <w:marBottom w:val="0"/>
      <w:divBdr>
        <w:top w:val="none" w:sz="0" w:space="0" w:color="auto"/>
        <w:left w:val="none" w:sz="0" w:space="0" w:color="auto"/>
        <w:bottom w:val="none" w:sz="0" w:space="0" w:color="auto"/>
        <w:right w:val="none" w:sz="0" w:space="0" w:color="auto"/>
      </w:divBdr>
    </w:div>
    <w:div w:id="21311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206/en" TargetMode="External"/><Relationship Id="rId18" Type="http://schemas.openxmlformats.org/officeDocument/2006/relationships/hyperlink" Target="https://www.itu.int/md/S22-PP-C-0206/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2-PP-C-0189/en" TargetMode="External"/><Relationship Id="rId17" Type="http://schemas.openxmlformats.org/officeDocument/2006/relationships/hyperlink" Target="https://www.itu.int/md/S22-PP-C-0189/en" TargetMode="External"/><Relationship Id="rId2" Type="http://schemas.openxmlformats.org/officeDocument/2006/relationships/customXml" Target="../customXml/item2.xml"/><Relationship Id="rId16" Type="http://schemas.openxmlformats.org/officeDocument/2006/relationships/hyperlink" Target="https://www.itu.int/md/s18-pp-c-017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8-pp-c-017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1-CL-C-0045/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1-CL-C-004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ashboard/Pages/Mou.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00367-D2AF-43C3-B5EC-4F1D0928035D}">
  <ds:schemaRefs>
    <ds:schemaRef ds:uri="http://schemas.openxmlformats.org/officeDocument/2006/bibliography"/>
  </ds:schemaRefs>
</ds:datastoreItem>
</file>

<file path=customXml/itemProps2.xml><?xml version="1.0" encoding="utf-8"?>
<ds:datastoreItem xmlns:ds="http://schemas.openxmlformats.org/officeDocument/2006/customXml" ds:itemID="{755B4D69-1D32-4801-A8AA-8CA23BC50EC3}">
  <ds:schemaRefs>
    <ds:schemaRef ds:uri="http://schemas.microsoft.com/sharepoint/v3/contenttype/forms"/>
  </ds:schemaRefs>
</ds:datastoreItem>
</file>

<file path=customXml/itemProps3.xml><?xml version="1.0" encoding="utf-8"?>
<ds:datastoreItem xmlns:ds="http://schemas.openxmlformats.org/officeDocument/2006/customXml" ds:itemID="{C0949DE5-9772-4FE0-8C4E-19EB42960256}">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7DB6FA1-8A51-45DB-AE4D-BE8D0C8A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Contribution from Australia - Increasing transparency of Memoranda of Understanding</vt:lpstr>
    </vt:vector>
  </TitlesOfParts>
  <Manager>General Secretariat - Pool</Manager>
  <Company>ITU</Company>
  <LinksUpToDate>false</LinksUpToDate>
  <CharactersWithSpaces>4619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 - Increasing transparency of Memoranda of Understanding</dc:title>
  <dc:subject>Council 2023</dc:subject>
  <dc:creator>Brouard, Ricarda</dc:creator>
  <cp:keywords>C2023, C23, Council-23</cp:keywords>
  <dc:description/>
  <cp:lastModifiedBy>Xue, Kun</cp:lastModifiedBy>
  <cp:revision>3</cp:revision>
  <cp:lastPrinted>2000-07-18T13:30:00Z</cp:lastPrinted>
  <dcterms:created xsi:type="dcterms:W3CDTF">2023-06-27T07:51:00Z</dcterms:created>
  <dcterms:modified xsi:type="dcterms:W3CDTF">2023-06-27T07:53:00Z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0x0101007E7739AAB488DF488F678A0A4BF630DC</vt:lpwstr>
  </property>
  <property fmtid="{D5CDD505-2E9C-101B-9397-08002B2CF9AE}" pid="9" name="TrimRevisionNumber">
    <vt:i4>26</vt:i4>
  </property>
</Properties>
</file>