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163C5F6F" w14:textId="77777777" w:rsidTr="00AD3606">
        <w:trPr>
          <w:cantSplit/>
          <w:trHeight w:val="23"/>
        </w:trPr>
        <w:tc>
          <w:tcPr>
            <w:tcW w:w="3969" w:type="dxa"/>
            <w:vMerge w:val="restart"/>
            <w:tcMar>
              <w:left w:w="0" w:type="dxa"/>
            </w:tcMar>
          </w:tcPr>
          <w:p w14:paraId="43DF6F77" w14:textId="38ADA1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r>
              <w:rPr>
                <w:b/>
              </w:rPr>
              <w:t xml:space="preserve">Agenda item: </w:t>
            </w:r>
            <w:r w:rsidR="00E64229">
              <w:rPr>
                <w:b/>
                <w:lang w:eastAsia="zh-CN"/>
              </w:rPr>
              <w:t>PL 2</w:t>
            </w:r>
          </w:p>
        </w:tc>
        <w:tc>
          <w:tcPr>
            <w:tcW w:w="5245" w:type="dxa"/>
          </w:tcPr>
          <w:p w14:paraId="6DC413E6" w14:textId="44785A30" w:rsidR="00AD3606" w:rsidRPr="00E85629" w:rsidRDefault="00AD3606" w:rsidP="00472BAD">
            <w:pPr>
              <w:tabs>
                <w:tab w:val="left" w:pos="851"/>
              </w:tabs>
              <w:spacing w:before="0" w:line="240" w:lineRule="atLeast"/>
              <w:jc w:val="right"/>
              <w:rPr>
                <w:b/>
              </w:rPr>
            </w:pPr>
            <w:r>
              <w:rPr>
                <w:b/>
              </w:rPr>
              <w:t>Document C23/</w:t>
            </w:r>
            <w:r w:rsidR="00E64229">
              <w:rPr>
                <w:b/>
              </w:rPr>
              <w:t>68</w:t>
            </w:r>
            <w:r>
              <w:rPr>
                <w:b/>
              </w:rPr>
              <w:t>-E</w:t>
            </w:r>
          </w:p>
        </w:tc>
      </w:tr>
      <w:tr w:rsidR="00AD3606" w:rsidRPr="00813E5E" w14:paraId="3EF77737" w14:textId="77777777" w:rsidTr="00AD3606">
        <w:trPr>
          <w:cantSplit/>
        </w:trPr>
        <w:tc>
          <w:tcPr>
            <w:tcW w:w="3969" w:type="dxa"/>
            <w:vMerge/>
          </w:tcPr>
          <w:p w14:paraId="2525E8FD" w14:textId="77777777" w:rsidR="00AD3606" w:rsidRPr="00813E5E" w:rsidRDefault="00AD3606" w:rsidP="00AD3606">
            <w:pPr>
              <w:tabs>
                <w:tab w:val="left" w:pos="851"/>
              </w:tabs>
              <w:spacing w:line="240" w:lineRule="atLeast"/>
              <w:rPr>
                <w:b/>
              </w:rPr>
            </w:pPr>
            <w:bookmarkStart w:id="2" w:name="ddate" w:colFirst="1" w:colLast="1"/>
            <w:bookmarkEnd w:id="0"/>
            <w:bookmarkEnd w:id="1"/>
          </w:p>
        </w:tc>
        <w:tc>
          <w:tcPr>
            <w:tcW w:w="5245" w:type="dxa"/>
          </w:tcPr>
          <w:p w14:paraId="3A67E636" w14:textId="77777777" w:rsidR="00AD3606" w:rsidRPr="00E85629" w:rsidRDefault="0031682D" w:rsidP="00AD3606">
            <w:pPr>
              <w:tabs>
                <w:tab w:val="left" w:pos="851"/>
              </w:tabs>
              <w:spacing w:before="0"/>
              <w:jc w:val="right"/>
              <w:rPr>
                <w:b/>
              </w:rPr>
            </w:pPr>
            <w:r>
              <w:rPr>
                <w:b/>
              </w:rPr>
              <w:t>27 June</w:t>
            </w:r>
            <w:r w:rsidR="00AD3606">
              <w:rPr>
                <w:b/>
              </w:rPr>
              <w:t xml:space="preserve"> 2023</w:t>
            </w:r>
          </w:p>
        </w:tc>
      </w:tr>
      <w:tr w:rsidR="00AD3606" w:rsidRPr="00813E5E" w14:paraId="0B3AAA96" w14:textId="77777777" w:rsidTr="00AD3606">
        <w:trPr>
          <w:cantSplit/>
          <w:trHeight w:val="23"/>
        </w:trPr>
        <w:tc>
          <w:tcPr>
            <w:tcW w:w="3969" w:type="dxa"/>
            <w:vMerge/>
          </w:tcPr>
          <w:p w14:paraId="36A54B67" w14:textId="77777777" w:rsidR="00AD3606" w:rsidRPr="00813E5E" w:rsidRDefault="00AD3606" w:rsidP="00AD3606">
            <w:pPr>
              <w:tabs>
                <w:tab w:val="left" w:pos="851"/>
              </w:tabs>
              <w:spacing w:line="240" w:lineRule="atLeast"/>
              <w:rPr>
                <w:b/>
              </w:rPr>
            </w:pPr>
            <w:bookmarkStart w:id="3" w:name="dorlang" w:colFirst="1" w:colLast="1"/>
            <w:bookmarkEnd w:id="2"/>
          </w:p>
        </w:tc>
        <w:tc>
          <w:tcPr>
            <w:tcW w:w="5245" w:type="dxa"/>
          </w:tcPr>
          <w:p w14:paraId="7E4A80C3" w14:textId="1F4287B8" w:rsidR="00AD3606" w:rsidRPr="00E85629" w:rsidRDefault="00AD3606" w:rsidP="00AD3606">
            <w:pPr>
              <w:tabs>
                <w:tab w:val="left" w:pos="851"/>
              </w:tabs>
              <w:spacing w:before="0" w:line="240" w:lineRule="atLeast"/>
              <w:jc w:val="right"/>
              <w:rPr>
                <w:b/>
              </w:rPr>
            </w:pPr>
            <w:r>
              <w:rPr>
                <w:b/>
              </w:rPr>
              <w:t xml:space="preserve">Original: </w:t>
            </w:r>
            <w:r w:rsidR="00E64229">
              <w:rPr>
                <w:rFonts w:eastAsia="Times New Roman"/>
                <w:b/>
              </w:rPr>
              <w:t>English</w:t>
            </w:r>
          </w:p>
        </w:tc>
      </w:tr>
      <w:tr w:rsidR="00472BAD" w:rsidRPr="00813E5E" w14:paraId="56F8CD76" w14:textId="77777777" w:rsidTr="00AD3606">
        <w:trPr>
          <w:cantSplit/>
          <w:trHeight w:val="23"/>
        </w:trPr>
        <w:tc>
          <w:tcPr>
            <w:tcW w:w="3969" w:type="dxa"/>
          </w:tcPr>
          <w:p w14:paraId="64AEE5C7" w14:textId="77777777" w:rsidR="00472BAD" w:rsidRPr="00813E5E" w:rsidRDefault="00472BAD" w:rsidP="00AD3606">
            <w:pPr>
              <w:tabs>
                <w:tab w:val="left" w:pos="851"/>
              </w:tabs>
              <w:spacing w:line="240" w:lineRule="atLeast"/>
              <w:rPr>
                <w:b/>
              </w:rPr>
            </w:pPr>
          </w:p>
        </w:tc>
        <w:tc>
          <w:tcPr>
            <w:tcW w:w="5245" w:type="dxa"/>
          </w:tcPr>
          <w:p w14:paraId="24B1E05B" w14:textId="77777777" w:rsidR="00472BAD" w:rsidRDefault="00472BAD" w:rsidP="00AD3606">
            <w:pPr>
              <w:tabs>
                <w:tab w:val="left" w:pos="851"/>
              </w:tabs>
              <w:spacing w:before="0" w:line="240" w:lineRule="atLeast"/>
              <w:jc w:val="right"/>
              <w:rPr>
                <w:b/>
              </w:rPr>
            </w:pPr>
          </w:p>
        </w:tc>
      </w:tr>
      <w:tr w:rsidR="00AD3606" w:rsidRPr="00813E5E" w14:paraId="6B4095FB" w14:textId="77777777" w:rsidTr="00AD3606">
        <w:trPr>
          <w:cantSplit/>
        </w:trPr>
        <w:tc>
          <w:tcPr>
            <w:tcW w:w="9214" w:type="dxa"/>
            <w:gridSpan w:val="2"/>
            <w:tcMar>
              <w:left w:w="0" w:type="dxa"/>
            </w:tcMar>
          </w:tcPr>
          <w:p w14:paraId="21EF0FDF" w14:textId="77777777" w:rsidR="00AD3606" w:rsidRPr="00813E5E" w:rsidRDefault="00146BAF" w:rsidP="00AD3606">
            <w:pPr>
              <w:pStyle w:val="Source"/>
              <w:framePr w:hSpace="0" w:wrap="auto" w:vAnchor="margin" w:hAnchor="text" w:yAlign="inline"/>
            </w:pPr>
            <w:bookmarkStart w:id="4" w:name="dsource" w:colFirst="0" w:colLast="0"/>
            <w:bookmarkEnd w:id="3"/>
            <w:r>
              <w:t>Contribution</w:t>
            </w:r>
            <w:r w:rsidR="00AD3606" w:rsidRPr="002C54E2">
              <w:t xml:space="preserve"> </w:t>
            </w:r>
            <w:r w:rsidR="002F6124">
              <w:t>from</w:t>
            </w:r>
            <w:r w:rsidR="00AD3606" w:rsidRPr="002C54E2">
              <w:t xml:space="preserve"> </w:t>
            </w:r>
            <w:r w:rsidR="00DD20C0">
              <w:t>Australia</w:t>
            </w:r>
          </w:p>
        </w:tc>
      </w:tr>
      <w:tr w:rsidR="00AD3606" w:rsidRPr="00813E5E" w14:paraId="0CB3E29D" w14:textId="77777777" w:rsidTr="00AD3606">
        <w:trPr>
          <w:cantSplit/>
        </w:trPr>
        <w:tc>
          <w:tcPr>
            <w:tcW w:w="9214" w:type="dxa"/>
            <w:gridSpan w:val="2"/>
            <w:tcMar>
              <w:left w:w="0" w:type="dxa"/>
            </w:tcMar>
          </w:tcPr>
          <w:p w14:paraId="27C6B253" w14:textId="5A18CE01" w:rsidR="00AD3606" w:rsidRPr="00813E5E" w:rsidRDefault="00E64229" w:rsidP="00DF0189">
            <w:pPr>
              <w:pStyle w:val="Subtitle"/>
              <w:framePr w:hSpace="0" w:wrap="auto" w:hAnchor="text" w:xAlign="left" w:yAlign="inline"/>
            </w:pPr>
            <w:bookmarkStart w:id="5" w:name="dtitle1" w:colFirst="0" w:colLast="0"/>
            <w:bookmarkEnd w:id="4"/>
            <w:r>
              <w:t>STRATEGIC APPROACH TO ITU’S REGIONAL PRESENCE</w:t>
            </w:r>
          </w:p>
        </w:tc>
      </w:tr>
      <w:tr w:rsidR="00AD3606" w:rsidRPr="00813E5E" w14:paraId="1A32A869" w14:textId="77777777" w:rsidTr="00AD3606">
        <w:trPr>
          <w:cantSplit/>
        </w:trPr>
        <w:tc>
          <w:tcPr>
            <w:tcW w:w="9214" w:type="dxa"/>
            <w:gridSpan w:val="2"/>
            <w:tcBorders>
              <w:top w:val="single" w:sz="4" w:space="0" w:color="auto"/>
              <w:bottom w:val="single" w:sz="4" w:space="0" w:color="auto"/>
            </w:tcBorders>
            <w:tcMar>
              <w:left w:w="0" w:type="dxa"/>
            </w:tcMar>
          </w:tcPr>
          <w:p w14:paraId="6C0946F2" w14:textId="04A3E6D7" w:rsidR="00AD3606" w:rsidRPr="00F16BAB" w:rsidRDefault="00F16BAB" w:rsidP="00F16BAB">
            <w:pPr>
              <w:spacing w:before="160"/>
              <w:rPr>
                <w:b/>
                <w:bCs/>
                <w:sz w:val="26"/>
                <w:szCs w:val="26"/>
              </w:rPr>
            </w:pPr>
            <w:r w:rsidRPr="00F16BAB">
              <w:rPr>
                <w:b/>
                <w:bCs/>
                <w:sz w:val="26"/>
                <w:szCs w:val="26"/>
              </w:rPr>
              <w:t>Purpose</w:t>
            </w:r>
          </w:p>
          <w:p w14:paraId="3AF3AEAC" w14:textId="77777777" w:rsidR="00AD3606" w:rsidRPr="00813E5E" w:rsidRDefault="008E2932" w:rsidP="00F16BAB">
            <w:r w:rsidRPr="008E2932">
              <w:t>This contribution provides Australia’s views on the importance of taking a strategic approach to strengthening ITU’s regional presence; proposes the development of explicit criteria to guide future deliberations on establishing regional/area [or field] offices; and points to existing gaps in ITU’s regional presence in the Pacific region.</w:t>
            </w:r>
          </w:p>
          <w:p w14:paraId="3180C098" w14:textId="77777777" w:rsidR="00AD3606" w:rsidRPr="00F16BAB" w:rsidRDefault="00AD3606" w:rsidP="00F16BAB">
            <w:pPr>
              <w:spacing w:before="160"/>
              <w:rPr>
                <w:b/>
                <w:bCs/>
                <w:sz w:val="26"/>
                <w:szCs w:val="26"/>
              </w:rPr>
            </w:pPr>
            <w:r w:rsidRPr="00F16BAB">
              <w:rPr>
                <w:b/>
                <w:bCs/>
                <w:sz w:val="26"/>
                <w:szCs w:val="26"/>
              </w:rPr>
              <w:t>Action required</w:t>
            </w:r>
            <w:r w:rsidR="00F16BAB" w:rsidRPr="00F16BAB">
              <w:rPr>
                <w:b/>
                <w:bCs/>
                <w:sz w:val="26"/>
                <w:szCs w:val="26"/>
              </w:rPr>
              <w:t xml:space="preserve"> by the Council</w:t>
            </w:r>
          </w:p>
          <w:p w14:paraId="33696554" w14:textId="77777777" w:rsidR="00AD3606" w:rsidRPr="00484009" w:rsidRDefault="008E2932" w:rsidP="00AD3606">
            <w:r w:rsidRPr="008E2932">
              <w:t xml:space="preserve">The Council is requested </w:t>
            </w:r>
            <w:r w:rsidRPr="00E64229">
              <w:rPr>
                <w:b/>
                <w:bCs/>
              </w:rPr>
              <w:t>to continue considering</w:t>
            </w:r>
            <w:r w:rsidRPr="008E2932">
              <w:t xml:space="preserve"> ways to strengthen ITU regional presence and </w:t>
            </w:r>
            <w:r w:rsidRPr="00E64229">
              <w:rPr>
                <w:b/>
                <w:bCs/>
              </w:rPr>
              <w:t>address</w:t>
            </w:r>
            <w:r w:rsidRPr="008E2932">
              <w:t xml:space="preserve"> existing gaps to ensure ITU Members’ needs are adequately supported; and </w:t>
            </w:r>
            <w:r w:rsidRPr="00E64229">
              <w:rPr>
                <w:b/>
                <w:bCs/>
              </w:rPr>
              <w:t>task</w:t>
            </w:r>
            <w:r w:rsidRPr="008E2932">
              <w:t xml:space="preserve"> the Council Working Group on Financial and Human Resources (CWG-FHR) with recommending explicit criteria to guide future deliberations on establishing regional/area [or field] offices for the decision at the next Council session.</w:t>
            </w:r>
          </w:p>
          <w:p w14:paraId="6D6126BF" w14:textId="77777777" w:rsidR="00AD3606" w:rsidRPr="00813E5E" w:rsidRDefault="00AD3606" w:rsidP="00F16BAB">
            <w:pPr>
              <w:spacing w:before="160"/>
              <w:rPr>
                <w:caps/>
                <w:sz w:val="22"/>
              </w:rPr>
            </w:pPr>
            <w:r w:rsidRPr="00813E5E">
              <w:rPr>
                <w:sz w:val="22"/>
              </w:rPr>
              <w:t>____________</w:t>
            </w:r>
            <w:r>
              <w:rPr>
                <w:sz w:val="22"/>
              </w:rPr>
              <w:t>______</w:t>
            </w:r>
          </w:p>
          <w:p w14:paraId="4318686B" w14:textId="77777777" w:rsidR="00AD3606" w:rsidRDefault="00AD3606" w:rsidP="00F16BAB">
            <w:pPr>
              <w:spacing w:before="160"/>
              <w:rPr>
                <w:b/>
                <w:bCs/>
                <w:sz w:val="26"/>
                <w:szCs w:val="26"/>
              </w:rPr>
            </w:pPr>
            <w:r w:rsidRPr="00F16BAB">
              <w:rPr>
                <w:b/>
                <w:bCs/>
                <w:sz w:val="26"/>
                <w:szCs w:val="26"/>
              </w:rPr>
              <w:t>References</w:t>
            </w:r>
          </w:p>
          <w:p w14:paraId="1A6AB49A" w14:textId="41241D9C" w:rsidR="008E2932" w:rsidRDefault="00E17A9D" w:rsidP="008E2932">
            <w:pPr>
              <w:spacing w:after="160"/>
            </w:pPr>
            <w:hyperlink r:id="rId11" w:history="1">
              <w:r w:rsidR="008E2932" w:rsidRPr="00E64229">
                <w:rPr>
                  <w:rStyle w:val="Hyperlink"/>
                </w:rPr>
                <w:t>Resolution 25</w:t>
              </w:r>
            </w:hyperlink>
            <w:r w:rsidR="008E2932">
              <w:t xml:space="preserve"> (Rev. Bucharest, 2022) Strengthening the ITU Regional Presence</w:t>
            </w:r>
          </w:p>
          <w:p w14:paraId="0A9F48B9" w14:textId="24F3869C" w:rsidR="008E2932" w:rsidRDefault="00E17A9D" w:rsidP="008E2932">
            <w:pPr>
              <w:spacing w:after="160"/>
            </w:pPr>
            <w:hyperlink r:id="rId12" w:history="1">
              <w:r w:rsidR="008E2932" w:rsidRPr="00E64229">
                <w:rPr>
                  <w:rStyle w:val="Hyperlink"/>
                </w:rPr>
                <w:t>Resolution 71</w:t>
              </w:r>
            </w:hyperlink>
            <w:r w:rsidR="008E2932">
              <w:t xml:space="preserve"> (Rev. Bucharest, 2022) ITU Strategic Plan 2024-2027 </w:t>
            </w:r>
          </w:p>
          <w:p w14:paraId="1BB58D58" w14:textId="008EBBEB" w:rsidR="008E2932" w:rsidRDefault="00E17A9D" w:rsidP="008E2932">
            <w:pPr>
              <w:spacing w:after="160"/>
            </w:pPr>
            <w:hyperlink r:id="rId13" w:history="1">
              <w:r w:rsidR="008E2932" w:rsidRPr="00E64229">
                <w:rPr>
                  <w:rStyle w:val="Hyperlink"/>
                </w:rPr>
                <w:t>Decision 5</w:t>
              </w:r>
            </w:hyperlink>
            <w:r w:rsidR="008E2932">
              <w:t xml:space="preserve"> (Rev. Bucharest, 2022), Annex 2 Measures for improving ITU’s efficiency and reducing its expenses </w:t>
            </w:r>
          </w:p>
          <w:p w14:paraId="1EFC1BEC" w14:textId="588E8911" w:rsidR="008E2932" w:rsidRDefault="00E17A9D" w:rsidP="008E2932">
            <w:pPr>
              <w:spacing w:after="160"/>
            </w:pPr>
            <w:hyperlink r:id="rId14" w:history="1">
              <w:r w:rsidR="008E2932" w:rsidRPr="00A85929">
                <w:rPr>
                  <w:rStyle w:val="Hyperlink"/>
                </w:rPr>
                <w:t>CWG-FHR 13/2 + Annexes</w:t>
              </w:r>
            </w:hyperlink>
            <w:r w:rsidR="008E2932">
              <w:t xml:space="preserve"> “Report of the Ad Hoc Group of CWG-FHR on ITU regional presence” including Annexes (Chart 4 – Recommendations requiring Council Decisions) (2021)</w:t>
            </w:r>
          </w:p>
          <w:p w14:paraId="48C7F3FE" w14:textId="1F8E51A2" w:rsidR="008E2932" w:rsidRDefault="00E17A9D" w:rsidP="008E2932">
            <w:pPr>
              <w:spacing w:after="160"/>
            </w:pPr>
            <w:hyperlink r:id="rId15" w:history="1">
              <w:r w:rsidR="008E2932" w:rsidRPr="00A85929">
                <w:rPr>
                  <w:rStyle w:val="Hyperlink"/>
                </w:rPr>
                <w:t>Document C20/74</w:t>
              </w:r>
            </w:hyperlink>
            <w:r w:rsidR="008E2932">
              <w:t xml:space="preserve"> Review of ITU Regional Presence – Report by PwC (2020)</w:t>
            </w:r>
          </w:p>
          <w:p w14:paraId="39E82726" w14:textId="319AE4CD" w:rsidR="00AD3606" w:rsidRDefault="00E17A9D" w:rsidP="008E2932">
            <w:pPr>
              <w:spacing w:after="160"/>
            </w:pPr>
            <w:hyperlink r:id="rId16" w:history="1">
              <w:r w:rsidR="008E2932" w:rsidRPr="00A85929">
                <w:rPr>
                  <w:rStyle w:val="Hyperlink"/>
                </w:rPr>
                <w:t>The United Nations Joint Inspection Report to evaluate the effectiveness of the ITU regional presences (2009)</w:t>
              </w:r>
            </w:hyperlink>
          </w:p>
        </w:tc>
      </w:tr>
      <w:bookmarkEnd w:id="5"/>
    </w:tbl>
    <w:p w14:paraId="24738230" w14:textId="77777777" w:rsidR="0090147A" w:rsidRPr="00E64229"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E64229">
        <w:rPr>
          <w:lang w:val="en-GB"/>
        </w:rPr>
        <w:br w:type="page"/>
      </w:r>
    </w:p>
    <w:p w14:paraId="7E562E32" w14:textId="77777777" w:rsidR="008E2932" w:rsidRPr="008E2932" w:rsidRDefault="008E2932" w:rsidP="00A85929">
      <w:pPr>
        <w:spacing w:before="240" w:after="120"/>
        <w:rPr>
          <w:b/>
          <w:bCs/>
          <w:sz w:val="26"/>
          <w:szCs w:val="26"/>
          <w:lang w:val="en-GB"/>
        </w:rPr>
      </w:pPr>
      <w:r w:rsidRPr="008E2932">
        <w:rPr>
          <w:b/>
          <w:bCs/>
          <w:sz w:val="26"/>
          <w:szCs w:val="26"/>
          <w:lang w:val="en-GB"/>
        </w:rPr>
        <w:lastRenderedPageBreak/>
        <w:t>Introduction</w:t>
      </w:r>
    </w:p>
    <w:p w14:paraId="4B372E4C" w14:textId="77777777"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 xml:space="preserve">Regional presence is an essential part of </w:t>
      </w:r>
      <w:r w:rsidRPr="008E2932">
        <w:t>delivering</w:t>
      </w:r>
      <w:r w:rsidRPr="00E64229">
        <w:rPr>
          <w:lang w:val="en-GB"/>
        </w:rPr>
        <w:t xml:space="preserve"> the benefits of ITU’s activities across the globe, in particular to developing countries. Strengthened regional presence ensures that ITU is fit for purpose, and can continue to provide specialised expertise and assistance to meet the needs of diverse regions. </w:t>
      </w:r>
    </w:p>
    <w:p w14:paraId="1EF7F673" w14:textId="15637D31"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The process of strengthening ITU’s regional presence takes place in an increasingly complicated environment. While ongoing reform of the UN Development system and the Sustainable Development Goals (SDGs) Agenda shift expected roles and ways of working by UN agencies at a country level, it offers opportunities to improve effectiveness and efficiency. ITU’s current budgetary constraints put additional pressure on the Union and its membership.</w:t>
      </w:r>
    </w:p>
    <w:p w14:paraId="29B64F47" w14:textId="77777777" w:rsidR="008E2932" w:rsidRPr="008E2932" w:rsidRDefault="008E2932" w:rsidP="00A85929">
      <w:pPr>
        <w:spacing w:before="240" w:after="120"/>
        <w:rPr>
          <w:b/>
          <w:bCs/>
          <w:sz w:val="26"/>
          <w:szCs w:val="26"/>
          <w:lang w:val="en-GB"/>
        </w:rPr>
      </w:pPr>
      <w:r w:rsidRPr="008E2932">
        <w:rPr>
          <w:b/>
          <w:bCs/>
          <w:sz w:val="26"/>
          <w:szCs w:val="26"/>
          <w:lang w:val="en-GB"/>
        </w:rPr>
        <w:t>Discussion</w:t>
      </w:r>
    </w:p>
    <w:p w14:paraId="520C24CB" w14:textId="77777777"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 xml:space="preserve">Australia commends joint efforts to strategically </w:t>
      </w:r>
      <w:r w:rsidRPr="008E2932">
        <w:t>strengthen</w:t>
      </w:r>
      <w:r w:rsidRPr="00E64229">
        <w:rPr>
          <w:lang w:val="en-GB"/>
        </w:rPr>
        <w:t xml:space="preserve"> ITU’s regional presence while ensuring the right mechanisms are in place to achieve the Union’s goals. Collective work and resources invested in a comprehensive independent review by PWC, the internal and external analysis of the PWC review recommendations, agreement on the high-level strategic principles of ITU regional presence, and the steady implementation of the workplan, deserve full acknowledgement and appreciation. Equally valuable is the recent establishment of an ITU Area Office in India to serve specific telecommunications/ICT needs of Member States ‘in the vast and varied geographical stretch of Asia-Pacific region’.</w:t>
      </w:r>
    </w:p>
    <w:p w14:paraId="36EC5CF5" w14:textId="2A16CDDC"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 xml:space="preserve">To ensure successful delivery of the strategic goals outlined in the ITU Strategic Plan over the period of 2024-2027 and beyond, the Union should look to address remaining gaps in its regional presence as a priority. It is in Australia’s view the gap in the Pacific sub-region presents as the most pressing example. </w:t>
      </w:r>
    </w:p>
    <w:p w14:paraId="24B6FB59" w14:textId="77777777"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 xml:space="preserve">While constituting almost one-third of the Asia-Pacific membership, occupying an area of 30 million square kilometres, and faced with a unique set of challenges, Pacific Member States receive comparatively inefficient and inadequate international support to address their telecommunications/ICT development needs. There is consensus that the ‘one-size-fits-all’ and ‘fly-in, fly-out’ approaches do not effectively support the successful delivery of programs and strategic priorities required by the Member States in the Pacific. Any further delay in meaningful intervention will likely exacerbate existing vulnerabilities and hamper the Pacific Member States’ ability to meet the SDGs. </w:t>
      </w:r>
    </w:p>
    <w:p w14:paraId="1AD53EBB" w14:textId="77777777"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Australia is already working closely with the Pacific Member States and other partners to strengthen regional collaboration and engagement, and is funding a feasibility study using our annual voluntary contribution to ITU to identify telecommunications/ICT needs of the Pacific region, existing governance structures and ongoing development assistance provided by ITU and other similar agencies. The study will identify and evaluate potential solutions, including options to strengthen ITU’s presence in the Pacific region, for further consideration.</w:t>
      </w:r>
    </w:p>
    <w:p w14:paraId="01D444A9" w14:textId="77777777"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 xml:space="preserve">In this regard, Australia considers that any future deliberations on establishing regional/area [or field] offices, including addressing the existing gap in the Pacific, should be based on a framework of sound objective criteria and detailed evidence. Developing and agreeing explicit criteria to assess the need for ITU regional/area [or field] offices or </w:t>
      </w:r>
      <w:r w:rsidRPr="00E64229">
        <w:rPr>
          <w:lang w:val="en-GB"/>
        </w:rPr>
        <w:lastRenderedPageBreak/>
        <w:t>alternate/innovative solutions for the Union to meet the needs of its membership, accompanied by a regular review process, is a practical first step to be taken by the membership. This will ensure ITU’s regional presence is relevant and effective, as highlighted by PWC and acknowledged by the Council and relevant Council Working Groups.</w:t>
      </w:r>
    </w:p>
    <w:p w14:paraId="475AA7C3" w14:textId="77777777" w:rsidR="008E2932" w:rsidRPr="008E2932" w:rsidRDefault="008E2932" w:rsidP="00A85929">
      <w:pPr>
        <w:spacing w:before="240" w:after="120"/>
        <w:rPr>
          <w:b/>
          <w:bCs/>
          <w:sz w:val="26"/>
          <w:szCs w:val="26"/>
          <w:lang w:val="en-GB"/>
        </w:rPr>
      </w:pPr>
      <w:r w:rsidRPr="008E2932">
        <w:rPr>
          <w:b/>
          <w:bCs/>
          <w:sz w:val="26"/>
          <w:szCs w:val="26"/>
          <w:lang w:val="en-GB"/>
        </w:rPr>
        <w:t xml:space="preserve">Proposal </w:t>
      </w:r>
    </w:p>
    <w:p w14:paraId="7BE2CFA9" w14:textId="77777777"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 xml:space="preserve">Determining any criteria to underpin future deliberations on establishing regional/area [or field] offices is a matter for </w:t>
      </w:r>
      <w:r w:rsidR="0031682D" w:rsidRPr="006849EB">
        <w:rPr>
          <w:rFonts w:asciiTheme="minorHAnsi" w:hAnsiTheme="minorHAnsi" w:cstheme="minorHAnsi"/>
          <w:szCs w:val="22"/>
        </w:rPr>
        <w:t>Council</w:t>
      </w:r>
      <w:r w:rsidR="0031682D" w:rsidRPr="00433820">
        <w:rPr>
          <w:vertAlign w:val="superscript"/>
        </w:rPr>
        <w:footnoteReference w:id="1"/>
      </w:r>
      <w:r w:rsidR="0031682D">
        <w:rPr>
          <w:rFonts w:asciiTheme="minorHAnsi" w:hAnsiTheme="minorHAnsi" w:cstheme="minorHAnsi"/>
          <w:szCs w:val="22"/>
        </w:rPr>
        <w:t>.</w:t>
      </w:r>
      <w:r w:rsidRPr="00E64229">
        <w:rPr>
          <w:lang w:val="en-GB"/>
        </w:rPr>
        <w:t xml:space="preserve"> As such, Australia proposes Council task CWG-FHR with recommending explicit criteria to guide future deliberations on establishing regional/area [or field] offices for the decision at the next Council session in 2024.</w:t>
      </w:r>
    </w:p>
    <w:p w14:paraId="474585D9" w14:textId="77777777"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 xml:space="preserve">The cumulative analysis and initiatives carried out in the past decade (for example, outcomes of the UN Joint Inspection Unit report and PWC review; discussions and subsequent recommendations by CWG-FHR and its ad-hoc group on ITU regional presence; regular reviews of ITU regional and area offices; and the recent experience of establishing an area office in India) provide ample information to commence this work. </w:t>
      </w:r>
    </w:p>
    <w:p w14:paraId="512CAE9F" w14:textId="77777777" w:rsidR="008E2932" w:rsidRPr="00E64229"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In developing the criteria, potential parameters to consider could include: the size of serviced populations; total covered area; remoteness from ITU Headquarters (or “proximity” as referred to in the PWC Review); accessibility of existing ITU offices (“accessibly”); availability (or lack of) of human and financial resources in existing ITU offices as well as in serviced Member States; the existing ecosystem; and strong leadership support at the national, sub-regional and regional levels. Given the current ITU’s budgetary constraints, cost implications for the Union should also be carefully considered (“feasibility”).</w:t>
      </w:r>
    </w:p>
    <w:p w14:paraId="3A33ECF8" w14:textId="77777777" w:rsidR="00A514A4" w:rsidRDefault="008E2932" w:rsidP="00A85929">
      <w:pPr>
        <w:tabs>
          <w:tab w:val="clear" w:pos="567"/>
          <w:tab w:val="clear" w:pos="1134"/>
          <w:tab w:val="clear" w:pos="1701"/>
          <w:tab w:val="clear" w:pos="2268"/>
          <w:tab w:val="clear" w:pos="2835"/>
        </w:tabs>
        <w:overflowPunct/>
        <w:autoSpaceDE/>
        <w:autoSpaceDN/>
        <w:adjustRightInd/>
        <w:textAlignment w:val="auto"/>
        <w:rPr>
          <w:lang w:val="en-GB"/>
        </w:rPr>
      </w:pPr>
      <w:r w:rsidRPr="00E64229">
        <w:rPr>
          <w:lang w:val="en-GB"/>
        </w:rPr>
        <w:t>We would welcome a strengthened ITU presence in the Pacific should the set criteria be met, to ensure cohesion across the organisation, and the ability of regional/area offices to respond effectively to the unique circumstances of the Member States they serve.</w:t>
      </w:r>
    </w:p>
    <w:p w14:paraId="476E8235" w14:textId="195F4565" w:rsidR="00A85929" w:rsidRPr="00E64229" w:rsidRDefault="00A85929" w:rsidP="00A85929">
      <w:pPr>
        <w:tabs>
          <w:tab w:val="clear" w:pos="567"/>
          <w:tab w:val="clear" w:pos="1134"/>
          <w:tab w:val="clear" w:pos="1701"/>
          <w:tab w:val="clear" w:pos="2268"/>
          <w:tab w:val="clear" w:pos="2835"/>
        </w:tabs>
        <w:overflowPunct/>
        <w:autoSpaceDE/>
        <w:autoSpaceDN/>
        <w:adjustRightInd/>
        <w:spacing w:before="840"/>
        <w:jc w:val="center"/>
        <w:textAlignment w:val="auto"/>
        <w:rPr>
          <w:lang w:val="en-GB"/>
        </w:rPr>
      </w:pPr>
      <w:r>
        <w:rPr>
          <w:lang w:val="en-GB"/>
        </w:rPr>
        <w:t>___________________</w:t>
      </w:r>
    </w:p>
    <w:sectPr w:rsidR="00A85929" w:rsidRPr="00E64229"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CE73" w14:textId="77777777" w:rsidR="00551007" w:rsidRDefault="00551007">
      <w:r>
        <w:separator/>
      </w:r>
    </w:p>
  </w:endnote>
  <w:endnote w:type="continuationSeparator" w:id="0">
    <w:p w14:paraId="390F999E" w14:textId="77777777" w:rsidR="00551007" w:rsidRDefault="0055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D70C368" w14:textId="77777777" w:rsidTr="0042469C">
      <w:trPr>
        <w:jc w:val="center"/>
      </w:trPr>
      <w:tc>
        <w:tcPr>
          <w:tcW w:w="1803" w:type="dxa"/>
          <w:vAlign w:val="center"/>
        </w:tcPr>
        <w:p w14:paraId="5ADB6A5E" w14:textId="4627A0D3" w:rsidR="00EE49E8" w:rsidRDefault="00B80F1C" w:rsidP="00EE49E8">
          <w:pPr>
            <w:pStyle w:val="Header"/>
            <w:jc w:val="left"/>
          </w:pPr>
          <w:r>
            <w:t>DPS 525315</w:t>
          </w:r>
        </w:p>
      </w:tc>
      <w:tc>
        <w:tcPr>
          <w:tcW w:w="8261" w:type="dxa"/>
        </w:tcPr>
        <w:p w14:paraId="2E8C74FC" w14:textId="4462BD79"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B80F1C">
            <w:rPr>
              <w:bCs/>
            </w:rPr>
            <w:t>68</w:t>
          </w:r>
          <w:r w:rsidRPr="00623AE3">
            <w:rPr>
              <w:bCs/>
            </w:rPr>
            <w:t>-E</w:t>
          </w:r>
          <w:r>
            <w:rPr>
              <w:bCs/>
            </w:rPr>
            <w:tab/>
          </w:r>
          <w:r>
            <w:rPr>
              <w:noProof w:val="0"/>
            </w:rPr>
            <w:fldChar w:fldCharType="begin"/>
          </w:r>
          <w:r>
            <w:instrText>PAGE</w:instrText>
          </w:r>
          <w:r>
            <w:rPr>
              <w:noProof w:val="0"/>
            </w:rPr>
            <w:fldChar w:fldCharType="separate"/>
          </w:r>
          <w:r>
            <w:t>1</w:t>
          </w:r>
          <w:r>
            <w:fldChar w:fldCharType="end"/>
          </w:r>
        </w:p>
      </w:tc>
    </w:tr>
  </w:tbl>
  <w:p w14:paraId="4A056125"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2102D7B9" w14:textId="77777777" w:rsidTr="00EE49E8">
      <w:trPr>
        <w:jc w:val="center"/>
      </w:trPr>
      <w:tc>
        <w:tcPr>
          <w:tcW w:w="1803" w:type="dxa"/>
          <w:vAlign w:val="center"/>
        </w:tcPr>
        <w:p w14:paraId="71A5F89B" w14:textId="77777777" w:rsidR="00EE49E8" w:rsidRDefault="00E17A9D" w:rsidP="00EE49E8">
          <w:pPr>
            <w:pStyle w:val="Header"/>
            <w:jc w:val="left"/>
          </w:pPr>
          <w:hyperlink r:id="rId1" w:history="1">
            <w:r w:rsidR="00EE49E8" w:rsidRPr="00A514A4">
              <w:rPr>
                <w:rStyle w:val="Hyperlink"/>
                <w:szCs w:val="14"/>
                <w:u w:val="none"/>
              </w:rPr>
              <w:t>www.itu.int/council</w:t>
            </w:r>
          </w:hyperlink>
        </w:p>
      </w:tc>
      <w:tc>
        <w:tcPr>
          <w:tcW w:w="8261" w:type="dxa"/>
        </w:tcPr>
        <w:p w14:paraId="073F433B" w14:textId="611ED4B9"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A85929">
            <w:rPr>
              <w:bCs/>
            </w:rPr>
            <w:t>68</w:t>
          </w:r>
          <w:r w:rsidRPr="00623AE3">
            <w:rPr>
              <w:bCs/>
            </w:rPr>
            <w:t>-E</w:t>
          </w:r>
          <w:r>
            <w:rPr>
              <w:bCs/>
            </w:rPr>
            <w:tab/>
          </w:r>
          <w:r>
            <w:rPr>
              <w:noProof w:val="0"/>
            </w:rPr>
            <w:fldChar w:fldCharType="begin"/>
          </w:r>
          <w:r>
            <w:instrText>PAGE</w:instrText>
          </w:r>
          <w:r>
            <w:rPr>
              <w:noProof w:val="0"/>
            </w:rPr>
            <w:fldChar w:fldCharType="separate"/>
          </w:r>
          <w:r>
            <w:t>1</w:t>
          </w:r>
          <w:r>
            <w:fldChar w:fldCharType="end"/>
          </w:r>
        </w:p>
      </w:tc>
    </w:tr>
  </w:tbl>
  <w:p w14:paraId="051A8AE9"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1460" w14:textId="77777777" w:rsidR="00551007" w:rsidRDefault="00551007">
      <w:r>
        <w:t>____________________</w:t>
      </w:r>
    </w:p>
  </w:footnote>
  <w:footnote w:type="continuationSeparator" w:id="0">
    <w:p w14:paraId="4D8A75B1" w14:textId="77777777" w:rsidR="00551007" w:rsidRDefault="00551007">
      <w:r>
        <w:continuationSeparator/>
      </w:r>
    </w:p>
  </w:footnote>
  <w:footnote w:id="1">
    <w:p w14:paraId="6F1E5B74" w14:textId="237779E4" w:rsidR="0031682D" w:rsidRPr="002758E9" w:rsidRDefault="0031682D" w:rsidP="0031682D">
      <w:pPr>
        <w:pStyle w:val="FootnoteText"/>
        <w:rPr>
          <w:lang w:val="en-US"/>
        </w:rPr>
      </w:pPr>
      <w:r>
        <w:rPr>
          <w:rStyle w:val="FootnoteReference"/>
        </w:rPr>
        <w:footnoteRef/>
      </w:r>
      <w:r>
        <w:t xml:space="preserve"> </w:t>
      </w:r>
      <w:r w:rsidRPr="004167F7">
        <w:rPr>
          <w:sz w:val="22"/>
        </w:rPr>
        <w:t xml:space="preserve">See </w:t>
      </w:r>
      <w:hyperlink r:id="rId1" w:history="1">
        <w:r w:rsidRPr="00A85929">
          <w:rPr>
            <w:rStyle w:val="Hyperlink"/>
            <w:sz w:val="22"/>
          </w:rPr>
          <w:t>document CWG-FHR 13/2 + Annexes</w:t>
        </w:r>
      </w:hyperlink>
      <w:r w:rsidRPr="004167F7">
        <w:rPr>
          <w:sz w:val="22"/>
        </w:rPr>
        <w:t xml:space="preserve"> “Report of the Ad Hoc Group of CWG-FHR on ITU regional presence” including Annexes (Chart 4 – Recommendations requiring Council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4704D473" w14:textId="77777777" w:rsidTr="00C91CFC">
      <w:trPr>
        <w:trHeight w:val="1104"/>
        <w:jc w:val="center"/>
      </w:trPr>
      <w:tc>
        <w:tcPr>
          <w:tcW w:w="4390" w:type="dxa"/>
          <w:vAlign w:val="center"/>
        </w:tcPr>
        <w:p w14:paraId="221BD003" w14:textId="77777777" w:rsidR="00AD3606" w:rsidRPr="009621F8" w:rsidRDefault="00AD3606" w:rsidP="00AD3606">
          <w:pPr>
            <w:pStyle w:val="Header"/>
            <w:jc w:val="left"/>
            <w:rPr>
              <w:rFonts w:ascii="Arial" w:hAnsi="Arial" w:cs="Arial"/>
              <w:b/>
              <w:bCs/>
              <w:color w:val="009CD6"/>
              <w:sz w:val="36"/>
              <w:szCs w:val="36"/>
            </w:rPr>
          </w:pPr>
          <w:r>
            <w:drawing>
              <wp:inline distT="0" distB="0" distL="0" distR="0" wp14:anchorId="40C112BD" wp14:editId="49F8AA6F">
                <wp:extent cx="1906471" cy="534171"/>
                <wp:effectExtent l="0" t="0" r="0" b="0"/>
                <wp:docPr id="6" name="Graphic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9009" cy="537684"/>
                        </a:xfrm>
                        <a:prstGeom prst="rect">
                          <a:avLst/>
                        </a:prstGeom>
                      </pic:spPr>
                    </pic:pic>
                  </a:graphicData>
                </a:graphic>
              </wp:inline>
            </w:drawing>
          </w:r>
        </w:p>
      </w:tc>
      <w:tc>
        <w:tcPr>
          <w:tcW w:w="5630" w:type="dxa"/>
        </w:tcPr>
        <w:p w14:paraId="2007BC7D" w14:textId="77777777" w:rsidR="00AD3606" w:rsidRDefault="00AD3606" w:rsidP="00AD3606">
          <w:pPr>
            <w:pStyle w:val="Header"/>
            <w:jc w:val="right"/>
            <w:rPr>
              <w:rFonts w:ascii="Arial" w:hAnsi="Arial" w:cs="Arial"/>
              <w:b/>
              <w:bCs/>
              <w:color w:val="009CD6"/>
              <w:szCs w:val="18"/>
            </w:rPr>
          </w:pPr>
        </w:p>
        <w:p w14:paraId="63D6C021" w14:textId="77777777" w:rsidR="00AD3606" w:rsidRDefault="00AD3606" w:rsidP="00AD3606">
          <w:pPr>
            <w:pStyle w:val="Header"/>
            <w:jc w:val="right"/>
            <w:rPr>
              <w:rFonts w:ascii="Arial" w:hAnsi="Arial" w:cs="Arial"/>
              <w:b/>
              <w:bCs/>
              <w:color w:val="009CD6"/>
              <w:szCs w:val="18"/>
            </w:rPr>
          </w:pPr>
        </w:p>
        <w:p w14:paraId="40959F1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1F57283B" w14:textId="77777777" w:rsidR="00AD3606" w:rsidRDefault="00AD3606">
    <w:pPr>
      <w:pStyle w:val="Header"/>
    </w:pPr>
    <w:r w:rsidRPr="00802C2C">
      <w:rPr>
        <w:rFonts w:ascii="Avenir Nxt2 W1G Medium" w:eastAsia="Avenir Nxt2 W1G Medium" w:hAnsi="Avenir Nxt2 W1G Medium" w:cs="Avenir Nxt2 W1G Medium"/>
      </w:rPr>
      <mc:AlternateContent>
        <mc:Choice Requires="wps">
          <w:drawing>
            <wp:anchor distT="0" distB="0" distL="114300" distR="114300" simplePos="0" relativeHeight="251659264" behindDoc="0" locked="0" layoutInCell="1" allowOverlap="1" wp14:anchorId="63AF52FE" wp14:editId="580FBEFA">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069FC"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aXfwIAAPkEAAAOAAAAZHJzL2Uyb0RvYy54bWysVNuO0zAQfUfiHyy/d3MhvSTadLXbUoS0&#10;wIqFD3Btp7FwbGO7TXcR/87YaUu7vCBEH1xPZjw+Z+aMr2/2nUQ7bp3QqsbZVYoRV1QzoTY1/vpl&#10;NZph5DxRjEiteI2fuMM389evrntT8Vy3WjJuESRRrupNjVvvTZUkjra8I+5KG67A2WjbEQ+m3STM&#10;kh6ydzLJ03SS9NoyYzXlzsHX5eDE85i/aTj1n5rGcY9kjQGbj6uN6zqsyfyaVBtLTCvoAQb5BxQd&#10;EQouPaVaEk/Q1oo/UnWCWu1046+o7hLdNILyyAHYZOkLNo8tMTxygeI4cyqT+39p6cfdg0WC1XiM&#10;kSIdtOgzFI2ojeRoHMrTG1dB1KN5sIGgM/eafnNI6UULUfzWWt23nDAAlYX45OJAMBwcRev+g2aQ&#10;nWy9jpXaN7YLCaEGaB8b8nRqCN97ROFjmadTwEXB82aSTmaxXwmpjmeNdf4d1x0KmxpbQB5zk929&#10;8wELqY4hEbuWgq2ElNGwm/VCWrQjQRppuVhGunDEnYdJFYKVDseGjMMXgAh3BF8AG1v9o8zyIr3L&#10;y9FqMpuOilUxHpXTdDZKs/KunKRFWSxXPwPArKhawRhX90Lxo+yy4u/aehiAQTBReKiHUo3zceR+&#10;gd5dkkzhF3v0gmQnPEyhFF2NZyHmMBehrW8VA9qk8kTIYZ9cwo9Vhhoc/2NVoghC3wf9rDV7Ag1Y&#10;DU2CKYT3Ajatts8Y9TB7NXbft8RyjOR7BToqs6IIwxqNYjzNwbDnnvW5hygKqWrsMRq2Cz8M+NZY&#10;sWnhpiwWRulb0F4jojCCLgdUB8XCfEUGh7cgDPC5HaN+v1jzXwAAAP//AwBQSwMEFAAGAAgAAAAh&#10;ANPD+iLfAAAACAEAAA8AAABkcnMvZG93bnJldi54bWxMj0FPwkAQhe8m/IfNkHiTbRutpHZLiNED&#10;wYMgF25Ld2gL3dnaXaD46x1OenqZeS9vvslng23FGXvfOFIQTyIQSKUzDVUKNl/vD1MQPmgyunWE&#10;Cq7oYVaM7nKdGXehFZ7XoRJcQj7TCuoQukxKX9ZotZ+4Dom9veutDjz2lTS9vnC5bWUSRam0uiG+&#10;UOsOX2ssj+uTVRC2SfV8/VyGZPO2/P44LBbNj9kqdT8e5i8gAg7hLww3fEaHgpl27kTGi1ZBEnOQ&#10;11Gcgrj5KeuO9Wn6CLLI5f8Hil8AAAD//wMAUEsBAi0AFAAGAAgAAAAhALaDOJL+AAAA4QEAABMA&#10;AAAAAAAAAAAAAAAAAAAAAFtDb250ZW50X1R5cGVzXS54bWxQSwECLQAUAAYACAAAACEAOP0h/9YA&#10;AACUAQAACwAAAAAAAAAAAAAAAAAvAQAAX3JlbHMvLnJlbHNQSwECLQAUAAYACAAAACEA8o1Wl38C&#10;AAD5BAAADgAAAAAAAAAAAAAAAAAuAgAAZHJzL2Uyb0RvYy54bWxQSwECLQAUAAYACAAAACEA08P6&#10;It8AAAAIAQAADwAAAAAAAAAAAAAAAADZBAAAZHJzL2Rvd25yZXYueG1sUEsFBgAAAAAEAAQA8wAA&#10;AOU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42160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71"/>
    <w:rsid w:val="000210D4"/>
    <w:rsid w:val="00063016"/>
    <w:rsid w:val="00066795"/>
    <w:rsid w:val="00076AF6"/>
    <w:rsid w:val="00085CF2"/>
    <w:rsid w:val="000B1705"/>
    <w:rsid w:val="000D75B2"/>
    <w:rsid w:val="001121F5"/>
    <w:rsid w:val="001400DC"/>
    <w:rsid w:val="00140CE1"/>
    <w:rsid w:val="00146BAF"/>
    <w:rsid w:val="0017539C"/>
    <w:rsid w:val="00175AC2"/>
    <w:rsid w:val="0017609F"/>
    <w:rsid w:val="001A7D1D"/>
    <w:rsid w:val="001B51DD"/>
    <w:rsid w:val="001C628E"/>
    <w:rsid w:val="001E0F7B"/>
    <w:rsid w:val="002119FD"/>
    <w:rsid w:val="002130E0"/>
    <w:rsid w:val="00226DDE"/>
    <w:rsid w:val="00264425"/>
    <w:rsid w:val="00265875"/>
    <w:rsid w:val="0027303B"/>
    <w:rsid w:val="0028109B"/>
    <w:rsid w:val="002A2188"/>
    <w:rsid w:val="002B1F58"/>
    <w:rsid w:val="002C1C7A"/>
    <w:rsid w:val="002C54E2"/>
    <w:rsid w:val="002F6124"/>
    <w:rsid w:val="0030160F"/>
    <w:rsid w:val="0031682D"/>
    <w:rsid w:val="00320223"/>
    <w:rsid w:val="00322D0D"/>
    <w:rsid w:val="00361465"/>
    <w:rsid w:val="003877F5"/>
    <w:rsid w:val="003942D4"/>
    <w:rsid w:val="003958A8"/>
    <w:rsid w:val="003C2533"/>
    <w:rsid w:val="003D5A7F"/>
    <w:rsid w:val="003E4693"/>
    <w:rsid w:val="0040435A"/>
    <w:rsid w:val="004167F7"/>
    <w:rsid w:val="00416A24"/>
    <w:rsid w:val="00431D9E"/>
    <w:rsid w:val="00433CE8"/>
    <w:rsid w:val="00434A5C"/>
    <w:rsid w:val="004544D9"/>
    <w:rsid w:val="00472BAD"/>
    <w:rsid w:val="00484009"/>
    <w:rsid w:val="00490E72"/>
    <w:rsid w:val="00491157"/>
    <w:rsid w:val="004921C8"/>
    <w:rsid w:val="00495B0B"/>
    <w:rsid w:val="004A1B8B"/>
    <w:rsid w:val="004C5D00"/>
    <w:rsid w:val="004D1851"/>
    <w:rsid w:val="004D599D"/>
    <w:rsid w:val="004E2EA5"/>
    <w:rsid w:val="004E3AEB"/>
    <w:rsid w:val="0050223C"/>
    <w:rsid w:val="005243FF"/>
    <w:rsid w:val="00551007"/>
    <w:rsid w:val="00564FBC"/>
    <w:rsid w:val="005800BC"/>
    <w:rsid w:val="00582442"/>
    <w:rsid w:val="005C11D3"/>
    <w:rsid w:val="005F3269"/>
    <w:rsid w:val="00623AE3"/>
    <w:rsid w:val="0064737F"/>
    <w:rsid w:val="006535F1"/>
    <w:rsid w:val="0065557D"/>
    <w:rsid w:val="00660D50"/>
    <w:rsid w:val="00661C03"/>
    <w:rsid w:val="00662984"/>
    <w:rsid w:val="006716BB"/>
    <w:rsid w:val="006B1859"/>
    <w:rsid w:val="006B6680"/>
    <w:rsid w:val="006B6DCC"/>
    <w:rsid w:val="00702DEF"/>
    <w:rsid w:val="00706861"/>
    <w:rsid w:val="0075051B"/>
    <w:rsid w:val="00793188"/>
    <w:rsid w:val="00794D34"/>
    <w:rsid w:val="00813E5E"/>
    <w:rsid w:val="0083581B"/>
    <w:rsid w:val="00863874"/>
    <w:rsid w:val="00864AFF"/>
    <w:rsid w:val="00865925"/>
    <w:rsid w:val="008B4A6A"/>
    <w:rsid w:val="008C7E27"/>
    <w:rsid w:val="008E2932"/>
    <w:rsid w:val="008F7448"/>
    <w:rsid w:val="0090147A"/>
    <w:rsid w:val="009173EF"/>
    <w:rsid w:val="00932906"/>
    <w:rsid w:val="00961B0B"/>
    <w:rsid w:val="009B38C3"/>
    <w:rsid w:val="009E17BD"/>
    <w:rsid w:val="009E485A"/>
    <w:rsid w:val="00A04CEC"/>
    <w:rsid w:val="00A27F92"/>
    <w:rsid w:val="00A32257"/>
    <w:rsid w:val="00A36D20"/>
    <w:rsid w:val="00A44716"/>
    <w:rsid w:val="00A514A4"/>
    <w:rsid w:val="00A54171"/>
    <w:rsid w:val="00A55622"/>
    <w:rsid w:val="00A83502"/>
    <w:rsid w:val="00A85929"/>
    <w:rsid w:val="00AA7DCB"/>
    <w:rsid w:val="00AD15B3"/>
    <w:rsid w:val="00AD3606"/>
    <w:rsid w:val="00AD4A3D"/>
    <w:rsid w:val="00AF6E49"/>
    <w:rsid w:val="00B04A67"/>
    <w:rsid w:val="00B0583C"/>
    <w:rsid w:val="00B40A81"/>
    <w:rsid w:val="00B44910"/>
    <w:rsid w:val="00B72267"/>
    <w:rsid w:val="00B76EB6"/>
    <w:rsid w:val="00B7737B"/>
    <w:rsid w:val="00B80F1C"/>
    <w:rsid w:val="00B824C8"/>
    <w:rsid w:val="00B84B9D"/>
    <w:rsid w:val="00BC251A"/>
    <w:rsid w:val="00BD032B"/>
    <w:rsid w:val="00BE2640"/>
    <w:rsid w:val="00C01189"/>
    <w:rsid w:val="00C374DE"/>
    <w:rsid w:val="00C45268"/>
    <w:rsid w:val="00C47AD4"/>
    <w:rsid w:val="00C52D81"/>
    <w:rsid w:val="00C55198"/>
    <w:rsid w:val="00CA6393"/>
    <w:rsid w:val="00CB18FF"/>
    <w:rsid w:val="00CD0C08"/>
    <w:rsid w:val="00CE03FB"/>
    <w:rsid w:val="00CE433C"/>
    <w:rsid w:val="00CF0161"/>
    <w:rsid w:val="00CF33F3"/>
    <w:rsid w:val="00D06183"/>
    <w:rsid w:val="00D22C42"/>
    <w:rsid w:val="00D65041"/>
    <w:rsid w:val="00DB1936"/>
    <w:rsid w:val="00DB384B"/>
    <w:rsid w:val="00DD20C0"/>
    <w:rsid w:val="00DF0189"/>
    <w:rsid w:val="00E06FD5"/>
    <w:rsid w:val="00E10E80"/>
    <w:rsid w:val="00E124F0"/>
    <w:rsid w:val="00E17A9D"/>
    <w:rsid w:val="00E60F04"/>
    <w:rsid w:val="00E64229"/>
    <w:rsid w:val="00E65B24"/>
    <w:rsid w:val="00E854E4"/>
    <w:rsid w:val="00E86DBF"/>
    <w:rsid w:val="00EB0D6F"/>
    <w:rsid w:val="00EB2232"/>
    <w:rsid w:val="00EC5337"/>
    <w:rsid w:val="00EC544C"/>
    <w:rsid w:val="00EE49E8"/>
    <w:rsid w:val="00F16BAB"/>
    <w:rsid w:val="00F2150A"/>
    <w:rsid w:val="00F231D8"/>
    <w:rsid w:val="00F44C00"/>
    <w:rsid w:val="00F46C5F"/>
    <w:rsid w:val="00F632C0"/>
    <w:rsid w:val="00F8011A"/>
    <w:rsid w:val="00F94A63"/>
    <w:rsid w:val="00FA1C28"/>
    <w:rsid w:val="00FB1279"/>
    <w:rsid w:val="00FB6B76"/>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E93F87"/>
  <w15:docId w15:val="{4C1A66F7-C213-4887-BEDE-8DB6A397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noProof/>
      <w:sz w:val="24"/>
      <w:lang w:val="en-AU"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FootnoteTextChar">
    <w:name w:val="Footnote Text Char"/>
    <w:basedOn w:val="DefaultParagraphFont"/>
    <w:link w:val="FootnoteText"/>
    <w:uiPriority w:val="99"/>
    <w:rsid w:val="0031682D"/>
    <w:rPr>
      <w:rFonts w:ascii="Calibri" w:hAnsi="Calibri"/>
      <w:noProof/>
      <w:sz w:val="24"/>
      <w:lang w:val="en-AU" w:eastAsia="en-US"/>
    </w:rPr>
  </w:style>
  <w:style w:type="character" w:styleId="UnresolvedMention">
    <w:name w:val="Unresolved Mention"/>
    <w:basedOn w:val="DefaultParagraphFont"/>
    <w:uiPriority w:val="99"/>
    <w:semiHidden/>
    <w:unhideWhenUsed/>
    <w:rsid w:val="00E64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basic-texts-2023/DEC-005-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en/council/Documents/basic-texts-2023/RES-071-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jiu.org/sites/www.unjiu.org/files/jiu_document_files/products/en/reports-notes/JIU%20Products/JIU_REP_2009_3_Englis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25-E.pdf" TargetMode="External"/><Relationship Id="rId5" Type="http://schemas.openxmlformats.org/officeDocument/2006/relationships/numbering" Target="numbering.xml"/><Relationship Id="rId15" Type="http://schemas.openxmlformats.org/officeDocument/2006/relationships/hyperlink" Target="https://www.itu.int/md/S20-CL-C-0074/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1-CWGFHR13-C-000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1-CWGFHR13-C-0002/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BCB732C156854A84E00923CDDFB4F7" ma:contentTypeVersion="0" ma:contentTypeDescription="Create a new document." ma:contentTypeScope="" ma:versionID="e11b51b7a99093e45cb33375331802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8BFDF-E164-47EC-8978-FEA188D990F8}">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630772D-14C7-4133-86AB-541E61D6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598FFD-9112-4C9E-B23B-D9407771630C}">
  <ds:schemaRefs>
    <ds:schemaRef ds:uri="http://schemas.openxmlformats.org/officeDocument/2006/bibliography"/>
  </ds:schemaRefs>
</ds:datastoreItem>
</file>

<file path=customXml/itemProps4.xml><?xml version="1.0" encoding="utf-8"?>
<ds:datastoreItem xmlns:ds="http://schemas.openxmlformats.org/officeDocument/2006/customXml" ds:itemID="{175C59A5-7052-411A-AA50-D11319360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Contribution from Australia - Strategic approach to ITU's regional presence</vt:lpstr>
    </vt:vector>
  </TitlesOfParts>
  <Manager>General Secretariat - Pool</Manager>
  <Company>International Telecommunication Union (ITU)</Company>
  <LinksUpToDate>false</LinksUpToDate>
  <CharactersWithSpaces>7507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Australia - Strategic approach to ITU's regional presence</dc:title>
  <dc:subject>Council 2023</dc:subject>
  <dc:creator>Pluchon, Beatrice</dc:creator>
  <cp:keywords>C2023, C23, Council-23</cp:keywords>
  <dc:description/>
  <cp:lastModifiedBy>Xue, Kun</cp:lastModifiedBy>
  <cp:revision>2</cp:revision>
  <cp:lastPrinted>2000-07-18T13:30:00Z</cp:lastPrinted>
  <dcterms:created xsi:type="dcterms:W3CDTF">2023-07-03T07:39:00Z</dcterms:created>
  <dcterms:modified xsi:type="dcterms:W3CDTF">2023-07-03T07:39:00Z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0x01010049BCB732C156854A84E00923CDDFB4F7</vt:lpwstr>
  </property>
  <property fmtid="{D5CDD505-2E9C-101B-9397-08002B2CF9AE}" pid="9" name="TrimRevisionNumber">
    <vt:i4>4</vt:i4>
  </property>
</Properties>
</file>