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B675C" w14:paraId="2592CC74" w14:textId="77777777" w:rsidTr="00D72F49">
        <w:trPr>
          <w:cantSplit/>
          <w:trHeight w:val="23"/>
        </w:trPr>
        <w:tc>
          <w:tcPr>
            <w:tcW w:w="3969" w:type="dxa"/>
            <w:vMerge w:val="restart"/>
            <w:tcMar>
              <w:left w:w="0" w:type="dxa"/>
            </w:tcMar>
          </w:tcPr>
          <w:p w14:paraId="27E56DEB" w14:textId="2B2B0C58" w:rsidR="00D72F49" w:rsidRPr="00AB675C" w:rsidRDefault="00D72F49" w:rsidP="00C70D30">
            <w:pPr>
              <w:tabs>
                <w:tab w:val="left" w:pos="851"/>
              </w:tabs>
              <w:spacing w:before="0"/>
              <w:rPr>
                <w:b/>
              </w:rPr>
            </w:pPr>
            <w:r w:rsidRPr="00AB675C">
              <w:rPr>
                <w:b/>
              </w:rPr>
              <w:t xml:space="preserve">Point de l'ordre du jour: </w:t>
            </w:r>
            <w:r w:rsidR="00C70D30" w:rsidRPr="00AB675C">
              <w:rPr>
                <w:b/>
              </w:rPr>
              <w:t>PL</w:t>
            </w:r>
            <w:r w:rsidR="0014512B" w:rsidRPr="00AB675C">
              <w:rPr>
                <w:b/>
              </w:rPr>
              <w:t xml:space="preserve"> </w:t>
            </w:r>
            <w:r w:rsidR="00C70D30" w:rsidRPr="00AB675C">
              <w:rPr>
                <w:b/>
              </w:rPr>
              <w:t>3</w:t>
            </w:r>
          </w:p>
        </w:tc>
        <w:tc>
          <w:tcPr>
            <w:tcW w:w="5245" w:type="dxa"/>
          </w:tcPr>
          <w:p w14:paraId="27B6A98A" w14:textId="113F6E30" w:rsidR="00D72F49" w:rsidRPr="00AB675C" w:rsidRDefault="00D72F49" w:rsidP="00C70D30">
            <w:pPr>
              <w:tabs>
                <w:tab w:val="left" w:pos="851"/>
              </w:tabs>
              <w:spacing w:before="0"/>
              <w:jc w:val="right"/>
              <w:rPr>
                <w:b/>
              </w:rPr>
            </w:pPr>
            <w:r w:rsidRPr="00AB675C">
              <w:rPr>
                <w:b/>
              </w:rPr>
              <w:t>Document C23/</w:t>
            </w:r>
            <w:r w:rsidR="00AB2501" w:rsidRPr="00AB675C">
              <w:rPr>
                <w:b/>
              </w:rPr>
              <w:t>66</w:t>
            </w:r>
            <w:r w:rsidRPr="00AB675C">
              <w:rPr>
                <w:b/>
              </w:rPr>
              <w:t>-F</w:t>
            </w:r>
          </w:p>
        </w:tc>
      </w:tr>
      <w:tr w:rsidR="00D72F49" w:rsidRPr="00AB675C" w14:paraId="41096C77" w14:textId="77777777" w:rsidTr="00D72F49">
        <w:trPr>
          <w:cantSplit/>
        </w:trPr>
        <w:tc>
          <w:tcPr>
            <w:tcW w:w="3969" w:type="dxa"/>
            <w:vMerge/>
          </w:tcPr>
          <w:p w14:paraId="0BBA5643" w14:textId="77777777" w:rsidR="00D72F49" w:rsidRPr="00AB675C" w:rsidRDefault="00D72F49" w:rsidP="00C70D30">
            <w:pPr>
              <w:tabs>
                <w:tab w:val="left" w:pos="851"/>
              </w:tabs>
              <w:rPr>
                <w:b/>
              </w:rPr>
            </w:pPr>
          </w:p>
        </w:tc>
        <w:tc>
          <w:tcPr>
            <w:tcW w:w="5245" w:type="dxa"/>
          </w:tcPr>
          <w:p w14:paraId="068BECD5" w14:textId="39B1544D" w:rsidR="00D72F49" w:rsidRPr="00AB675C" w:rsidRDefault="00AB2501" w:rsidP="00C70D30">
            <w:pPr>
              <w:tabs>
                <w:tab w:val="left" w:pos="851"/>
              </w:tabs>
              <w:spacing w:before="0"/>
              <w:jc w:val="right"/>
              <w:rPr>
                <w:b/>
              </w:rPr>
            </w:pPr>
            <w:r w:rsidRPr="00AB675C">
              <w:rPr>
                <w:b/>
              </w:rPr>
              <w:t>23 juin</w:t>
            </w:r>
            <w:r w:rsidR="00D72F49" w:rsidRPr="00AB675C">
              <w:rPr>
                <w:b/>
              </w:rPr>
              <w:t xml:space="preserve"> 2023</w:t>
            </w:r>
          </w:p>
        </w:tc>
      </w:tr>
      <w:tr w:rsidR="00D72F49" w:rsidRPr="00AB675C" w14:paraId="17E5B988" w14:textId="77777777" w:rsidTr="00D72F49">
        <w:trPr>
          <w:cantSplit/>
          <w:trHeight w:val="23"/>
        </w:trPr>
        <w:tc>
          <w:tcPr>
            <w:tcW w:w="3969" w:type="dxa"/>
            <w:vMerge/>
          </w:tcPr>
          <w:p w14:paraId="2192D6D7" w14:textId="77777777" w:rsidR="00D72F49" w:rsidRPr="00AB675C" w:rsidRDefault="00D72F49" w:rsidP="00C70D30">
            <w:pPr>
              <w:tabs>
                <w:tab w:val="left" w:pos="851"/>
              </w:tabs>
              <w:rPr>
                <w:b/>
              </w:rPr>
            </w:pPr>
          </w:p>
        </w:tc>
        <w:tc>
          <w:tcPr>
            <w:tcW w:w="5245" w:type="dxa"/>
          </w:tcPr>
          <w:p w14:paraId="1948C622" w14:textId="77777777" w:rsidR="00D72F49" w:rsidRPr="00AB675C" w:rsidRDefault="00D72F49" w:rsidP="00C70D30">
            <w:pPr>
              <w:tabs>
                <w:tab w:val="left" w:pos="851"/>
              </w:tabs>
              <w:spacing w:before="0"/>
              <w:jc w:val="right"/>
              <w:rPr>
                <w:b/>
              </w:rPr>
            </w:pPr>
            <w:r w:rsidRPr="00AB675C">
              <w:rPr>
                <w:b/>
              </w:rPr>
              <w:t>Original: anglais</w:t>
            </w:r>
          </w:p>
        </w:tc>
      </w:tr>
      <w:tr w:rsidR="00D72F49" w:rsidRPr="00AB675C" w14:paraId="53623BEE" w14:textId="77777777" w:rsidTr="00D72F49">
        <w:trPr>
          <w:cantSplit/>
          <w:trHeight w:val="23"/>
        </w:trPr>
        <w:tc>
          <w:tcPr>
            <w:tcW w:w="3969" w:type="dxa"/>
          </w:tcPr>
          <w:p w14:paraId="630B4C34" w14:textId="77777777" w:rsidR="00D72F49" w:rsidRPr="00AB675C" w:rsidRDefault="00D72F49" w:rsidP="00C70D30">
            <w:pPr>
              <w:tabs>
                <w:tab w:val="left" w:pos="851"/>
              </w:tabs>
              <w:rPr>
                <w:b/>
              </w:rPr>
            </w:pPr>
          </w:p>
        </w:tc>
        <w:tc>
          <w:tcPr>
            <w:tcW w:w="5245" w:type="dxa"/>
          </w:tcPr>
          <w:p w14:paraId="437750C4" w14:textId="77777777" w:rsidR="00D72F49" w:rsidRPr="00AB675C" w:rsidRDefault="00D72F49" w:rsidP="00C70D30">
            <w:pPr>
              <w:tabs>
                <w:tab w:val="left" w:pos="851"/>
              </w:tabs>
              <w:spacing w:before="0"/>
              <w:jc w:val="right"/>
              <w:rPr>
                <w:b/>
              </w:rPr>
            </w:pPr>
          </w:p>
        </w:tc>
      </w:tr>
      <w:tr w:rsidR="00D72F49" w:rsidRPr="00AB675C" w14:paraId="31FFA2A5" w14:textId="77777777" w:rsidTr="00D72F49">
        <w:trPr>
          <w:cantSplit/>
        </w:trPr>
        <w:tc>
          <w:tcPr>
            <w:tcW w:w="9214" w:type="dxa"/>
            <w:gridSpan w:val="2"/>
            <w:tcMar>
              <w:left w:w="0" w:type="dxa"/>
            </w:tcMar>
          </w:tcPr>
          <w:p w14:paraId="7AA1F34C" w14:textId="03386BF2" w:rsidR="00D72F49" w:rsidRPr="00AB675C" w:rsidRDefault="00C70D30" w:rsidP="00C70D30">
            <w:pPr>
              <w:pStyle w:val="Source"/>
              <w:jc w:val="left"/>
              <w:rPr>
                <w:sz w:val="34"/>
                <w:szCs w:val="34"/>
              </w:rPr>
            </w:pPr>
            <w:r w:rsidRPr="00AB675C">
              <w:rPr>
                <w:rFonts w:cstheme="minorHAnsi"/>
                <w:color w:val="000000"/>
                <w:sz w:val="34"/>
                <w:szCs w:val="34"/>
              </w:rPr>
              <w:t xml:space="preserve">Contribution de l'Australie, du Canada et </w:t>
            </w:r>
            <w:r w:rsidR="00AB675C" w:rsidRPr="00AB675C">
              <w:rPr>
                <w:rFonts w:cstheme="minorHAnsi"/>
                <w:color w:val="000000"/>
                <w:sz w:val="34"/>
                <w:szCs w:val="34"/>
              </w:rPr>
              <w:br/>
            </w:r>
            <w:r w:rsidRPr="00AB675C">
              <w:rPr>
                <w:rFonts w:cstheme="minorHAnsi"/>
                <w:color w:val="000000"/>
                <w:sz w:val="34"/>
                <w:szCs w:val="34"/>
              </w:rPr>
              <w:t>des États-Unis d'Amérique</w:t>
            </w:r>
          </w:p>
        </w:tc>
      </w:tr>
      <w:tr w:rsidR="00D72F49" w:rsidRPr="00AB675C" w14:paraId="65E7E3D8" w14:textId="77777777" w:rsidTr="00D72F49">
        <w:trPr>
          <w:cantSplit/>
        </w:trPr>
        <w:tc>
          <w:tcPr>
            <w:tcW w:w="9214" w:type="dxa"/>
            <w:gridSpan w:val="2"/>
            <w:tcMar>
              <w:left w:w="0" w:type="dxa"/>
            </w:tcMar>
          </w:tcPr>
          <w:p w14:paraId="370F6D7B" w14:textId="680BFE9A" w:rsidR="00D72F49" w:rsidRPr="00AB675C" w:rsidRDefault="00C70D30" w:rsidP="00C65D45">
            <w:pPr>
              <w:pStyle w:val="Subtitle"/>
              <w:framePr w:hSpace="0" w:wrap="auto" w:hAnchor="text" w:xAlign="left" w:yAlign="inline"/>
              <w:rPr>
                <w:lang w:val="fr-FR"/>
              </w:rPr>
            </w:pPr>
            <w:r w:rsidRPr="00AB675C">
              <w:rPr>
                <w:rFonts w:cstheme="minorHAnsi"/>
                <w:lang w:val="fr-FR"/>
              </w:rPr>
              <w:t xml:space="preserve">PROJET DE MANDAT DU GROUPE D'EXPERTS CHARGÉ DE L'EXAMEN DU RÈGLEMENT DES TÉLÉCOMMUNICATIONS INTERNATIONALES </w:t>
            </w:r>
            <w:r w:rsidR="00AB2501" w:rsidRPr="00AB675C">
              <w:rPr>
                <w:rFonts w:cstheme="minorHAnsi"/>
                <w:lang w:val="fr-FR"/>
              </w:rPr>
              <w:t>(EG-</w:t>
            </w:r>
            <w:r w:rsidRPr="00AB675C">
              <w:rPr>
                <w:rFonts w:cstheme="minorHAnsi"/>
                <w:lang w:val="fr-FR"/>
              </w:rPr>
              <w:t>RTI</w:t>
            </w:r>
            <w:r w:rsidR="00AB2501" w:rsidRPr="00AB675C">
              <w:rPr>
                <w:rFonts w:cstheme="minorHAnsi"/>
                <w:lang w:val="fr-FR"/>
              </w:rPr>
              <w:t>)</w:t>
            </w:r>
          </w:p>
        </w:tc>
      </w:tr>
      <w:tr w:rsidR="00D72F49" w:rsidRPr="00AB675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331B42E6" w:rsidR="00D72F49" w:rsidRPr="00AB675C" w:rsidRDefault="00F37FE5" w:rsidP="00C65D45">
            <w:pPr>
              <w:spacing w:before="160"/>
              <w:rPr>
                <w:b/>
                <w:bCs/>
                <w:sz w:val="26"/>
                <w:szCs w:val="26"/>
              </w:rPr>
            </w:pPr>
            <w:r w:rsidRPr="00AB675C">
              <w:rPr>
                <w:b/>
                <w:bCs/>
                <w:sz w:val="26"/>
                <w:szCs w:val="26"/>
              </w:rPr>
              <w:t>Objet</w:t>
            </w:r>
          </w:p>
          <w:p w14:paraId="45E55FB2" w14:textId="23E78C18" w:rsidR="00D72F49" w:rsidRPr="00AB675C" w:rsidRDefault="00C70D30" w:rsidP="00C65D45">
            <w:r w:rsidRPr="00AB675C">
              <w:t xml:space="preserve">L'Australie, le Canada et les États-Unis d'Amérique soumettent la présente contribution, qui pourra servir de base </w:t>
            </w:r>
            <w:r w:rsidR="0014512B" w:rsidRPr="00AB675C">
              <w:t>à l'examen du</w:t>
            </w:r>
            <w:r w:rsidRPr="00AB675C">
              <w:t xml:space="preserve"> mandat du Groupe d'experts sur le Règlement des télécommunications international</w:t>
            </w:r>
            <w:r w:rsidR="00CC585B" w:rsidRPr="00AB675C">
              <w:t>e</w:t>
            </w:r>
            <w:r w:rsidRPr="00AB675C">
              <w:t xml:space="preserve">s (EG-RTI), qui sera défini par le Conseil conformément aux instructions données dans la Résolution </w:t>
            </w:r>
            <w:r w:rsidR="00AB2501" w:rsidRPr="00AB675C">
              <w:t>146 (R</w:t>
            </w:r>
            <w:r w:rsidRPr="00AB675C">
              <w:t>é</w:t>
            </w:r>
            <w:r w:rsidR="00AB2501" w:rsidRPr="00AB675C">
              <w:t xml:space="preserve">v. Bucarest, 2022) </w:t>
            </w:r>
            <w:r w:rsidRPr="00AB675C">
              <w:t>de la Conférence de plénipotentiaires.</w:t>
            </w:r>
          </w:p>
          <w:p w14:paraId="0B950982" w14:textId="77777777" w:rsidR="00D72F49" w:rsidRPr="00AB675C" w:rsidRDefault="00D72F49" w:rsidP="00C65D45">
            <w:pPr>
              <w:spacing w:before="160"/>
              <w:rPr>
                <w:b/>
                <w:bCs/>
                <w:sz w:val="26"/>
                <w:szCs w:val="26"/>
              </w:rPr>
            </w:pPr>
            <w:r w:rsidRPr="00AB675C">
              <w:rPr>
                <w:b/>
                <w:bCs/>
                <w:sz w:val="26"/>
                <w:szCs w:val="26"/>
              </w:rPr>
              <w:t>Suite à donner par le Conseil</w:t>
            </w:r>
          </w:p>
          <w:p w14:paraId="6F9A6B88" w14:textId="13E31117" w:rsidR="00D72F49" w:rsidRPr="00AB675C" w:rsidRDefault="009F13BE" w:rsidP="00C65D45">
            <w:r w:rsidRPr="00AB675C">
              <w:t>Le Conseil est invit</w:t>
            </w:r>
            <w:r w:rsidR="001414C7" w:rsidRPr="00AB675C">
              <w:t>é</w:t>
            </w:r>
            <w:r w:rsidRPr="00AB675C">
              <w:t xml:space="preserve"> </w:t>
            </w:r>
            <w:r w:rsidRPr="00AB675C">
              <w:rPr>
                <w:b/>
                <w:bCs/>
              </w:rPr>
              <w:t xml:space="preserve">à examiner et </w:t>
            </w:r>
            <w:r w:rsidR="008C67FF" w:rsidRPr="00AB675C">
              <w:rPr>
                <w:b/>
                <w:bCs/>
              </w:rPr>
              <w:t xml:space="preserve">à </w:t>
            </w:r>
            <w:r w:rsidRPr="00AB675C">
              <w:rPr>
                <w:b/>
                <w:bCs/>
              </w:rPr>
              <w:t xml:space="preserve">adopter </w:t>
            </w:r>
            <w:r w:rsidRPr="00AB675C">
              <w:t xml:space="preserve">le mandat du Groupe EG-RTI. </w:t>
            </w:r>
            <w:r w:rsidR="00AB2501" w:rsidRPr="00AB675C">
              <w:t xml:space="preserve"> </w:t>
            </w:r>
          </w:p>
          <w:p w14:paraId="2E44E753" w14:textId="77777777" w:rsidR="00D72F49" w:rsidRPr="00AB675C" w:rsidRDefault="00D72F49" w:rsidP="00C65D45">
            <w:pPr>
              <w:spacing w:before="160"/>
              <w:rPr>
                <w:caps/>
                <w:sz w:val="22"/>
              </w:rPr>
            </w:pPr>
            <w:r w:rsidRPr="00AB675C">
              <w:rPr>
                <w:sz w:val="22"/>
              </w:rPr>
              <w:t>__________________</w:t>
            </w:r>
          </w:p>
          <w:p w14:paraId="246B160C" w14:textId="77777777" w:rsidR="00D72F49" w:rsidRPr="00AB675C" w:rsidRDefault="00D72F49" w:rsidP="00C65D45">
            <w:pPr>
              <w:spacing w:before="160"/>
              <w:rPr>
                <w:b/>
                <w:bCs/>
                <w:sz w:val="26"/>
                <w:szCs w:val="26"/>
              </w:rPr>
            </w:pPr>
            <w:r w:rsidRPr="00AB675C">
              <w:rPr>
                <w:b/>
                <w:bCs/>
                <w:sz w:val="26"/>
                <w:szCs w:val="26"/>
              </w:rPr>
              <w:t>Références</w:t>
            </w:r>
          </w:p>
          <w:p w14:paraId="3B399B5C" w14:textId="34023FA4" w:rsidR="00D72F49" w:rsidRPr="00AB675C" w:rsidRDefault="00052E80" w:rsidP="00C65D45">
            <w:pPr>
              <w:spacing w:after="160"/>
            </w:pPr>
            <w:hyperlink r:id="rId6" w:history="1">
              <w:r w:rsidR="00AB2501" w:rsidRPr="00AB675C">
                <w:rPr>
                  <w:rStyle w:val="Hyperlink"/>
                </w:rPr>
                <w:t>Résolution 146</w:t>
              </w:r>
            </w:hyperlink>
            <w:r w:rsidR="00AB2501" w:rsidRPr="00AB675C">
              <w:t xml:space="preserve"> (Rév. Bucarest, 2022) </w:t>
            </w:r>
            <w:r w:rsidR="00B70E2E" w:rsidRPr="00AB675C">
              <w:t>de la Conférence de plénipotentiaires</w:t>
            </w:r>
            <w:r w:rsidR="00C65D45" w:rsidRPr="00AB675C">
              <w:br/>
            </w:r>
            <w:hyperlink r:id="rId7" w:history="1">
              <w:r w:rsidR="00AB2501" w:rsidRPr="00AB675C">
                <w:rPr>
                  <w:rStyle w:val="Hyperlink"/>
                </w:rPr>
                <w:t>R</w:t>
              </w:r>
              <w:r w:rsidR="00B70E2E" w:rsidRPr="00AB675C">
                <w:rPr>
                  <w:rStyle w:val="Hyperlink"/>
                </w:rPr>
                <w:t>é</w:t>
              </w:r>
              <w:r w:rsidR="00AB2501" w:rsidRPr="00AB675C">
                <w:rPr>
                  <w:rStyle w:val="Hyperlink"/>
                </w:rPr>
                <w:t>s</w:t>
              </w:r>
              <w:r w:rsidR="00B70E2E" w:rsidRPr="00AB675C">
                <w:rPr>
                  <w:rStyle w:val="Hyperlink"/>
                </w:rPr>
                <w:t>olution</w:t>
              </w:r>
              <w:r w:rsidR="00AB2501" w:rsidRPr="00AB675C">
                <w:rPr>
                  <w:rStyle w:val="Hyperlink"/>
                </w:rPr>
                <w:t xml:space="preserve"> 1379</w:t>
              </w:r>
            </w:hyperlink>
            <w:r w:rsidR="00AB2501" w:rsidRPr="00AB675C">
              <w:t xml:space="preserve"> </w:t>
            </w:r>
            <w:r w:rsidR="00B70E2E" w:rsidRPr="00AB675C">
              <w:t xml:space="preserve">du Conseil </w:t>
            </w:r>
            <w:r w:rsidR="00AB2501" w:rsidRPr="00AB675C">
              <w:t>(</w:t>
            </w:r>
            <w:r w:rsidR="00CC70FC" w:rsidRPr="00AB675C">
              <w:t>à abroger</w:t>
            </w:r>
            <w:r w:rsidR="00AB2501" w:rsidRPr="00AB675C">
              <w:t>)</w:t>
            </w:r>
          </w:p>
        </w:tc>
      </w:tr>
    </w:tbl>
    <w:p w14:paraId="3B7150AC" w14:textId="77777777" w:rsidR="00A51849" w:rsidRPr="00AB675C" w:rsidRDefault="00A51849" w:rsidP="00C70D30">
      <w:pPr>
        <w:tabs>
          <w:tab w:val="clear" w:pos="567"/>
          <w:tab w:val="clear" w:pos="1134"/>
          <w:tab w:val="clear" w:pos="1701"/>
          <w:tab w:val="clear" w:pos="2268"/>
          <w:tab w:val="clear" w:pos="2835"/>
        </w:tabs>
        <w:overflowPunct/>
        <w:autoSpaceDE/>
        <w:autoSpaceDN/>
        <w:adjustRightInd/>
        <w:spacing w:before="0"/>
        <w:textAlignment w:val="auto"/>
      </w:pPr>
      <w:r w:rsidRPr="00AB675C">
        <w:br w:type="page"/>
      </w:r>
    </w:p>
    <w:p w14:paraId="0EB96EAB" w14:textId="66F359A4" w:rsidR="00AB2501" w:rsidRPr="00AB675C" w:rsidRDefault="00AB2501" w:rsidP="00C70D30">
      <w:pPr>
        <w:pStyle w:val="AnnexNo"/>
      </w:pPr>
      <w:r w:rsidRPr="00AB675C">
        <w:lastRenderedPageBreak/>
        <w:t>PROJET DE NOUVELLE RÉSOLUTION [...]</w:t>
      </w:r>
    </w:p>
    <w:p w14:paraId="2F2CA6E6" w14:textId="3C819719" w:rsidR="00AB2501" w:rsidRPr="00AB675C" w:rsidRDefault="00AB2501" w:rsidP="00C70D30">
      <w:pPr>
        <w:pStyle w:val="Restitle"/>
      </w:pPr>
      <w:r w:rsidRPr="00AB675C">
        <w:t>Groupe d'experts sur le Règlement des télécommunications</w:t>
      </w:r>
      <w:r w:rsidRPr="00AB675C">
        <w:br/>
        <w:t>internationales (EG RTI)</w:t>
      </w:r>
    </w:p>
    <w:p w14:paraId="5F0B8937" w14:textId="5933ED78" w:rsidR="00AB2501" w:rsidRPr="00AB675C" w:rsidRDefault="00AB2501" w:rsidP="00C70D30">
      <w:pPr>
        <w:pStyle w:val="Normalaftertitle"/>
      </w:pPr>
      <w:r w:rsidRPr="00AB675C">
        <w:t>Le Conseil de l'UIT,</w:t>
      </w:r>
    </w:p>
    <w:p w14:paraId="589BDDA4" w14:textId="77777777" w:rsidR="00AB2501" w:rsidRPr="00AB675C" w:rsidRDefault="00AB2501" w:rsidP="00C70D30">
      <w:pPr>
        <w:pStyle w:val="Call"/>
      </w:pPr>
      <w:r w:rsidRPr="00AB675C">
        <w:t>considérant</w:t>
      </w:r>
    </w:p>
    <w:p w14:paraId="6E92D489" w14:textId="77777777" w:rsidR="00AB2501" w:rsidRPr="00AB675C" w:rsidRDefault="00AB2501" w:rsidP="00C70D30">
      <w:r w:rsidRPr="00AB675C">
        <w:rPr>
          <w:i/>
        </w:rPr>
        <w:t>a)</w:t>
      </w:r>
      <w:r w:rsidRPr="00AB675C">
        <w:tab/>
        <w:t>l'article 25 de la Constitution de l'UIT sur les conférences mondiales des télécommunications internationales (CMTI);</w:t>
      </w:r>
    </w:p>
    <w:p w14:paraId="11F0848F" w14:textId="77777777" w:rsidR="00AB2501" w:rsidRPr="00AB675C" w:rsidRDefault="00AB2501" w:rsidP="00C70D30">
      <w:r w:rsidRPr="00AB675C">
        <w:rPr>
          <w:i/>
        </w:rPr>
        <w:t>b)</w:t>
      </w:r>
      <w:r w:rsidRPr="00AB675C">
        <w:tab/>
        <w:t>le numéro 48 de l'article 3 de la Convention de l'UIT, "Autres conférences et assemblées";</w:t>
      </w:r>
    </w:p>
    <w:p w14:paraId="531A0DEE" w14:textId="3A9E20D9" w:rsidR="00AB2501" w:rsidRPr="00AB675C" w:rsidRDefault="00AB2501" w:rsidP="00C70D30">
      <w:r w:rsidRPr="00AB675C">
        <w:rPr>
          <w:i/>
        </w:rPr>
        <w:t>c)</w:t>
      </w:r>
      <w:r w:rsidRPr="00AB675C">
        <w:tab/>
        <w:t>la Résolution 146 (Rév. Bucarest, 2022) de la Conférence de plénipotentiaires</w:t>
      </w:r>
      <w:r w:rsidR="00B57FE8" w:rsidRPr="00AB675C">
        <w:t xml:space="preserve"> de l'UIT</w:t>
      </w:r>
      <w:r w:rsidRPr="00AB675C">
        <w:t>, intitulée "Examen périodique du Règlement des télécommunications internationales",</w:t>
      </w:r>
    </w:p>
    <w:p w14:paraId="60F27B63" w14:textId="77777777" w:rsidR="00AB2501" w:rsidRPr="00AB675C" w:rsidRDefault="00AB2501" w:rsidP="00C70D30">
      <w:pPr>
        <w:pStyle w:val="Call"/>
      </w:pPr>
      <w:r w:rsidRPr="00AB675C">
        <w:t>rappelant</w:t>
      </w:r>
    </w:p>
    <w:p w14:paraId="0E7AD0B9" w14:textId="68AC27D0" w:rsidR="00AB2501" w:rsidRPr="00AB675C" w:rsidRDefault="00AB2501" w:rsidP="00C70D30">
      <w:r w:rsidRPr="00AB675C">
        <w:rPr>
          <w:i/>
          <w:iCs/>
        </w:rPr>
        <w:t>a)</w:t>
      </w:r>
      <w:r w:rsidRPr="00AB675C">
        <w:tab/>
      </w:r>
      <w:r w:rsidR="009D6780" w:rsidRPr="00AB675C">
        <w:t>que, conformément aux instructions données par l</w:t>
      </w:r>
      <w:r w:rsidR="001414C7" w:rsidRPr="00AB675C">
        <w:t>es Conférences de plénipotentiaires de 2014 et de 2018</w:t>
      </w:r>
      <w:r w:rsidR="000D4957" w:rsidRPr="00AB675C">
        <w:t>,</w:t>
      </w:r>
      <w:r w:rsidRPr="00AB675C">
        <w:t xml:space="preserve"> le Conseil </w:t>
      </w:r>
      <w:r w:rsidR="000D4957" w:rsidRPr="00AB675C">
        <w:t>a</w:t>
      </w:r>
      <w:r w:rsidRPr="00AB675C">
        <w:t xml:space="preserve"> créé</w:t>
      </w:r>
      <w:r w:rsidR="000D4957" w:rsidRPr="00AB675C">
        <w:t xml:space="preserve"> </w:t>
      </w:r>
      <w:r w:rsidR="00E94410" w:rsidRPr="00AB675C">
        <w:t xml:space="preserve">plus d'une fois </w:t>
      </w:r>
      <w:r w:rsidRPr="00AB675C">
        <w:t>un Groupe d'experts sur le Règlement des télécommunications internationales (EG-RTI);</w:t>
      </w:r>
    </w:p>
    <w:p w14:paraId="51747A74" w14:textId="0D93723E" w:rsidR="00AB2501" w:rsidRPr="00AB675C" w:rsidRDefault="00AB2501" w:rsidP="00C70D30">
      <w:r w:rsidRPr="00AB675C">
        <w:rPr>
          <w:i/>
          <w:iCs/>
        </w:rPr>
        <w:t>b)</w:t>
      </w:r>
      <w:r w:rsidRPr="00AB675C">
        <w:tab/>
      </w:r>
      <w:r w:rsidR="00E16D7A" w:rsidRPr="00AB675C">
        <w:t>que le</w:t>
      </w:r>
      <w:r w:rsidR="00E40E5C" w:rsidRPr="00AB675C">
        <w:t>s</w:t>
      </w:r>
      <w:r w:rsidR="00E16D7A" w:rsidRPr="00AB675C">
        <w:t xml:space="preserve"> Groupe</w:t>
      </w:r>
      <w:r w:rsidR="00E40E5C" w:rsidRPr="00AB675C">
        <w:t>s</w:t>
      </w:r>
      <w:r w:rsidR="00E16D7A" w:rsidRPr="00AB675C">
        <w:t xml:space="preserve"> EG-RTI s</w:t>
      </w:r>
      <w:r w:rsidR="00E40E5C" w:rsidRPr="00AB675C">
        <w:t xml:space="preserve">e sont </w:t>
      </w:r>
      <w:r w:rsidR="00E16D7A" w:rsidRPr="00AB675C">
        <w:t>réuni</w:t>
      </w:r>
      <w:r w:rsidR="00E40E5C" w:rsidRPr="00AB675C">
        <w:t>s</w:t>
      </w:r>
      <w:r w:rsidR="00E16D7A" w:rsidRPr="00AB675C">
        <w:t xml:space="preserve"> pendant huit ans et </w:t>
      </w:r>
      <w:r w:rsidR="00E40E5C" w:rsidRPr="00AB675C">
        <w:t>ont</w:t>
      </w:r>
      <w:r w:rsidR="00E16D7A" w:rsidRPr="00AB675C">
        <w:t xml:space="preserve"> soumis des rapports finals sur l'examen du RTI au</w:t>
      </w:r>
      <w:r w:rsidR="005F4EE6" w:rsidRPr="00AB675C">
        <w:t xml:space="preserve">x sessions </w:t>
      </w:r>
      <w:r w:rsidR="00E16D7A" w:rsidRPr="00AB675C">
        <w:t>de 2014 et de 2018</w:t>
      </w:r>
      <w:r w:rsidR="005F4EE6" w:rsidRPr="00AB675C">
        <w:t xml:space="preserve"> du Conseil</w:t>
      </w:r>
      <w:r w:rsidR="00E16D7A" w:rsidRPr="00AB675C">
        <w:t>,</w:t>
      </w:r>
      <w:r w:rsidRPr="00AB675C">
        <w:t xml:space="preserve"> lequel a soumis </w:t>
      </w:r>
      <w:r w:rsidR="00E40E5C" w:rsidRPr="00AB675C">
        <w:t>à son tour</w:t>
      </w:r>
      <w:r w:rsidR="00904FB3" w:rsidRPr="00AB675C">
        <w:t xml:space="preserve"> ces rapports finals</w:t>
      </w:r>
      <w:r w:rsidRPr="00AB675C">
        <w:t xml:space="preserve"> </w:t>
      </w:r>
      <w:r w:rsidR="00E40E5C" w:rsidRPr="00AB675C">
        <w:t>aux</w:t>
      </w:r>
      <w:r w:rsidRPr="00AB675C">
        <w:t xml:space="preserve"> Conférence</w:t>
      </w:r>
      <w:r w:rsidR="00E40E5C" w:rsidRPr="00AB675C">
        <w:t>s</w:t>
      </w:r>
      <w:r w:rsidRPr="00AB675C">
        <w:t xml:space="preserve"> de plénipotentiaires de 2018 et de 2022,</w:t>
      </w:r>
    </w:p>
    <w:p w14:paraId="7C8A86C8" w14:textId="77777777" w:rsidR="00AB2501" w:rsidRPr="00AB675C" w:rsidRDefault="00AB2501" w:rsidP="00C70D30">
      <w:pPr>
        <w:pStyle w:val="Call"/>
      </w:pPr>
      <w:r w:rsidRPr="00AB675C">
        <w:t>décide</w:t>
      </w:r>
    </w:p>
    <w:p w14:paraId="6961B445" w14:textId="52AB7650" w:rsidR="00AB2501" w:rsidRPr="00AB675C" w:rsidRDefault="00AB2501" w:rsidP="00C70D30">
      <w:r w:rsidRPr="00AB675C">
        <w:t>1</w:t>
      </w:r>
      <w:r w:rsidRPr="00AB675C">
        <w:tab/>
        <w:t>de convoquer à nouveau un Groupe EG</w:t>
      </w:r>
      <w:r w:rsidR="004F1B82" w:rsidRPr="00AB675C">
        <w:t>-</w:t>
      </w:r>
      <w:r w:rsidRPr="00AB675C">
        <w:t>RTI, ouvert à la participation de tous les États Membres et Membres de Secteur, pour procéder à un examen du RTI</w:t>
      </w:r>
      <w:r w:rsidR="00CD6657" w:rsidRPr="00AB675C">
        <w:t>,</w:t>
      </w:r>
      <w:r w:rsidRPr="00AB675C">
        <w:t xml:space="preserve"> </w:t>
      </w:r>
      <w:r w:rsidR="00FB5338" w:rsidRPr="00AB675C">
        <w:t xml:space="preserve">et </w:t>
      </w:r>
      <w:r w:rsidRPr="00AB675C">
        <w:t>dont le mandat est reproduit dans l'Annexe 1 de la présente Résolution;</w:t>
      </w:r>
    </w:p>
    <w:p w14:paraId="644DA098" w14:textId="3E4A875C" w:rsidR="00AB2501" w:rsidRPr="00AB675C" w:rsidRDefault="00AB2501" w:rsidP="00C70D30">
      <w:r w:rsidRPr="00AB675C">
        <w:t>2</w:t>
      </w:r>
      <w:r w:rsidRPr="00AB675C">
        <w:tab/>
        <w:t xml:space="preserve">que le </w:t>
      </w:r>
      <w:r w:rsidR="004F1B82" w:rsidRPr="00AB675C">
        <w:t>G</w:t>
      </w:r>
      <w:r w:rsidRPr="00AB675C">
        <w:t>roupe EG-RTI aura un Président et six Vice-Présidents, un de chaque région de l'UIT, qui seront nommés par le Conseil compte tenu de leurs compétences et de leurs qualifications</w:t>
      </w:r>
      <w:r w:rsidR="00E63DAC" w:rsidRPr="00AB675C">
        <w:t xml:space="preserve">, tout en veillant à promouvoir </w:t>
      </w:r>
      <w:r w:rsidRPr="00AB675C">
        <w:t>l'équilibre hommes-femmes;</w:t>
      </w:r>
    </w:p>
    <w:p w14:paraId="1116C5C8" w14:textId="0BE93743" w:rsidR="00AB2501" w:rsidRPr="00AB675C" w:rsidRDefault="00AB2501" w:rsidP="00C70D30">
      <w:r w:rsidRPr="00AB675C">
        <w:t>3</w:t>
      </w:r>
      <w:r w:rsidRPr="00AB675C">
        <w:tab/>
        <w:t xml:space="preserve">que le </w:t>
      </w:r>
      <w:r w:rsidR="004F1B82" w:rsidRPr="00AB675C">
        <w:t>G</w:t>
      </w:r>
      <w:r w:rsidRPr="00AB675C">
        <w:t>roupe EG-RTI présentera un rapport d'activité au Conseil à ses sessions annuelles en 2024 et 2025;</w:t>
      </w:r>
    </w:p>
    <w:p w14:paraId="31AE45FA" w14:textId="2DE104AF" w:rsidR="00AB2501" w:rsidRPr="00AB675C" w:rsidRDefault="00AB2501" w:rsidP="00C70D30">
      <w:r w:rsidRPr="00AB675C">
        <w:t>4</w:t>
      </w:r>
      <w:r w:rsidRPr="00AB675C">
        <w:tab/>
        <w:t xml:space="preserve">que le </w:t>
      </w:r>
      <w:r w:rsidR="004F1B82" w:rsidRPr="00AB675C">
        <w:t>G</w:t>
      </w:r>
      <w:r w:rsidRPr="00AB675C">
        <w:t xml:space="preserve">roupe EG-RTI présentera un rapport final au Conseil à sa session de 2026, afin que celui-ci le soumette </w:t>
      </w:r>
      <w:r w:rsidR="00FB5338" w:rsidRPr="00AB675C">
        <w:t xml:space="preserve">par la suite </w:t>
      </w:r>
      <w:r w:rsidRPr="00AB675C">
        <w:t>à la Conférence de plénipotentiaires de 2026, assorti de ses observations;</w:t>
      </w:r>
    </w:p>
    <w:p w14:paraId="05BF43C4" w14:textId="2ED56AA1" w:rsidR="00AB2501" w:rsidRPr="00AB675C" w:rsidRDefault="00AB2501" w:rsidP="00C70D30">
      <w:r w:rsidRPr="00AB675C">
        <w:t>5</w:t>
      </w:r>
      <w:r w:rsidRPr="00AB675C">
        <w:tab/>
        <w:t>que les Règles générales régissant les conférences, assemblées et réunions de l'Union et les dispositions du Règlement intérieur du Conseil relatives aux groupes de travail du Conseil s'appliqueront au groupe;</w:t>
      </w:r>
    </w:p>
    <w:p w14:paraId="159775AC" w14:textId="77777777" w:rsidR="00AB2501" w:rsidRPr="00AB675C" w:rsidRDefault="00AB2501" w:rsidP="00C70D30">
      <w:r w:rsidRPr="00AB675C">
        <w:t>6</w:t>
      </w:r>
      <w:r w:rsidRPr="00AB675C">
        <w:tab/>
        <w:t>que, dans toute la mesure possible, il conviendra de fournir un service d'interprétation dans les six langues officielles de l'UIT, des services de participation à distance, de diffusion sur le web, de sous-titrage et de transcription;</w:t>
      </w:r>
    </w:p>
    <w:p w14:paraId="6E89F530" w14:textId="77777777" w:rsidR="00AB2501" w:rsidRPr="00AB675C" w:rsidRDefault="00AB2501" w:rsidP="00AB675C">
      <w:pPr>
        <w:keepLines/>
      </w:pPr>
      <w:r w:rsidRPr="00AB675C">
        <w:lastRenderedPageBreak/>
        <w:t>7</w:t>
      </w:r>
      <w:r w:rsidRPr="00AB675C">
        <w:tab/>
        <w:t>que tous les documents établis par les réunions du groupe seront accessibles au public, conformément à la politique de l'UIT en matière d'accès aux documents, et que toutes les contributions soumises seront mises à la disposition du public, sous réserve de la décision de l'entité qui présente le document;</w:t>
      </w:r>
    </w:p>
    <w:p w14:paraId="3D902AFF" w14:textId="50505074" w:rsidR="00AB2501" w:rsidRPr="00AB675C" w:rsidRDefault="00AB2501" w:rsidP="00C70D30">
      <w:r w:rsidRPr="00AB675C">
        <w:t>8</w:t>
      </w:r>
      <w:r w:rsidRPr="00AB675C">
        <w:tab/>
        <w:t xml:space="preserve">que le </w:t>
      </w:r>
      <w:r w:rsidR="004F1B82" w:rsidRPr="00AB675C">
        <w:t>G</w:t>
      </w:r>
      <w:r w:rsidRPr="00AB675C">
        <w:t>roupe EG-RTI devra tenir des réunions dans le cadre du groupe de réunions des groupes de travail du Conseil qui auront lieu en 2023, 2024 et 2025 et qu'une dernière réunion traditionnelle devra avoir lieu avant la session de 2026 du Conseil,</w:t>
      </w:r>
    </w:p>
    <w:p w14:paraId="5ECE5C84" w14:textId="7E1EBB88" w:rsidR="00AB2501" w:rsidRPr="00AB675C" w:rsidRDefault="00AB2501" w:rsidP="00C70D30">
      <w:pPr>
        <w:pStyle w:val="Call"/>
      </w:pPr>
      <w:r w:rsidRPr="00AB675C">
        <w:t>charge le Secrétaire général</w:t>
      </w:r>
    </w:p>
    <w:p w14:paraId="2DC012AA" w14:textId="77777777" w:rsidR="00AB2501" w:rsidRPr="00AB675C" w:rsidRDefault="00AB2501" w:rsidP="00C70D30">
      <w:r w:rsidRPr="00AB675C">
        <w:t>de prendre les dispositions nécessaires pour mettre en œuvre la présente Résolution,</w:t>
      </w:r>
    </w:p>
    <w:p w14:paraId="3C98CE03" w14:textId="77777777" w:rsidR="00AB2501" w:rsidRPr="00AB675C" w:rsidRDefault="00AB2501" w:rsidP="00C70D30">
      <w:pPr>
        <w:pStyle w:val="Call"/>
      </w:pPr>
      <w:r w:rsidRPr="00AB675C">
        <w:t>charge les Directeurs des Bureaux</w:t>
      </w:r>
    </w:p>
    <w:p w14:paraId="4D242327" w14:textId="13B502EB" w:rsidR="00AB2501" w:rsidRPr="00AB675C" w:rsidRDefault="00AB2501" w:rsidP="00C70D30">
      <w:r w:rsidRPr="00AB675C">
        <w:t>1</w:t>
      </w:r>
      <w:r w:rsidRPr="00AB675C">
        <w:tab/>
        <w:t xml:space="preserve">chacun dans son domaine de compétence, </w:t>
      </w:r>
      <w:r w:rsidR="004F1B82" w:rsidRPr="00AB675C">
        <w:t>après avoir pris</w:t>
      </w:r>
      <w:r w:rsidRPr="00AB675C">
        <w:t xml:space="preserve"> l'avis</w:t>
      </w:r>
      <w:r w:rsidR="004F1B82" w:rsidRPr="00AB675C">
        <w:t xml:space="preserve"> préalable</w:t>
      </w:r>
      <w:r w:rsidRPr="00AB675C">
        <w:t xml:space="preserve"> des groupes consultatifs concernés, de contribuer aux travaux du groupe, étant entendu que le Secteur de la normalisation des télécommunications de l'UIT effectue la plus grande partie des travaux se rapportant au RTI;</w:t>
      </w:r>
    </w:p>
    <w:p w14:paraId="1562ED6A" w14:textId="3721A733" w:rsidR="00AB2501" w:rsidRPr="00AB675C" w:rsidRDefault="00AB2501" w:rsidP="00C70D30">
      <w:r w:rsidRPr="00AB675C">
        <w:t>2</w:t>
      </w:r>
      <w:r w:rsidRPr="00AB675C">
        <w:tab/>
        <w:t>d'étudier la possibilité d'accorder des bourses, lorsque des ressources sont disponibles, aux pays classés par l'ONU comme pays en développement ou pays les moins avancés, afin d'accroître leur participation aux travaux du groupe,</w:t>
      </w:r>
    </w:p>
    <w:p w14:paraId="0F3ACADC" w14:textId="77777777" w:rsidR="00AB2501" w:rsidRPr="00AB675C" w:rsidRDefault="00AB2501" w:rsidP="00C70D30">
      <w:pPr>
        <w:pStyle w:val="Call"/>
      </w:pPr>
      <w:r w:rsidRPr="00AB675C">
        <w:t>invite les États Membres et les Membres de Secteur</w:t>
      </w:r>
    </w:p>
    <w:p w14:paraId="5D851B1C" w14:textId="4EB927AB" w:rsidR="00AB2501" w:rsidRPr="00AB675C" w:rsidRDefault="00AB2501" w:rsidP="00C70D30">
      <w:r w:rsidRPr="00AB675C">
        <w:t xml:space="preserve">à participer et à contribuer aux travaux du </w:t>
      </w:r>
      <w:r w:rsidR="005838C0" w:rsidRPr="00AB675C">
        <w:t>G</w:t>
      </w:r>
      <w:r w:rsidRPr="00AB675C">
        <w:t>roupe EG-RTI relatifs à l'examen du Règlement des télécommunications internationales.</w:t>
      </w:r>
    </w:p>
    <w:p w14:paraId="05309BCC" w14:textId="59DDD98D" w:rsidR="00897553" w:rsidRPr="00AB675C" w:rsidRDefault="00AB2501" w:rsidP="00C70D30">
      <w:pPr>
        <w:spacing w:before="1440"/>
      </w:pPr>
      <w:r w:rsidRPr="00AB675C">
        <w:rPr>
          <w:b/>
          <w:bCs/>
        </w:rPr>
        <w:t>Annexe</w:t>
      </w:r>
      <w:r w:rsidRPr="00AB675C">
        <w:t>: 1</w:t>
      </w:r>
    </w:p>
    <w:p w14:paraId="41024800" w14:textId="0F9111E1" w:rsidR="00AB2501" w:rsidRPr="00AB675C" w:rsidRDefault="00AB2501" w:rsidP="00C70D30">
      <w:pPr>
        <w:tabs>
          <w:tab w:val="clear" w:pos="567"/>
          <w:tab w:val="clear" w:pos="1134"/>
          <w:tab w:val="clear" w:pos="1701"/>
          <w:tab w:val="clear" w:pos="2268"/>
          <w:tab w:val="clear" w:pos="2835"/>
        </w:tabs>
        <w:overflowPunct/>
        <w:autoSpaceDE/>
        <w:autoSpaceDN/>
        <w:adjustRightInd/>
        <w:spacing w:before="0"/>
        <w:textAlignment w:val="auto"/>
      </w:pPr>
      <w:r w:rsidRPr="00AB675C">
        <w:br w:type="page"/>
      </w:r>
    </w:p>
    <w:p w14:paraId="342CB632" w14:textId="7586395D" w:rsidR="00AB2501" w:rsidRPr="00AB675C" w:rsidRDefault="00AB2501" w:rsidP="00C70D30">
      <w:pPr>
        <w:pStyle w:val="AnnexNo"/>
      </w:pPr>
      <w:r w:rsidRPr="00AB675C">
        <w:lastRenderedPageBreak/>
        <w:t>ANNEXE</w:t>
      </w:r>
    </w:p>
    <w:p w14:paraId="325675A2" w14:textId="0F941C8B" w:rsidR="00AB2501" w:rsidRPr="00AB675C" w:rsidRDefault="00AB2501" w:rsidP="00C70D30">
      <w:pPr>
        <w:pStyle w:val="Annextitle"/>
      </w:pPr>
      <w:r w:rsidRPr="00AB675C">
        <w:t>Mandat du Groupe d'experts sur le Règlement des</w:t>
      </w:r>
      <w:r w:rsidRPr="00AB675C">
        <w:br/>
        <w:t>télécommunications internationales (EG-RTI)</w:t>
      </w:r>
    </w:p>
    <w:p w14:paraId="39EB8DAF" w14:textId="75D432B8" w:rsidR="00AB2501" w:rsidRPr="00AB675C" w:rsidRDefault="00AB2501" w:rsidP="00C70D30">
      <w:r w:rsidRPr="00AB675C">
        <w:t>1</w:t>
      </w:r>
      <w:r w:rsidRPr="00AB675C">
        <w:tab/>
        <w:t xml:space="preserve">Sur la base des contributions soumises par les États Membres et les Membres de Secteur ainsi que des contributions soumises par les Directeurs des Bureaux, le cas échéant, le </w:t>
      </w:r>
      <w:r w:rsidR="00FB4A94" w:rsidRPr="00AB675C">
        <w:t>G</w:t>
      </w:r>
      <w:r w:rsidRPr="00AB675C">
        <w:t>roupe EG</w:t>
      </w:r>
      <w:r w:rsidR="00FB4A94" w:rsidRPr="00AB675C">
        <w:t>-</w:t>
      </w:r>
      <w:r w:rsidRPr="00AB675C">
        <w:t>RTI procède à un examen détaillé du RTI.</w:t>
      </w:r>
    </w:p>
    <w:p w14:paraId="1CA75781" w14:textId="14CED2D4" w:rsidR="00AB2501" w:rsidRPr="00AB675C" w:rsidRDefault="00AB2501" w:rsidP="00C70D30">
      <w:r w:rsidRPr="00AB675C">
        <w:t>2</w:t>
      </w:r>
      <w:r w:rsidRPr="00AB675C">
        <w:tab/>
        <w:t xml:space="preserve">Le Groupe EG-RTI procède à un examen de chacune des dispositions du RTI, en mettant l'accent sur la version de 2012 du RTI, compte tenu des </w:t>
      </w:r>
      <w:r w:rsidR="00FB4A94" w:rsidRPr="00AB675C">
        <w:t xml:space="preserve">rapports finals soumis par les Groupes EG-RTI </w:t>
      </w:r>
      <w:r w:rsidR="00CF5924" w:rsidRPr="00AB675C">
        <w:t xml:space="preserve">convoqués précédemment </w:t>
      </w:r>
      <w:r w:rsidR="00FB4A94" w:rsidRPr="00AB675C">
        <w:t>aux Conférences de plénipotentiaires de 2018 et de 2022.</w:t>
      </w:r>
    </w:p>
    <w:p w14:paraId="5AD4BD0A" w14:textId="77777777" w:rsidR="00AB2501" w:rsidRPr="00AB675C" w:rsidRDefault="00AB2501" w:rsidP="00C70D30">
      <w:r w:rsidRPr="00AB675C">
        <w:t>3</w:t>
      </w:r>
      <w:r w:rsidRPr="00AB675C">
        <w:tab/>
        <w:t>Cet examen devrait notamment porter sur:</w:t>
      </w:r>
    </w:p>
    <w:p w14:paraId="2E6505EC" w14:textId="34E47F13" w:rsidR="00AB2501" w:rsidRPr="00AB675C" w:rsidRDefault="00AB2501" w:rsidP="00C70D30">
      <w:pPr>
        <w:pStyle w:val="enumlev2"/>
      </w:pPr>
      <w:r w:rsidRPr="00AB675C">
        <w:t>a)</w:t>
      </w:r>
      <w:r w:rsidRPr="00AB675C">
        <w:tab/>
      </w:r>
      <w:r w:rsidR="006218A8" w:rsidRPr="00AB675C">
        <w:t xml:space="preserve">les données empiriques relatives à l'utilisation actuelle du RTI par les opérateurs et/ou les administrations de télécommunication, y compris </w:t>
      </w:r>
      <w:r w:rsidRPr="00AB675C">
        <w:t>l'applicabilité des dispositions du RTI pour ce qui est de favoriser la fourniture et le développement des services et des réseaux internationaux de télécommunication/TIC;</w:t>
      </w:r>
    </w:p>
    <w:p w14:paraId="74A0E7AD" w14:textId="51A34B4A" w:rsidR="00AB2501" w:rsidRPr="00AB675C" w:rsidRDefault="00AB2501" w:rsidP="00C70D30">
      <w:pPr>
        <w:pStyle w:val="enumlev2"/>
      </w:pPr>
      <w:r w:rsidRPr="00AB675C">
        <w:t>b)</w:t>
      </w:r>
      <w:r w:rsidRPr="00AB675C">
        <w:tab/>
        <w:t>la souplesse</w:t>
      </w:r>
      <w:r w:rsidR="006218A8" w:rsidRPr="00AB675C">
        <w:t xml:space="preserve"> </w:t>
      </w:r>
      <w:r w:rsidRPr="00AB675C">
        <w:t>des dispositions d</w:t>
      </w:r>
      <w:r w:rsidR="006218A8" w:rsidRPr="00AB675C">
        <w:t>e la version de 2012 du</w:t>
      </w:r>
      <w:r w:rsidRPr="00AB675C">
        <w:t xml:space="preserve"> RTI pour tenir compte des nouvelles tendances des télécommunications/TIC ainsi que des nouveaux problèmes qui se font jour dans l'environnement international des télécommunications/TIC.</w:t>
      </w:r>
    </w:p>
    <w:p w14:paraId="1B9C2D1D" w14:textId="01F42AD6" w:rsidR="00AB2501" w:rsidRPr="00AB675C" w:rsidRDefault="00AB2501" w:rsidP="00C70D30">
      <w:r w:rsidRPr="00AB675C">
        <w:t>4</w:t>
      </w:r>
      <w:r w:rsidRPr="00AB675C">
        <w:tab/>
        <w:t xml:space="preserve">Le </w:t>
      </w:r>
      <w:r w:rsidR="006218A8" w:rsidRPr="00AB675C">
        <w:t>G</w:t>
      </w:r>
      <w:r w:rsidRPr="00AB675C">
        <w:t>roupe EG-RTI présentera un rapport d'activité au Conseil à ses sessions de 202</w:t>
      </w:r>
      <w:r w:rsidR="006218A8" w:rsidRPr="00AB675C">
        <w:t>4</w:t>
      </w:r>
      <w:r w:rsidRPr="00AB675C">
        <w:t xml:space="preserve"> et de 202</w:t>
      </w:r>
      <w:r w:rsidR="006218A8" w:rsidRPr="00AB675C">
        <w:t>5</w:t>
      </w:r>
      <w:r w:rsidRPr="00AB675C">
        <w:t xml:space="preserve"> et un rapport final au Conseil à sa session de 202</w:t>
      </w:r>
      <w:r w:rsidR="006218A8" w:rsidRPr="00AB675C">
        <w:t>6</w:t>
      </w:r>
      <w:r w:rsidRPr="00AB675C">
        <w:t>, afin que celui-ci le soumette</w:t>
      </w:r>
      <w:r w:rsidR="006218A8" w:rsidRPr="00AB675C">
        <w:t xml:space="preserve"> par la suite</w:t>
      </w:r>
      <w:r w:rsidRPr="00AB675C">
        <w:t xml:space="preserve"> à la Conférence de plénipotentiaires de 202</w:t>
      </w:r>
      <w:r w:rsidR="006218A8" w:rsidRPr="00AB675C">
        <w:t>6</w:t>
      </w:r>
      <w:r w:rsidRPr="00AB675C">
        <w:t>, assorti de ses observations.</w:t>
      </w:r>
    </w:p>
    <w:p w14:paraId="56948AC3" w14:textId="2FB08E85" w:rsidR="00AB2501" w:rsidRPr="00AB675C" w:rsidRDefault="00AB2501" w:rsidP="00C70D30">
      <w:pPr>
        <w:jc w:val="center"/>
      </w:pPr>
      <w:r w:rsidRPr="00AB675C">
        <w:t>______________</w:t>
      </w:r>
    </w:p>
    <w:sectPr w:rsidR="00AB2501" w:rsidRPr="00AB675C" w:rsidSect="00D72F4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9E70BE5" w:rsidR="00732045" w:rsidRDefault="00917A03">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AB413A">
      <w:t>05.07.23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4F84DB1" w:rsidR="00A51849" w:rsidRDefault="00A51849" w:rsidP="00A51849">
          <w:pPr>
            <w:pStyle w:val="Header"/>
            <w:jc w:val="left"/>
            <w:rPr>
              <w:noProof/>
            </w:rPr>
          </w:pPr>
          <w:r>
            <w:rPr>
              <w:noProof/>
            </w:rPr>
            <w:t xml:space="preserve">DPS </w:t>
          </w:r>
          <w:r w:rsidR="00AB2501">
            <w:rPr>
              <w:noProof/>
            </w:rPr>
            <w:t>525222</w:t>
          </w:r>
        </w:p>
      </w:tc>
      <w:tc>
        <w:tcPr>
          <w:tcW w:w="8261" w:type="dxa"/>
        </w:tcPr>
        <w:p w14:paraId="0DB0A3C6" w14:textId="645AED6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931DE">
            <w:rPr>
              <w:bCs/>
            </w:rPr>
            <w:t>66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bookmarkStart w:id="0" w:name="_Hlk138772975"/>
  <w:p w14:paraId="0BA722AB" w14:textId="4A0095E6" w:rsidR="00732045" w:rsidRPr="00A51849" w:rsidRDefault="00AB2501" w:rsidP="00AB2501">
    <w:pPr>
      <w:pStyle w:val="Footer"/>
    </w:pPr>
    <w:r w:rsidRPr="000E2F42">
      <w:rPr>
        <w:color w:val="F2F2F2" w:themeColor="background1" w:themeShade="F2"/>
      </w:rPr>
      <w:fldChar w:fldCharType="begin"/>
    </w:r>
    <w:r w:rsidRPr="000E2F42">
      <w:rPr>
        <w:color w:val="F2F2F2" w:themeColor="background1" w:themeShade="F2"/>
      </w:rPr>
      <w:instrText xml:space="preserve"> FILENAME \p  \* MERGEFORMAT </w:instrText>
    </w:r>
    <w:r w:rsidRPr="000E2F42">
      <w:rPr>
        <w:color w:val="F2F2F2" w:themeColor="background1" w:themeShade="F2"/>
      </w:rPr>
      <w:fldChar w:fldCharType="separate"/>
    </w:r>
    <w:r w:rsidR="0016528D" w:rsidRPr="000E2F42">
      <w:rPr>
        <w:color w:val="F2F2F2" w:themeColor="background1" w:themeShade="F2"/>
      </w:rPr>
      <w:t>P:\FRA\SG\CONSEIL\C23\000\066F.docx</w:t>
    </w:r>
    <w:r w:rsidRPr="000E2F42">
      <w:rPr>
        <w:color w:val="F2F2F2" w:themeColor="background1" w:themeShade="F2"/>
      </w:rPr>
      <w:fldChar w:fldCharType="end"/>
    </w:r>
    <w:r w:rsidRPr="000E2F42">
      <w:rPr>
        <w:color w:val="F2F2F2" w:themeColor="background1" w:themeShade="F2"/>
      </w:rPr>
      <w:t xml:space="preserve"> (525222)</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52E8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3DA3785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6528D">
            <w:rPr>
              <w:bCs/>
            </w:rPr>
            <w:t>66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0DC2C28" w:rsidR="00732045" w:rsidRPr="00A51849" w:rsidRDefault="00917A03" w:rsidP="00AB2501">
    <w:pPr>
      <w:pStyle w:val="Footer"/>
    </w:pPr>
    <w:r w:rsidRPr="000E2F42">
      <w:rPr>
        <w:color w:val="F2F2F2" w:themeColor="background1" w:themeShade="F2"/>
      </w:rPr>
      <w:fldChar w:fldCharType="begin"/>
    </w:r>
    <w:r w:rsidRPr="000E2F42">
      <w:rPr>
        <w:color w:val="F2F2F2" w:themeColor="background1" w:themeShade="F2"/>
      </w:rPr>
      <w:instrText xml:space="preserve"> FILENAME \p  \* MERGEFORMAT </w:instrText>
    </w:r>
    <w:r w:rsidRPr="000E2F42">
      <w:rPr>
        <w:color w:val="F2F2F2" w:themeColor="background1" w:themeShade="F2"/>
      </w:rPr>
      <w:fldChar w:fldCharType="separate"/>
    </w:r>
    <w:r w:rsidR="0016528D" w:rsidRPr="000E2F42">
      <w:rPr>
        <w:color w:val="F2F2F2" w:themeColor="background1" w:themeShade="F2"/>
      </w:rPr>
      <w:t>P:\FRA\SG\CONSEIL\C23\000\066F.docx</w:t>
    </w:r>
    <w:r w:rsidRPr="000E2F42">
      <w:rPr>
        <w:color w:val="F2F2F2" w:themeColor="background1" w:themeShade="F2"/>
      </w:rPr>
      <w:fldChar w:fldCharType="end"/>
    </w:r>
    <w:r w:rsidR="00AB2501" w:rsidRPr="000E2F42">
      <w:rPr>
        <w:color w:val="F2F2F2" w:themeColor="background1" w:themeShade="F2"/>
      </w:rPr>
      <w:t xml:space="preserve"> (525222)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5FB9" w14:textId="77777777" w:rsidR="00AB413A" w:rsidRDefault="00AB4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6512"/>
    <w:rsid w:val="00052E80"/>
    <w:rsid w:val="00076A2C"/>
    <w:rsid w:val="000D0D0A"/>
    <w:rsid w:val="000D4957"/>
    <w:rsid w:val="000E2F42"/>
    <w:rsid w:val="00103163"/>
    <w:rsid w:val="00106B19"/>
    <w:rsid w:val="00115D93"/>
    <w:rsid w:val="001247A8"/>
    <w:rsid w:val="001378C0"/>
    <w:rsid w:val="001414C7"/>
    <w:rsid w:val="0014512B"/>
    <w:rsid w:val="0016528D"/>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1B82"/>
    <w:rsid w:val="004F259E"/>
    <w:rsid w:val="00511F1D"/>
    <w:rsid w:val="00520F36"/>
    <w:rsid w:val="00534E13"/>
    <w:rsid w:val="00540615"/>
    <w:rsid w:val="00540A6D"/>
    <w:rsid w:val="00566679"/>
    <w:rsid w:val="00571EEA"/>
    <w:rsid w:val="00575417"/>
    <w:rsid w:val="005768E1"/>
    <w:rsid w:val="005838C0"/>
    <w:rsid w:val="005B1938"/>
    <w:rsid w:val="005B73D1"/>
    <w:rsid w:val="005C3890"/>
    <w:rsid w:val="005E592C"/>
    <w:rsid w:val="005F4EE6"/>
    <w:rsid w:val="005F7BFE"/>
    <w:rsid w:val="00600017"/>
    <w:rsid w:val="006138FE"/>
    <w:rsid w:val="006218A8"/>
    <w:rsid w:val="006235CA"/>
    <w:rsid w:val="006643AB"/>
    <w:rsid w:val="006F0A53"/>
    <w:rsid w:val="007210CD"/>
    <w:rsid w:val="00732045"/>
    <w:rsid w:val="007369DB"/>
    <w:rsid w:val="007956C2"/>
    <w:rsid w:val="007A187E"/>
    <w:rsid w:val="007C72C2"/>
    <w:rsid w:val="007D4436"/>
    <w:rsid w:val="007F257A"/>
    <w:rsid w:val="007F3665"/>
    <w:rsid w:val="00800037"/>
    <w:rsid w:val="008226DD"/>
    <w:rsid w:val="0083391C"/>
    <w:rsid w:val="00861D73"/>
    <w:rsid w:val="00897553"/>
    <w:rsid w:val="008A4E87"/>
    <w:rsid w:val="008C67FF"/>
    <w:rsid w:val="008D76E6"/>
    <w:rsid w:val="009001A2"/>
    <w:rsid w:val="00904FB3"/>
    <w:rsid w:val="00917A03"/>
    <w:rsid w:val="0092392D"/>
    <w:rsid w:val="0093234A"/>
    <w:rsid w:val="00956A78"/>
    <w:rsid w:val="0097363B"/>
    <w:rsid w:val="00973F53"/>
    <w:rsid w:val="009A24F9"/>
    <w:rsid w:val="009C307F"/>
    <w:rsid w:val="009C353C"/>
    <w:rsid w:val="009D6780"/>
    <w:rsid w:val="009F13BE"/>
    <w:rsid w:val="00A2113E"/>
    <w:rsid w:val="00A23A51"/>
    <w:rsid w:val="00A24607"/>
    <w:rsid w:val="00A25CD3"/>
    <w:rsid w:val="00A51849"/>
    <w:rsid w:val="00A709FE"/>
    <w:rsid w:val="00A73C60"/>
    <w:rsid w:val="00A82767"/>
    <w:rsid w:val="00AA332F"/>
    <w:rsid w:val="00AA7BBB"/>
    <w:rsid w:val="00AB2501"/>
    <w:rsid w:val="00AB413A"/>
    <w:rsid w:val="00AB64A8"/>
    <w:rsid w:val="00AB675C"/>
    <w:rsid w:val="00AC0266"/>
    <w:rsid w:val="00AD24EC"/>
    <w:rsid w:val="00B309F9"/>
    <w:rsid w:val="00B32B60"/>
    <w:rsid w:val="00B57FE8"/>
    <w:rsid w:val="00B61619"/>
    <w:rsid w:val="00B70E2E"/>
    <w:rsid w:val="00BB4545"/>
    <w:rsid w:val="00BD5873"/>
    <w:rsid w:val="00C04BE3"/>
    <w:rsid w:val="00C25D29"/>
    <w:rsid w:val="00C27A7C"/>
    <w:rsid w:val="00C42437"/>
    <w:rsid w:val="00C65D45"/>
    <w:rsid w:val="00C70D30"/>
    <w:rsid w:val="00CA08ED"/>
    <w:rsid w:val="00CC585B"/>
    <w:rsid w:val="00CC70FC"/>
    <w:rsid w:val="00CD6657"/>
    <w:rsid w:val="00CF183B"/>
    <w:rsid w:val="00CF5924"/>
    <w:rsid w:val="00D375CD"/>
    <w:rsid w:val="00D553A2"/>
    <w:rsid w:val="00D72F49"/>
    <w:rsid w:val="00D774D3"/>
    <w:rsid w:val="00D904E8"/>
    <w:rsid w:val="00D931DE"/>
    <w:rsid w:val="00DA08C3"/>
    <w:rsid w:val="00DB5A3E"/>
    <w:rsid w:val="00DC22AA"/>
    <w:rsid w:val="00DF74DD"/>
    <w:rsid w:val="00E16D7A"/>
    <w:rsid w:val="00E25AD0"/>
    <w:rsid w:val="00E40E5C"/>
    <w:rsid w:val="00E4428F"/>
    <w:rsid w:val="00E5180C"/>
    <w:rsid w:val="00E63DAC"/>
    <w:rsid w:val="00E93668"/>
    <w:rsid w:val="00E94410"/>
    <w:rsid w:val="00E95647"/>
    <w:rsid w:val="00EB2B64"/>
    <w:rsid w:val="00EB6350"/>
    <w:rsid w:val="00F15B57"/>
    <w:rsid w:val="00F35EF4"/>
    <w:rsid w:val="00F37FE5"/>
    <w:rsid w:val="00F427DB"/>
    <w:rsid w:val="00FA5EB1"/>
    <w:rsid w:val="00FA7439"/>
    <w:rsid w:val="00FB4A94"/>
    <w:rsid w:val="00FB533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AB2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9-CL-C-0139/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ging.itu.int/en/council/Documents/basic-texts-2023/RES-146-F.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6234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l'Australie, du Canada et des États-Unis d'Amérique  - Projet de mandat du Groupe d'experts chargé de l'examen du Règlement des télécommunications internationales (EG-RTI)</dc:title>
  <dc:subject>Conseil 2023</dc:subject>
  <dc:creator>Xue, Kun</dc:creator>
  <cp:keywords>C2023, C23, Council-23</cp:keywords>
  <dc:description/>
  <cp:lastModifiedBy>Xue, Kun</cp:lastModifiedBy>
  <cp:revision>4</cp:revision>
  <cp:lastPrinted>2000-07-18T08:55:00Z</cp:lastPrinted>
  <dcterms:created xsi:type="dcterms:W3CDTF">2023-07-06T14:16:00Z</dcterms:created>
  <dcterms:modified xsi:type="dcterms:W3CDTF">2023-07-06T14:16:00Z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