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796BD3" w:rsidRPr="00813E5E" w14:paraId="1B016EB3" w14:textId="77777777" w:rsidTr="00012185">
        <w:trPr>
          <w:cantSplit/>
          <w:trHeight w:val="23"/>
        </w:trPr>
        <w:tc>
          <w:tcPr>
            <w:tcW w:w="3969" w:type="dxa"/>
            <w:vMerge w:val="restart"/>
            <w:tcMar>
              <w:left w:w="0" w:type="dxa"/>
            </w:tcMar>
          </w:tcPr>
          <w:p w14:paraId="60D3C998" w14:textId="09F7403F" w:rsidR="00796BD3" w:rsidRPr="00F66114" w:rsidRDefault="0033025A" w:rsidP="0033025A">
            <w:pPr>
              <w:tabs>
                <w:tab w:val="clear" w:pos="1588"/>
                <w:tab w:val="clear" w:pos="1985"/>
                <w:tab w:val="left" w:pos="851"/>
                <w:tab w:val="center" w:pos="1930"/>
              </w:tabs>
              <w:spacing w:before="0" w:line="240" w:lineRule="atLeast"/>
              <w:rPr>
                <w:b/>
                <w:lang w:val="fr-CH"/>
              </w:rPr>
            </w:pPr>
            <w:bookmarkStart w:id="0" w:name="dmeeting" w:colFirst="0" w:colLast="0"/>
            <w:bookmarkStart w:id="1" w:name="dnum" w:colFirst="1" w:colLast="1"/>
            <w:bookmarkStart w:id="2" w:name="_Hlk133421839"/>
            <w:r w:rsidRPr="0033025A">
              <w:rPr>
                <w:b/>
              </w:rPr>
              <w:t>Пункт повестки дня:</w:t>
            </w:r>
            <w:r w:rsidR="00F66114">
              <w:rPr>
                <w:b/>
                <w:lang w:val="ru-RU"/>
              </w:rPr>
              <w:t xml:space="preserve"> </w:t>
            </w:r>
            <w:r w:rsidR="00F66114">
              <w:rPr>
                <w:b/>
                <w:lang w:val="en-US"/>
              </w:rPr>
              <w:t>ADM 1</w:t>
            </w:r>
          </w:p>
        </w:tc>
        <w:tc>
          <w:tcPr>
            <w:tcW w:w="5245" w:type="dxa"/>
          </w:tcPr>
          <w:p w14:paraId="37E9AF93" w14:textId="26699218" w:rsidR="00796BD3" w:rsidRPr="00E85629" w:rsidRDefault="00D37683" w:rsidP="00012185">
            <w:pPr>
              <w:tabs>
                <w:tab w:val="left" w:pos="851"/>
              </w:tabs>
              <w:spacing w:before="0" w:line="240" w:lineRule="atLeast"/>
              <w:jc w:val="right"/>
              <w:rPr>
                <w:b/>
              </w:rPr>
            </w:pPr>
            <w:r>
              <w:rPr>
                <w:b/>
                <w:lang w:val="ru-RU"/>
              </w:rPr>
              <w:t>Пересмотр 1</w:t>
            </w:r>
            <w:r>
              <w:rPr>
                <w:b/>
                <w:lang w:val="ru-RU"/>
              </w:rPr>
              <w:br/>
            </w:r>
            <w:proofErr w:type="spellStart"/>
            <w:r w:rsidR="0033025A" w:rsidRPr="0033025A">
              <w:rPr>
                <w:b/>
              </w:rPr>
              <w:t>Документ</w:t>
            </w:r>
            <w:proofErr w:type="spellEnd"/>
            <w:r>
              <w:rPr>
                <w:b/>
                <w:lang w:val="ru-RU"/>
              </w:rPr>
              <w:t>а</w:t>
            </w:r>
            <w:r w:rsidR="0033025A" w:rsidRPr="0033025A">
              <w:rPr>
                <w:b/>
              </w:rPr>
              <w:t xml:space="preserve"> </w:t>
            </w:r>
            <w:r w:rsidR="00796BD3">
              <w:rPr>
                <w:b/>
              </w:rPr>
              <w:t>C23/</w:t>
            </w:r>
            <w:r w:rsidR="00022623">
              <w:rPr>
                <w:b/>
              </w:rPr>
              <w:t>62</w:t>
            </w:r>
            <w:r w:rsidR="00796BD3">
              <w:rPr>
                <w:b/>
              </w:rPr>
              <w:t>-R</w:t>
            </w:r>
          </w:p>
        </w:tc>
      </w:tr>
      <w:tr w:rsidR="00796BD3" w:rsidRPr="00813E5E" w14:paraId="430FC1CE" w14:textId="77777777" w:rsidTr="00012185">
        <w:trPr>
          <w:cantSplit/>
        </w:trPr>
        <w:tc>
          <w:tcPr>
            <w:tcW w:w="3969" w:type="dxa"/>
            <w:vMerge/>
          </w:tcPr>
          <w:p w14:paraId="210089C5" w14:textId="77777777" w:rsidR="00796BD3" w:rsidRPr="00813E5E" w:rsidRDefault="00796BD3" w:rsidP="00012185">
            <w:pPr>
              <w:tabs>
                <w:tab w:val="left" w:pos="851"/>
              </w:tabs>
              <w:spacing w:line="240" w:lineRule="atLeast"/>
              <w:rPr>
                <w:b/>
              </w:rPr>
            </w:pPr>
            <w:bookmarkStart w:id="3" w:name="ddate" w:colFirst="1" w:colLast="1"/>
            <w:bookmarkEnd w:id="0"/>
            <w:bookmarkEnd w:id="1"/>
          </w:p>
        </w:tc>
        <w:tc>
          <w:tcPr>
            <w:tcW w:w="5245" w:type="dxa"/>
          </w:tcPr>
          <w:p w14:paraId="2CB1FBA5" w14:textId="42404707" w:rsidR="00796BD3" w:rsidRPr="00575816" w:rsidRDefault="00D37683" w:rsidP="00012185">
            <w:pPr>
              <w:tabs>
                <w:tab w:val="left" w:pos="851"/>
              </w:tabs>
              <w:spacing w:before="0"/>
              <w:jc w:val="right"/>
              <w:rPr>
                <w:b/>
                <w:lang w:val="ru-RU"/>
              </w:rPr>
            </w:pPr>
            <w:r>
              <w:rPr>
                <w:b/>
                <w:lang w:val="ru-RU"/>
              </w:rPr>
              <w:t>4 июля</w:t>
            </w:r>
            <w:r w:rsidR="00796BD3">
              <w:rPr>
                <w:b/>
              </w:rPr>
              <w:t xml:space="preserve"> 2023</w:t>
            </w:r>
            <w:r w:rsidR="00575816">
              <w:rPr>
                <w:b/>
                <w:lang w:val="ru-RU"/>
              </w:rPr>
              <w:t xml:space="preserve"> года</w:t>
            </w:r>
          </w:p>
        </w:tc>
      </w:tr>
      <w:tr w:rsidR="00796BD3" w:rsidRPr="00813E5E" w14:paraId="35A036DF" w14:textId="77777777" w:rsidTr="00012185">
        <w:trPr>
          <w:cantSplit/>
          <w:trHeight w:val="23"/>
        </w:trPr>
        <w:tc>
          <w:tcPr>
            <w:tcW w:w="3969" w:type="dxa"/>
            <w:vMerge/>
          </w:tcPr>
          <w:p w14:paraId="4E8AE602" w14:textId="77777777" w:rsidR="00796BD3" w:rsidRPr="00813E5E" w:rsidRDefault="00796BD3" w:rsidP="00012185">
            <w:pPr>
              <w:tabs>
                <w:tab w:val="left" w:pos="851"/>
              </w:tabs>
              <w:spacing w:line="240" w:lineRule="atLeast"/>
              <w:rPr>
                <w:b/>
              </w:rPr>
            </w:pPr>
            <w:bookmarkStart w:id="4" w:name="dorlang" w:colFirst="1" w:colLast="1"/>
            <w:bookmarkEnd w:id="3"/>
          </w:p>
        </w:tc>
        <w:tc>
          <w:tcPr>
            <w:tcW w:w="5245" w:type="dxa"/>
          </w:tcPr>
          <w:p w14:paraId="41A6C354" w14:textId="77777777" w:rsidR="00796BD3" w:rsidRPr="00E85629" w:rsidRDefault="0033025A" w:rsidP="00012185">
            <w:pPr>
              <w:tabs>
                <w:tab w:val="left" w:pos="851"/>
              </w:tabs>
              <w:spacing w:before="0" w:line="240" w:lineRule="atLeast"/>
              <w:jc w:val="right"/>
              <w:rPr>
                <w:b/>
              </w:rPr>
            </w:pPr>
            <w:r w:rsidRPr="0033025A">
              <w:rPr>
                <w:b/>
              </w:rPr>
              <w:t>Оригинал: английский</w:t>
            </w:r>
          </w:p>
        </w:tc>
      </w:tr>
      <w:tr w:rsidR="00796BD3" w:rsidRPr="00813E5E" w14:paraId="5879CBC5" w14:textId="77777777" w:rsidTr="00012185">
        <w:trPr>
          <w:cantSplit/>
          <w:trHeight w:val="23"/>
        </w:trPr>
        <w:tc>
          <w:tcPr>
            <w:tcW w:w="3969" w:type="dxa"/>
          </w:tcPr>
          <w:p w14:paraId="5E65DC2E" w14:textId="77777777" w:rsidR="00796BD3" w:rsidRPr="00813E5E" w:rsidRDefault="00796BD3" w:rsidP="00012185">
            <w:pPr>
              <w:tabs>
                <w:tab w:val="left" w:pos="851"/>
              </w:tabs>
              <w:spacing w:line="240" w:lineRule="atLeast"/>
              <w:rPr>
                <w:b/>
              </w:rPr>
            </w:pPr>
          </w:p>
        </w:tc>
        <w:tc>
          <w:tcPr>
            <w:tcW w:w="5245" w:type="dxa"/>
          </w:tcPr>
          <w:p w14:paraId="04BCC262" w14:textId="77777777" w:rsidR="00796BD3" w:rsidRDefault="00796BD3" w:rsidP="00012185">
            <w:pPr>
              <w:tabs>
                <w:tab w:val="left" w:pos="851"/>
              </w:tabs>
              <w:spacing w:before="0" w:line="240" w:lineRule="atLeast"/>
              <w:jc w:val="right"/>
              <w:rPr>
                <w:b/>
              </w:rPr>
            </w:pPr>
          </w:p>
        </w:tc>
      </w:tr>
      <w:tr w:rsidR="00796BD3" w:rsidRPr="00813E5E" w14:paraId="1A1D58D6" w14:textId="77777777" w:rsidTr="00012185">
        <w:trPr>
          <w:cantSplit/>
        </w:trPr>
        <w:tc>
          <w:tcPr>
            <w:tcW w:w="9214" w:type="dxa"/>
            <w:gridSpan w:val="2"/>
            <w:tcMar>
              <w:left w:w="0" w:type="dxa"/>
            </w:tcMar>
          </w:tcPr>
          <w:p w14:paraId="538B17D0" w14:textId="77777777" w:rsidR="00796BD3" w:rsidRPr="00672F8A" w:rsidRDefault="0033025A" w:rsidP="00672F8A">
            <w:pPr>
              <w:pStyle w:val="Source"/>
              <w:jc w:val="left"/>
              <w:rPr>
                <w:sz w:val="32"/>
                <w:szCs w:val="32"/>
              </w:rPr>
            </w:pPr>
            <w:bookmarkStart w:id="5" w:name="dsource" w:colFirst="0" w:colLast="0"/>
            <w:bookmarkEnd w:id="4"/>
            <w:r w:rsidRPr="00672F8A">
              <w:rPr>
                <w:rFonts w:cstheme="minorHAnsi"/>
                <w:sz w:val="32"/>
                <w:szCs w:val="32"/>
                <w:lang w:val="ru-RU"/>
              </w:rPr>
              <w:t>Отчет Генерального секретаря</w:t>
            </w:r>
          </w:p>
        </w:tc>
      </w:tr>
      <w:tr w:rsidR="00796BD3" w:rsidRPr="00B6774E" w14:paraId="752281C9" w14:textId="77777777" w:rsidTr="00012185">
        <w:trPr>
          <w:cantSplit/>
        </w:trPr>
        <w:tc>
          <w:tcPr>
            <w:tcW w:w="9214" w:type="dxa"/>
            <w:gridSpan w:val="2"/>
            <w:tcMar>
              <w:left w:w="0" w:type="dxa"/>
            </w:tcMar>
          </w:tcPr>
          <w:p w14:paraId="72E5CE26" w14:textId="79B7C665" w:rsidR="00796BD3" w:rsidRPr="00575816" w:rsidRDefault="00A27C69" w:rsidP="00012185">
            <w:pPr>
              <w:pStyle w:val="Subtitle"/>
              <w:framePr w:hSpace="0" w:wrap="auto" w:hAnchor="text" w:xAlign="left" w:yAlign="inline"/>
              <w:rPr>
                <w:rFonts w:cstheme="minorHAnsi"/>
                <w:sz w:val="32"/>
                <w:szCs w:val="32"/>
                <w:lang w:val="ru-RU"/>
              </w:rPr>
            </w:pPr>
            <w:bookmarkStart w:id="6" w:name="dtitle1" w:colFirst="0" w:colLast="0"/>
            <w:bookmarkEnd w:id="5"/>
            <w:r>
              <w:rPr>
                <w:rFonts w:cstheme="minorHAnsi"/>
                <w:sz w:val="32"/>
                <w:szCs w:val="32"/>
                <w:lang w:val="ru-RU"/>
              </w:rPr>
              <w:t>СТРАТЕГИЯ</w:t>
            </w:r>
            <w:r w:rsidR="006C34DA" w:rsidRPr="006C34DA">
              <w:rPr>
                <w:rFonts w:cstheme="minorHAnsi"/>
                <w:sz w:val="32"/>
                <w:szCs w:val="32"/>
                <w:lang w:val="ru-RU"/>
              </w:rPr>
              <w:t xml:space="preserve"> </w:t>
            </w:r>
            <w:r w:rsidR="006C34DA">
              <w:rPr>
                <w:rFonts w:cstheme="minorHAnsi"/>
                <w:sz w:val="32"/>
                <w:szCs w:val="32"/>
                <w:lang w:val="ru-RU"/>
              </w:rPr>
              <w:t>В</w:t>
            </w:r>
            <w:r w:rsidR="006C34DA" w:rsidRPr="006C34DA">
              <w:rPr>
                <w:rFonts w:cstheme="minorHAnsi"/>
                <w:sz w:val="32"/>
                <w:szCs w:val="32"/>
                <w:lang w:val="ru-RU"/>
              </w:rPr>
              <w:t xml:space="preserve"> </w:t>
            </w:r>
            <w:r w:rsidR="006C34DA">
              <w:rPr>
                <w:rFonts w:cstheme="minorHAnsi"/>
                <w:sz w:val="32"/>
                <w:szCs w:val="32"/>
                <w:lang w:val="ru-RU"/>
              </w:rPr>
              <w:t>ОБЛАСТИ</w:t>
            </w:r>
            <w:r w:rsidR="006C34DA" w:rsidRPr="006C34DA">
              <w:rPr>
                <w:rFonts w:cstheme="minorHAnsi"/>
                <w:sz w:val="32"/>
                <w:szCs w:val="32"/>
                <w:lang w:val="ru-RU"/>
              </w:rPr>
              <w:t xml:space="preserve"> </w:t>
            </w:r>
            <w:r w:rsidR="006C34DA">
              <w:rPr>
                <w:rFonts w:cstheme="minorHAnsi"/>
                <w:sz w:val="32"/>
                <w:szCs w:val="32"/>
                <w:lang w:val="ru-RU"/>
              </w:rPr>
              <w:t>МОБИЛИЗАЦИИ</w:t>
            </w:r>
            <w:r w:rsidR="006C34DA" w:rsidRPr="006C34DA">
              <w:rPr>
                <w:rFonts w:cstheme="minorHAnsi"/>
                <w:sz w:val="32"/>
                <w:szCs w:val="32"/>
                <w:lang w:val="ru-RU"/>
              </w:rPr>
              <w:t xml:space="preserve"> </w:t>
            </w:r>
            <w:r w:rsidR="006C34DA">
              <w:rPr>
                <w:rFonts w:cstheme="minorHAnsi"/>
                <w:sz w:val="32"/>
                <w:szCs w:val="32"/>
                <w:lang w:val="ru-RU"/>
              </w:rPr>
              <w:t>РЕСУРСОВ: НА ПУТИ К НОВОМУ "ЕДИНОМУ МСЭ"</w:t>
            </w:r>
          </w:p>
        </w:tc>
      </w:tr>
      <w:tr w:rsidR="00796BD3" w:rsidRPr="00B6774E" w14:paraId="3A7A30C8" w14:textId="77777777" w:rsidTr="00012185">
        <w:trPr>
          <w:cantSplit/>
        </w:trPr>
        <w:tc>
          <w:tcPr>
            <w:tcW w:w="9214" w:type="dxa"/>
            <w:gridSpan w:val="2"/>
            <w:tcBorders>
              <w:top w:val="single" w:sz="4" w:space="0" w:color="auto"/>
              <w:bottom w:val="single" w:sz="4" w:space="0" w:color="auto"/>
            </w:tcBorders>
            <w:tcMar>
              <w:left w:w="0" w:type="dxa"/>
            </w:tcMar>
          </w:tcPr>
          <w:p w14:paraId="47D9F122" w14:textId="3536DBCA" w:rsidR="00796BD3" w:rsidRPr="0052486B" w:rsidRDefault="0033025A" w:rsidP="00012185">
            <w:pPr>
              <w:spacing w:before="160"/>
              <w:rPr>
                <w:b/>
                <w:bCs/>
                <w:sz w:val="24"/>
                <w:szCs w:val="24"/>
                <w:lang w:val="ru-RU"/>
              </w:rPr>
            </w:pPr>
            <w:r w:rsidRPr="00022623">
              <w:rPr>
                <w:b/>
                <w:bCs/>
                <w:sz w:val="24"/>
                <w:szCs w:val="24"/>
                <w:lang w:val="ru-RU"/>
              </w:rPr>
              <w:t>Назначение</w:t>
            </w:r>
            <w:r w:rsidRPr="0052486B">
              <w:rPr>
                <w:b/>
                <w:bCs/>
                <w:sz w:val="24"/>
                <w:szCs w:val="24"/>
                <w:lang w:val="ru-RU"/>
              </w:rPr>
              <w:t xml:space="preserve"> </w:t>
            </w:r>
          </w:p>
          <w:p w14:paraId="5DF3A8CB" w14:textId="1CF93316" w:rsidR="0052486B" w:rsidRDefault="0052486B" w:rsidP="00F66114">
            <w:pPr>
              <w:rPr>
                <w:lang w:val="ru-RU"/>
              </w:rPr>
            </w:pPr>
            <w:r w:rsidRPr="0052486B">
              <w:rPr>
                <w:lang w:val="ru-RU"/>
              </w:rPr>
              <w:t>Полномочная конференция (Бухарест, 2022</w:t>
            </w:r>
            <w:r w:rsidR="00886C7B">
              <w:rPr>
                <w:lang w:val="ru-RU"/>
              </w:rPr>
              <w:t> г.</w:t>
            </w:r>
            <w:r w:rsidRPr="0052486B">
              <w:rPr>
                <w:lang w:val="ru-RU"/>
              </w:rPr>
              <w:t>) поручила Г</w:t>
            </w:r>
            <w:r w:rsidR="00886C7B">
              <w:rPr>
                <w:lang w:val="ru-RU"/>
              </w:rPr>
              <w:t>енеральному секретарю в Решении </w:t>
            </w:r>
            <w:r w:rsidRPr="0052486B">
              <w:rPr>
                <w:lang w:val="ru-RU"/>
              </w:rPr>
              <w:t>5 (</w:t>
            </w:r>
            <w:r w:rsidR="00886C7B">
              <w:rPr>
                <w:lang w:val="ru-RU"/>
              </w:rPr>
              <w:t>Пересм.</w:t>
            </w:r>
            <w:r w:rsidRPr="0052486B">
              <w:rPr>
                <w:lang w:val="ru-RU"/>
              </w:rPr>
              <w:t xml:space="preserve"> Бухарест, 2022</w:t>
            </w:r>
            <w:r w:rsidR="00886C7B">
              <w:rPr>
                <w:lang w:val="ru-RU"/>
              </w:rPr>
              <w:t> г.</w:t>
            </w:r>
            <w:r w:rsidRPr="0052486B">
              <w:rPr>
                <w:lang w:val="ru-RU"/>
              </w:rPr>
              <w:t xml:space="preserve">) разработать стратегию мобилизации ресурсов в </w:t>
            </w:r>
            <w:r w:rsidR="00886C7B">
              <w:rPr>
                <w:lang w:val="ru-RU"/>
              </w:rPr>
              <w:t>масштабах</w:t>
            </w:r>
            <w:r w:rsidRPr="0052486B">
              <w:rPr>
                <w:lang w:val="ru-RU"/>
              </w:rPr>
              <w:t xml:space="preserve"> всего МСЭ для удовлетворения потребности в доп</w:t>
            </w:r>
            <w:r w:rsidR="00985A7A">
              <w:rPr>
                <w:lang w:val="ru-RU"/>
              </w:rPr>
              <w:t>олнительном финансировании для реализации</w:t>
            </w:r>
            <w:r w:rsidRPr="0052486B">
              <w:rPr>
                <w:lang w:val="ru-RU"/>
              </w:rPr>
              <w:t xml:space="preserve"> приоритетов </w:t>
            </w:r>
            <w:r w:rsidR="00985A7A">
              <w:rPr>
                <w:lang w:val="ru-RU"/>
              </w:rPr>
              <w:t xml:space="preserve">организации </w:t>
            </w:r>
            <w:r w:rsidRPr="0052486B">
              <w:rPr>
                <w:lang w:val="ru-RU"/>
              </w:rPr>
              <w:t xml:space="preserve">и представить ее Совету МСЭ для рассмотрения и выработки </w:t>
            </w:r>
            <w:r w:rsidR="00886C7B">
              <w:rPr>
                <w:lang w:val="ru-RU"/>
              </w:rPr>
              <w:t>руководящих указаний</w:t>
            </w:r>
            <w:r w:rsidRPr="0052486B">
              <w:rPr>
                <w:lang w:val="ru-RU"/>
              </w:rPr>
              <w:t xml:space="preserve"> по ее </w:t>
            </w:r>
            <w:r w:rsidR="009E2283">
              <w:rPr>
                <w:lang w:val="ru-RU"/>
              </w:rPr>
              <w:t>внедрению</w:t>
            </w:r>
            <w:r w:rsidR="00886C7B">
              <w:rPr>
                <w:lang w:val="ru-RU"/>
              </w:rPr>
              <w:t>.</w:t>
            </w:r>
          </w:p>
          <w:p w14:paraId="0FCEC500" w14:textId="4F8B91EB" w:rsidR="009E2283" w:rsidRDefault="009E2283" w:rsidP="00F66114">
            <w:pPr>
              <w:rPr>
                <w:lang w:val="ru-RU"/>
              </w:rPr>
            </w:pPr>
            <w:r w:rsidRPr="009E2283">
              <w:rPr>
                <w:lang w:val="ru-RU"/>
              </w:rPr>
              <w:t xml:space="preserve">Настоящий документ является первым шагом на пути к </w:t>
            </w:r>
            <w:r>
              <w:rPr>
                <w:lang w:val="ru-RU"/>
              </w:rPr>
              <w:t>выработке данной</w:t>
            </w:r>
            <w:r w:rsidRPr="009E2283">
              <w:rPr>
                <w:lang w:val="ru-RU"/>
              </w:rPr>
              <w:t xml:space="preserve"> стратегии. В нем </w:t>
            </w:r>
            <w:r>
              <w:rPr>
                <w:lang w:val="ru-RU"/>
              </w:rPr>
              <w:t>содержатся</w:t>
            </w:r>
            <w:r w:rsidRPr="009E2283">
              <w:rPr>
                <w:lang w:val="ru-RU"/>
              </w:rPr>
              <w:t xml:space="preserve"> </w:t>
            </w:r>
            <w:r>
              <w:rPr>
                <w:lang w:val="ru-RU"/>
              </w:rPr>
              <w:t>базовые</w:t>
            </w:r>
            <w:r w:rsidRPr="009E2283">
              <w:rPr>
                <w:lang w:val="ru-RU"/>
              </w:rPr>
              <w:t xml:space="preserve"> данные и справочная информация, а также первоначальные планы секретариата и рекомендации для Совета. Цель данного документа </w:t>
            </w:r>
            <w:r w:rsidRPr="00395A5A">
              <w:rPr>
                <w:lang w:val="ru-RU"/>
              </w:rPr>
              <w:t>–</w:t>
            </w:r>
            <w:r>
              <w:rPr>
                <w:lang w:val="ru-RU"/>
              </w:rPr>
              <w:t xml:space="preserve"> определить пути </w:t>
            </w:r>
            <w:r w:rsidRPr="009E2283">
              <w:rPr>
                <w:lang w:val="ru-RU"/>
              </w:rPr>
              <w:t xml:space="preserve">как </w:t>
            </w:r>
            <w:r w:rsidR="00ED769D">
              <w:rPr>
                <w:lang w:val="ru-RU"/>
              </w:rPr>
              <w:t xml:space="preserve">укрепления </w:t>
            </w:r>
            <w:r w:rsidRPr="009E2283">
              <w:rPr>
                <w:lang w:val="ru-RU"/>
              </w:rPr>
              <w:t xml:space="preserve">регулярного бюджета, так и </w:t>
            </w:r>
            <w:r w:rsidR="00ED769D">
              <w:rPr>
                <w:lang w:val="ru-RU"/>
              </w:rPr>
              <w:t>увеличения</w:t>
            </w:r>
            <w:r w:rsidR="00ED769D" w:rsidRPr="009E2283">
              <w:rPr>
                <w:lang w:val="ru-RU"/>
              </w:rPr>
              <w:t xml:space="preserve"> </w:t>
            </w:r>
            <w:r w:rsidRPr="009E2283">
              <w:rPr>
                <w:lang w:val="ru-RU"/>
              </w:rPr>
              <w:t>внебюджетных поступлений. С учетом вклад</w:t>
            </w:r>
            <w:r>
              <w:rPr>
                <w:lang w:val="ru-RU"/>
              </w:rPr>
              <w:t>ов, которые будут представлены на</w:t>
            </w:r>
            <w:r w:rsidRPr="009E2283">
              <w:rPr>
                <w:lang w:val="ru-RU"/>
              </w:rPr>
              <w:t xml:space="preserve"> сессии Совета 2023</w:t>
            </w:r>
            <w:r>
              <w:rPr>
                <w:lang w:val="ru-RU"/>
              </w:rPr>
              <w:t> </w:t>
            </w:r>
            <w:r w:rsidRPr="009E2283">
              <w:rPr>
                <w:lang w:val="ru-RU"/>
              </w:rPr>
              <w:t>года</w:t>
            </w:r>
            <w:r>
              <w:rPr>
                <w:lang w:val="ru-RU"/>
              </w:rPr>
              <w:t>,</w:t>
            </w:r>
            <w:r w:rsidRPr="009E2283">
              <w:rPr>
                <w:lang w:val="ru-RU"/>
              </w:rPr>
              <w:t xml:space="preserve"> секретариат затем уточнит пред</w:t>
            </w:r>
            <w:r>
              <w:rPr>
                <w:lang w:val="ru-RU"/>
              </w:rPr>
              <w:t>ложенные</w:t>
            </w:r>
            <w:r w:rsidRPr="009E2283">
              <w:rPr>
                <w:lang w:val="ru-RU"/>
              </w:rPr>
              <w:t xml:space="preserve"> концепции и продолжит разработку стратегии д</w:t>
            </w:r>
            <w:r>
              <w:rPr>
                <w:lang w:val="ru-RU"/>
              </w:rPr>
              <w:t>ля представления на сессии 2024 </w:t>
            </w:r>
            <w:r w:rsidRPr="009E2283">
              <w:rPr>
                <w:lang w:val="ru-RU"/>
              </w:rPr>
              <w:t>года</w:t>
            </w:r>
            <w:r>
              <w:rPr>
                <w:lang w:val="ru-RU"/>
              </w:rPr>
              <w:t>.</w:t>
            </w:r>
          </w:p>
          <w:p w14:paraId="3A0652AE" w14:textId="77777777" w:rsidR="00796BD3" w:rsidRPr="00A27C69" w:rsidRDefault="0033025A" w:rsidP="00012185">
            <w:pPr>
              <w:spacing w:before="160"/>
              <w:rPr>
                <w:b/>
                <w:bCs/>
                <w:sz w:val="24"/>
                <w:szCs w:val="24"/>
                <w:lang w:val="ru-RU"/>
              </w:rPr>
            </w:pPr>
            <w:r w:rsidRPr="00022623">
              <w:rPr>
                <w:b/>
                <w:bCs/>
                <w:sz w:val="24"/>
                <w:szCs w:val="24"/>
                <w:lang w:val="ru-RU"/>
              </w:rPr>
              <w:t>Необходимые</w:t>
            </w:r>
            <w:r w:rsidRPr="00A27C69">
              <w:rPr>
                <w:b/>
                <w:bCs/>
                <w:sz w:val="24"/>
                <w:szCs w:val="24"/>
                <w:lang w:val="ru-RU"/>
              </w:rPr>
              <w:t xml:space="preserve"> </w:t>
            </w:r>
            <w:r w:rsidRPr="00022623">
              <w:rPr>
                <w:b/>
                <w:bCs/>
                <w:sz w:val="24"/>
                <w:szCs w:val="24"/>
                <w:lang w:val="ru-RU"/>
              </w:rPr>
              <w:t>действия</w:t>
            </w:r>
            <w:r w:rsidRPr="00A27C69">
              <w:rPr>
                <w:b/>
                <w:bCs/>
                <w:sz w:val="24"/>
                <w:szCs w:val="24"/>
                <w:lang w:val="ru-RU"/>
              </w:rPr>
              <w:t xml:space="preserve"> </w:t>
            </w:r>
            <w:r w:rsidRPr="00022623">
              <w:rPr>
                <w:b/>
                <w:bCs/>
                <w:sz w:val="24"/>
                <w:szCs w:val="24"/>
                <w:lang w:val="ru-RU"/>
              </w:rPr>
              <w:t>Совета</w:t>
            </w:r>
          </w:p>
          <w:p w14:paraId="11C4BF57" w14:textId="77777777" w:rsidR="006C34DA" w:rsidRDefault="006C34DA" w:rsidP="00012185">
            <w:pPr>
              <w:rPr>
                <w:lang w:val="ru-RU"/>
              </w:rPr>
            </w:pPr>
            <w:r w:rsidRPr="006C34DA">
              <w:rPr>
                <w:lang w:val="ru-RU"/>
              </w:rPr>
              <w:t xml:space="preserve">Совету предлагается </w:t>
            </w:r>
            <w:r w:rsidRPr="006C34DA">
              <w:rPr>
                <w:b/>
                <w:lang w:val="ru-RU"/>
              </w:rPr>
              <w:t>принять к сведению</w:t>
            </w:r>
            <w:r w:rsidRPr="006C34DA">
              <w:rPr>
                <w:lang w:val="ru-RU"/>
              </w:rPr>
              <w:t xml:space="preserve"> настоящий документ. </w:t>
            </w:r>
          </w:p>
          <w:p w14:paraId="27B5F5D4" w14:textId="77777777" w:rsidR="00796BD3" w:rsidRPr="00022623" w:rsidRDefault="0033025A" w:rsidP="00012185">
            <w:pPr>
              <w:spacing w:before="160"/>
              <w:rPr>
                <w:b/>
                <w:bCs/>
                <w:sz w:val="24"/>
                <w:szCs w:val="24"/>
                <w:lang w:val="ru-RU"/>
              </w:rPr>
            </w:pPr>
            <w:r w:rsidRPr="00022623">
              <w:rPr>
                <w:b/>
                <w:bCs/>
                <w:sz w:val="24"/>
                <w:szCs w:val="24"/>
                <w:lang w:val="ru-RU"/>
              </w:rPr>
              <w:t>Соответствующая увязка со Стратегическим планом</w:t>
            </w:r>
          </w:p>
          <w:p w14:paraId="0AA47AFE" w14:textId="122F0241" w:rsidR="00796BD3" w:rsidRPr="00022623" w:rsidRDefault="006C34DA" w:rsidP="00012185">
            <w:pPr>
              <w:rPr>
                <w:lang w:val="ru-RU"/>
              </w:rPr>
            </w:pPr>
            <w:r>
              <w:rPr>
                <w:lang w:val="ru-RU"/>
              </w:rPr>
              <w:t>Мобилизация ресурсов</w:t>
            </w:r>
            <w:r w:rsidR="00F66114" w:rsidRPr="00F66114">
              <w:rPr>
                <w:lang w:val="ru-RU"/>
              </w:rPr>
              <w:t>.</w:t>
            </w:r>
          </w:p>
          <w:p w14:paraId="776B7A28" w14:textId="77777777" w:rsidR="00F66114" w:rsidRPr="00A27C69" w:rsidRDefault="0033025A" w:rsidP="00012185">
            <w:pPr>
              <w:spacing w:before="160"/>
              <w:rPr>
                <w:b/>
                <w:bCs/>
                <w:sz w:val="24"/>
                <w:szCs w:val="24"/>
                <w:lang w:val="ru-RU"/>
              </w:rPr>
            </w:pPr>
            <w:r w:rsidRPr="00022623">
              <w:rPr>
                <w:b/>
                <w:bCs/>
                <w:sz w:val="24"/>
                <w:szCs w:val="24"/>
                <w:lang w:val="ru-RU"/>
              </w:rPr>
              <w:t>Финансовые</w:t>
            </w:r>
            <w:r w:rsidRPr="00A27C69">
              <w:rPr>
                <w:b/>
                <w:bCs/>
                <w:sz w:val="24"/>
                <w:szCs w:val="24"/>
                <w:lang w:val="ru-RU"/>
              </w:rPr>
              <w:t xml:space="preserve"> </w:t>
            </w:r>
            <w:r w:rsidRPr="00022623">
              <w:rPr>
                <w:b/>
                <w:bCs/>
                <w:sz w:val="24"/>
                <w:szCs w:val="24"/>
                <w:lang w:val="ru-RU"/>
              </w:rPr>
              <w:t>последствия</w:t>
            </w:r>
          </w:p>
          <w:p w14:paraId="4F196453" w14:textId="7953E81E" w:rsidR="006C34DA" w:rsidRDefault="006C34DA" w:rsidP="00F66114">
            <w:pPr>
              <w:rPr>
                <w:lang w:val="ru-RU"/>
              </w:rPr>
            </w:pPr>
            <w:r w:rsidRPr="009E2283">
              <w:rPr>
                <w:lang w:val="ru-RU"/>
              </w:rPr>
              <w:t>Потенциальное увеличение регулярного бюджета и внебюджетного финансирования</w:t>
            </w:r>
            <w:r w:rsidR="0052486B" w:rsidRPr="009E2283">
              <w:rPr>
                <w:lang w:val="ru-RU"/>
              </w:rPr>
              <w:t>.</w:t>
            </w:r>
            <w:r w:rsidRPr="006C34DA">
              <w:rPr>
                <w:lang w:val="ru-RU"/>
              </w:rPr>
              <w:t xml:space="preserve"> </w:t>
            </w:r>
          </w:p>
          <w:p w14:paraId="572C3C9E" w14:textId="77777777" w:rsidR="00796BD3" w:rsidRPr="006C34DA" w:rsidRDefault="00796BD3" w:rsidP="00012185">
            <w:pPr>
              <w:spacing w:before="160"/>
              <w:rPr>
                <w:caps/>
                <w:sz w:val="20"/>
                <w:szCs w:val="18"/>
                <w:lang w:val="ru-RU"/>
              </w:rPr>
            </w:pPr>
            <w:r w:rsidRPr="006C34DA">
              <w:rPr>
                <w:sz w:val="20"/>
                <w:szCs w:val="18"/>
                <w:lang w:val="ru-RU"/>
              </w:rPr>
              <w:t>__________________</w:t>
            </w:r>
          </w:p>
          <w:p w14:paraId="571E4F1E" w14:textId="77777777" w:rsidR="00796BD3" w:rsidRPr="006C34DA" w:rsidRDefault="0033025A" w:rsidP="00012185">
            <w:pPr>
              <w:spacing w:before="160"/>
              <w:rPr>
                <w:b/>
                <w:bCs/>
                <w:sz w:val="26"/>
                <w:szCs w:val="26"/>
                <w:lang w:val="ru-RU"/>
              </w:rPr>
            </w:pPr>
            <w:r w:rsidRPr="006C34DA">
              <w:rPr>
                <w:b/>
                <w:bCs/>
                <w:sz w:val="24"/>
                <w:szCs w:val="24"/>
                <w:lang w:val="ru-RU"/>
              </w:rPr>
              <w:t>Справочные материалы</w:t>
            </w:r>
          </w:p>
          <w:bookmarkStart w:id="7" w:name="lt_pId025"/>
          <w:p w14:paraId="40CE03F2" w14:textId="7FD45C99" w:rsidR="00796BD3" w:rsidRPr="00F66114" w:rsidRDefault="00F66114" w:rsidP="00012185">
            <w:pPr>
              <w:spacing w:after="160"/>
              <w:rPr>
                <w:lang w:val="ru-RU"/>
              </w:rPr>
            </w:pPr>
            <w:r w:rsidRPr="00F66114">
              <w:rPr>
                <w:szCs w:val="18"/>
              </w:rPr>
              <w:fldChar w:fldCharType="begin"/>
            </w:r>
            <w:r w:rsidR="00395A5A">
              <w:rPr>
                <w:szCs w:val="18"/>
              </w:rPr>
              <w:instrText>HYPERLINK</w:instrText>
            </w:r>
            <w:r w:rsidR="00395A5A" w:rsidRPr="006C34DA">
              <w:rPr>
                <w:szCs w:val="18"/>
                <w:lang w:val="ru-RU"/>
              </w:rPr>
              <w:instrText xml:space="preserve"> "</w:instrText>
            </w:r>
            <w:r w:rsidR="00395A5A">
              <w:rPr>
                <w:szCs w:val="18"/>
              </w:rPr>
              <w:instrText>https</w:instrText>
            </w:r>
            <w:r w:rsidR="00395A5A" w:rsidRPr="006C34DA">
              <w:rPr>
                <w:szCs w:val="18"/>
                <w:lang w:val="ru-RU"/>
              </w:rPr>
              <w:instrText>://</w:instrText>
            </w:r>
            <w:r w:rsidR="00395A5A">
              <w:rPr>
                <w:szCs w:val="18"/>
              </w:rPr>
              <w:instrText>www</w:instrText>
            </w:r>
            <w:r w:rsidR="00395A5A" w:rsidRPr="006C34DA">
              <w:rPr>
                <w:szCs w:val="18"/>
                <w:lang w:val="ru-RU"/>
              </w:rPr>
              <w:instrText>.</w:instrText>
            </w:r>
            <w:r w:rsidR="00395A5A">
              <w:rPr>
                <w:szCs w:val="18"/>
              </w:rPr>
              <w:instrText>itu</w:instrText>
            </w:r>
            <w:r w:rsidR="00395A5A" w:rsidRPr="006C34DA">
              <w:rPr>
                <w:szCs w:val="18"/>
                <w:lang w:val="ru-RU"/>
              </w:rPr>
              <w:instrText>.</w:instrText>
            </w:r>
            <w:r w:rsidR="00395A5A">
              <w:rPr>
                <w:szCs w:val="18"/>
              </w:rPr>
              <w:instrText>int</w:instrText>
            </w:r>
            <w:r w:rsidR="00395A5A" w:rsidRPr="006C34DA">
              <w:rPr>
                <w:szCs w:val="18"/>
                <w:lang w:val="ru-RU"/>
              </w:rPr>
              <w:instrText>/</w:instrText>
            </w:r>
            <w:r w:rsidR="00395A5A">
              <w:rPr>
                <w:szCs w:val="18"/>
              </w:rPr>
              <w:instrText>en</w:instrText>
            </w:r>
            <w:r w:rsidR="00395A5A" w:rsidRPr="006C34DA">
              <w:rPr>
                <w:szCs w:val="18"/>
                <w:lang w:val="ru-RU"/>
              </w:rPr>
              <w:instrText>/</w:instrText>
            </w:r>
            <w:r w:rsidR="00395A5A">
              <w:rPr>
                <w:szCs w:val="18"/>
              </w:rPr>
              <w:instrText>council</w:instrText>
            </w:r>
            <w:r w:rsidR="00395A5A" w:rsidRPr="006C34DA">
              <w:rPr>
                <w:szCs w:val="18"/>
                <w:lang w:val="ru-RU"/>
              </w:rPr>
              <w:instrText>/</w:instrText>
            </w:r>
            <w:r w:rsidR="00395A5A">
              <w:rPr>
                <w:szCs w:val="18"/>
              </w:rPr>
              <w:instrText>Documents</w:instrText>
            </w:r>
            <w:r w:rsidR="00395A5A" w:rsidRPr="006C34DA">
              <w:rPr>
                <w:szCs w:val="18"/>
                <w:lang w:val="ru-RU"/>
              </w:rPr>
              <w:instrText>/</w:instrText>
            </w:r>
            <w:r w:rsidR="00395A5A">
              <w:rPr>
                <w:szCs w:val="18"/>
              </w:rPr>
              <w:instrText>basic</w:instrText>
            </w:r>
            <w:r w:rsidR="00395A5A" w:rsidRPr="006C34DA">
              <w:rPr>
                <w:szCs w:val="18"/>
                <w:lang w:val="ru-RU"/>
              </w:rPr>
              <w:instrText>-</w:instrText>
            </w:r>
            <w:r w:rsidR="00395A5A">
              <w:rPr>
                <w:szCs w:val="18"/>
              </w:rPr>
              <w:instrText>texts</w:instrText>
            </w:r>
            <w:r w:rsidR="00395A5A" w:rsidRPr="006C34DA">
              <w:rPr>
                <w:szCs w:val="18"/>
                <w:lang w:val="ru-RU"/>
              </w:rPr>
              <w:instrText>-2023/</w:instrText>
            </w:r>
            <w:r w:rsidR="00395A5A">
              <w:rPr>
                <w:szCs w:val="18"/>
              </w:rPr>
              <w:instrText>DEC</w:instrText>
            </w:r>
            <w:r w:rsidR="00395A5A" w:rsidRPr="006C34DA">
              <w:rPr>
                <w:szCs w:val="18"/>
                <w:lang w:val="ru-RU"/>
              </w:rPr>
              <w:instrText>-005-</w:instrText>
            </w:r>
            <w:r w:rsidR="00395A5A">
              <w:rPr>
                <w:szCs w:val="18"/>
              </w:rPr>
              <w:instrText>R</w:instrText>
            </w:r>
            <w:r w:rsidR="00395A5A" w:rsidRPr="006C34DA">
              <w:rPr>
                <w:szCs w:val="18"/>
                <w:lang w:val="ru-RU"/>
              </w:rPr>
              <w:instrText>.</w:instrText>
            </w:r>
            <w:r w:rsidR="00395A5A">
              <w:rPr>
                <w:szCs w:val="18"/>
              </w:rPr>
              <w:instrText>pdf</w:instrText>
            </w:r>
            <w:r w:rsidR="00395A5A" w:rsidRPr="006C34DA">
              <w:rPr>
                <w:szCs w:val="18"/>
                <w:lang w:val="ru-RU"/>
              </w:rPr>
              <w:instrText>"</w:instrText>
            </w:r>
            <w:r w:rsidRPr="00F66114">
              <w:rPr>
                <w:szCs w:val="18"/>
              </w:rPr>
            </w:r>
            <w:r w:rsidRPr="00F66114">
              <w:rPr>
                <w:szCs w:val="18"/>
              </w:rPr>
              <w:fldChar w:fldCharType="separate"/>
            </w:r>
            <w:r>
              <w:rPr>
                <w:i/>
                <w:iCs/>
                <w:color w:val="0563C1"/>
                <w:szCs w:val="22"/>
                <w:u w:val="single"/>
                <w:lang w:val="ru-RU"/>
              </w:rPr>
              <w:t>Решение</w:t>
            </w:r>
            <w:r w:rsidRPr="006C34DA">
              <w:rPr>
                <w:i/>
                <w:iCs/>
                <w:color w:val="0563C1"/>
                <w:szCs w:val="22"/>
                <w:u w:val="single"/>
                <w:lang w:val="ru-RU"/>
              </w:rPr>
              <w:t xml:space="preserve"> 5</w:t>
            </w:r>
            <w:r w:rsidRPr="00F66114">
              <w:rPr>
                <w:i/>
                <w:iCs/>
                <w:color w:val="0563C1"/>
                <w:szCs w:val="22"/>
                <w:u w:val="single"/>
              </w:rPr>
              <w:fldChar w:fldCharType="end"/>
            </w:r>
            <w:r w:rsidRPr="006C34DA">
              <w:rPr>
                <w:i/>
                <w:iCs/>
                <w:szCs w:val="22"/>
                <w:lang w:val="ru-RU"/>
              </w:rPr>
              <w:t xml:space="preserve"> (</w:t>
            </w:r>
            <w:r>
              <w:rPr>
                <w:i/>
                <w:iCs/>
                <w:szCs w:val="22"/>
                <w:lang w:val="ru-RU"/>
              </w:rPr>
              <w:t>Пересм</w:t>
            </w:r>
            <w:r w:rsidRPr="006C34DA">
              <w:rPr>
                <w:i/>
                <w:iCs/>
                <w:szCs w:val="22"/>
                <w:lang w:val="ru-RU"/>
              </w:rPr>
              <w:t xml:space="preserve">. </w:t>
            </w:r>
            <w:r>
              <w:rPr>
                <w:i/>
                <w:iCs/>
                <w:szCs w:val="22"/>
                <w:lang w:val="ru-RU"/>
              </w:rPr>
              <w:t>Бухарест</w:t>
            </w:r>
            <w:r w:rsidRPr="006C34DA">
              <w:rPr>
                <w:i/>
                <w:iCs/>
                <w:szCs w:val="22"/>
                <w:lang w:val="ru-RU"/>
              </w:rPr>
              <w:t xml:space="preserve">, 2022 </w:t>
            </w:r>
            <w:r>
              <w:rPr>
                <w:i/>
                <w:iCs/>
                <w:szCs w:val="22"/>
                <w:lang w:val="ru-RU"/>
              </w:rPr>
              <w:t>г</w:t>
            </w:r>
            <w:r w:rsidRPr="006C34DA">
              <w:rPr>
                <w:i/>
                <w:iCs/>
                <w:szCs w:val="22"/>
                <w:lang w:val="ru-RU"/>
              </w:rPr>
              <w:t xml:space="preserve">.) </w:t>
            </w:r>
            <w:r>
              <w:rPr>
                <w:i/>
                <w:iCs/>
                <w:szCs w:val="22"/>
                <w:lang w:val="ru-RU"/>
              </w:rPr>
              <w:t>Полномочной</w:t>
            </w:r>
            <w:r w:rsidRPr="00F66114">
              <w:rPr>
                <w:i/>
                <w:iCs/>
                <w:szCs w:val="22"/>
                <w:lang w:val="ru-RU"/>
              </w:rPr>
              <w:t xml:space="preserve"> </w:t>
            </w:r>
            <w:r>
              <w:rPr>
                <w:i/>
                <w:iCs/>
                <w:szCs w:val="22"/>
                <w:lang w:val="ru-RU"/>
              </w:rPr>
              <w:t>конференции</w:t>
            </w:r>
            <w:r w:rsidRPr="00F66114">
              <w:rPr>
                <w:i/>
                <w:iCs/>
                <w:szCs w:val="22"/>
                <w:lang w:val="ru-RU"/>
              </w:rPr>
              <w:t xml:space="preserve">; </w:t>
            </w:r>
            <w:r>
              <w:rPr>
                <w:i/>
                <w:iCs/>
                <w:szCs w:val="22"/>
                <w:lang w:val="ru-RU"/>
              </w:rPr>
              <w:t>Документы</w:t>
            </w:r>
            <w:r w:rsidRPr="00F66114">
              <w:rPr>
                <w:i/>
                <w:iCs/>
                <w:szCs w:val="22"/>
                <w:lang w:val="ru-RU"/>
              </w:rPr>
              <w:t xml:space="preserve"> </w:t>
            </w:r>
            <w:r w:rsidR="0092511C">
              <w:fldChar w:fldCharType="begin"/>
            </w:r>
            <w:r w:rsidR="0092511C">
              <w:instrText>HYPERLINK "https://www.itu.int/md/S17-CL-C-0067/en"</w:instrText>
            </w:r>
            <w:r w:rsidR="0092511C">
              <w:fldChar w:fldCharType="separate"/>
            </w:r>
            <w:r w:rsidRPr="00F66114">
              <w:rPr>
                <w:i/>
                <w:iCs/>
                <w:color w:val="0563C1"/>
                <w:szCs w:val="22"/>
                <w:u w:val="single"/>
              </w:rPr>
              <w:t>C</w:t>
            </w:r>
            <w:r w:rsidRPr="00F66114">
              <w:rPr>
                <w:i/>
                <w:iCs/>
                <w:color w:val="0563C1"/>
                <w:szCs w:val="22"/>
                <w:u w:val="single"/>
                <w:lang w:val="ru-RU"/>
              </w:rPr>
              <w:t>17/67</w:t>
            </w:r>
            <w:r w:rsidR="0092511C">
              <w:rPr>
                <w:i/>
                <w:iCs/>
                <w:color w:val="0563C1"/>
                <w:szCs w:val="22"/>
                <w:u w:val="single"/>
                <w:lang w:val="ru-RU"/>
              </w:rPr>
              <w:fldChar w:fldCharType="end"/>
            </w:r>
            <w:r w:rsidRPr="00F66114">
              <w:rPr>
                <w:i/>
                <w:iCs/>
                <w:szCs w:val="22"/>
                <w:lang w:val="ru-RU"/>
              </w:rPr>
              <w:t xml:space="preserve"> </w:t>
            </w:r>
            <w:r>
              <w:rPr>
                <w:i/>
                <w:iCs/>
                <w:szCs w:val="22"/>
                <w:lang w:val="ru-RU"/>
              </w:rPr>
              <w:t>и</w:t>
            </w:r>
            <w:r w:rsidRPr="00F66114">
              <w:rPr>
                <w:i/>
                <w:iCs/>
                <w:szCs w:val="22"/>
                <w:lang w:val="ru-RU"/>
              </w:rPr>
              <w:t xml:space="preserve"> </w:t>
            </w:r>
            <w:r w:rsidR="0092511C">
              <w:fldChar w:fldCharType="begin"/>
            </w:r>
            <w:r w:rsidR="0092511C">
              <w:instrText>HYPERLINK "https://www.itu.int/md/S23-CL-INF-0012/en"</w:instrText>
            </w:r>
            <w:r w:rsidR="0092511C">
              <w:fldChar w:fldCharType="separate"/>
            </w:r>
            <w:r w:rsidRPr="00F66114">
              <w:rPr>
                <w:i/>
                <w:iCs/>
                <w:color w:val="0563C1"/>
                <w:szCs w:val="22"/>
                <w:u w:val="single"/>
              </w:rPr>
              <w:t>C</w:t>
            </w:r>
            <w:r w:rsidRPr="00F66114">
              <w:rPr>
                <w:i/>
                <w:iCs/>
                <w:color w:val="0563C1"/>
                <w:szCs w:val="22"/>
                <w:u w:val="single"/>
                <w:lang w:val="ru-RU"/>
              </w:rPr>
              <w:t>23/</w:t>
            </w:r>
            <w:r w:rsidRPr="00F66114">
              <w:rPr>
                <w:i/>
                <w:iCs/>
                <w:color w:val="0563C1"/>
                <w:szCs w:val="22"/>
                <w:u w:val="single"/>
              </w:rPr>
              <w:t>INF</w:t>
            </w:r>
            <w:r w:rsidRPr="00F66114">
              <w:rPr>
                <w:i/>
                <w:iCs/>
                <w:color w:val="0563C1"/>
                <w:szCs w:val="22"/>
                <w:u w:val="single"/>
                <w:lang w:val="ru-RU"/>
              </w:rPr>
              <w:t>/12</w:t>
            </w:r>
            <w:r w:rsidR="0092511C">
              <w:rPr>
                <w:i/>
                <w:iCs/>
                <w:color w:val="0563C1"/>
                <w:szCs w:val="22"/>
                <w:u w:val="single"/>
                <w:lang w:val="ru-RU"/>
              </w:rPr>
              <w:fldChar w:fldCharType="end"/>
            </w:r>
            <w:r>
              <w:rPr>
                <w:i/>
                <w:iCs/>
                <w:szCs w:val="22"/>
                <w:lang w:val="ru-RU"/>
              </w:rPr>
              <w:t xml:space="preserve"> Совета;</w:t>
            </w:r>
            <w:r w:rsidRPr="00F66114">
              <w:rPr>
                <w:i/>
                <w:iCs/>
                <w:szCs w:val="22"/>
                <w:lang w:val="ru-RU"/>
              </w:rPr>
              <w:t xml:space="preserve"> </w:t>
            </w:r>
            <w:r w:rsidR="0092511C">
              <w:fldChar w:fldCharType="begin"/>
            </w:r>
            <w:r w:rsidR="0092511C">
              <w:instrText>HYPERLINK "https://www.itu.int/dms_pub/itu-d/opb/tdc/D-TDC-WTDC-2022-PDF-R.pdf"</w:instrText>
            </w:r>
            <w:r w:rsidR="0092511C">
              <w:fldChar w:fldCharType="separate"/>
            </w:r>
            <w:proofErr w:type="spellStart"/>
            <w:r w:rsidRPr="00F66114">
              <w:rPr>
                <w:i/>
                <w:iCs/>
                <w:color w:val="0563C1"/>
                <w:szCs w:val="22"/>
                <w:u w:val="single"/>
                <w:lang w:val="ru-RU"/>
              </w:rPr>
              <w:t>Кигалийский</w:t>
            </w:r>
            <w:proofErr w:type="spellEnd"/>
            <w:r w:rsidRPr="00F66114">
              <w:rPr>
                <w:i/>
                <w:iCs/>
                <w:color w:val="0563C1"/>
                <w:szCs w:val="22"/>
                <w:u w:val="single"/>
                <w:lang w:val="ru-RU"/>
              </w:rPr>
              <w:t xml:space="preserve"> план действий</w:t>
            </w:r>
            <w:r w:rsidR="0092511C">
              <w:rPr>
                <w:i/>
                <w:iCs/>
                <w:color w:val="0563C1"/>
                <w:szCs w:val="22"/>
                <w:u w:val="single"/>
                <w:lang w:val="ru-RU"/>
              </w:rPr>
              <w:fldChar w:fldCharType="end"/>
            </w:r>
            <w:bookmarkEnd w:id="7"/>
          </w:p>
        </w:tc>
      </w:tr>
      <w:bookmarkEnd w:id="2"/>
      <w:bookmarkEnd w:id="6"/>
    </w:tbl>
    <w:p w14:paraId="7CAE48A3" w14:textId="77777777" w:rsidR="00796BD3" w:rsidRPr="00F66114" w:rsidRDefault="00796BD3" w:rsidP="00796BD3">
      <w:pPr>
        <w:rPr>
          <w:lang w:val="ru-RU"/>
        </w:rPr>
      </w:pPr>
    </w:p>
    <w:p w14:paraId="45258934" w14:textId="77777777" w:rsidR="00165D06" w:rsidRPr="00F66114" w:rsidRDefault="00165D06">
      <w:pPr>
        <w:tabs>
          <w:tab w:val="clear" w:pos="794"/>
          <w:tab w:val="clear" w:pos="1191"/>
          <w:tab w:val="clear" w:pos="1588"/>
          <w:tab w:val="clear" w:pos="1985"/>
        </w:tabs>
        <w:overflowPunct/>
        <w:autoSpaceDE/>
        <w:autoSpaceDN/>
        <w:adjustRightInd/>
        <w:spacing w:before="0"/>
        <w:textAlignment w:val="auto"/>
        <w:rPr>
          <w:lang w:val="ru-RU"/>
        </w:rPr>
      </w:pPr>
      <w:r w:rsidRPr="00F66114">
        <w:rPr>
          <w:lang w:val="ru-RU"/>
        </w:rPr>
        <w:br w:type="page"/>
      </w:r>
    </w:p>
    <w:p w14:paraId="4C0D709F" w14:textId="643BFC0C" w:rsidR="00796BD3" w:rsidRPr="00A27C69" w:rsidRDefault="00395A5A" w:rsidP="005217D6">
      <w:pPr>
        <w:pStyle w:val="Heading1"/>
        <w:rPr>
          <w:lang w:val="ru-RU"/>
        </w:rPr>
      </w:pPr>
      <w:r w:rsidRPr="00A27C69">
        <w:rPr>
          <w:lang w:val="ru-RU"/>
        </w:rPr>
        <w:lastRenderedPageBreak/>
        <w:t>1</w:t>
      </w:r>
      <w:r w:rsidRPr="00A27C69">
        <w:rPr>
          <w:lang w:val="ru-RU"/>
        </w:rPr>
        <w:tab/>
      </w:r>
      <w:r>
        <w:rPr>
          <w:lang w:val="ru-RU"/>
        </w:rPr>
        <w:t>Базовая</w:t>
      </w:r>
      <w:r w:rsidRPr="00A27C69">
        <w:rPr>
          <w:lang w:val="ru-RU"/>
        </w:rPr>
        <w:t xml:space="preserve"> </w:t>
      </w:r>
      <w:r>
        <w:rPr>
          <w:lang w:val="ru-RU"/>
        </w:rPr>
        <w:t>информация</w:t>
      </w:r>
    </w:p>
    <w:p w14:paraId="0D493529" w14:textId="42034ACB" w:rsidR="006A7925" w:rsidRDefault="00395A5A" w:rsidP="00395A5A">
      <w:pPr>
        <w:rPr>
          <w:lang w:val="ru-RU"/>
        </w:rPr>
      </w:pPr>
      <w:r w:rsidRPr="006A7925">
        <w:rPr>
          <w:lang w:val="ru-RU"/>
        </w:rPr>
        <w:t>1.1</w:t>
      </w:r>
      <w:r w:rsidRPr="006A7925">
        <w:rPr>
          <w:lang w:val="ru-RU"/>
        </w:rPr>
        <w:tab/>
      </w:r>
      <w:r w:rsidR="006A7925" w:rsidRPr="006A7925">
        <w:rPr>
          <w:lang w:val="ru-RU"/>
        </w:rPr>
        <w:t>Полномочная конференция (Бухарест, 2022</w:t>
      </w:r>
      <w:r w:rsidR="006A7925">
        <w:rPr>
          <w:lang w:val="ru-RU"/>
        </w:rPr>
        <w:t> г.</w:t>
      </w:r>
      <w:r w:rsidR="006A7925" w:rsidRPr="006A7925">
        <w:rPr>
          <w:lang w:val="ru-RU"/>
        </w:rPr>
        <w:t xml:space="preserve">) </w:t>
      </w:r>
      <w:r w:rsidR="006A7925">
        <w:rPr>
          <w:lang w:val="ru-RU"/>
        </w:rPr>
        <w:t xml:space="preserve">(ПК-22) </w:t>
      </w:r>
      <w:r w:rsidR="006A7925" w:rsidRPr="006A7925">
        <w:rPr>
          <w:lang w:val="ru-RU"/>
        </w:rPr>
        <w:t>поручила Гене</w:t>
      </w:r>
      <w:r w:rsidR="006A7925">
        <w:rPr>
          <w:lang w:val="ru-RU"/>
        </w:rPr>
        <w:t>ральному секретарю в Решении 5 (Пересм. Бухарест, 2022 </w:t>
      </w:r>
      <w:r w:rsidR="006A7925" w:rsidRPr="006A7925">
        <w:rPr>
          <w:lang w:val="ru-RU"/>
        </w:rPr>
        <w:t>г.)</w:t>
      </w:r>
      <w:r w:rsidR="006A7925">
        <w:rPr>
          <w:lang w:val="ru-RU"/>
        </w:rPr>
        <w:t xml:space="preserve"> </w:t>
      </w:r>
      <w:r w:rsidR="006A7925" w:rsidRPr="006A7925">
        <w:rPr>
          <w:lang w:val="ru-RU"/>
        </w:rPr>
        <w:t xml:space="preserve">разработать стратегию мобилизации ресурсов в </w:t>
      </w:r>
      <w:r w:rsidR="006A7925">
        <w:rPr>
          <w:lang w:val="ru-RU"/>
        </w:rPr>
        <w:t>масштабах</w:t>
      </w:r>
      <w:r w:rsidR="006A7925" w:rsidRPr="006A7925">
        <w:rPr>
          <w:lang w:val="ru-RU"/>
        </w:rPr>
        <w:t xml:space="preserve"> всего МСЭ для удовлетворения потребности в дополнительном финансировании для </w:t>
      </w:r>
      <w:r w:rsidR="006A7925">
        <w:rPr>
          <w:lang w:val="ru-RU"/>
        </w:rPr>
        <w:t>реализации</w:t>
      </w:r>
      <w:r w:rsidR="006A7925" w:rsidRPr="006A7925">
        <w:rPr>
          <w:lang w:val="ru-RU"/>
        </w:rPr>
        <w:t xml:space="preserve"> приоритетов </w:t>
      </w:r>
      <w:r w:rsidR="006A7925">
        <w:rPr>
          <w:lang w:val="ru-RU"/>
        </w:rPr>
        <w:t xml:space="preserve">организации </w:t>
      </w:r>
      <w:r w:rsidR="006A7925" w:rsidRPr="006A7925">
        <w:rPr>
          <w:lang w:val="ru-RU"/>
        </w:rPr>
        <w:t xml:space="preserve">и представить ее Совету МСЭ для рассмотрения и выработки </w:t>
      </w:r>
      <w:r w:rsidR="006A7925">
        <w:rPr>
          <w:lang w:val="ru-RU"/>
        </w:rPr>
        <w:t>руководящих указаний</w:t>
      </w:r>
      <w:r w:rsidR="006A7925" w:rsidRPr="006A7925">
        <w:rPr>
          <w:lang w:val="ru-RU"/>
        </w:rPr>
        <w:t xml:space="preserve"> по ее </w:t>
      </w:r>
      <w:r w:rsidR="006A7925">
        <w:rPr>
          <w:lang w:val="ru-RU"/>
        </w:rPr>
        <w:t>внедрению.</w:t>
      </w:r>
    </w:p>
    <w:p w14:paraId="5F10AE3C" w14:textId="75D2AED2" w:rsidR="006A7925" w:rsidRDefault="00395A5A" w:rsidP="00395A5A">
      <w:pPr>
        <w:rPr>
          <w:lang w:val="ru-RU"/>
        </w:rPr>
      </w:pPr>
      <w:r w:rsidRPr="006A7925">
        <w:rPr>
          <w:lang w:val="ru-RU"/>
        </w:rPr>
        <w:t>1.2</w:t>
      </w:r>
      <w:r w:rsidRPr="006A7925">
        <w:rPr>
          <w:lang w:val="ru-RU"/>
        </w:rPr>
        <w:tab/>
      </w:r>
      <w:r w:rsidR="006A7925" w:rsidRPr="006A7925">
        <w:rPr>
          <w:lang w:val="ru-RU"/>
        </w:rPr>
        <w:t>Кроме того, в стратегическом плане МСЭ на 2024</w:t>
      </w:r>
      <w:r w:rsidR="00515FAE" w:rsidRPr="00515FAE">
        <w:rPr>
          <w:lang w:val="ru-RU"/>
        </w:rPr>
        <w:t>–</w:t>
      </w:r>
      <w:r w:rsidR="006A7925" w:rsidRPr="006A7925">
        <w:rPr>
          <w:lang w:val="ru-RU"/>
        </w:rPr>
        <w:t>2027</w:t>
      </w:r>
      <w:r w:rsidR="006A7925">
        <w:rPr>
          <w:lang w:val="ru-RU"/>
        </w:rPr>
        <w:t> </w:t>
      </w:r>
      <w:r w:rsidR="006A7925" w:rsidRPr="006A7925">
        <w:rPr>
          <w:lang w:val="ru-RU"/>
        </w:rPr>
        <w:t xml:space="preserve">годы, утвержденном </w:t>
      </w:r>
      <w:r w:rsidR="006A7925">
        <w:rPr>
          <w:lang w:val="ru-RU"/>
        </w:rPr>
        <w:t xml:space="preserve">на </w:t>
      </w:r>
      <w:r w:rsidR="006A7925" w:rsidRPr="006A7925">
        <w:rPr>
          <w:lang w:val="ru-RU"/>
        </w:rPr>
        <w:t>П</w:t>
      </w:r>
      <w:r w:rsidR="006A7925">
        <w:rPr>
          <w:lang w:val="ru-RU"/>
        </w:rPr>
        <w:t>К</w:t>
      </w:r>
      <w:r w:rsidR="006A7925" w:rsidRPr="006A7925">
        <w:rPr>
          <w:lang w:val="ru-RU"/>
        </w:rPr>
        <w:t>-22, отмечается</w:t>
      </w:r>
      <w:r w:rsidR="006A7925">
        <w:rPr>
          <w:lang w:val="ru-RU"/>
        </w:rPr>
        <w:t>:</w:t>
      </w:r>
    </w:p>
    <w:p w14:paraId="48BC4CD7" w14:textId="1B094234" w:rsidR="00395A5A" w:rsidRDefault="00395A5A" w:rsidP="00395A5A">
      <w:pPr>
        <w:pStyle w:val="enumlev1"/>
        <w:rPr>
          <w:lang w:val="ru-RU"/>
        </w:rPr>
      </w:pPr>
      <w:r w:rsidRPr="004F2DC5">
        <w:rPr>
          <w:lang w:val="ru-RU"/>
        </w:rPr>
        <w:tab/>
      </w:r>
      <w:r w:rsidRPr="00395A5A">
        <w:rPr>
          <w:lang w:val="ru-RU"/>
        </w:rPr>
        <w:t xml:space="preserve">Ускорение усилий по мобилизации ресурсов и увеличение финансирования имеют решающее значение для достижения целей Союза и укрепления поддержки МСЭ своих членов. Вследствие этого МСЭ признает необходимость определения наиболее эффективных способов мобилизации внебюджетных ресурсов, </w:t>
      </w:r>
      <w:r w:rsidR="00ED46FD">
        <w:rPr>
          <w:lang w:val="ru-RU"/>
        </w:rPr>
        <w:t>создания</w:t>
      </w:r>
      <w:r w:rsidRPr="00395A5A">
        <w:rPr>
          <w:lang w:val="ru-RU"/>
        </w:rPr>
        <w:t xml:space="preserve"> потенциала мобилизации ресурсов и совершенствования существующей стратегии сбора средств при применении исходных ресурсов партнеров для дополнения этих усилий.</w:t>
      </w:r>
      <w:r>
        <w:rPr>
          <w:lang w:val="ru-RU"/>
        </w:rPr>
        <w:t xml:space="preserve"> </w:t>
      </w:r>
      <w:r w:rsidRPr="00395A5A">
        <w:rPr>
          <w:lang w:val="ru-RU"/>
        </w:rPr>
        <w:t>МСЭ разработает систему долгосрочных финансовых обязательств для эффективного планирования, программирования и реализации проектов и повышения прогнозируемости потоков ресурсов</w:t>
      </w:r>
      <w:r>
        <w:rPr>
          <w:lang w:val="ru-RU"/>
        </w:rPr>
        <w:t>.</w:t>
      </w:r>
    </w:p>
    <w:p w14:paraId="779AF677" w14:textId="7C0168EC" w:rsidR="000470C7" w:rsidRPr="004F2DC5" w:rsidRDefault="00395A5A" w:rsidP="00395A5A">
      <w:pPr>
        <w:rPr>
          <w:lang w:val="ru-RU"/>
        </w:rPr>
      </w:pPr>
      <w:r w:rsidRPr="000470C7">
        <w:rPr>
          <w:lang w:val="ru-RU"/>
        </w:rPr>
        <w:t>1.3</w:t>
      </w:r>
      <w:r w:rsidRPr="000470C7">
        <w:rPr>
          <w:lang w:val="ru-RU"/>
        </w:rPr>
        <w:tab/>
      </w:r>
      <w:bookmarkStart w:id="8" w:name="lt_pId036"/>
      <w:r w:rsidR="00ED769D" w:rsidRPr="000470C7">
        <w:rPr>
          <w:lang w:val="ru-RU"/>
        </w:rPr>
        <w:t xml:space="preserve">Совет </w:t>
      </w:r>
      <w:r w:rsidR="00ED769D">
        <w:rPr>
          <w:lang w:val="ru-RU"/>
        </w:rPr>
        <w:t xml:space="preserve">на </w:t>
      </w:r>
      <w:r w:rsidR="000470C7">
        <w:rPr>
          <w:lang w:val="ru-RU"/>
        </w:rPr>
        <w:t>своей сессии 2017 </w:t>
      </w:r>
      <w:r w:rsidR="000470C7" w:rsidRPr="000470C7">
        <w:rPr>
          <w:lang w:val="ru-RU"/>
        </w:rPr>
        <w:t xml:space="preserve">года согласовал принципы мобилизации ресурсов, с которыми можно ознакомиться </w:t>
      </w:r>
      <w:hyperlink r:id="rId7" w:anchor=":~:text=Defining%20the%20scope%3A%20%E2%80%9CResource%20Mobilization,revenues%20and%20extra%2Dbudgetary%20contributions." w:history="1">
        <w:r w:rsidR="000470C7">
          <w:rPr>
            <w:rStyle w:val="Hyperlink"/>
            <w:lang w:val="ru-RU"/>
          </w:rPr>
          <w:t>здесь</w:t>
        </w:r>
      </w:hyperlink>
      <w:r w:rsidR="000470C7" w:rsidRPr="000470C7">
        <w:rPr>
          <w:lang w:val="ru-RU"/>
        </w:rPr>
        <w:t xml:space="preserve">. </w:t>
      </w:r>
      <w:r w:rsidR="000470C7" w:rsidRPr="004F2DC5">
        <w:rPr>
          <w:lang w:val="ru-RU"/>
        </w:rPr>
        <w:t xml:space="preserve">В этих принципах Совет </w:t>
      </w:r>
      <w:r w:rsidR="000470C7">
        <w:rPr>
          <w:lang w:val="ru-RU"/>
        </w:rPr>
        <w:t>постановил</w:t>
      </w:r>
      <w:r w:rsidR="000470C7" w:rsidRPr="004F2DC5">
        <w:rPr>
          <w:lang w:val="ru-RU"/>
        </w:rPr>
        <w:t>:</w:t>
      </w:r>
    </w:p>
    <w:bookmarkEnd w:id="8"/>
    <w:p w14:paraId="29758287" w14:textId="7411928F" w:rsidR="00395A5A" w:rsidRDefault="00444D4C" w:rsidP="00444D4C">
      <w:pPr>
        <w:pStyle w:val="enumlev1"/>
        <w:rPr>
          <w:lang w:val="ru-RU"/>
        </w:rPr>
      </w:pPr>
      <w:r>
        <w:rPr>
          <w:lang w:val="ru-RU"/>
        </w:rPr>
        <w:tab/>
      </w:r>
      <w:r w:rsidR="00395A5A" w:rsidRPr="00395A5A">
        <w:rPr>
          <w:lang w:val="ru-RU"/>
        </w:rPr>
        <w:t>Будучи основным источником доходов МСЭ, наивысшим приоритетом в плане мобилизации ресурсов обладают начисленные взносы Государств – Членов МСЭ. Эти взносы предоставляются в целях поддержки согласованного Стратегического плана и его осуществления через посредство оперативных планов с использованием регулярного бюджета МСЭ. Вследствие этого Государствам-Членам рекомендуется отдавать приоритет своим начисленным взносам в качестве основного вида их финансовой поддержки МСЭ посредством либо поддержания на прежнем уровне, либо, при возможности, увеличения этих взносов, перед тем как рассматривать возможность предоставления ресурсов для деятельности вне рамок регулярного бюджета МСЭ.</w:t>
      </w:r>
    </w:p>
    <w:p w14:paraId="6D25DCBC" w14:textId="42E19D59" w:rsidR="00985A7A" w:rsidRDefault="00985A7A" w:rsidP="00395A5A">
      <w:pPr>
        <w:rPr>
          <w:lang w:val="ru-RU"/>
        </w:rPr>
      </w:pPr>
      <w:bookmarkStart w:id="9" w:name="lt_pId041"/>
      <w:r>
        <w:rPr>
          <w:lang w:val="ru-RU"/>
        </w:rPr>
        <w:t xml:space="preserve">Также было решено, </w:t>
      </w:r>
      <w:r w:rsidRPr="00985A7A">
        <w:rPr>
          <w:lang w:val="ru-RU"/>
        </w:rPr>
        <w:t xml:space="preserve">что </w:t>
      </w:r>
      <w:r>
        <w:rPr>
          <w:lang w:val="ru-RU"/>
        </w:rPr>
        <w:t>с</w:t>
      </w:r>
      <w:r w:rsidRPr="00985A7A">
        <w:rPr>
          <w:lang w:val="ru-RU"/>
        </w:rPr>
        <w:t xml:space="preserve">екретариат будет </w:t>
      </w:r>
      <w:r w:rsidR="00397EBD">
        <w:rPr>
          <w:lang w:val="ru-RU"/>
        </w:rPr>
        <w:t>настоятельно рекомендовать членам</w:t>
      </w:r>
      <w:r w:rsidRPr="00985A7A">
        <w:rPr>
          <w:lang w:val="ru-RU"/>
        </w:rPr>
        <w:t xml:space="preserve"> и други</w:t>
      </w:r>
      <w:r w:rsidR="00397EBD">
        <w:rPr>
          <w:lang w:val="ru-RU"/>
        </w:rPr>
        <w:t>м заинтересованным сторонам по мере возможности</w:t>
      </w:r>
      <w:r w:rsidRPr="00985A7A">
        <w:rPr>
          <w:lang w:val="ru-RU"/>
        </w:rPr>
        <w:t xml:space="preserve"> оказывать поддержк</w:t>
      </w:r>
      <w:r w:rsidR="002A1503">
        <w:rPr>
          <w:lang w:val="ru-RU"/>
        </w:rPr>
        <w:t>у внебюджетными и</w:t>
      </w:r>
      <w:r w:rsidRPr="00985A7A">
        <w:rPr>
          <w:lang w:val="ru-RU"/>
        </w:rPr>
        <w:t xml:space="preserve"> добровольными взносами для </w:t>
      </w:r>
      <w:r>
        <w:rPr>
          <w:lang w:val="ru-RU"/>
        </w:rPr>
        <w:t>реализации</w:t>
      </w:r>
      <w:r w:rsidRPr="00985A7A">
        <w:rPr>
          <w:lang w:val="ru-RU"/>
        </w:rPr>
        <w:t xml:space="preserve"> приоритетов</w:t>
      </w:r>
      <w:r>
        <w:rPr>
          <w:lang w:val="ru-RU"/>
        </w:rPr>
        <w:t xml:space="preserve"> организации.</w:t>
      </w:r>
    </w:p>
    <w:bookmarkEnd w:id="9"/>
    <w:p w14:paraId="006806DB" w14:textId="5AEBE41E" w:rsidR="00985A7A" w:rsidRPr="004F2DC5" w:rsidRDefault="00395A5A" w:rsidP="00395A5A">
      <w:pPr>
        <w:rPr>
          <w:lang w:val="ru-RU"/>
        </w:rPr>
      </w:pPr>
      <w:r w:rsidRPr="00985A7A">
        <w:rPr>
          <w:lang w:val="ru-RU"/>
        </w:rPr>
        <w:t>1.4</w:t>
      </w:r>
      <w:r w:rsidRPr="00985A7A">
        <w:rPr>
          <w:lang w:val="ru-RU"/>
        </w:rPr>
        <w:tab/>
      </w:r>
      <w:bookmarkStart w:id="10" w:name="lt_pId043"/>
      <w:r w:rsidR="00985A7A">
        <w:rPr>
          <w:lang w:val="ru-RU"/>
        </w:rPr>
        <w:t>Во исполнение Решения </w:t>
      </w:r>
      <w:r w:rsidR="00985A7A" w:rsidRPr="00985A7A">
        <w:rPr>
          <w:lang w:val="ru-RU"/>
        </w:rPr>
        <w:t>5 (</w:t>
      </w:r>
      <w:r w:rsidR="00985A7A">
        <w:rPr>
          <w:lang w:val="ru-RU"/>
        </w:rPr>
        <w:t>Пересм. Бухарест, 2022 </w:t>
      </w:r>
      <w:r w:rsidR="00985A7A" w:rsidRPr="006A7925">
        <w:rPr>
          <w:lang w:val="ru-RU"/>
        </w:rPr>
        <w:t>г.)</w:t>
      </w:r>
      <w:r w:rsidR="00985A7A">
        <w:rPr>
          <w:lang w:val="ru-RU"/>
        </w:rPr>
        <w:t xml:space="preserve"> </w:t>
      </w:r>
      <w:r w:rsidR="00985A7A" w:rsidRPr="00985A7A">
        <w:rPr>
          <w:lang w:val="ru-RU"/>
        </w:rPr>
        <w:t xml:space="preserve">секретариат вынес этот вопрос на обсуждение в ходе внутреннего мероприятия МСЭ по определению </w:t>
      </w:r>
      <w:r w:rsidR="00ED769D">
        <w:rPr>
          <w:lang w:val="ru-RU"/>
        </w:rPr>
        <w:t>концепции</w:t>
      </w:r>
      <w:r w:rsidR="00012185">
        <w:rPr>
          <w:lang w:val="ru-RU"/>
        </w:rPr>
        <w:t xml:space="preserve"> (Базовые к</w:t>
      </w:r>
      <w:r w:rsidR="00985A7A" w:rsidRPr="00985A7A">
        <w:rPr>
          <w:lang w:val="ru-RU"/>
        </w:rPr>
        <w:t xml:space="preserve">омпоненты </w:t>
      </w:r>
      <w:r w:rsidR="00985A7A" w:rsidRPr="00985A7A">
        <w:t>I</w:t>
      </w:r>
      <w:r w:rsidR="00985A7A" w:rsidRPr="00985A7A">
        <w:rPr>
          <w:lang w:val="ru-RU"/>
        </w:rPr>
        <w:t xml:space="preserve"> и </w:t>
      </w:r>
      <w:r w:rsidR="00985A7A" w:rsidRPr="00985A7A">
        <w:t>II</w:t>
      </w:r>
      <w:r w:rsidR="00397EBD">
        <w:rPr>
          <w:lang w:val="ru-RU"/>
        </w:rPr>
        <w:t xml:space="preserve">), проходившего </w:t>
      </w:r>
      <w:r w:rsidR="00012185">
        <w:rPr>
          <w:lang w:val="ru-RU"/>
        </w:rPr>
        <w:t>с ноября 2022 </w:t>
      </w:r>
      <w:r w:rsidR="00985A7A" w:rsidRPr="00985A7A">
        <w:rPr>
          <w:lang w:val="ru-RU"/>
        </w:rPr>
        <w:t>года по февраль 2023</w:t>
      </w:r>
      <w:r w:rsidR="00012185">
        <w:rPr>
          <w:lang w:val="ru-RU"/>
        </w:rPr>
        <w:t> </w:t>
      </w:r>
      <w:r w:rsidR="00985A7A" w:rsidRPr="00985A7A">
        <w:rPr>
          <w:lang w:val="ru-RU"/>
        </w:rPr>
        <w:t>года</w:t>
      </w:r>
      <w:r w:rsidR="00397EBD">
        <w:rPr>
          <w:lang w:val="ru-RU"/>
        </w:rPr>
        <w:t>,</w:t>
      </w:r>
      <w:r w:rsidR="00985A7A" w:rsidRPr="00985A7A">
        <w:rPr>
          <w:lang w:val="ru-RU"/>
        </w:rPr>
        <w:t xml:space="preserve"> и </w:t>
      </w:r>
      <w:r w:rsidR="00012185">
        <w:rPr>
          <w:lang w:val="ru-RU"/>
        </w:rPr>
        <w:t>в</w:t>
      </w:r>
      <w:r w:rsidR="00012185" w:rsidRPr="00012185">
        <w:rPr>
          <w:lang w:val="ru-RU"/>
        </w:rPr>
        <w:t>ыездного Сове</w:t>
      </w:r>
      <w:r w:rsidR="00012185">
        <w:rPr>
          <w:lang w:val="ru-RU"/>
        </w:rPr>
        <w:t>щания старших руководителей МСЭ в феврале 2023 </w:t>
      </w:r>
      <w:r w:rsidR="00985A7A" w:rsidRPr="00985A7A">
        <w:rPr>
          <w:lang w:val="ru-RU"/>
        </w:rPr>
        <w:t xml:space="preserve">года. После этих обсуждений секретариат на безвозмездной основе </w:t>
      </w:r>
      <w:r w:rsidR="004F2DC5" w:rsidRPr="00985A7A">
        <w:rPr>
          <w:lang w:val="ru-RU"/>
        </w:rPr>
        <w:t>привлек</w:t>
      </w:r>
      <w:r w:rsidR="004F2DC5">
        <w:rPr>
          <w:lang w:val="ru-RU"/>
        </w:rPr>
        <w:t xml:space="preserve"> </w:t>
      </w:r>
      <w:r w:rsidR="00012185">
        <w:rPr>
          <w:lang w:val="ru-RU"/>
        </w:rPr>
        <w:t xml:space="preserve">компанию </w:t>
      </w:r>
      <w:r w:rsidR="00985A7A" w:rsidRPr="00985A7A">
        <w:t>Boston</w:t>
      </w:r>
      <w:r w:rsidR="00985A7A" w:rsidRPr="00985A7A">
        <w:rPr>
          <w:lang w:val="ru-RU"/>
        </w:rPr>
        <w:t xml:space="preserve"> </w:t>
      </w:r>
      <w:r w:rsidR="00985A7A" w:rsidRPr="00985A7A">
        <w:t>Consulting</w:t>
      </w:r>
      <w:r w:rsidR="00985A7A" w:rsidRPr="00985A7A">
        <w:rPr>
          <w:lang w:val="ru-RU"/>
        </w:rPr>
        <w:t xml:space="preserve"> </w:t>
      </w:r>
      <w:r w:rsidR="00985A7A" w:rsidRPr="00985A7A">
        <w:t>Group</w:t>
      </w:r>
      <w:r w:rsidR="00985A7A" w:rsidRPr="00985A7A">
        <w:rPr>
          <w:lang w:val="ru-RU"/>
        </w:rPr>
        <w:t xml:space="preserve"> (</w:t>
      </w:r>
      <w:r w:rsidR="00985A7A" w:rsidRPr="00985A7A">
        <w:t>BCG</w:t>
      </w:r>
      <w:r w:rsidR="00985A7A" w:rsidRPr="00985A7A">
        <w:rPr>
          <w:lang w:val="ru-RU"/>
        </w:rPr>
        <w:t xml:space="preserve">) для оказания поддержки МСЭ в разработке стратегии финансирования и мобилизации ресурсов в масштабах всего МСЭ, в результате чего был подготовлен первый проект стратегии мобилизации ресурсов в масштабах всего МСЭ, в котором сформулированы </w:t>
      </w:r>
      <w:r w:rsidR="00E4265C" w:rsidRPr="00E4265C">
        <w:rPr>
          <w:lang w:val="ru-RU"/>
        </w:rPr>
        <w:t>предлагаемы</w:t>
      </w:r>
      <w:r w:rsidR="00E4265C">
        <w:rPr>
          <w:lang w:val="ru-RU"/>
        </w:rPr>
        <w:t>е</w:t>
      </w:r>
      <w:r w:rsidR="00E4265C" w:rsidRPr="00E4265C">
        <w:rPr>
          <w:lang w:val="ru-RU"/>
        </w:rPr>
        <w:t xml:space="preserve"> МСЭ преимуществ</w:t>
      </w:r>
      <w:r w:rsidR="00E4265C">
        <w:rPr>
          <w:lang w:val="ru-RU"/>
        </w:rPr>
        <w:t>а</w:t>
      </w:r>
      <w:r w:rsidR="00985A7A" w:rsidRPr="00985A7A">
        <w:rPr>
          <w:lang w:val="ru-RU"/>
        </w:rPr>
        <w:t xml:space="preserve"> и модел</w:t>
      </w:r>
      <w:r w:rsidR="002600DF">
        <w:rPr>
          <w:lang w:val="ru-RU"/>
        </w:rPr>
        <w:t>и</w:t>
      </w:r>
      <w:r w:rsidR="00985A7A" w:rsidRPr="00985A7A">
        <w:rPr>
          <w:lang w:val="ru-RU"/>
        </w:rPr>
        <w:t xml:space="preserve"> взаимодействия с акцентом на:</w:t>
      </w:r>
    </w:p>
    <w:p w14:paraId="2481678D" w14:textId="7B7B2E41" w:rsidR="00395A5A" w:rsidRPr="00B07A8D" w:rsidRDefault="00395A5A" w:rsidP="00395A5A">
      <w:pPr>
        <w:pStyle w:val="enumlev1"/>
        <w:rPr>
          <w:lang w:val="ru-RU"/>
        </w:rPr>
      </w:pPr>
      <w:bookmarkStart w:id="11" w:name="lt_pId045"/>
      <w:bookmarkEnd w:id="10"/>
      <w:r w:rsidRPr="00B07A8D">
        <w:rPr>
          <w:lang w:val="ru-RU"/>
        </w:rPr>
        <w:t>•</w:t>
      </w:r>
      <w:r w:rsidRPr="00B07A8D">
        <w:rPr>
          <w:lang w:val="ru-RU"/>
        </w:rPr>
        <w:tab/>
      </w:r>
      <w:r w:rsidR="00B07A8D" w:rsidRPr="00E4265C">
        <w:rPr>
          <w:lang w:val="ru-RU"/>
        </w:rPr>
        <w:t>понимание</w:t>
      </w:r>
      <w:r w:rsidR="00B07A8D" w:rsidRPr="00B07A8D">
        <w:rPr>
          <w:lang w:val="ru-RU"/>
        </w:rPr>
        <w:t xml:space="preserve"> </w:t>
      </w:r>
      <w:r w:rsidR="00B07A8D" w:rsidRPr="00E4265C">
        <w:rPr>
          <w:lang w:val="ru-RU"/>
        </w:rPr>
        <w:t>текущей</w:t>
      </w:r>
      <w:r w:rsidR="00B07A8D" w:rsidRPr="00B07A8D">
        <w:rPr>
          <w:lang w:val="ru-RU"/>
        </w:rPr>
        <w:t xml:space="preserve"> </w:t>
      </w:r>
      <w:r w:rsidR="00B07A8D" w:rsidRPr="00E4265C">
        <w:rPr>
          <w:lang w:val="ru-RU"/>
        </w:rPr>
        <w:t>ситуации</w:t>
      </w:r>
      <w:r w:rsidR="00B07A8D" w:rsidRPr="00B07A8D">
        <w:rPr>
          <w:lang w:val="ru-RU"/>
        </w:rPr>
        <w:t xml:space="preserve"> </w:t>
      </w:r>
      <w:r w:rsidR="00B07A8D" w:rsidRPr="00E4265C">
        <w:rPr>
          <w:lang w:val="ru-RU"/>
        </w:rPr>
        <w:t>с</w:t>
      </w:r>
      <w:r w:rsidR="00B07A8D" w:rsidRPr="00B07A8D">
        <w:rPr>
          <w:lang w:val="ru-RU"/>
        </w:rPr>
        <w:t xml:space="preserve"> </w:t>
      </w:r>
      <w:r w:rsidR="00B07A8D" w:rsidRPr="00E4265C">
        <w:rPr>
          <w:lang w:val="ru-RU"/>
        </w:rPr>
        <w:t>финансированием</w:t>
      </w:r>
      <w:r w:rsidR="00B07A8D" w:rsidRPr="00B07A8D">
        <w:rPr>
          <w:lang w:val="ru-RU"/>
        </w:rPr>
        <w:t xml:space="preserve"> </w:t>
      </w:r>
      <w:r w:rsidR="00B07A8D">
        <w:rPr>
          <w:lang w:val="ru-RU"/>
        </w:rPr>
        <w:t xml:space="preserve">в </w:t>
      </w:r>
      <w:r w:rsidR="00B07A8D" w:rsidRPr="00E4265C">
        <w:rPr>
          <w:lang w:val="ru-RU"/>
        </w:rPr>
        <w:t>МСЭ</w:t>
      </w:r>
      <w:r w:rsidR="00B07A8D" w:rsidRPr="00B07A8D">
        <w:rPr>
          <w:lang w:val="ru-RU"/>
        </w:rPr>
        <w:t>;</w:t>
      </w:r>
      <w:bookmarkEnd w:id="11"/>
    </w:p>
    <w:p w14:paraId="1589EBE7" w14:textId="77777777" w:rsidR="002600DF" w:rsidRDefault="00395A5A" w:rsidP="00395A5A">
      <w:pPr>
        <w:pStyle w:val="enumlev1"/>
        <w:rPr>
          <w:lang w:val="ru-RU"/>
        </w:rPr>
      </w:pPr>
      <w:bookmarkStart w:id="12" w:name="lt_pId046"/>
      <w:r w:rsidRPr="00B14B5D">
        <w:rPr>
          <w:lang w:val="ru-RU"/>
        </w:rPr>
        <w:t>•</w:t>
      </w:r>
      <w:r w:rsidRPr="00B14B5D">
        <w:rPr>
          <w:lang w:val="ru-RU"/>
        </w:rPr>
        <w:tab/>
      </w:r>
      <w:r w:rsidR="00B14B5D" w:rsidRPr="00E4265C">
        <w:rPr>
          <w:lang w:val="ru-RU"/>
        </w:rPr>
        <w:t xml:space="preserve">формулирование </w:t>
      </w:r>
      <w:r w:rsidR="002600DF">
        <w:rPr>
          <w:lang w:val="ru-RU"/>
        </w:rPr>
        <w:t xml:space="preserve">в привлекательной форме </w:t>
      </w:r>
      <w:r w:rsidR="00B14B5D" w:rsidRPr="00E4265C">
        <w:rPr>
          <w:lang w:val="ru-RU"/>
        </w:rPr>
        <w:t>предлагаемы</w:t>
      </w:r>
      <w:r w:rsidR="00B14B5D">
        <w:rPr>
          <w:lang w:val="ru-RU"/>
        </w:rPr>
        <w:t>х</w:t>
      </w:r>
      <w:r w:rsidR="00B14B5D" w:rsidRPr="00E4265C">
        <w:rPr>
          <w:lang w:val="ru-RU"/>
        </w:rPr>
        <w:t xml:space="preserve"> МСЭ преимуществ</w:t>
      </w:r>
      <w:r w:rsidR="00B14B5D">
        <w:rPr>
          <w:lang w:val="ru-RU"/>
        </w:rPr>
        <w:t xml:space="preserve"> </w:t>
      </w:r>
      <w:r w:rsidR="00B14B5D" w:rsidRPr="00E4265C">
        <w:rPr>
          <w:lang w:val="ru-RU"/>
        </w:rPr>
        <w:t xml:space="preserve">на </w:t>
      </w:r>
      <w:r w:rsidR="00B14B5D">
        <w:rPr>
          <w:lang w:val="ru-RU"/>
        </w:rPr>
        <w:t xml:space="preserve">основе </w:t>
      </w:r>
      <w:r w:rsidR="002600DF">
        <w:rPr>
          <w:lang w:val="ru-RU"/>
        </w:rPr>
        <w:t>информации от</w:t>
      </w:r>
      <w:r w:rsidR="00B14B5D" w:rsidRPr="00E4265C">
        <w:rPr>
          <w:lang w:val="ru-RU"/>
        </w:rPr>
        <w:t xml:space="preserve"> чл</w:t>
      </w:r>
      <w:r w:rsidR="00B14B5D">
        <w:rPr>
          <w:lang w:val="ru-RU"/>
        </w:rPr>
        <w:t>енов и заинтересованных сторон в целях</w:t>
      </w:r>
      <w:r w:rsidR="00B14B5D" w:rsidRPr="00E4265C">
        <w:rPr>
          <w:lang w:val="ru-RU"/>
        </w:rPr>
        <w:t xml:space="preserve"> </w:t>
      </w:r>
      <w:r w:rsidR="00B14B5D">
        <w:rPr>
          <w:lang w:val="ru-RU"/>
        </w:rPr>
        <w:t>более активной</w:t>
      </w:r>
      <w:r w:rsidR="00B14B5D" w:rsidRPr="00E4265C">
        <w:rPr>
          <w:lang w:val="ru-RU"/>
        </w:rPr>
        <w:t xml:space="preserve"> мобилизации ресурсов;</w:t>
      </w:r>
      <w:bookmarkStart w:id="13" w:name="lt_pId047"/>
      <w:bookmarkEnd w:id="12"/>
    </w:p>
    <w:p w14:paraId="2C7F6E26" w14:textId="5444CDE5" w:rsidR="000513AA" w:rsidRDefault="00395A5A" w:rsidP="00395A5A">
      <w:pPr>
        <w:pStyle w:val="enumlev1"/>
        <w:rPr>
          <w:lang w:val="ru-RU"/>
        </w:rPr>
      </w:pPr>
      <w:r w:rsidRPr="000513AA">
        <w:rPr>
          <w:lang w:val="ru-RU"/>
        </w:rPr>
        <w:t>•</w:t>
      </w:r>
      <w:r w:rsidRPr="000513AA">
        <w:rPr>
          <w:lang w:val="ru-RU"/>
        </w:rPr>
        <w:tab/>
      </w:r>
      <w:r w:rsidR="000513AA" w:rsidRPr="000513AA">
        <w:rPr>
          <w:lang w:val="ru-RU"/>
        </w:rPr>
        <w:t xml:space="preserve">предложение новой модели </w:t>
      </w:r>
      <w:r w:rsidR="002600DF">
        <w:rPr>
          <w:lang w:val="ru-RU"/>
        </w:rPr>
        <w:t>взаимодействия</w:t>
      </w:r>
      <w:r w:rsidR="000513AA" w:rsidRPr="000513AA">
        <w:rPr>
          <w:lang w:val="ru-RU"/>
        </w:rPr>
        <w:t xml:space="preserve"> и мобилизации ресурсов</w:t>
      </w:r>
      <w:r w:rsidR="000513AA">
        <w:rPr>
          <w:lang w:val="ru-RU"/>
        </w:rPr>
        <w:t>, а также</w:t>
      </w:r>
      <w:r w:rsidR="000513AA" w:rsidRPr="000513AA">
        <w:rPr>
          <w:lang w:val="ru-RU"/>
        </w:rPr>
        <w:t xml:space="preserve"> вариантов ее реализации</w:t>
      </w:r>
      <w:r w:rsidR="000513AA">
        <w:rPr>
          <w:lang w:val="ru-RU"/>
        </w:rPr>
        <w:t>.</w:t>
      </w:r>
      <w:r w:rsidR="000513AA" w:rsidRPr="000513AA">
        <w:rPr>
          <w:lang w:val="ru-RU"/>
        </w:rPr>
        <w:t xml:space="preserve"> </w:t>
      </w:r>
    </w:p>
    <w:bookmarkEnd w:id="13"/>
    <w:p w14:paraId="4EDF7130" w14:textId="2AD01347" w:rsidR="000513AA" w:rsidRDefault="00395A5A" w:rsidP="005217D6">
      <w:pPr>
        <w:pStyle w:val="Heading1"/>
        <w:rPr>
          <w:lang w:val="ru-RU"/>
        </w:rPr>
      </w:pPr>
      <w:r w:rsidRPr="000513AA">
        <w:rPr>
          <w:lang w:val="ru-RU"/>
        </w:rPr>
        <w:lastRenderedPageBreak/>
        <w:t>2</w:t>
      </w:r>
      <w:r w:rsidRPr="000513AA">
        <w:rPr>
          <w:lang w:val="ru-RU"/>
        </w:rPr>
        <w:tab/>
      </w:r>
      <w:bookmarkStart w:id="14" w:name="lt_pId049"/>
      <w:r w:rsidR="000513AA" w:rsidRPr="000513AA">
        <w:rPr>
          <w:lang w:val="ru-RU"/>
        </w:rPr>
        <w:t xml:space="preserve">Основные выводы, сделанные по результатам </w:t>
      </w:r>
      <w:r w:rsidR="002600DF">
        <w:rPr>
          <w:lang w:val="ru-RU"/>
        </w:rPr>
        <w:t xml:space="preserve">мероприятия </w:t>
      </w:r>
      <w:r w:rsidR="000513AA" w:rsidRPr="00985A7A">
        <w:rPr>
          <w:lang w:val="ru-RU"/>
        </w:rPr>
        <w:t xml:space="preserve">по определению </w:t>
      </w:r>
      <w:r w:rsidR="004A7096" w:rsidRPr="004A7096">
        <w:rPr>
          <w:lang w:val="ru-RU"/>
        </w:rPr>
        <w:t>концепции</w:t>
      </w:r>
      <w:r w:rsidR="000513AA">
        <w:rPr>
          <w:lang w:val="ru-RU"/>
        </w:rPr>
        <w:t>, выездного С</w:t>
      </w:r>
      <w:r w:rsidR="000513AA" w:rsidRPr="000513AA">
        <w:rPr>
          <w:lang w:val="ru-RU"/>
        </w:rPr>
        <w:t xml:space="preserve">овещания </w:t>
      </w:r>
      <w:r w:rsidR="000513AA">
        <w:rPr>
          <w:lang w:val="ru-RU"/>
        </w:rPr>
        <w:t>старших руководителей</w:t>
      </w:r>
      <w:r w:rsidR="000513AA" w:rsidRPr="000513AA">
        <w:rPr>
          <w:lang w:val="ru-RU"/>
        </w:rPr>
        <w:t xml:space="preserve"> и проекта по мобилизации ресурсов</w:t>
      </w:r>
      <w:r w:rsidR="000513AA">
        <w:rPr>
          <w:lang w:val="ru-RU"/>
        </w:rPr>
        <w:t>, разработанного</w:t>
      </w:r>
      <w:r w:rsidR="000513AA" w:rsidRPr="000513AA">
        <w:rPr>
          <w:lang w:val="ru-RU"/>
        </w:rPr>
        <w:t xml:space="preserve"> при поддержке </w:t>
      </w:r>
      <w:r w:rsidR="000513AA">
        <w:rPr>
          <w:lang w:val="ru-RU"/>
        </w:rPr>
        <w:t xml:space="preserve">компании </w:t>
      </w:r>
      <w:r w:rsidR="000513AA" w:rsidRPr="000513AA">
        <w:rPr>
          <w:lang w:val="en-US"/>
        </w:rPr>
        <w:t>BCG</w:t>
      </w:r>
      <w:r w:rsidR="000513AA" w:rsidRPr="000513AA">
        <w:rPr>
          <w:lang w:val="ru-RU"/>
        </w:rPr>
        <w:t xml:space="preserve"> </w:t>
      </w:r>
    </w:p>
    <w:bookmarkEnd w:id="14"/>
    <w:p w14:paraId="0A12BF23" w14:textId="77777777" w:rsidR="000513AA" w:rsidRDefault="00395A5A" w:rsidP="005217D6">
      <w:pPr>
        <w:pStyle w:val="Heading2"/>
        <w:rPr>
          <w:lang w:val="ru-RU"/>
        </w:rPr>
      </w:pPr>
      <w:r w:rsidRPr="000513AA">
        <w:rPr>
          <w:lang w:val="ru-RU"/>
        </w:rPr>
        <w:t>2.1</w:t>
      </w:r>
      <w:r w:rsidRPr="000513AA">
        <w:rPr>
          <w:lang w:val="ru-RU"/>
        </w:rPr>
        <w:tab/>
      </w:r>
      <w:bookmarkStart w:id="15" w:name="lt_pId051"/>
      <w:r w:rsidR="000513AA" w:rsidRPr="000513AA">
        <w:rPr>
          <w:lang w:val="ru-RU"/>
        </w:rPr>
        <w:t xml:space="preserve">Анализ финансирования МСЭ: текущая ситуация и тенденции </w:t>
      </w:r>
    </w:p>
    <w:p w14:paraId="3648F7E1" w14:textId="214A30A5" w:rsidR="00395A5A" w:rsidRPr="000513AA" w:rsidRDefault="00395A5A" w:rsidP="005217D6">
      <w:pPr>
        <w:pStyle w:val="Headingb"/>
        <w:rPr>
          <w:lang w:val="ru-RU"/>
        </w:rPr>
      </w:pPr>
      <w:bookmarkStart w:id="16" w:name="lt_pId052"/>
      <w:bookmarkEnd w:id="15"/>
      <w:r w:rsidRPr="00395A5A">
        <w:rPr>
          <w:lang w:val="en-US"/>
        </w:rPr>
        <w:t>a</w:t>
      </w:r>
      <w:bookmarkEnd w:id="16"/>
      <w:r w:rsidR="005217D6" w:rsidRPr="000513AA">
        <w:rPr>
          <w:lang w:val="ru-RU"/>
        </w:rPr>
        <w:t>)</w:t>
      </w:r>
      <w:r w:rsidRPr="000513AA">
        <w:rPr>
          <w:lang w:val="ru-RU"/>
        </w:rPr>
        <w:tab/>
      </w:r>
      <w:bookmarkStart w:id="17" w:name="lt_pId053"/>
      <w:r w:rsidR="000513AA" w:rsidRPr="000513AA">
        <w:rPr>
          <w:lang w:val="ru-RU"/>
        </w:rPr>
        <w:t>Регулярный бюджет и внебюджетные доходы</w:t>
      </w:r>
      <w:bookmarkEnd w:id="17"/>
    </w:p>
    <w:p w14:paraId="0275B380" w14:textId="3D5F83E2" w:rsidR="000513AA" w:rsidRDefault="004A7096" w:rsidP="00395A5A">
      <w:pPr>
        <w:rPr>
          <w:lang w:val="ru-RU"/>
        </w:rPr>
      </w:pPr>
      <w:bookmarkStart w:id="18" w:name="lt_pId054"/>
      <w:r>
        <w:rPr>
          <w:lang w:val="ru-RU"/>
        </w:rPr>
        <w:t>Доходы</w:t>
      </w:r>
      <w:r w:rsidR="00386B26">
        <w:rPr>
          <w:lang w:val="ru-RU"/>
        </w:rPr>
        <w:t xml:space="preserve"> по линии единиц взносов Государств-Ч</w:t>
      </w:r>
      <w:r w:rsidR="000513AA" w:rsidRPr="000513AA">
        <w:rPr>
          <w:lang w:val="ru-RU"/>
        </w:rPr>
        <w:t>ленов были стабильными в теч</w:t>
      </w:r>
      <w:r w:rsidR="00C60A66">
        <w:rPr>
          <w:lang w:val="ru-RU"/>
        </w:rPr>
        <w:t>ение последних пяти лет. В 2022 </w:t>
      </w:r>
      <w:r w:rsidR="000513AA" w:rsidRPr="000513AA">
        <w:rPr>
          <w:lang w:val="ru-RU"/>
        </w:rPr>
        <w:t xml:space="preserve">году начисленные взносы </w:t>
      </w:r>
      <w:r w:rsidR="00C60A66">
        <w:rPr>
          <w:lang w:val="ru-RU"/>
        </w:rPr>
        <w:t>Государств-Ч</w:t>
      </w:r>
      <w:r w:rsidR="00C60A66" w:rsidRPr="000513AA">
        <w:rPr>
          <w:lang w:val="ru-RU"/>
        </w:rPr>
        <w:t xml:space="preserve">ленов </w:t>
      </w:r>
      <w:r w:rsidR="000513AA" w:rsidRPr="000513AA">
        <w:rPr>
          <w:lang w:val="ru-RU"/>
        </w:rPr>
        <w:t>составили 61</w:t>
      </w:r>
      <w:r w:rsidR="00C60A66">
        <w:rPr>
          <w:lang w:val="ru-RU"/>
        </w:rPr>
        <w:t> </w:t>
      </w:r>
      <w:r w:rsidR="000513AA" w:rsidRPr="000513AA">
        <w:rPr>
          <w:lang w:val="ru-RU"/>
        </w:rPr>
        <w:t>процент от общих доходов МСЭ</w:t>
      </w:r>
      <w:r w:rsidR="00C60A66">
        <w:rPr>
          <w:lang w:val="ru-RU"/>
        </w:rPr>
        <w:t>.</w:t>
      </w:r>
    </w:p>
    <w:p w14:paraId="3299ACE9" w14:textId="499E0FC0" w:rsidR="00C60A66" w:rsidRDefault="00C60A66" w:rsidP="00395A5A">
      <w:pPr>
        <w:rPr>
          <w:lang w:val="ru-RU"/>
        </w:rPr>
      </w:pPr>
      <w:bookmarkStart w:id="19" w:name="lt_pId056"/>
      <w:bookmarkEnd w:id="18"/>
      <w:r>
        <w:rPr>
          <w:lang w:val="ru-RU"/>
        </w:rPr>
        <w:t>Доходы от взносов Ч</w:t>
      </w:r>
      <w:r w:rsidRPr="00C60A66">
        <w:rPr>
          <w:lang w:val="ru-RU"/>
        </w:rPr>
        <w:t>ленов Сектор</w:t>
      </w:r>
      <w:r w:rsidR="002A1503">
        <w:rPr>
          <w:lang w:val="ru-RU"/>
        </w:rPr>
        <w:t>ов</w:t>
      </w:r>
      <w:r w:rsidRPr="00C60A66">
        <w:rPr>
          <w:lang w:val="ru-RU"/>
        </w:rPr>
        <w:t xml:space="preserve">, включая </w:t>
      </w:r>
      <w:r w:rsidR="00E839D0" w:rsidRPr="00E839D0">
        <w:rPr>
          <w:lang w:val="ru-RU"/>
        </w:rPr>
        <w:t>Ассоциированных членов и Академические организации</w:t>
      </w:r>
      <w:r w:rsidR="00E839D0">
        <w:rPr>
          <w:lang w:val="ru-RU"/>
        </w:rPr>
        <w:t xml:space="preserve">, составляют примерно девять </w:t>
      </w:r>
      <w:r w:rsidRPr="00C60A66">
        <w:rPr>
          <w:lang w:val="ru-RU"/>
        </w:rPr>
        <w:t xml:space="preserve">процентов от общих доходов МСЭ. Хотя </w:t>
      </w:r>
      <w:r w:rsidR="00E839D0">
        <w:rPr>
          <w:lang w:val="ru-RU"/>
        </w:rPr>
        <w:t xml:space="preserve">число Членов </w:t>
      </w:r>
      <w:r w:rsidRPr="00C60A66">
        <w:rPr>
          <w:lang w:val="ru-RU"/>
        </w:rPr>
        <w:t>Сектор</w:t>
      </w:r>
      <w:r w:rsidR="00020C28">
        <w:rPr>
          <w:lang w:val="ru-RU"/>
        </w:rPr>
        <w:t>ов</w:t>
      </w:r>
      <w:r w:rsidRPr="00C60A66">
        <w:rPr>
          <w:lang w:val="ru-RU"/>
        </w:rPr>
        <w:t xml:space="preserve"> выросло до самого высокого</w:t>
      </w:r>
      <w:r w:rsidR="00E839D0">
        <w:rPr>
          <w:lang w:val="ru-RU"/>
        </w:rPr>
        <w:t xml:space="preserve"> за всю историю </w:t>
      </w:r>
      <w:r w:rsidR="001F22EB">
        <w:rPr>
          <w:lang w:val="ru-RU"/>
        </w:rPr>
        <w:t>значения</w:t>
      </w:r>
      <w:r w:rsidR="00E839D0">
        <w:rPr>
          <w:lang w:val="ru-RU"/>
        </w:rPr>
        <w:t>, приблизившись</w:t>
      </w:r>
      <w:r w:rsidRPr="00C60A66">
        <w:rPr>
          <w:lang w:val="ru-RU"/>
        </w:rPr>
        <w:t xml:space="preserve"> </w:t>
      </w:r>
      <w:r w:rsidR="00E839D0">
        <w:rPr>
          <w:lang w:val="ru-RU"/>
        </w:rPr>
        <w:t>к 1</w:t>
      </w:r>
      <w:r w:rsidRPr="00C60A66">
        <w:rPr>
          <w:lang w:val="ru-RU"/>
        </w:rPr>
        <w:t>000, до</w:t>
      </w:r>
      <w:r w:rsidR="00020C28">
        <w:rPr>
          <w:lang w:val="ru-RU"/>
        </w:rPr>
        <w:t>ходы от членских взносов Членов Секторов</w:t>
      </w:r>
      <w:r w:rsidRPr="00C60A66">
        <w:rPr>
          <w:lang w:val="ru-RU"/>
        </w:rPr>
        <w:t xml:space="preserve"> оставались практически неизменными на протяжении более деся</w:t>
      </w:r>
      <w:r w:rsidR="00E839D0">
        <w:rPr>
          <w:lang w:val="ru-RU"/>
        </w:rPr>
        <w:t xml:space="preserve">ти лет, </w:t>
      </w:r>
      <w:r w:rsidR="00020C28">
        <w:rPr>
          <w:lang w:val="ru-RU"/>
        </w:rPr>
        <w:t xml:space="preserve">находясь в диапазоне от 16 до </w:t>
      </w:r>
      <w:r w:rsidR="00E839D0">
        <w:rPr>
          <w:lang w:val="ru-RU"/>
        </w:rPr>
        <w:t>17 </w:t>
      </w:r>
      <w:r w:rsidR="00020C28">
        <w:rPr>
          <w:lang w:val="ru-RU"/>
        </w:rPr>
        <w:t>млн</w:t>
      </w:r>
      <w:r w:rsidR="004A7096">
        <w:rPr>
          <w:lang w:val="ru-RU"/>
        </w:rPr>
        <w:t>.</w:t>
      </w:r>
      <w:r w:rsidRPr="00C60A66">
        <w:rPr>
          <w:lang w:val="ru-RU"/>
        </w:rPr>
        <w:t xml:space="preserve"> швейцарских франков, поскольку рост в основном происходил за счет категорий членства с боле</w:t>
      </w:r>
      <w:r w:rsidR="00E839D0">
        <w:rPr>
          <w:lang w:val="ru-RU"/>
        </w:rPr>
        <w:t>е низкой оплатой, включая А</w:t>
      </w:r>
      <w:r w:rsidRPr="00C60A66">
        <w:rPr>
          <w:lang w:val="ru-RU"/>
        </w:rPr>
        <w:t xml:space="preserve">ссоциированных членов, </w:t>
      </w:r>
      <w:r w:rsidR="00E839D0">
        <w:rPr>
          <w:lang w:val="ru-RU"/>
        </w:rPr>
        <w:t>А</w:t>
      </w:r>
      <w:r w:rsidRPr="00C60A66">
        <w:rPr>
          <w:lang w:val="ru-RU"/>
        </w:rPr>
        <w:t xml:space="preserve">кадемические </w:t>
      </w:r>
      <w:r w:rsidR="00E839D0">
        <w:rPr>
          <w:lang w:val="ru-RU"/>
        </w:rPr>
        <w:t>организации</w:t>
      </w:r>
      <w:r w:rsidRPr="00C60A66">
        <w:rPr>
          <w:lang w:val="ru-RU"/>
        </w:rPr>
        <w:t xml:space="preserve"> и, </w:t>
      </w:r>
      <w:r w:rsidR="002A1503">
        <w:rPr>
          <w:lang w:val="ru-RU"/>
        </w:rPr>
        <w:t>с недавних пор</w:t>
      </w:r>
      <w:r w:rsidRPr="00C60A66">
        <w:rPr>
          <w:lang w:val="ru-RU"/>
        </w:rPr>
        <w:t xml:space="preserve">, малые и средние предприятия, а также </w:t>
      </w:r>
      <w:r w:rsidR="00D77D4B">
        <w:rPr>
          <w:lang w:val="ru-RU"/>
        </w:rPr>
        <w:t>в связи с освобождением</w:t>
      </w:r>
      <w:r w:rsidRPr="00C60A66">
        <w:rPr>
          <w:lang w:val="ru-RU"/>
        </w:rPr>
        <w:t xml:space="preserve"> от взносов </w:t>
      </w:r>
      <w:r w:rsidR="00020C28">
        <w:rPr>
          <w:lang w:val="ru-RU"/>
        </w:rPr>
        <w:t xml:space="preserve">соответствующих </w:t>
      </w:r>
      <w:r w:rsidRPr="00C60A66">
        <w:rPr>
          <w:lang w:val="ru-RU"/>
        </w:rPr>
        <w:t>организаций международного характера.</w:t>
      </w:r>
    </w:p>
    <w:p w14:paraId="45BE4731" w14:textId="5383AD48" w:rsidR="00D77D4B" w:rsidRDefault="00D77D4B" w:rsidP="00395A5A">
      <w:pPr>
        <w:rPr>
          <w:lang w:val="ru-RU"/>
        </w:rPr>
      </w:pPr>
      <w:bookmarkStart w:id="20" w:name="lt_pId058"/>
      <w:bookmarkEnd w:id="19"/>
      <w:r w:rsidRPr="00D77D4B">
        <w:rPr>
          <w:lang w:val="ru-RU"/>
        </w:rPr>
        <w:t xml:space="preserve">Возмещение затрат </w:t>
      </w:r>
      <w:r>
        <w:rPr>
          <w:lang w:val="ru-RU"/>
        </w:rPr>
        <w:t>осуществляется в отношении</w:t>
      </w:r>
      <w:r w:rsidRPr="00D77D4B">
        <w:rPr>
          <w:lang w:val="ru-RU"/>
        </w:rPr>
        <w:t xml:space="preserve"> обработк</w:t>
      </w:r>
      <w:r>
        <w:rPr>
          <w:lang w:val="ru-RU"/>
        </w:rPr>
        <w:t>и</w:t>
      </w:r>
      <w:r w:rsidRPr="00D77D4B">
        <w:rPr>
          <w:lang w:val="ru-RU"/>
        </w:rPr>
        <w:t xml:space="preserve"> заявок на регистрацию спутниковых сетей</w:t>
      </w:r>
      <w:r>
        <w:rPr>
          <w:lang w:val="ru-RU"/>
        </w:rPr>
        <w:t>, распределения</w:t>
      </w:r>
      <w:r w:rsidRPr="00D77D4B">
        <w:rPr>
          <w:lang w:val="ru-RU"/>
        </w:rPr>
        <w:t xml:space="preserve"> ресурсов нумерации и поддержки проектов БРЭ. Другие внебюджетные доходы от продажи публикаций имеют относительно предсказуемый цикл, основанный в основном на запланированных выпусках ключевых публикаций, </w:t>
      </w:r>
      <w:r>
        <w:rPr>
          <w:lang w:val="ru-RU"/>
        </w:rPr>
        <w:t>относящихся к</w:t>
      </w:r>
      <w:r w:rsidRPr="00D77D4B">
        <w:rPr>
          <w:lang w:val="ru-RU"/>
        </w:rPr>
        <w:t xml:space="preserve"> </w:t>
      </w:r>
      <w:r>
        <w:rPr>
          <w:lang w:val="ru-RU"/>
        </w:rPr>
        <w:t>морским службам</w:t>
      </w:r>
      <w:r w:rsidR="00691A88">
        <w:rPr>
          <w:lang w:val="ru-RU"/>
        </w:rPr>
        <w:t xml:space="preserve"> </w:t>
      </w:r>
      <w:r w:rsidRPr="00D77D4B">
        <w:rPr>
          <w:lang w:val="ru-RU"/>
        </w:rPr>
        <w:t xml:space="preserve">радиосвязи. Годы с более низкими доходами в этом цикле </w:t>
      </w:r>
      <w:r w:rsidR="00691A88">
        <w:rPr>
          <w:lang w:val="ru-RU"/>
        </w:rPr>
        <w:t xml:space="preserve">были проблематичными с точки зрения </w:t>
      </w:r>
      <w:r w:rsidRPr="00D77D4B">
        <w:rPr>
          <w:lang w:val="ru-RU"/>
        </w:rPr>
        <w:t>планирования бюджета МСЭ</w:t>
      </w:r>
      <w:r w:rsidR="00691A88">
        <w:rPr>
          <w:lang w:val="ru-RU"/>
        </w:rPr>
        <w:t>.</w:t>
      </w:r>
    </w:p>
    <w:p w14:paraId="266F37ED" w14:textId="23333051" w:rsidR="005217D6" w:rsidRPr="00A27C69" w:rsidRDefault="005217D6" w:rsidP="005217D6">
      <w:pPr>
        <w:pStyle w:val="TableNo"/>
        <w:rPr>
          <w:lang w:val="ru-RU"/>
        </w:rPr>
      </w:pPr>
      <w:bookmarkStart w:id="21" w:name="lt_pId061"/>
      <w:bookmarkEnd w:id="20"/>
      <w:r>
        <w:rPr>
          <w:lang w:val="ru-RU"/>
        </w:rPr>
        <w:t>ТАБЛИЦА</w:t>
      </w:r>
      <w:r w:rsidR="00395A5A" w:rsidRPr="00A27C69">
        <w:rPr>
          <w:lang w:val="ru-RU"/>
        </w:rPr>
        <w:t xml:space="preserve"> 1</w:t>
      </w:r>
      <w:bookmarkStart w:id="22" w:name="lt_pId062"/>
      <w:bookmarkEnd w:id="21"/>
    </w:p>
    <w:bookmarkEnd w:id="22"/>
    <w:p w14:paraId="4264DB49" w14:textId="4B10ECBA" w:rsidR="00395A5A" w:rsidRPr="00A27C69" w:rsidRDefault="00691A88" w:rsidP="005217D6">
      <w:pPr>
        <w:pStyle w:val="Tabletitle"/>
        <w:rPr>
          <w:lang w:val="ru-RU"/>
        </w:rPr>
      </w:pPr>
      <w:r w:rsidRPr="000513AA">
        <w:rPr>
          <w:lang w:val="ru-RU"/>
        </w:rPr>
        <w:t>Регулярный бюджет и внебюджетные доходы</w:t>
      </w:r>
    </w:p>
    <w:tbl>
      <w:tblPr>
        <w:tblW w:w="9177" w:type="dxa"/>
        <w:tblLook w:val="0600" w:firstRow="0" w:lastRow="0" w:firstColumn="0" w:lastColumn="0" w:noHBand="1" w:noVBand="1"/>
      </w:tblPr>
      <w:tblGrid>
        <w:gridCol w:w="3442"/>
        <w:gridCol w:w="1147"/>
        <w:gridCol w:w="1147"/>
        <w:gridCol w:w="1147"/>
        <w:gridCol w:w="1147"/>
        <w:gridCol w:w="1147"/>
      </w:tblGrid>
      <w:tr w:rsidR="00395A5A" w:rsidRPr="00395A5A" w14:paraId="6ECABC7B" w14:textId="77777777" w:rsidTr="005217D6">
        <w:trPr>
          <w:trHeight w:val="272"/>
        </w:trPr>
        <w:tc>
          <w:tcPr>
            <w:tcW w:w="34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3D46DA" w14:textId="77777777" w:rsidR="00395A5A" w:rsidRPr="00A27C69" w:rsidRDefault="00395A5A" w:rsidP="005217D6">
            <w:pPr>
              <w:pStyle w:val="Tablehead"/>
              <w:rPr>
                <w:lang w:val="ru-RU"/>
              </w:rPr>
            </w:pPr>
            <w:r w:rsidRPr="00395A5A">
              <w:t> </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73D3F009" w14:textId="263D6B58" w:rsidR="00395A5A" w:rsidRPr="005217D6" w:rsidRDefault="00395A5A" w:rsidP="005217D6">
            <w:pPr>
              <w:pStyle w:val="Tablehead"/>
              <w:rPr>
                <w:bCs/>
                <w:lang w:val="ru-RU"/>
              </w:rPr>
            </w:pPr>
            <w:r w:rsidRPr="00395A5A">
              <w:rPr>
                <w:bCs/>
              </w:rPr>
              <w:t>2018</w:t>
            </w:r>
            <w:r w:rsidR="005217D6">
              <w:rPr>
                <w:bCs/>
                <w:lang w:val="ru-RU"/>
              </w:rPr>
              <w:t xml:space="preserve"> г.</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24AC771E" w14:textId="56504538" w:rsidR="00395A5A" w:rsidRPr="005217D6" w:rsidRDefault="00395A5A" w:rsidP="005217D6">
            <w:pPr>
              <w:pStyle w:val="Tablehead"/>
              <w:rPr>
                <w:bCs/>
                <w:lang w:val="ru-RU"/>
              </w:rPr>
            </w:pPr>
            <w:r w:rsidRPr="00395A5A">
              <w:rPr>
                <w:bCs/>
              </w:rPr>
              <w:t>2019</w:t>
            </w:r>
            <w:r w:rsidR="005217D6">
              <w:rPr>
                <w:bCs/>
                <w:lang w:val="ru-RU"/>
              </w:rPr>
              <w:t xml:space="preserve"> г.</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07627878" w14:textId="5656F917" w:rsidR="00395A5A" w:rsidRPr="005217D6" w:rsidRDefault="00395A5A" w:rsidP="005217D6">
            <w:pPr>
              <w:pStyle w:val="Tablehead"/>
              <w:rPr>
                <w:bCs/>
                <w:lang w:val="ru-RU"/>
              </w:rPr>
            </w:pPr>
            <w:r w:rsidRPr="00395A5A">
              <w:rPr>
                <w:bCs/>
              </w:rPr>
              <w:t>2020</w:t>
            </w:r>
            <w:r w:rsidR="005217D6">
              <w:rPr>
                <w:bCs/>
                <w:lang w:val="ru-RU"/>
              </w:rPr>
              <w:t xml:space="preserve"> г.</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67B43A68" w14:textId="43EEC9F5" w:rsidR="00395A5A" w:rsidRPr="005217D6" w:rsidRDefault="00395A5A" w:rsidP="005217D6">
            <w:pPr>
              <w:pStyle w:val="Tablehead"/>
              <w:rPr>
                <w:bCs/>
                <w:lang w:val="ru-RU"/>
              </w:rPr>
            </w:pPr>
            <w:r w:rsidRPr="00395A5A">
              <w:rPr>
                <w:bCs/>
              </w:rPr>
              <w:t>2021</w:t>
            </w:r>
            <w:r w:rsidR="005217D6">
              <w:rPr>
                <w:bCs/>
                <w:lang w:val="ru-RU"/>
              </w:rPr>
              <w:t xml:space="preserve"> г.</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08318512" w14:textId="7D02647B" w:rsidR="00395A5A" w:rsidRPr="005217D6" w:rsidRDefault="00395A5A" w:rsidP="005217D6">
            <w:pPr>
              <w:pStyle w:val="Tablehead"/>
              <w:rPr>
                <w:bCs/>
                <w:lang w:val="ru-RU"/>
              </w:rPr>
            </w:pPr>
            <w:r w:rsidRPr="00395A5A">
              <w:rPr>
                <w:bCs/>
              </w:rPr>
              <w:t>2022</w:t>
            </w:r>
            <w:r w:rsidR="005217D6">
              <w:rPr>
                <w:bCs/>
                <w:lang w:val="ru-RU"/>
              </w:rPr>
              <w:t xml:space="preserve"> г.</w:t>
            </w:r>
          </w:p>
        </w:tc>
      </w:tr>
      <w:tr w:rsidR="00395A5A" w:rsidRPr="00395A5A" w14:paraId="5B8AD665" w14:textId="77777777" w:rsidTr="005217D6">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72ADBCAE" w14:textId="04745157" w:rsidR="00395A5A" w:rsidRPr="00395A5A" w:rsidRDefault="00691A88" w:rsidP="00691A88">
            <w:pPr>
              <w:pStyle w:val="Tabletext"/>
            </w:pPr>
            <w:r>
              <w:rPr>
                <w:lang w:val="ru-RU"/>
              </w:rPr>
              <w:t>Государства-Члены</w:t>
            </w:r>
          </w:p>
        </w:tc>
        <w:tc>
          <w:tcPr>
            <w:tcW w:w="1147" w:type="dxa"/>
            <w:tcBorders>
              <w:top w:val="nil"/>
              <w:left w:val="nil"/>
              <w:bottom w:val="single" w:sz="4" w:space="0" w:color="auto"/>
              <w:right w:val="single" w:sz="4" w:space="0" w:color="auto"/>
            </w:tcBorders>
            <w:shd w:val="clear" w:color="auto" w:fill="auto"/>
            <w:vAlign w:val="bottom"/>
            <w:hideMark/>
          </w:tcPr>
          <w:p w14:paraId="0E2C651C" w14:textId="47134275" w:rsidR="00395A5A" w:rsidRPr="00395A5A" w:rsidRDefault="00395A5A" w:rsidP="005217D6">
            <w:pPr>
              <w:pStyle w:val="Tabletext"/>
              <w:jc w:val="center"/>
            </w:pPr>
            <w:r w:rsidRPr="00395A5A">
              <w:t>108</w:t>
            </w:r>
            <w:r w:rsidR="005217D6">
              <w:t>,</w:t>
            </w:r>
            <w:r w:rsidRPr="00395A5A">
              <w:t>6</w:t>
            </w:r>
          </w:p>
        </w:tc>
        <w:tc>
          <w:tcPr>
            <w:tcW w:w="1147" w:type="dxa"/>
            <w:tcBorders>
              <w:top w:val="nil"/>
              <w:left w:val="nil"/>
              <w:bottom w:val="single" w:sz="4" w:space="0" w:color="auto"/>
              <w:right w:val="single" w:sz="4" w:space="0" w:color="auto"/>
            </w:tcBorders>
            <w:shd w:val="clear" w:color="auto" w:fill="auto"/>
            <w:vAlign w:val="bottom"/>
            <w:hideMark/>
          </w:tcPr>
          <w:p w14:paraId="582FAD6D" w14:textId="3E542D70" w:rsidR="00395A5A" w:rsidRPr="00395A5A" w:rsidRDefault="00395A5A" w:rsidP="005217D6">
            <w:pPr>
              <w:pStyle w:val="Tabletext"/>
              <w:jc w:val="center"/>
            </w:pPr>
            <w:r w:rsidRPr="00395A5A">
              <w:t>109</w:t>
            </w:r>
            <w:r w:rsidR="005217D6">
              <w:t>,</w:t>
            </w:r>
            <w:r w:rsidRPr="00395A5A">
              <w:t>9</w:t>
            </w:r>
          </w:p>
        </w:tc>
        <w:tc>
          <w:tcPr>
            <w:tcW w:w="1147" w:type="dxa"/>
            <w:tcBorders>
              <w:top w:val="nil"/>
              <w:left w:val="nil"/>
              <w:bottom w:val="single" w:sz="4" w:space="0" w:color="auto"/>
              <w:right w:val="single" w:sz="4" w:space="0" w:color="auto"/>
            </w:tcBorders>
            <w:shd w:val="clear" w:color="auto" w:fill="auto"/>
            <w:vAlign w:val="bottom"/>
            <w:hideMark/>
          </w:tcPr>
          <w:p w14:paraId="381D08AA" w14:textId="04A2CBD0" w:rsidR="00395A5A" w:rsidRPr="00395A5A" w:rsidRDefault="00395A5A" w:rsidP="005217D6">
            <w:pPr>
              <w:pStyle w:val="Tabletext"/>
              <w:jc w:val="center"/>
            </w:pPr>
            <w:r w:rsidRPr="00395A5A">
              <w:t>109</w:t>
            </w:r>
            <w:r w:rsidR="005217D6">
              <w:t>,</w:t>
            </w:r>
            <w:r w:rsidRPr="00395A5A">
              <w:t>3</w:t>
            </w:r>
          </w:p>
        </w:tc>
        <w:tc>
          <w:tcPr>
            <w:tcW w:w="1147" w:type="dxa"/>
            <w:tcBorders>
              <w:top w:val="nil"/>
              <w:left w:val="nil"/>
              <w:bottom w:val="single" w:sz="4" w:space="0" w:color="auto"/>
              <w:right w:val="single" w:sz="4" w:space="0" w:color="auto"/>
            </w:tcBorders>
            <w:shd w:val="clear" w:color="auto" w:fill="auto"/>
            <w:vAlign w:val="bottom"/>
            <w:hideMark/>
          </w:tcPr>
          <w:p w14:paraId="4CE221F9" w14:textId="447E262D" w:rsidR="00395A5A" w:rsidRPr="00395A5A" w:rsidRDefault="00395A5A" w:rsidP="005217D6">
            <w:pPr>
              <w:pStyle w:val="Tabletext"/>
              <w:jc w:val="center"/>
            </w:pPr>
            <w:r w:rsidRPr="00395A5A">
              <w:t>109</w:t>
            </w:r>
            <w:r w:rsidR="005217D6">
              <w:t>,</w:t>
            </w:r>
            <w:r w:rsidRPr="00395A5A">
              <w:t>3</w:t>
            </w:r>
          </w:p>
        </w:tc>
        <w:tc>
          <w:tcPr>
            <w:tcW w:w="1147" w:type="dxa"/>
            <w:tcBorders>
              <w:top w:val="nil"/>
              <w:left w:val="nil"/>
              <w:bottom w:val="single" w:sz="4" w:space="0" w:color="auto"/>
              <w:right w:val="single" w:sz="4" w:space="0" w:color="auto"/>
            </w:tcBorders>
            <w:shd w:val="clear" w:color="auto" w:fill="auto"/>
            <w:vAlign w:val="bottom"/>
            <w:hideMark/>
          </w:tcPr>
          <w:p w14:paraId="1A3E1A7C" w14:textId="1ED5FA5A" w:rsidR="00395A5A" w:rsidRPr="00395A5A" w:rsidRDefault="00395A5A" w:rsidP="005217D6">
            <w:pPr>
              <w:pStyle w:val="Tabletext"/>
              <w:jc w:val="center"/>
            </w:pPr>
            <w:r w:rsidRPr="00395A5A">
              <w:t>109</w:t>
            </w:r>
            <w:r w:rsidR="005217D6">
              <w:t>,</w:t>
            </w:r>
            <w:r w:rsidRPr="00395A5A">
              <w:t>2</w:t>
            </w:r>
          </w:p>
        </w:tc>
      </w:tr>
      <w:tr w:rsidR="00395A5A" w:rsidRPr="00395A5A" w14:paraId="7E4BD31B" w14:textId="77777777" w:rsidTr="005217D6">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784FC83D" w14:textId="319ACD2D" w:rsidR="00395A5A" w:rsidRPr="00691A88" w:rsidRDefault="00691A88" w:rsidP="005217D6">
            <w:pPr>
              <w:pStyle w:val="Tabletext"/>
              <w:rPr>
                <w:lang w:val="ru-RU"/>
              </w:rPr>
            </w:pPr>
            <w:r>
              <w:rPr>
                <w:lang w:val="ru-RU"/>
              </w:rPr>
              <w:t>Члены Сектора</w:t>
            </w:r>
          </w:p>
        </w:tc>
        <w:tc>
          <w:tcPr>
            <w:tcW w:w="1147" w:type="dxa"/>
            <w:tcBorders>
              <w:top w:val="nil"/>
              <w:left w:val="nil"/>
              <w:bottom w:val="single" w:sz="4" w:space="0" w:color="auto"/>
              <w:right w:val="single" w:sz="4" w:space="0" w:color="auto"/>
            </w:tcBorders>
            <w:shd w:val="clear" w:color="auto" w:fill="auto"/>
            <w:vAlign w:val="bottom"/>
            <w:hideMark/>
          </w:tcPr>
          <w:p w14:paraId="27C1CD6A" w14:textId="0CC2DE3A" w:rsidR="00395A5A" w:rsidRPr="00395A5A" w:rsidRDefault="00395A5A" w:rsidP="005217D6">
            <w:pPr>
              <w:pStyle w:val="Tabletext"/>
              <w:jc w:val="center"/>
            </w:pPr>
            <w:r w:rsidRPr="00395A5A">
              <w:t>16</w:t>
            </w:r>
            <w:r w:rsidR="005217D6">
              <w:t>,</w:t>
            </w:r>
            <w:r w:rsidRPr="00395A5A">
              <w:t>3</w:t>
            </w:r>
          </w:p>
        </w:tc>
        <w:tc>
          <w:tcPr>
            <w:tcW w:w="1147" w:type="dxa"/>
            <w:tcBorders>
              <w:top w:val="nil"/>
              <w:left w:val="nil"/>
              <w:bottom w:val="single" w:sz="4" w:space="0" w:color="auto"/>
              <w:right w:val="single" w:sz="4" w:space="0" w:color="auto"/>
            </w:tcBorders>
            <w:shd w:val="clear" w:color="auto" w:fill="auto"/>
            <w:vAlign w:val="bottom"/>
            <w:hideMark/>
          </w:tcPr>
          <w:p w14:paraId="50F21BB8" w14:textId="2662CEFA" w:rsidR="00395A5A" w:rsidRPr="00395A5A" w:rsidRDefault="00395A5A" w:rsidP="005217D6">
            <w:pPr>
              <w:pStyle w:val="Tabletext"/>
              <w:jc w:val="center"/>
            </w:pPr>
            <w:r w:rsidRPr="00395A5A">
              <w:t>16</w:t>
            </w:r>
            <w:r w:rsidR="005217D6">
              <w:t>,</w:t>
            </w:r>
            <w:r w:rsidRPr="00395A5A">
              <w:t>6</w:t>
            </w:r>
          </w:p>
        </w:tc>
        <w:tc>
          <w:tcPr>
            <w:tcW w:w="1147" w:type="dxa"/>
            <w:tcBorders>
              <w:top w:val="nil"/>
              <w:left w:val="nil"/>
              <w:bottom w:val="single" w:sz="4" w:space="0" w:color="auto"/>
              <w:right w:val="single" w:sz="4" w:space="0" w:color="auto"/>
            </w:tcBorders>
            <w:shd w:val="clear" w:color="auto" w:fill="auto"/>
            <w:vAlign w:val="bottom"/>
            <w:hideMark/>
          </w:tcPr>
          <w:p w14:paraId="731E553B" w14:textId="3AAF41CF" w:rsidR="00395A5A" w:rsidRPr="00395A5A" w:rsidRDefault="00395A5A" w:rsidP="005217D6">
            <w:pPr>
              <w:pStyle w:val="Tabletext"/>
              <w:jc w:val="center"/>
            </w:pPr>
            <w:r w:rsidRPr="00395A5A">
              <w:t>16</w:t>
            </w:r>
            <w:r w:rsidR="005217D6">
              <w:t>,</w:t>
            </w:r>
            <w:r w:rsidRPr="00395A5A">
              <w:t>4</w:t>
            </w:r>
          </w:p>
        </w:tc>
        <w:tc>
          <w:tcPr>
            <w:tcW w:w="1147" w:type="dxa"/>
            <w:tcBorders>
              <w:top w:val="nil"/>
              <w:left w:val="nil"/>
              <w:bottom w:val="single" w:sz="4" w:space="0" w:color="auto"/>
              <w:right w:val="single" w:sz="4" w:space="0" w:color="auto"/>
            </w:tcBorders>
            <w:shd w:val="clear" w:color="auto" w:fill="auto"/>
            <w:vAlign w:val="bottom"/>
            <w:hideMark/>
          </w:tcPr>
          <w:p w14:paraId="6DB8AE25" w14:textId="74084DC8" w:rsidR="00395A5A" w:rsidRPr="00395A5A" w:rsidRDefault="00395A5A" w:rsidP="005217D6">
            <w:pPr>
              <w:pStyle w:val="Tabletext"/>
              <w:jc w:val="center"/>
            </w:pPr>
            <w:r w:rsidRPr="00395A5A">
              <w:t>16</w:t>
            </w:r>
            <w:r w:rsidR="005217D6">
              <w:t>,</w:t>
            </w:r>
            <w:r w:rsidRPr="00395A5A">
              <w:t>3</w:t>
            </w:r>
          </w:p>
        </w:tc>
        <w:tc>
          <w:tcPr>
            <w:tcW w:w="1147" w:type="dxa"/>
            <w:tcBorders>
              <w:top w:val="nil"/>
              <w:left w:val="nil"/>
              <w:bottom w:val="single" w:sz="4" w:space="0" w:color="auto"/>
              <w:right w:val="single" w:sz="4" w:space="0" w:color="auto"/>
            </w:tcBorders>
            <w:shd w:val="clear" w:color="auto" w:fill="auto"/>
            <w:vAlign w:val="bottom"/>
            <w:hideMark/>
          </w:tcPr>
          <w:p w14:paraId="60FDA911" w14:textId="098CCFF3" w:rsidR="00395A5A" w:rsidRPr="00395A5A" w:rsidRDefault="00395A5A" w:rsidP="005217D6">
            <w:pPr>
              <w:pStyle w:val="Tabletext"/>
              <w:jc w:val="center"/>
            </w:pPr>
            <w:r w:rsidRPr="00395A5A">
              <w:t>16</w:t>
            </w:r>
            <w:r w:rsidR="005217D6">
              <w:t>,</w:t>
            </w:r>
            <w:r w:rsidRPr="00395A5A">
              <w:t>3</w:t>
            </w:r>
          </w:p>
        </w:tc>
      </w:tr>
      <w:tr w:rsidR="00395A5A" w:rsidRPr="00395A5A" w14:paraId="697DF421" w14:textId="77777777" w:rsidTr="005217D6">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3DEE9C29" w14:textId="79AC230C" w:rsidR="00395A5A" w:rsidRPr="00691A88" w:rsidRDefault="00691A88" w:rsidP="00691A88">
            <w:pPr>
              <w:pStyle w:val="Tabletext"/>
              <w:rPr>
                <w:lang w:val="ru-RU"/>
              </w:rPr>
            </w:pPr>
            <w:r>
              <w:rPr>
                <w:lang w:val="ru-RU"/>
              </w:rPr>
              <w:t>Публикации</w:t>
            </w:r>
          </w:p>
        </w:tc>
        <w:tc>
          <w:tcPr>
            <w:tcW w:w="1147" w:type="dxa"/>
            <w:tcBorders>
              <w:top w:val="nil"/>
              <w:left w:val="nil"/>
              <w:bottom w:val="single" w:sz="4" w:space="0" w:color="auto"/>
              <w:right w:val="single" w:sz="4" w:space="0" w:color="auto"/>
            </w:tcBorders>
            <w:shd w:val="clear" w:color="auto" w:fill="auto"/>
            <w:vAlign w:val="bottom"/>
            <w:hideMark/>
          </w:tcPr>
          <w:p w14:paraId="05E9935C" w14:textId="294F6934" w:rsidR="00395A5A" w:rsidRPr="00395A5A" w:rsidRDefault="00395A5A" w:rsidP="005217D6">
            <w:pPr>
              <w:pStyle w:val="Tabletext"/>
              <w:jc w:val="center"/>
            </w:pPr>
            <w:r w:rsidRPr="00395A5A">
              <w:t>13</w:t>
            </w:r>
            <w:r w:rsidR="005217D6">
              <w:t>,</w:t>
            </w:r>
            <w:r w:rsidRPr="00395A5A">
              <w:t>9</w:t>
            </w:r>
          </w:p>
        </w:tc>
        <w:tc>
          <w:tcPr>
            <w:tcW w:w="1147" w:type="dxa"/>
            <w:tcBorders>
              <w:top w:val="nil"/>
              <w:left w:val="nil"/>
              <w:bottom w:val="single" w:sz="4" w:space="0" w:color="auto"/>
              <w:right w:val="single" w:sz="4" w:space="0" w:color="auto"/>
            </w:tcBorders>
            <w:shd w:val="clear" w:color="auto" w:fill="auto"/>
            <w:vAlign w:val="bottom"/>
            <w:hideMark/>
          </w:tcPr>
          <w:p w14:paraId="6CC6E851" w14:textId="6785EC1F" w:rsidR="00395A5A" w:rsidRPr="00395A5A" w:rsidRDefault="00395A5A" w:rsidP="005217D6">
            <w:pPr>
              <w:pStyle w:val="Tabletext"/>
              <w:jc w:val="center"/>
            </w:pPr>
            <w:r w:rsidRPr="00395A5A">
              <w:t>15</w:t>
            </w:r>
            <w:r w:rsidR="005217D6">
              <w:t>,</w:t>
            </w:r>
            <w:r w:rsidRPr="00395A5A">
              <w:t>6</w:t>
            </w:r>
          </w:p>
        </w:tc>
        <w:tc>
          <w:tcPr>
            <w:tcW w:w="1147" w:type="dxa"/>
            <w:tcBorders>
              <w:top w:val="nil"/>
              <w:left w:val="nil"/>
              <w:bottom w:val="single" w:sz="4" w:space="0" w:color="auto"/>
              <w:right w:val="single" w:sz="4" w:space="0" w:color="auto"/>
            </w:tcBorders>
            <w:shd w:val="clear" w:color="auto" w:fill="auto"/>
            <w:vAlign w:val="bottom"/>
            <w:hideMark/>
          </w:tcPr>
          <w:p w14:paraId="25CB5899" w14:textId="49B5ABEC" w:rsidR="00395A5A" w:rsidRPr="00395A5A" w:rsidRDefault="00395A5A" w:rsidP="005217D6">
            <w:pPr>
              <w:pStyle w:val="Tabletext"/>
              <w:jc w:val="center"/>
            </w:pPr>
            <w:r w:rsidRPr="00395A5A">
              <w:t>17</w:t>
            </w:r>
            <w:r w:rsidR="005217D6">
              <w:t>,</w:t>
            </w:r>
            <w:r w:rsidRPr="00395A5A">
              <w:t>1</w:t>
            </w:r>
          </w:p>
        </w:tc>
        <w:tc>
          <w:tcPr>
            <w:tcW w:w="1147" w:type="dxa"/>
            <w:tcBorders>
              <w:top w:val="nil"/>
              <w:left w:val="nil"/>
              <w:bottom w:val="single" w:sz="4" w:space="0" w:color="auto"/>
              <w:right w:val="single" w:sz="4" w:space="0" w:color="auto"/>
            </w:tcBorders>
            <w:shd w:val="clear" w:color="auto" w:fill="auto"/>
            <w:vAlign w:val="bottom"/>
            <w:hideMark/>
          </w:tcPr>
          <w:p w14:paraId="0512B216" w14:textId="35ADAE5B" w:rsidR="00395A5A" w:rsidRPr="00395A5A" w:rsidRDefault="00395A5A" w:rsidP="005217D6">
            <w:pPr>
              <w:pStyle w:val="Tabletext"/>
              <w:jc w:val="center"/>
            </w:pPr>
            <w:r w:rsidRPr="00395A5A">
              <w:t>19</w:t>
            </w:r>
            <w:r w:rsidR="005217D6">
              <w:t>,</w:t>
            </w:r>
            <w:r w:rsidRPr="00395A5A">
              <w:t>4</w:t>
            </w:r>
          </w:p>
        </w:tc>
        <w:tc>
          <w:tcPr>
            <w:tcW w:w="1147" w:type="dxa"/>
            <w:tcBorders>
              <w:top w:val="nil"/>
              <w:left w:val="nil"/>
              <w:bottom w:val="single" w:sz="4" w:space="0" w:color="auto"/>
              <w:right w:val="single" w:sz="4" w:space="0" w:color="auto"/>
            </w:tcBorders>
            <w:shd w:val="clear" w:color="auto" w:fill="auto"/>
            <w:vAlign w:val="bottom"/>
            <w:hideMark/>
          </w:tcPr>
          <w:p w14:paraId="3946BAED" w14:textId="0F275FFA" w:rsidR="00395A5A" w:rsidRPr="00395A5A" w:rsidRDefault="00395A5A" w:rsidP="005217D6">
            <w:pPr>
              <w:pStyle w:val="Tabletext"/>
              <w:jc w:val="center"/>
            </w:pPr>
            <w:r w:rsidRPr="00395A5A">
              <w:t>14</w:t>
            </w:r>
            <w:r w:rsidR="005217D6">
              <w:t>,</w:t>
            </w:r>
            <w:r w:rsidRPr="00395A5A">
              <w:t>6</w:t>
            </w:r>
          </w:p>
        </w:tc>
      </w:tr>
      <w:tr w:rsidR="00395A5A" w:rsidRPr="00395A5A" w14:paraId="31BDBFCA" w14:textId="77777777" w:rsidTr="005217D6">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200B949F" w14:textId="32F887E4" w:rsidR="00395A5A" w:rsidRPr="00691A88" w:rsidRDefault="00691A88" w:rsidP="005217D6">
            <w:pPr>
              <w:pStyle w:val="Tabletext"/>
              <w:rPr>
                <w:lang w:val="ru-RU"/>
              </w:rPr>
            </w:pPr>
            <w:r>
              <w:rPr>
                <w:lang w:val="ru-RU"/>
              </w:rPr>
              <w:t>Заявки на регистрацию спутниковых сетей</w:t>
            </w:r>
          </w:p>
        </w:tc>
        <w:tc>
          <w:tcPr>
            <w:tcW w:w="1147" w:type="dxa"/>
            <w:tcBorders>
              <w:top w:val="nil"/>
              <w:left w:val="nil"/>
              <w:bottom w:val="single" w:sz="4" w:space="0" w:color="auto"/>
              <w:right w:val="single" w:sz="4" w:space="0" w:color="auto"/>
            </w:tcBorders>
            <w:shd w:val="clear" w:color="auto" w:fill="auto"/>
            <w:vAlign w:val="bottom"/>
            <w:hideMark/>
          </w:tcPr>
          <w:p w14:paraId="77514A2F" w14:textId="478003EF" w:rsidR="00395A5A" w:rsidRPr="00395A5A" w:rsidRDefault="00395A5A" w:rsidP="005217D6">
            <w:pPr>
              <w:pStyle w:val="Tabletext"/>
              <w:jc w:val="center"/>
            </w:pPr>
            <w:r w:rsidRPr="00395A5A">
              <w:t>19</w:t>
            </w:r>
            <w:r w:rsidR="005217D6">
              <w:t>,</w:t>
            </w:r>
            <w:r w:rsidRPr="00395A5A">
              <w:t>1</w:t>
            </w:r>
          </w:p>
        </w:tc>
        <w:tc>
          <w:tcPr>
            <w:tcW w:w="1147" w:type="dxa"/>
            <w:tcBorders>
              <w:top w:val="nil"/>
              <w:left w:val="nil"/>
              <w:bottom w:val="single" w:sz="4" w:space="0" w:color="auto"/>
              <w:right w:val="single" w:sz="4" w:space="0" w:color="auto"/>
            </w:tcBorders>
            <w:shd w:val="clear" w:color="auto" w:fill="auto"/>
            <w:vAlign w:val="bottom"/>
            <w:hideMark/>
          </w:tcPr>
          <w:p w14:paraId="0497F6A6" w14:textId="1A13CE0D" w:rsidR="00395A5A" w:rsidRPr="00395A5A" w:rsidRDefault="00395A5A" w:rsidP="005217D6">
            <w:pPr>
              <w:pStyle w:val="Tabletext"/>
              <w:jc w:val="center"/>
            </w:pPr>
            <w:r w:rsidRPr="00395A5A">
              <w:t>12</w:t>
            </w:r>
            <w:r w:rsidR="005217D6">
              <w:t>,</w:t>
            </w:r>
            <w:r w:rsidRPr="00395A5A">
              <w:t>1</w:t>
            </w:r>
          </w:p>
        </w:tc>
        <w:tc>
          <w:tcPr>
            <w:tcW w:w="1147" w:type="dxa"/>
            <w:tcBorders>
              <w:top w:val="nil"/>
              <w:left w:val="nil"/>
              <w:bottom w:val="single" w:sz="4" w:space="0" w:color="auto"/>
              <w:right w:val="single" w:sz="4" w:space="0" w:color="auto"/>
            </w:tcBorders>
            <w:shd w:val="clear" w:color="auto" w:fill="auto"/>
            <w:vAlign w:val="bottom"/>
            <w:hideMark/>
          </w:tcPr>
          <w:p w14:paraId="54DDDE4C" w14:textId="671ABD48" w:rsidR="00395A5A" w:rsidRPr="00395A5A" w:rsidRDefault="00395A5A" w:rsidP="005217D6">
            <w:pPr>
              <w:pStyle w:val="Tabletext"/>
              <w:jc w:val="center"/>
            </w:pPr>
            <w:r w:rsidRPr="00395A5A">
              <w:t>13</w:t>
            </w:r>
            <w:r w:rsidR="005217D6">
              <w:t>,</w:t>
            </w:r>
            <w:r w:rsidRPr="00395A5A">
              <w:t>6</w:t>
            </w:r>
          </w:p>
        </w:tc>
        <w:tc>
          <w:tcPr>
            <w:tcW w:w="1147" w:type="dxa"/>
            <w:tcBorders>
              <w:top w:val="nil"/>
              <w:left w:val="nil"/>
              <w:bottom w:val="single" w:sz="4" w:space="0" w:color="auto"/>
              <w:right w:val="single" w:sz="4" w:space="0" w:color="auto"/>
            </w:tcBorders>
            <w:shd w:val="clear" w:color="auto" w:fill="auto"/>
            <w:vAlign w:val="bottom"/>
            <w:hideMark/>
          </w:tcPr>
          <w:p w14:paraId="5EA5F8F4" w14:textId="2EB8684E" w:rsidR="00395A5A" w:rsidRPr="00395A5A" w:rsidRDefault="00395A5A" w:rsidP="005217D6">
            <w:pPr>
              <w:pStyle w:val="Tabletext"/>
              <w:jc w:val="center"/>
            </w:pPr>
            <w:r w:rsidRPr="00395A5A">
              <w:t>11</w:t>
            </w:r>
            <w:r w:rsidR="005217D6">
              <w:t>,</w:t>
            </w:r>
            <w:r w:rsidRPr="00395A5A">
              <w:t>2</w:t>
            </w:r>
          </w:p>
        </w:tc>
        <w:tc>
          <w:tcPr>
            <w:tcW w:w="1147" w:type="dxa"/>
            <w:tcBorders>
              <w:top w:val="nil"/>
              <w:left w:val="nil"/>
              <w:bottom w:val="single" w:sz="4" w:space="0" w:color="auto"/>
              <w:right w:val="single" w:sz="4" w:space="0" w:color="auto"/>
            </w:tcBorders>
            <w:shd w:val="clear" w:color="auto" w:fill="auto"/>
            <w:vAlign w:val="bottom"/>
            <w:hideMark/>
          </w:tcPr>
          <w:p w14:paraId="204C7F56" w14:textId="7E2052A9" w:rsidR="00395A5A" w:rsidRPr="00395A5A" w:rsidRDefault="00395A5A" w:rsidP="005217D6">
            <w:pPr>
              <w:pStyle w:val="Tabletext"/>
              <w:jc w:val="center"/>
            </w:pPr>
            <w:r w:rsidRPr="00395A5A">
              <w:t>10</w:t>
            </w:r>
            <w:r w:rsidR="005217D6">
              <w:t>,</w:t>
            </w:r>
            <w:r w:rsidRPr="00395A5A">
              <w:t>2</w:t>
            </w:r>
          </w:p>
        </w:tc>
      </w:tr>
      <w:tr w:rsidR="00395A5A" w:rsidRPr="00395A5A" w14:paraId="4D3CA472" w14:textId="77777777" w:rsidTr="005217D6">
        <w:trPr>
          <w:trHeight w:val="546"/>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57736F0A" w14:textId="0AD73867" w:rsidR="00395A5A" w:rsidRPr="00691A88" w:rsidRDefault="00691A88" w:rsidP="00691A88">
            <w:pPr>
              <w:pStyle w:val="Tabletext"/>
              <w:rPr>
                <w:lang w:val="ru-RU"/>
              </w:rPr>
            </w:pPr>
            <w:bookmarkStart w:id="23" w:name="lt_pId092"/>
            <w:r>
              <w:rPr>
                <w:lang w:val="ru-RU"/>
              </w:rPr>
              <w:t>Прочее</w:t>
            </w:r>
            <w:r w:rsidR="00395A5A" w:rsidRPr="00691A88">
              <w:rPr>
                <w:lang w:val="ru-RU"/>
              </w:rPr>
              <w:t xml:space="preserve"> (</w:t>
            </w:r>
            <w:r>
              <w:rPr>
                <w:lang w:val="ru-RU"/>
              </w:rPr>
              <w:t xml:space="preserve">нумерация, поддержка проектов, </w:t>
            </w:r>
            <w:r w:rsidR="00395A5A" w:rsidRPr="00395A5A">
              <w:t>ITU</w:t>
            </w:r>
            <w:r w:rsidR="00395A5A" w:rsidRPr="00691A88">
              <w:rPr>
                <w:lang w:val="ru-RU"/>
              </w:rPr>
              <w:t xml:space="preserve"> </w:t>
            </w:r>
            <w:r w:rsidR="00395A5A" w:rsidRPr="00395A5A">
              <w:t>Telecom</w:t>
            </w:r>
            <w:r w:rsidR="00395A5A" w:rsidRPr="00691A88">
              <w:rPr>
                <w:lang w:val="ru-RU"/>
              </w:rPr>
              <w:t>)</w:t>
            </w:r>
            <w:bookmarkEnd w:id="23"/>
          </w:p>
        </w:tc>
        <w:tc>
          <w:tcPr>
            <w:tcW w:w="1147" w:type="dxa"/>
            <w:tcBorders>
              <w:top w:val="nil"/>
              <w:left w:val="nil"/>
              <w:bottom w:val="single" w:sz="4" w:space="0" w:color="auto"/>
              <w:right w:val="single" w:sz="4" w:space="0" w:color="auto"/>
            </w:tcBorders>
            <w:shd w:val="clear" w:color="auto" w:fill="auto"/>
            <w:vAlign w:val="bottom"/>
            <w:hideMark/>
          </w:tcPr>
          <w:p w14:paraId="0277B77E" w14:textId="3A85C5BE" w:rsidR="00395A5A" w:rsidRPr="00395A5A" w:rsidRDefault="00395A5A" w:rsidP="005217D6">
            <w:pPr>
              <w:pStyle w:val="Tabletext"/>
              <w:jc w:val="center"/>
            </w:pPr>
            <w:r w:rsidRPr="00395A5A">
              <w:t>3</w:t>
            </w:r>
            <w:r w:rsidR="005217D6">
              <w:t>,</w:t>
            </w:r>
            <w:r w:rsidRPr="00395A5A">
              <w:t>4</w:t>
            </w:r>
          </w:p>
        </w:tc>
        <w:tc>
          <w:tcPr>
            <w:tcW w:w="1147" w:type="dxa"/>
            <w:tcBorders>
              <w:top w:val="nil"/>
              <w:left w:val="nil"/>
              <w:bottom w:val="single" w:sz="4" w:space="0" w:color="auto"/>
              <w:right w:val="single" w:sz="4" w:space="0" w:color="auto"/>
            </w:tcBorders>
            <w:shd w:val="clear" w:color="auto" w:fill="auto"/>
            <w:vAlign w:val="bottom"/>
            <w:hideMark/>
          </w:tcPr>
          <w:p w14:paraId="45C6FC9E" w14:textId="4BF50589" w:rsidR="00395A5A" w:rsidRPr="00395A5A" w:rsidRDefault="00395A5A" w:rsidP="005217D6">
            <w:pPr>
              <w:pStyle w:val="Tabletext"/>
              <w:jc w:val="center"/>
            </w:pPr>
            <w:r w:rsidRPr="00395A5A">
              <w:t>2</w:t>
            </w:r>
            <w:r w:rsidR="005217D6">
              <w:t>,</w:t>
            </w:r>
            <w:r w:rsidRPr="00395A5A">
              <w:t>6</w:t>
            </w:r>
          </w:p>
        </w:tc>
        <w:tc>
          <w:tcPr>
            <w:tcW w:w="1147" w:type="dxa"/>
            <w:tcBorders>
              <w:top w:val="nil"/>
              <w:left w:val="nil"/>
              <w:bottom w:val="single" w:sz="4" w:space="0" w:color="auto"/>
              <w:right w:val="single" w:sz="4" w:space="0" w:color="auto"/>
            </w:tcBorders>
            <w:shd w:val="clear" w:color="auto" w:fill="auto"/>
            <w:vAlign w:val="bottom"/>
            <w:hideMark/>
          </w:tcPr>
          <w:p w14:paraId="7DD61ACE" w14:textId="77777777" w:rsidR="00395A5A" w:rsidRPr="00395A5A" w:rsidRDefault="00395A5A" w:rsidP="005217D6">
            <w:pPr>
              <w:pStyle w:val="Tabletext"/>
              <w:jc w:val="center"/>
            </w:pPr>
            <w:r w:rsidRPr="00395A5A">
              <w:t>1</w:t>
            </w:r>
          </w:p>
        </w:tc>
        <w:tc>
          <w:tcPr>
            <w:tcW w:w="1147" w:type="dxa"/>
            <w:tcBorders>
              <w:top w:val="nil"/>
              <w:left w:val="nil"/>
              <w:bottom w:val="single" w:sz="4" w:space="0" w:color="auto"/>
              <w:right w:val="single" w:sz="4" w:space="0" w:color="auto"/>
            </w:tcBorders>
            <w:shd w:val="clear" w:color="auto" w:fill="auto"/>
            <w:vAlign w:val="bottom"/>
            <w:hideMark/>
          </w:tcPr>
          <w:p w14:paraId="19CF46C7" w14:textId="2C9FC926" w:rsidR="00395A5A" w:rsidRPr="00395A5A" w:rsidRDefault="00395A5A" w:rsidP="005217D6">
            <w:pPr>
              <w:pStyle w:val="Tabletext"/>
              <w:jc w:val="center"/>
            </w:pPr>
            <w:r w:rsidRPr="00395A5A">
              <w:t>0</w:t>
            </w:r>
            <w:r w:rsidR="005217D6">
              <w:t>,</w:t>
            </w:r>
            <w:r w:rsidRPr="00395A5A">
              <w:t>9</w:t>
            </w:r>
          </w:p>
        </w:tc>
        <w:tc>
          <w:tcPr>
            <w:tcW w:w="1147" w:type="dxa"/>
            <w:tcBorders>
              <w:top w:val="nil"/>
              <w:left w:val="nil"/>
              <w:bottom w:val="single" w:sz="4" w:space="0" w:color="auto"/>
              <w:right w:val="single" w:sz="4" w:space="0" w:color="auto"/>
            </w:tcBorders>
            <w:shd w:val="clear" w:color="auto" w:fill="auto"/>
            <w:vAlign w:val="bottom"/>
            <w:hideMark/>
          </w:tcPr>
          <w:p w14:paraId="3FDAF02C" w14:textId="27331493" w:rsidR="00395A5A" w:rsidRPr="00395A5A" w:rsidRDefault="00395A5A" w:rsidP="005217D6">
            <w:pPr>
              <w:pStyle w:val="Tabletext"/>
              <w:jc w:val="center"/>
            </w:pPr>
            <w:r w:rsidRPr="00395A5A">
              <w:t>1</w:t>
            </w:r>
            <w:r w:rsidR="005217D6">
              <w:t>,</w:t>
            </w:r>
            <w:r w:rsidRPr="00395A5A">
              <w:t>25</w:t>
            </w:r>
          </w:p>
        </w:tc>
      </w:tr>
      <w:tr w:rsidR="00395A5A" w:rsidRPr="00395A5A" w14:paraId="3A0B08CE" w14:textId="77777777" w:rsidTr="005217D6">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2A7D88CD" w14:textId="0034757B" w:rsidR="00395A5A" w:rsidRPr="00691A88" w:rsidRDefault="00691A88" w:rsidP="005217D6">
            <w:pPr>
              <w:pStyle w:val="Tabletext"/>
              <w:rPr>
                <w:lang w:val="ru-RU"/>
              </w:rPr>
            </w:pPr>
            <w:r>
              <w:rPr>
                <w:lang w:val="ru-RU"/>
              </w:rPr>
              <w:t>Добровольные взносы</w:t>
            </w:r>
          </w:p>
        </w:tc>
        <w:tc>
          <w:tcPr>
            <w:tcW w:w="1147" w:type="dxa"/>
            <w:tcBorders>
              <w:top w:val="nil"/>
              <w:left w:val="nil"/>
              <w:bottom w:val="single" w:sz="4" w:space="0" w:color="auto"/>
              <w:right w:val="single" w:sz="4" w:space="0" w:color="auto"/>
            </w:tcBorders>
            <w:shd w:val="clear" w:color="auto" w:fill="auto"/>
            <w:vAlign w:val="bottom"/>
            <w:hideMark/>
          </w:tcPr>
          <w:p w14:paraId="2CF5DCB7" w14:textId="0B6B7FB1" w:rsidR="00395A5A" w:rsidRPr="00395A5A" w:rsidRDefault="00395A5A" w:rsidP="005217D6">
            <w:pPr>
              <w:pStyle w:val="Tabletext"/>
              <w:jc w:val="center"/>
            </w:pPr>
            <w:r w:rsidRPr="00395A5A">
              <w:t>13</w:t>
            </w:r>
            <w:r w:rsidR="005217D6">
              <w:t>,</w:t>
            </w:r>
            <w:r w:rsidRPr="00395A5A">
              <w:t>8</w:t>
            </w:r>
          </w:p>
        </w:tc>
        <w:tc>
          <w:tcPr>
            <w:tcW w:w="1147" w:type="dxa"/>
            <w:tcBorders>
              <w:top w:val="nil"/>
              <w:left w:val="nil"/>
              <w:bottom w:val="single" w:sz="4" w:space="0" w:color="auto"/>
              <w:right w:val="single" w:sz="4" w:space="0" w:color="auto"/>
            </w:tcBorders>
            <w:shd w:val="clear" w:color="auto" w:fill="auto"/>
            <w:vAlign w:val="bottom"/>
            <w:hideMark/>
          </w:tcPr>
          <w:p w14:paraId="6F2133D1" w14:textId="77777777" w:rsidR="00395A5A" w:rsidRPr="00395A5A" w:rsidRDefault="00395A5A" w:rsidP="005217D6">
            <w:pPr>
              <w:pStyle w:val="Tabletext"/>
              <w:jc w:val="center"/>
            </w:pPr>
            <w:r w:rsidRPr="00395A5A">
              <w:t>14</w:t>
            </w:r>
          </w:p>
        </w:tc>
        <w:tc>
          <w:tcPr>
            <w:tcW w:w="1147" w:type="dxa"/>
            <w:tcBorders>
              <w:top w:val="nil"/>
              <w:left w:val="nil"/>
              <w:bottom w:val="single" w:sz="4" w:space="0" w:color="auto"/>
              <w:right w:val="single" w:sz="4" w:space="0" w:color="auto"/>
            </w:tcBorders>
            <w:shd w:val="clear" w:color="auto" w:fill="auto"/>
            <w:vAlign w:val="bottom"/>
            <w:hideMark/>
          </w:tcPr>
          <w:p w14:paraId="67CDC2DF" w14:textId="620F78AF" w:rsidR="00395A5A" w:rsidRPr="00395A5A" w:rsidRDefault="00395A5A" w:rsidP="005217D6">
            <w:pPr>
              <w:pStyle w:val="Tabletext"/>
              <w:jc w:val="center"/>
            </w:pPr>
            <w:r w:rsidRPr="00395A5A">
              <w:t>10</w:t>
            </w:r>
            <w:r w:rsidR="005217D6">
              <w:t>,</w:t>
            </w:r>
            <w:r w:rsidRPr="00395A5A">
              <w:t>8</w:t>
            </w:r>
          </w:p>
        </w:tc>
        <w:tc>
          <w:tcPr>
            <w:tcW w:w="1147" w:type="dxa"/>
            <w:tcBorders>
              <w:top w:val="nil"/>
              <w:left w:val="nil"/>
              <w:bottom w:val="single" w:sz="4" w:space="0" w:color="auto"/>
              <w:right w:val="single" w:sz="4" w:space="0" w:color="auto"/>
            </w:tcBorders>
            <w:shd w:val="clear" w:color="auto" w:fill="auto"/>
            <w:vAlign w:val="bottom"/>
            <w:hideMark/>
          </w:tcPr>
          <w:p w14:paraId="5BB9DF38" w14:textId="3A9DE7FC" w:rsidR="00395A5A" w:rsidRPr="00395A5A" w:rsidRDefault="00395A5A" w:rsidP="005217D6">
            <w:pPr>
              <w:pStyle w:val="Tabletext"/>
              <w:jc w:val="center"/>
            </w:pPr>
            <w:r w:rsidRPr="00395A5A">
              <w:t>19</w:t>
            </w:r>
            <w:r w:rsidR="005217D6">
              <w:t>,</w:t>
            </w:r>
            <w:r w:rsidRPr="00395A5A">
              <w:t>9</w:t>
            </w:r>
          </w:p>
        </w:tc>
        <w:tc>
          <w:tcPr>
            <w:tcW w:w="1147" w:type="dxa"/>
            <w:tcBorders>
              <w:top w:val="nil"/>
              <w:left w:val="nil"/>
              <w:bottom w:val="single" w:sz="4" w:space="0" w:color="auto"/>
              <w:right w:val="single" w:sz="4" w:space="0" w:color="auto"/>
            </w:tcBorders>
            <w:shd w:val="clear" w:color="auto" w:fill="auto"/>
            <w:vAlign w:val="bottom"/>
            <w:hideMark/>
          </w:tcPr>
          <w:p w14:paraId="04B54B01" w14:textId="72F30864" w:rsidR="00395A5A" w:rsidRPr="00395A5A" w:rsidRDefault="00395A5A" w:rsidP="005217D6">
            <w:pPr>
              <w:pStyle w:val="Tabletext"/>
              <w:jc w:val="center"/>
            </w:pPr>
            <w:r w:rsidRPr="00395A5A">
              <w:t>12</w:t>
            </w:r>
            <w:r w:rsidR="005217D6">
              <w:t>,</w:t>
            </w:r>
            <w:r w:rsidRPr="00395A5A">
              <w:t>8</w:t>
            </w:r>
          </w:p>
        </w:tc>
      </w:tr>
    </w:tbl>
    <w:p w14:paraId="4B2E73A4" w14:textId="77777777" w:rsidR="00691A88" w:rsidRDefault="00395A5A" w:rsidP="005217D6">
      <w:pPr>
        <w:pStyle w:val="Headingb"/>
        <w:rPr>
          <w:lang w:val="ru-RU"/>
        </w:rPr>
      </w:pPr>
      <w:bookmarkStart w:id="24" w:name="lt_pId104"/>
      <w:r w:rsidRPr="00395A5A">
        <w:rPr>
          <w:lang w:val="en-US"/>
        </w:rPr>
        <w:t>b</w:t>
      </w:r>
      <w:bookmarkEnd w:id="24"/>
      <w:r w:rsidR="005217D6" w:rsidRPr="005217D6">
        <w:t>)</w:t>
      </w:r>
      <w:r w:rsidRPr="00395A5A">
        <w:rPr>
          <w:lang w:val="en-US"/>
        </w:rPr>
        <w:tab/>
      </w:r>
      <w:bookmarkStart w:id="25" w:name="lt_pId105"/>
      <w:r w:rsidR="00691A88" w:rsidRPr="004A7096">
        <w:rPr>
          <w:lang w:val="ru-RU"/>
        </w:rPr>
        <w:t>Обзор внебюджетных источников финансирования</w:t>
      </w:r>
      <w:r w:rsidR="00691A88" w:rsidRPr="00691A88">
        <w:rPr>
          <w:lang w:val="en-US"/>
        </w:rPr>
        <w:t xml:space="preserve"> </w:t>
      </w:r>
    </w:p>
    <w:p w14:paraId="4A1FC98B" w14:textId="093E1493" w:rsidR="00691A88" w:rsidRDefault="00921490" w:rsidP="00395A5A">
      <w:pPr>
        <w:rPr>
          <w:lang w:val="ru-RU"/>
        </w:rPr>
      </w:pPr>
      <w:bookmarkStart w:id="26" w:name="lt_pId106"/>
      <w:bookmarkEnd w:id="25"/>
      <w:r>
        <w:rPr>
          <w:lang w:val="ru-RU"/>
        </w:rPr>
        <w:t>В 2022 </w:t>
      </w:r>
      <w:r w:rsidRPr="00921490">
        <w:rPr>
          <w:lang w:val="ru-RU"/>
        </w:rPr>
        <w:t>году в качестве внебюджетного финансирования было получено в общей сложности 12,8</w:t>
      </w:r>
      <w:r>
        <w:rPr>
          <w:lang w:val="ru-RU"/>
        </w:rPr>
        <w:t> </w:t>
      </w:r>
      <w:r w:rsidRPr="00921490">
        <w:rPr>
          <w:lang w:val="ru-RU"/>
        </w:rPr>
        <w:t>млн</w:t>
      </w:r>
      <w:r w:rsidR="004A7096">
        <w:rPr>
          <w:lang w:val="ru-RU"/>
        </w:rPr>
        <w:t>.</w:t>
      </w:r>
      <w:r w:rsidRPr="00921490">
        <w:rPr>
          <w:lang w:val="ru-RU"/>
        </w:rPr>
        <w:t xml:space="preserve"> швейцарских франков, из которых 56</w:t>
      </w:r>
      <w:r w:rsidR="0041275C">
        <w:rPr>
          <w:lang w:val="ru-RU"/>
        </w:rPr>
        <w:t> процентов</w:t>
      </w:r>
      <w:r w:rsidRPr="00921490">
        <w:rPr>
          <w:lang w:val="ru-RU"/>
        </w:rPr>
        <w:t xml:space="preserve"> </w:t>
      </w:r>
      <w:r>
        <w:rPr>
          <w:lang w:val="ru-RU"/>
        </w:rPr>
        <w:t xml:space="preserve">было получено на </w:t>
      </w:r>
      <w:r w:rsidR="00C75E5D">
        <w:rPr>
          <w:lang w:val="ru-RU"/>
        </w:rPr>
        <w:t xml:space="preserve">финансирование </w:t>
      </w:r>
      <w:r>
        <w:rPr>
          <w:lang w:val="ru-RU"/>
        </w:rPr>
        <w:t>проект</w:t>
      </w:r>
      <w:r w:rsidR="00C75E5D">
        <w:rPr>
          <w:lang w:val="ru-RU"/>
        </w:rPr>
        <w:t>ов</w:t>
      </w:r>
      <w:r>
        <w:rPr>
          <w:lang w:val="ru-RU"/>
        </w:rPr>
        <w:t>, 19</w:t>
      </w:r>
      <w:r w:rsidR="0041275C">
        <w:rPr>
          <w:lang w:val="ru-RU"/>
        </w:rPr>
        <w:t> процентов</w:t>
      </w:r>
      <w:r>
        <w:rPr>
          <w:lang w:val="ru-RU"/>
        </w:rPr>
        <w:t xml:space="preserve"> </w:t>
      </w:r>
      <w:r w:rsidRPr="00395A5A">
        <w:rPr>
          <w:lang w:val="ru-RU"/>
        </w:rPr>
        <w:t>–</w:t>
      </w:r>
      <w:r>
        <w:rPr>
          <w:lang w:val="ru-RU"/>
        </w:rPr>
        <w:t xml:space="preserve"> </w:t>
      </w:r>
      <w:r w:rsidRPr="00921490">
        <w:rPr>
          <w:lang w:val="ru-RU"/>
        </w:rPr>
        <w:t>по причинам, связанным с персоналом, таким как прикомандирование или заем, 15</w:t>
      </w:r>
      <w:r w:rsidR="0041275C">
        <w:rPr>
          <w:lang w:val="ru-RU"/>
        </w:rPr>
        <w:t> процентов</w:t>
      </w:r>
      <w:r>
        <w:rPr>
          <w:lang w:val="ru-RU"/>
        </w:rPr>
        <w:t xml:space="preserve"> </w:t>
      </w:r>
      <w:r w:rsidRPr="00395A5A">
        <w:rPr>
          <w:lang w:val="ru-RU"/>
        </w:rPr>
        <w:t>–</w:t>
      </w:r>
      <w:r>
        <w:rPr>
          <w:lang w:val="ru-RU"/>
        </w:rPr>
        <w:t xml:space="preserve"> в качестве спонсорской поддержки </w:t>
      </w:r>
      <w:r w:rsidRPr="00921490">
        <w:rPr>
          <w:lang w:val="ru-RU"/>
        </w:rPr>
        <w:t>мероприятий (в основном "ИИ во благо", ВВУИО, Комиссия по широкополосной связи и молодежный</w:t>
      </w:r>
      <w:r w:rsidR="0041275C">
        <w:rPr>
          <w:lang w:val="ru-RU"/>
        </w:rPr>
        <w:t xml:space="preserve"> саммит) и 10 процентов</w:t>
      </w:r>
      <w:r w:rsidRPr="00921490">
        <w:rPr>
          <w:lang w:val="ru-RU"/>
        </w:rPr>
        <w:t xml:space="preserve"> </w:t>
      </w:r>
      <w:r w:rsidR="00C75E5D" w:rsidRPr="00395A5A">
        <w:rPr>
          <w:lang w:val="ru-RU"/>
        </w:rPr>
        <w:t>–</w:t>
      </w:r>
      <w:r w:rsidR="00C75E5D">
        <w:rPr>
          <w:lang w:val="ru-RU"/>
        </w:rPr>
        <w:t xml:space="preserve"> </w:t>
      </w:r>
      <w:r w:rsidRPr="00921490">
        <w:rPr>
          <w:lang w:val="ru-RU"/>
        </w:rPr>
        <w:t>взносы</w:t>
      </w:r>
      <w:r w:rsidR="00C75E5D">
        <w:rPr>
          <w:lang w:val="ru-RU"/>
        </w:rPr>
        <w:t xml:space="preserve"> на прочие цели</w:t>
      </w:r>
      <w:r w:rsidRPr="00921490">
        <w:rPr>
          <w:lang w:val="ru-RU"/>
        </w:rPr>
        <w:t>.</w:t>
      </w:r>
      <w:r>
        <w:rPr>
          <w:lang w:val="ru-RU"/>
        </w:rPr>
        <w:t xml:space="preserve"> </w:t>
      </w:r>
    </w:p>
    <w:p w14:paraId="06A4985E" w14:textId="7988C1CB" w:rsidR="00C75E5D" w:rsidRDefault="00C75E5D" w:rsidP="00395A5A">
      <w:pPr>
        <w:rPr>
          <w:lang w:val="ru-RU"/>
        </w:rPr>
      </w:pPr>
      <w:bookmarkStart w:id="27" w:name="lt_pId107"/>
      <w:bookmarkEnd w:id="26"/>
      <w:r w:rsidRPr="00C75E5D">
        <w:rPr>
          <w:lang w:val="ru-RU"/>
        </w:rPr>
        <w:lastRenderedPageBreak/>
        <w:t>Внебюджетное финансиро</w:t>
      </w:r>
      <w:r>
        <w:rPr>
          <w:lang w:val="ru-RU"/>
        </w:rPr>
        <w:t>вание составило приблизительно восемь</w:t>
      </w:r>
      <w:r w:rsidRPr="00C75E5D">
        <w:rPr>
          <w:lang w:val="ru-RU"/>
        </w:rPr>
        <w:t xml:space="preserve"> процентов от о</w:t>
      </w:r>
      <w:r>
        <w:rPr>
          <w:lang w:val="ru-RU"/>
        </w:rPr>
        <w:t xml:space="preserve">бщего объема </w:t>
      </w:r>
      <w:r w:rsidR="00DB5EF2">
        <w:rPr>
          <w:lang w:val="ru-RU"/>
        </w:rPr>
        <w:t>доходов</w:t>
      </w:r>
      <w:r>
        <w:rPr>
          <w:lang w:val="ru-RU"/>
        </w:rPr>
        <w:t xml:space="preserve"> в 2022 </w:t>
      </w:r>
      <w:r w:rsidRPr="00C75E5D">
        <w:rPr>
          <w:lang w:val="ru-RU"/>
        </w:rPr>
        <w:t>году. Эта доля явл</w:t>
      </w:r>
      <w:r w:rsidR="00020C28">
        <w:rPr>
          <w:lang w:val="ru-RU"/>
        </w:rPr>
        <w:t>яется небольшой по сравнению с аналогичным показателем во</w:t>
      </w:r>
      <w:r w:rsidR="00811667">
        <w:rPr>
          <w:lang w:val="ru-RU"/>
        </w:rPr>
        <w:t xml:space="preserve"> многих других учреждениях системы</w:t>
      </w:r>
      <w:r w:rsidRPr="00C75E5D">
        <w:rPr>
          <w:lang w:val="ru-RU"/>
        </w:rPr>
        <w:t xml:space="preserve"> О</w:t>
      </w:r>
      <w:r w:rsidR="00DB5EF2">
        <w:rPr>
          <w:lang w:val="ru-RU"/>
        </w:rPr>
        <w:t>рганизации Объединенных Наций</w:t>
      </w:r>
      <w:r w:rsidRPr="00C75E5D">
        <w:rPr>
          <w:lang w:val="ru-RU"/>
        </w:rPr>
        <w:t>, включая другие специализированные учреждения, которые в основном полагаются на начисленные взносы</w:t>
      </w:r>
      <w:r>
        <w:rPr>
          <w:lang w:val="ru-RU"/>
        </w:rPr>
        <w:t>.</w:t>
      </w:r>
    </w:p>
    <w:bookmarkEnd w:id="27"/>
    <w:p w14:paraId="4DA7D16C" w14:textId="72C82100" w:rsidR="00C75E5D" w:rsidRPr="00C75E5D" w:rsidRDefault="00C75E5D" w:rsidP="00395A5A">
      <w:pPr>
        <w:rPr>
          <w:lang w:val="ru-RU"/>
        </w:rPr>
      </w:pPr>
      <w:r>
        <w:rPr>
          <w:lang w:val="ru-RU"/>
        </w:rPr>
        <w:t>В 2022 </w:t>
      </w:r>
      <w:r w:rsidRPr="00C75E5D">
        <w:rPr>
          <w:lang w:val="ru-RU"/>
        </w:rPr>
        <w:t xml:space="preserve">году внебюджетное финансирование было распределено </w:t>
      </w:r>
      <w:r w:rsidR="004F2DC5">
        <w:rPr>
          <w:lang w:val="ru-RU"/>
        </w:rPr>
        <w:t>по всему</w:t>
      </w:r>
      <w:r w:rsidRPr="00C75E5D">
        <w:rPr>
          <w:lang w:val="ru-RU"/>
        </w:rPr>
        <w:t xml:space="preserve"> МСЭ, при этом Б</w:t>
      </w:r>
      <w:r>
        <w:rPr>
          <w:lang w:val="ru-RU"/>
        </w:rPr>
        <w:t>РЭ</w:t>
      </w:r>
      <w:r w:rsidRPr="00C75E5D">
        <w:rPr>
          <w:lang w:val="ru-RU"/>
        </w:rPr>
        <w:t xml:space="preserve"> получил</w:t>
      </w:r>
      <w:r>
        <w:rPr>
          <w:lang w:val="ru-RU"/>
        </w:rPr>
        <w:t>о</w:t>
      </w:r>
      <w:r w:rsidRPr="00C75E5D">
        <w:rPr>
          <w:lang w:val="ru-RU"/>
        </w:rPr>
        <w:t xml:space="preserve"> 64</w:t>
      </w:r>
      <w:r w:rsidR="00811667">
        <w:rPr>
          <w:lang w:val="ru-RU"/>
        </w:rPr>
        <w:t> процента</w:t>
      </w:r>
      <w:r w:rsidRPr="00C75E5D">
        <w:rPr>
          <w:lang w:val="ru-RU"/>
        </w:rPr>
        <w:t xml:space="preserve">, </w:t>
      </w:r>
      <w:r>
        <w:rPr>
          <w:lang w:val="ru-RU"/>
        </w:rPr>
        <w:t>БСЭ</w:t>
      </w:r>
      <w:r w:rsidRPr="00C75E5D">
        <w:rPr>
          <w:lang w:val="ru-RU"/>
        </w:rPr>
        <w:t xml:space="preserve"> </w:t>
      </w:r>
      <w:r w:rsidRPr="00395A5A">
        <w:rPr>
          <w:lang w:val="ru-RU"/>
        </w:rPr>
        <w:t>–</w:t>
      </w:r>
      <w:r w:rsidRPr="00C75E5D">
        <w:rPr>
          <w:lang w:val="ru-RU"/>
        </w:rPr>
        <w:t xml:space="preserve"> 18</w:t>
      </w:r>
      <w:r w:rsidR="00811667">
        <w:rPr>
          <w:lang w:val="ru-RU"/>
        </w:rPr>
        <w:t> процентов</w:t>
      </w:r>
      <w:r w:rsidRPr="00C75E5D">
        <w:rPr>
          <w:lang w:val="ru-RU"/>
        </w:rPr>
        <w:t xml:space="preserve">, БР </w:t>
      </w:r>
      <w:r w:rsidRPr="00395A5A">
        <w:rPr>
          <w:lang w:val="ru-RU"/>
        </w:rPr>
        <w:t>–</w:t>
      </w:r>
      <w:r w:rsidRPr="00C75E5D">
        <w:rPr>
          <w:lang w:val="ru-RU"/>
        </w:rPr>
        <w:t xml:space="preserve"> 2</w:t>
      </w:r>
      <w:r w:rsidR="00811667">
        <w:rPr>
          <w:lang w:val="ru-RU"/>
        </w:rPr>
        <w:t> процента</w:t>
      </w:r>
      <w:r w:rsidRPr="00C75E5D">
        <w:rPr>
          <w:lang w:val="ru-RU"/>
        </w:rPr>
        <w:t xml:space="preserve"> и Генеральный секретариат </w:t>
      </w:r>
      <w:r w:rsidRPr="00395A5A">
        <w:rPr>
          <w:lang w:val="ru-RU"/>
        </w:rPr>
        <w:t>–</w:t>
      </w:r>
      <w:r w:rsidRPr="00C75E5D">
        <w:rPr>
          <w:lang w:val="ru-RU"/>
        </w:rPr>
        <w:t xml:space="preserve"> 16</w:t>
      </w:r>
      <w:r w:rsidR="00811667">
        <w:rPr>
          <w:lang w:val="ru-RU"/>
        </w:rPr>
        <w:t> процентов</w:t>
      </w:r>
      <w:r w:rsidRPr="00C75E5D">
        <w:rPr>
          <w:lang w:val="ru-RU"/>
        </w:rPr>
        <w:t xml:space="preserve">. </w:t>
      </w:r>
      <w:r w:rsidR="00811667">
        <w:rPr>
          <w:lang w:val="ru-RU"/>
        </w:rPr>
        <w:t>Перечень основных доноров за</w:t>
      </w:r>
      <w:r>
        <w:rPr>
          <w:lang w:val="ru-RU"/>
        </w:rPr>
        <w:t xml:space="preserve"> 2022 </w:t>
      </w:r>
      <w:r w:rsidRPr="00C75E5D">
        <w:rPr>
          <w:lang w:val="ru-RU"/>
        </w:rPr>
        <w:t xml:space="preserve">год приведен в </w:t>
      </w:r>
      <w:hyperlink w:anchor="Annex_1" w:history="1">
        <w:r>
          <w:rPr>
            <w:rStyle w:val="Hyperlink"/>
            <w:lang w:val="ru-RU"/>
          </w:rPr>
          <w:t>Приложении </w:t>
        </w:r>
        <w:r w:rsidRPr="00C75E5D">
          <w:rPr>
            <w:rStyle w:val="Hyperlink"/>
            <w:lang w:val="ru-RU"/>
          </w:rPr>
          <w:t>1</w:t>
        </w:r>
      </w:hyperlink>
      <w:r w:rsidRPr="00C75E5D">
        <w:rPr>
          <w:lang w:val="ru-RU"/>
        </w:rPr>
        <w:t xml:space="preserve"> к настоящему документу</w:t>
      </w:r>
      <w:r>
        <w:rPr>
          <w:lang w:val="ru-RU"/>
        </w:rPr>
        <w:t>.</w:t>
      </w:r>
    </w:p>
    <w:p w14:paraId="50D58AFD" w14:textId="7A5DA317" w:rsidR="00C75E5D" w:rsidRPr="00D37683" w:rsidRDefault="00C75E5D" w:rsidP="00395A5A">
      <w:pPr>
        <w:rPr>
          <w:lang w:val="ru-RU"/>
        </w:rPr>
      </w:pPr>
      <w:r w:rsidRPr="00C75E5D">
        <w:rPr>
          <w:lang w:val="ru-RU"/>
        </w:rPr>
        <w:t>В 2022</w:t>
      </w:r>
      <w:r>
        <w:rPr>
          <w:lang w:val="ru-RU"/>
        </w:rPr>
        <w:t> </w:t>
      </w:r>
      <w:r w:rsidRPr="00C75E5D">
        <w:rPr>
          <w:lang w:val="ru-RU"/>
        </w:rPr>
        <w:t>году 65</w:t>
      </w:r>
      <w:r w:rsidR="0041275C">
        <w:rPr>
          <w:lang w:val="ru-RU"/>
        </w:rPr>
        <w:t> процентов</w:t>
      </w:r>
      <w:r w:rsidRPr="00C75E5D">
        <w:rPr>
          <w:lang w:val="ru-RU"/>
        </w:rPr>
        <w:t xml:space="preserve"> внебюджетно</w:t>
      </w:r>
      <w:r w:rsidR="00D469A7">
        <w:rPr>
          <w:lang w:val="ru-RU"/>
        </w:rPr>
        <w:t xml:space="preserve">го финансирования в размере </w:t>
      </w:r>
      <w:r w:rsidRPr="00C75E5D">
        <w:rPr>
          <w:lang w:val="ru-RU"/>
        </w:rPr>
        <w:t>8,4</w:t>
      </w:r>
      <w:r>
        <w:rPr>
          <w:lang w:val="ru-RU"/>
        </w:rPr>
        <w:t> </w:t>
      </w:r>
      <w:r w:rsidRPr="00C75E5D">
        <w:rPr>
          <w:lang w:val="ru-RU"/>
        </w:rPr>
        <w:t>млн</w:t>
      </w:r>
      <w:r w:rsidR="004A7096">
        <w:rPr>
          <w:lang w:val="ru-RU"/>
        </w:rPr>
        <w:t>.</w:t>
      </w:r>
      <w:r w:rsidR="00D469A7">
        <w:rPr>
          <w:lang w:val="ru-RU"/>
        </w:rPr>
        <w:t xml:space="preserve"> швейцарских франков</w:t>
      </w:r>
      <w:r w:rsidRPr="00C75E5D">
        <w:rPr>
          <w:lang w:val="ru-RU"/>
        </w:rPr>
        <w:t xml:space="preserve"> поступило от </w:t>
      </w:r>
      <w:r w:rsidR="00D469A7">
        <w:rPr>
          <w:lang w:val="ru-RU"/>
        </w:rPr>
        <w:t>Государств-Ч</w:t>
      </w:r>
      <w:r w:rsidRPr="00C75E5D">
        <w:rPr>
          <w:lang w:val="ru-RU"/>
        </w:rPr>
        <w:t xml:space="preserve">ленов, </w:t>
      </w:r>
      <w:r w:rsidR="00D469A7">
        <w:rPr>
          <w:lang w:val="ru-RU"/>
        </w:rPr>
        <w:t xml:space="preserve">при этом большая часть </w:t>
      </w:r>
      <w:r w:rsidR="00D469A7" w:rsidRPr="00395A5A">
        <w:rPr>
          <w:lang w:val="ru-RU"/>
        </w:rPr>
        <w:t>–</w:t>
      </w:r>
      <w:r w:rsidRPr="00C75E5D">
        <w:rPr>
          <w:lang w:val="ru-RU"/>
        </w:rPr>
        <w:t xml:space="preserve"> </w:t>
      </w:r>
      <w:r w:rsidR="00D469A7">
        <w:rPr>
          <w:lang w:val="ru-RU"/>
        </w:rPr>
        <w:t>порядка 3,8 </w:t>
      </w:r>
      <w:r w:rsidRPr="00C75E5D">
        <w:rPr>
          <w:lang w:val="ru-RU"/>
        </w:rPr>
        <w:t>млн</w:t>
      </w:r>
      <w:r w:rsidR="004A7096">
        <w:rPr>
          <w:lang w:val="ru-RU"/>
        </w:rPr>
        <w:t xml:space="preserve">. </w:t>
      </w:r>
      <w:r w:rsidRPr="00C75E5D">
        <w:rPr>
          <w:lang w:val="ru-RU"/>
        </w:rPr>
        <w:t>швейцарских франков</w:t>
      </w:r>
      <w:r w:rsidR="00D469A7">
        <w:rPr>
          <w:lang w:val="ru-RU"/>
        </w:rPr>
        <w:t xml:space="preserve"> </w:t>
      </w:r>
      <w:r w:rsidR="00D469A7" w:rsidRPr="00395A5A">
        <w:rPr>
          <w:lang w:val="ru-RU"/>
        </w:rPr>
        <w:t>–</w:t>
      </w:r>
      <w:r w:rsidRPr="00C75E5D">
        <w:rPr>
          <w:lang w:val="ru-RU"/>
        </w:rPr>
        <w:t xml:space="preserve"> поступила от национальных агентств развития и министерств иностранных дел. </w:t>
      </w:r>
      <w:r w:rsidRPr="00D469A7">
        <w:rPr>
          <w:lang w:val="ru-RU"/>
        </w:rPr>
        <w:t>Существует потенциал для углубления</w:t>
      </w:r>
      <w:r w:rsidR="00D469A7">
        <w:rPr>
          <w:lang w:val="ru-RU"/>
        </w:rPr>
        <w:t xml:space="preserve"> сотрудничества с организациями, занимающимися оказанием </w:t>
      </w:r>
      <w:r w:rsidRPr="00D469A7">
        <w:rPr>
          <w:lang w:val="ru-RU"/>
        </w:rPr>
        <w:t xml:space="preserve">официальной помощи </w:t>
      </w:r>
      <w:r w:rsidR="00D469A7">
        <w:rPr>
          <w:lang w:val="ru-RU"/>
        </w:rPr>
        <w:t>в целях развития</w:t>
      </w:r>
      <w:r w:rsidRPr="00D469A7">
        <w:rPr>
          <w:lang w:val="ru-RU"/>
        </w:rPr>
        <w:t xml:space="preserve"> (ОПР)</w:t>
      </w:r>
      <w:r w:rsidR="00D469A7">
        <w:rPr>
          <w:lang w:val="ru-RU"/>
        </w:rPr>
        <w:t>,</w:t>
      </w:r>
      <w:r w:rsidRPr="00D469A7">
        <w:rPr>
          <w:lang w:val="ru-RU"/>
        </w:rPr>
        <w:t xml:space="preserve"> по проектам и технической помощи, поскольку до настоящего времени МСЭ сотрудничал лишь с некоторыми из них. См</w:t>
      </w:r>
      <w:r w:rsidRPr="00D37683">
        <w:rPr>
          <w:lang w:val="ru-RU"/>
        </w:rPr>
        <w:t xml:space="preserve">. </w:t>
      </w:r>
      <w:hyperlink w:anchor="Annex_2" w:history="1">
        <w:r>
          <w:rPr>
            <w:rStyle w:val="Hyperlink"/>
            <w:lang w:val="ru-RU"/>
          </w:rPr>
          <w:t>Приложение</w:t>
        </w:r>
        <w:r w:rsidRPr="00A27C69">
          <w:rPr>
            <w:rStyle w:val="Hyperlink"/>
            <w:lang w:val="en-US"/>
          </w:rPr>
          <w:t> </w:t>
        </w:r>
        <w:r w:rsidRPr="00D37683">
          <w:rPr>
            <w:rStyle w:val="Hyperlink"/>
            <w:lang w:val="ru-RU"/>
          </w:rPr>
          <w:t>2</w:t>
        </w:r>
      </w:hyperlink>
      <w:r w:rsidRPr="00D37683">
        <w:rPr>
          <w:lang w:val="ru-RU"/>
        </w:rPr>
        <w:t xml:space="preserve"> </w:t>
      </w:r>
      <w:r w:rsidRPr="00DB5EF2">
        <w:rPr>
          <w:lang w:val="ru-RU"/>
        </w:rPr>
        <w:t>к настоящему документу</w:t>
      </w:r>
      <w:r w:rsidRPr="00D37683">
        <w:rPr>
          <w:lang w:val="ru-RU"/>
        </w:rPr>
        <w:t>.</w:t>
      </w:r>
    </w:p>
    <w:p w14:paraId="61208658" w14:textId="4E707B8B" w:rsidR="00D469A7" w:rsidRDefault="00D469A7" w:rsidP="00395A5A">
      <w:pPr>
        <w:rPr>
          <w:lang w:val="ru-RU"/>
        </w:rPr>
      </w:pPr>
      <w:bookmarkStart w:id="28" w:name="lt_pId114"/>
      <w:r w:rsidRPr="00D469A7">
        <w:rPr>
          <w:lang w:val="ru-RU"/>
        </w:rPr>
        <w:t>Что касается внебюджетных взносов частно</w:t>
      </w:r>
      <w:r>
        <w:rPr>
          <w:lang w:val="ru-RU"/>
        </w:rPr>
        <w:t>го сектора, в 2022 </w:t>
      </w:r>
      <w:r w:rsidRPr="00D469A7">
        <w:rPr>
          <w:lang w:val="ru-RU"/>
        </w:rPr>
        <w:t>году</w:t>
      </w:r>
      <w:r>
        <w:rPr>
          <w:lang w:val="ru-RU"/>
        </w:rPr>
        <w:t xml:space="preserve"> МСЭ привлек 1,9 </w:t>
      </w:r>
      <w:r w:rsidRPr="00D469A7">
        <w:rPr>
          <w:lang w:val="ru-RU"/>
        </w:rPr>
        <w:t>млн</w:t>
      </w:r>
      <w:r w:rsidR="004A7096">
        <w:rPr>
          <w:lang w:val="ru-RU"/>
        </w:rPr>
        <w:t>.</w:t>
      </w:r>
      <w:r w:rsidRPr="00D469A7">
        <w:rPr>
          <w:lang w:val="ru-RU"/>
        </w:rPr>
        <w:t xml:space="preserve"> швейцарских франков от </w:t>
      </w:r>
      <w:r>
        <w:rPr>
          <w:lang w:val="ru-RU"/>
        </w:rPr>
        <w:t>представителей отрасли (членов и нечленов), что составляет 15 </w:t>
      </w:r>
      <w:r w:rsidRPr="00D469A7">
        <w:rPr>
          <w:lang w:val="ru-RU"/>
        </w:rPr>
        <w:t xml:space="preserve">процентов от </w:t>
      </w:r>
      <w:r w:rsidR="0041275C">
        <w:rPr>
          <w:lang w:val="ru-RU"/>
        </w:rPr>
        <w:t xml:space="preserve">всего объема </w:t>
      </w:r>
      <w:r w:rsidRPr="00D469A7">
        <w:rPr>
          <w:lang w:val="ru-RU"/>
        </w:rPr>
        <w:t>внебюджетного финансирования. Самыми крупными донорами из частного сектора в 20</w:t>
      </w:r>
      <w:r w:rsidR="0041275C">
        <w:rPr>
          <w:lang w:val="ru-RU"/>
        </w:rPr>
        <w:t>22 </w:t>
      </w:r>
      <w:r w:rsidRPr="00D469A7">
        <w:rPr>
          <w:lang w:val="ru-RU"/>
        </w:rPr>
        <w:t xml:space="preserve">году были </w:t>
      </w:r>
      <w:r w:rsidR="0041275C">
        <w:rPr>
          <w:lang w:val="ru-RU"/>
        </w:rPr>
        <w:t xml:space="preserve">компании </w:t>
      </w:r>
      <w:r w:rsidRPr="00D469A7">
        <w:rPr>
          <w:lang w:val="ru-RU"/>
        </w:rPr>
        <w:t>Huawei, ZTE Corporation, Microsoft, Meta, Technology In</w:t>
      </w:r>
      <w:r w:rsidR="00E01C76">
        <w:rPr>
          <w:lang w:val="ru-RU"/>
        </w:rPr>
        <w:t>novation Institute и IBM, каждая</w:t>
      </w:r>
      <w:r w:rsidRPr="00D469A7">
        <w:rPr>
          <w:lang w:val="ru-RU"/>
        </w:rPr>
        <w:t xml:space="preserve"> из которых предоставил</w:t>
      </w:r>
      <w:r w:rsidR="00E01C76">
        <w:rPr>
          <w:lang w:val="ru-RU"/>
        </w:rPr>
        <w:t>а не менее 150 000</w:t>
      </w:r>
      <w:r w:rsidR="00DB5EF2">
        <w:rPr>
          <w:lang w:val="ru-RU"/>
        </w:rPr>
        <w:t> </w:t>
      </w:r>
      <w:r w:rsidRPr="00D469A7">
        <w:rPr>
          <w:lang w:val="ru-RU"/>
        </w:rPr>
        <w:t>швейцарских франков.</w:t>
      </w:r>
    </w:p>
    <w:p w14:paraId="17DF8B77" w14:textId="282D63F5" w:rsidR="00E01C76" w:rsidRDefault="00E01C76" w:rsidP="00395A5A">
      <w:pPr>
        <w:rPr>
          <w:lang w:val="ru-RU"/>
        </w:rPr>
      </w:pPr>
      <w:bookmarkStart w:id="29" w:name="lt_pId116"/>
      <w:bookmarkEnd w:id="28"/>
      <w:r w:rsidRPr="00E01C76">
        <w:rPr>
          <w:lang w:val="ru-RU"/>
        </w:rPr>
        <w:t xml:space="preserve">В настоящее время МСЭ не привлекает значительных средств из фондов. Недавние взносы поступили от Фонда </w:t>
      </w:r>
      <w:r w:rsidRPr="00395A5A">
        <w:rPr>
          <w:lang w:val="en-US"/>
        </w:rPr>
        <w:t>Botnar</w:t>
      </w:r>
      <w:r w:rsidRPr="00E01C76">
        <w:rPr>
          <w:lang w:val="ru-RU"/>
        </w:rPr>
        <w:t xml:space="preserve"> </w:t>
      </w:r>
      <w:r w:rsidRPr="00395A5A">
        <w:rPr>
          <w:lang w:val="en-US"/>
        </w:rPr>
        <w:t>Foundation</w:t>
      </w:r>
      <w:r w:rsidRPr="00E01C76">
        <w:rPr>
          <w:lang w:val="ru-RU"/>
        </w:rPr>
        <w:t xml:space="preserve"> (442</w:t>
      </w:r>
      <w:r>
        <w:rPr>
          <w:lang w:val="ru-RU"/>
        </w:rPr>
        <w:t> 000 швейцарских франков в 2022 </w:t>
      </w:r>
      <w:r w:rsidRPr="00E01C76">
        <w:rPr>
          <w:lang w:val="ru-RU"/>
        </w:rPr>
        <w:t>г</w:t>
      </w:r>
      <w:r w:rsidR="00515FAE" w:rsidRPr="00515FAE">
        <w:rPr>
          <w:lang w:val="ru-RU"/>
        </w:rPr>
        <w:t>.</w:t>
      </w:r>
      <w:r w:rsidRPr="00E01C76">
        <w:rPr>
          <w:lang w:val="ru-RU"/>
        </w:rPr>
        <w:t xml:space="preserve">). Это направление </w:t>
      </w:r>
      <w:r>
        <w:rPr>
          <w:lang w:val="ru-RU"/>
        </w:rPr>
        <w:t xml:space="preserve">является перспективным с точки зрения </w:t>
      </w:r>
      <w:r w:rsidRPr="00E01C76">
        <w:rPr>
          <w:lang w:val="ru-RU"/>
        </w:rPr>
        <w:t xml:space="preserve">дальнейшего изучения, поскольку области </w:t>
      </w:r>
      <w:r>
        <w:rPr>
          <w:lang w:val="ru-RU"/>
        </w:rPr>
        <w:t xml:space="preserve">деятельности </w:t>
      </w:r>
      <w:r w:rsidRPr="00E01C76">
        <w:rPr>
          <w:lang w:val="ru-RU"/>
        </w:rPr>
        <w:t>МСЭ представляют растущий интерес для фондов и филантропических учреждений</w:t>
      </w:r>
      <w:r>
        <w:rPr>
          <w:lang w:val="ru-RU"/>
        </w:rPr>
        <w:t>.</w:t>
      </w:r>
    </w:p>
    <w:bookmarkEnd w:id="29"/>
    <w:p w14:paraId="74A5EE86" w14:textId="3C306562" w:rsidR="00E01C76" w:rsidRDefault="00395A5A" w:rsidP="00656BD6">
      <w:pPr>
        <w:pStyle w:val="Heading2"/>
        <w:rPr>
          <w:lang w:val="ru-RU"/>
        </w:rPr>
      </w:pPr>
      <w:r w:rsidRPr="00E01C76">
        <w:rPr>
          <w:lang w:val="ru-RU"/>
        </w:rPr>
        <w:t>2.2</w:t>
      </w:r>
      <w:r w:rsidRPr="00E01C76">
        <w:rPr>
          <w:lang w:val="ru-RU"/>
        </w:rPr>
        <w:tab/>
      </w:r>
      <w:bookmarkStart w:id="30" w:name="lt_pId120"/>
      <w:r w:rsidR="00E01C76" w:rsidRPr="00E01C76">
        <w:rPr>
          <w:lang w:val="ru-RU"/>
        </w:rPr>
        <w:t xml:space="preserve">Модели финансирования в </w:t>
      </w:r>
      <w:r w:rsidR="00811667">
        <w:rPr>
          <w:lang w:val="ru-RU"/>
        </w:rPr>
        <w:t>рамках системы</w:t>
      </w:r>
      <w:r w:rsidR="00A43618">
        <w:rPr>
          <w:lang w:val="ru-RU"/>
        </w:rPr>
        <w:t xml:space="preserve"> Организации Объединенных Наций</w:t>
      </w:r>
    </w:p>
    <w:p w14:paraId="0D8D024C" w14:textId="3D44C85D" w:rsidR="00E01C76" w:rsidRDefault="00E01C76" w:rsidP="00395A5A">
      <w:pPr>
        <w:rPr>
          <w:lang w:val="ru-RU"/>
        </w:rPr>
      </w:pPr>
      <w:bookmarkStart w:id="31" w:name="lt_pId121"/>
      <w:bookmarkEnd w:id="30"/>
      <w:r w:rsidRPr="00E01C76">
        <w:rPr>
          <w:lang w:val="ru-RU"/>
        </w:rPr>
        <w:t xml:space="preserve">В системе Организации Объединенных Наций </w:t>
      </w:r>
      <w:r>
        <w:rPr>
          <w:lang w:val="ru-RU"/>
        </w:rPr>
        <w:t>используются</w:t>
      </w:r>
      <w:r w:rsidRPr="00E01C76">
        <w:rPr>
          <w:lang w:val="ru-RU"/>
        </w:rPr>
        <w:t xml:space="preserve"> совершенно разные модели финансирования в зависимости</w:t>
      </w:r>
      <w:r>
        <w:rPr>
          <w:lang w:val="ru-RU"/>
        </w:rPr>
        <w:t xml:space="preserve"> от различных мандатов и основных направлений</w:t>
      </w:r>
      <w:r w:rsidRPr="00E01C76">
        <w:rPr>
          <w:lang w:val="ru-RU"/>
        </w:rPr>
        <w:t xml:space="preserve"> деятельности каждой организации. Некоторые организации, такие как ЮНИСЕФ, УВКБ ООН и</w:t>
      </w:r>
      <w:r>
        <w:rPr>
          <w:lang w:val="ru-RU"/>
        </w:rPr>
        <w:t>ли</w:t>
      </w:r>
      <w:r w:rsidRPr="00E01C76">
        <w:rPr>
          <w:lang w:val="ru-RU"/>
        </w:rPr>
        <w:t xml:space="preserve"> ВПП, полагаются </w:t>
      </w:r>
      <w:r w:rsidR="003E7484">
        <w:rPr>
          <w:lang w:val="ru-RU"/>
        </w:rPr>
        <w:t xml:space="preserve">преимущественно </w:t>
      </w:r>
      <w:r w:rsidRPr="00E01C76">
        <w:rPr>
          <w:lang w:val="ru-RU"/>
        </w:rPr>
        <w:t>на добровольные взносы, которые в основном направляются на конкретные п</w:t>
      </w:r>
      <w:r>
        <w:rPr>
          <w:lang w:val="ru-RU"/>
        </w:rPr>
        <w:t>роекты и инициативы. Значительная доля</w:t>
      </w:r>
      <w:r w:rsidRPr="00E01C76">
        <w:rPr>
          <w:lang w:val="ru-RU"/>
        </w:rPr>
        <w:t xml:space="preserve"> собранных средств, как правило, приходится на средств</w:t>
      </w:r>
      <w:r w:rsidR="00811667">
        <w:rPr>
          <w:lang w:val="ru-RU"/>
        </w:rPr>
        <w:t>а</w:t>
      </w:r>
      <w:r w:rsidRPr="00E01C76">
        <w:rPr>
          <w:lang w:val="ru-RU"/>
        </w:rPr>
        <w:t xml:space="preserve">, </w:t>
      </w:r>
      <w:r w:rsidR="00811667">
        <w:rPr>
          <w:lang w:val="ru-RU"/>
        </w:rPr>
        <w:t xml:space="preserve">собранные в связи с </w:t>
      </w:r>
      <w:r w:rsidRPr="00E01C76">
        <w:rPr>
          <w:lang w:val="ru-RU"/>
        </w:rPr>
        <w:t xml:space="preserve">чрезвычайными ситуациями. Эти организации </w:t>
      </w:r>
      <w:r w:rsidR="00A85496">
        <w:rPr>
          <w:lang w:val="ru-RU"/>
        </w:rPr>
        <w:t>проводят крупные</w:t>
      </w:r>
      <w:r w:rsidRPr="00E01C76">
        <w:rPr>
          <w:lang w:val="ru-RU"/>
        </w:rPr>
        <w:t xml:space="preserve"> профессиональные операции по сбору средств, </w:t>
      </w:r>
      <w:r w:rsidR="00A85496">
        <w:rPr>
          <w:lang w:val="ru-RU"/>
        </w:rPr>
        <w:t>привлекая взносы</w:t>
      </w:r>
      <w:r w:rsidRPr="00E01C76">
        <w:rPr>
          <w:lang w:val="ru-RU"/>
        </w:rPr>
        <w:t xml:space="preserve"> от правительств, частного сектора, фондов, состоятельных частных лиц и даже широкой общественности.</w:t>
      </w:r>
    </w:p>
    <w:p w14:paraId="478D65F5" w14:textId="47D53ED2" w:rsidR="00A85496" w:rsidRDefault="00A85496" w:rsidP="00395A5A">
      <w:pPr>
        <w:rPr>
          <w:lang w:val="ru-RU"/>
        </w:rPr>
      </w:pPr>
      <w:bookmarkStart w:id="32" w:name="lt_pId125"/>
      <w:bookmarkEnd w:id="31"/>
      <w:r w:rsidRPr="00A85496">
        <w:rPr>
          <w:lang w:val="ru-RU"/>
        </w:rPr>
        <w:t xml:space="preserve">С другой стороны, такие организации, как МСЭ, ВПС, МАГАТЭ, МОТ, ИМО, ЮНЕСКО и ВМО, в основном полагаются на начисленные взносы для финансирования своей деятельности и реализации согласованных программ работы, </w:t>
      </w:r>
      <w:r>
        <w:rPr>
          <w:lang w:val="ru-RU"/>
        </w:rPr>
        <w:t>которые в некоторых случаях дополняются</w:t>
      </w:r>
      <w:r w:rsidRPr="00A85496">
        <w:rPr>
          <w:lang w:val="ru-RU"/>
        </w:rPr>
        <w:t xml:space="preserve"> добровольными взносами на </w:t>
      </w:r>
      <w:r>
        <w:rPr>
          <w:lang w:val="ru-RU"/>
        </w:rPr>
        <w:t xml:space="preserve">реализацию </w:t>
      </w:r>
      <w:r w:rsidRPr="00A85496">
        <w:rPr>
          <w:lang w:val="ru-RU"/>
        </w:rPr>
        <w:t>проект</w:t>
      </w:r>
      <w:r>
        <w:rPr>
          <w:lang w:val="ru-RU"/>
        </w:rPr>
        <w:t>ов</w:t>
      </w:r>
      <w:r w:rsidRPr="00A85496">
        <w:rPr>
          <w:lang w:val="ru-RU"/>
        </w:rPr>
        <w:t xml:space="preserve"> и специальны</w:t>
      </w:r>
      <w:r>
        <w:rPr>
          <w:lang w:val="ru-RU"/>
        </w:rPr>
        <w:t>х</w:t>
      </w:r>
      <w:r w:rsidRPr="00A85496">
        <w:rPr>
          <w:lang w:val="ru-RU"/>
        </w:rPr>
        <w:t xml:space="preserve"> инициатив. ВОИС выделяется тем, что разработала бизнес-модель, в </w:t>
      </w:r>
      <w:r>
        <w:rPr>
          <w:lang w:val="ru-RU"/>
        </w:rPr>
        <w:t xml:space="preserve">рамках </w:t>
      </w:r>
      <w:r w:rsidRPr="00A85496">
        <w:rPr>
          <w:lang w:val="ru-RU"/>
        </w:rPr>
        <w:t xml:space="preserve">которой подавляющая часть доходов поступает от </w:t>
      </w:r>
      <w:r w:rsidR="00003BBF">
        <w:rPr>
          <w:lang w:val="ru-RU"/>
        </w:rPr>
        <w:t xml:space="preserve">реализации </w:t>
      </w:r>
      <w:r w:rsidRPr="00A85496">
        <w:rPr>
          <w:lang w:val="ru-RU"/>
        </w:rPr>
        <w:t>услуг, связанных с патентами</w:t>
      </w:r>
      <w:r>
        <w:rPr>
          <w:lang w:val="ru-RU"/>
        </w:rPr>
        <w:t>.</w:t>
      </w:r>
    </w:p>
    <w:bookmarkEnd w:id="32"/>
    <w:p w14:paraId="264CA899" w14:textId="6F468245" w:rsidR="00A85496" w:rsidRPr="00A85496" w:rsidRDefault="00A85496" w:rsidP="00395A5A">
      <w:pPr>
        <w:rPr>
          <w:lang w:val="ru-RU"/>
        </w:rPr>
      </w:pPr>
      <w:r w:rsidRPr="00A85496">
        <w:rPr>
          <w:lang w:val="ru-RU"/>
        </w:rPr>
        <w:t>В последнее время бюджеты нескольких учреждений ООН</w:t>
      </w:r>
      <w:r>
        <w:rPr>
          <w:lang w:val="ru-RU"/>
        </w:rPr>
        <w:t>, включая МОМ, ВОЗ и</w:t>
      </w:r>
      <w:r w:rsidRPr="00A85496">
        <w:rPr>
          <w:lang w:val="ru-RU"/>
        </w:rPr>
        <w:t xml:space="preserve"> ВМО</w:t>
      </w:r>
      <w:r>
        <w:rPr>
          <w:lang w:val="ru-RU"/>
        </w:rPr>
        <w:t xml:space="preserve">, </w:t>
      </w:r>
      <w:r w:rsidRPr="00A85496">
        <w:rPr>
          <w:lang w:val="ru-RU"/>
        </w:rPr>
        <w:t>были увеличены</w:t>
      </w:r>
      <w:r>
        <w:rPr>
          <w:lang w:val="ru-RU"/>
        </w:rPr>
        <w:t>:</w:t>
      </w:r>
    </w:p>
    <w:p w14:paraId="2E854714" w14:textId="2BDB2C75" w:rsidR="00A85496" w:rsidRDefault="00395A5A" w:rsidP="00656BD6">
      <w:pPr>
        <w:pStyle w:val="enumlev1"/>
        <w:rPr>
          <w:lang w:val="ru-RU"/>
        </w:rPr>
      </w:pPr>
      <w:r w:rsidRPr="00A85496">
        <w:rPr>
          <w:lang w:val="ru-RU"/>
        </w:rPr>
        <w:t>•</w:t>
      </w:r>
      <w:r w:rsidRPr="00A85496">
        <w:rPr>
          <w:lang w:val="ru-RU"/>
        </w:rPr>
        <w:tab/>
      </w:r>
      <w:bookmarkStart w:id="33" w:name="lt_pId129"/>
      <w:r w:rsidR="00A85496" w:rsidRPr="00A85496">
        <w:rPr>
          <w:lang w:val="ru-RU"/>
        </w:rPr>
        <w:t>В МОМ на 113-й сессии Совета МОМ (октябрь 2022</w:t>
      </w:r>
      <w:r w:rsidR="00A85496">
        <w:rPr>
          <w:lang w:val="ru-RU"/>
        </w:rPr>
        <w:t> </w:t>
      </w:r>
      <w:r w:rsidR="006F6A98">
        <w:rPr>
          <w:lang w:val="ru-RU"/>
        </w:rPr>
        <w:t>г</w:t>
      </w:r>
      <w:r w:rsidR="00167178">
        <w:rPr>
          <w:lang w:val="ru-RU"/>
        </w:rPr>
        <w:t>.</w:t>
      </w:r>
      <w:r w:rsidR="00A85496" w:rsidRPr="00A85496">
        <w:rPr>
          <w:lang w:val="ru-RU"/>
        </w:rPr>
        <w:t xml:space="preserve">) было одобрено </w:t>
      </w:r>
      <w:r w:rsidR="001F22EB">
        <w:rPr>
          <w:lang w:val="ru-RU"/>
        </w:rPr>
        <w:t xml:space="preserve">ежегодное </w:t>
      </w:r>
      <w:r w:rsidR="00A85496" w:rsidRPr="00A85496">
        <w:rPr>
          <w:lang w:val="ru-RU"/>
        </w:rPr>
        <w:t>увеличение админ</w:t>
      </w:r>
      <w:r w:rsidR="00A85496">
        <w:rPr>
          <w:lang w:val="ru-RU"/>
        </w:rPr>
        <w:t>истративной части бюджета на 12 </w:t>
      </w:r>
      <w:r w:rsidR="00A85496" w:rsidRPr="00A85496">
        <w:rPr>
          <w:lang w:val="ru-RU"/>
        </w:rPr>
        <w:t>м</w:t>
      </w:r>
      <w:r w:rsidR="006F6A98">
        <w:rPr>
          <w:lang w:val="ru-RU"/>
        </w:rPr>
        <w:t>лн</w:t>
      </w:r>
      <w:r w:rsidR="004A7096">
        <w:rPr>
          <w:lang w:val="ru-RU"/>
        </w:rPr>
        <w:t>.</w:t>
      </w:r>
      <w:r w:rsidR="001F22EB">
        <w:rPr>
          <w:lang w:val="ru-RU"/>
        </w:rPr>
        <w:t xml:space="preserve"> долларов США </w:t>
      </w:r>
      <w:r w:rsidR="00A85496" w:rsidRPr="00A85496">
        <w:rPr>
          <w:lang w:val="ru-RU"/>
        </w:rPr>
        <w:t xml:space="preserve">в течение </w:t>
      </w:r>
      <w:r w:rsidR="00A85496" w:rsidRPr="00A85496">
        <w:rPr>
          <w:lang w:val="ru-RU"/>
        </w:rPr>
        <w:lastRenderedPageBreak/>
        <w:t>пяти лет, финансируемое за счет начисленных взносов государств-членов. К 2027</w:t>
      </w:r>
      <w:r w:rsidR="00A85496">
        <w:rPr>
          <w:lang w:val="ru-RU"/>
        </w:rPr>
        <w:t> </w:t>
      </w:r>
      <w:r w:rsidR="00A85496" w:rsidRPr="00A85496">
        <w:rPr>
          <w:lang w:val="ru-RU"/>
        </w:rPr>
        <w:t xml:space="preserve">году </w:t>
      </w:r>
      <w:r w:rsidR="006F6A98">
        <w:rPr>
          <w:lang w:val="ru-RU"/>
        </w:rPr>
        <w:t xml:space="preserve">ежегодный объем дополнительных средств </w:t>
      </w:r>
      <w:r w:rsidR="00A85496" w:rsidRPr="00A85496">
        <w:rPr>
          <w:lang w:val="ru-RU"/>
        </w:rPr>
        <w:t>до</w:t>
      </w:r>
      <w:r w:rsidR="006F6A98">
        <w:rPr>
          <w:lang w:val="ru-RU"/>
        </w:rPr>
        <w:t>лжен</w:t>
      </w:r>
      <w:r w:rsidR="00A85496">
        <w:rPr>
          <w:lang w:val="ru-RU"/>
        </w:rPr>
        <w:t xml:space="preserve"> </w:t>
      </w:r>
      <w:r w:rsidR="006F6A98">
        <w:rPr>
          <w:lang w:val="ru-RU"/>
        </w:rPr>
        <w:t>достичь</w:t>
      </w:r>
      <w:r w:rsidR="00A85496">
        <w:rPr>
          <w:lang w:val="ru-RU"/>
        </w:rPr>
        <w:t xml:space="preserve"> 60 </w:t>
      </w:r>
      <w:r w:rsidR="00A85496" w:rsidRPr="00A85496">
        <w:rPr>
          <w:lang w:val="ru-RU"/>
        </w:rPr>
        <w:t>м</w:t>
      </w:r>
      <w:r w:rsidR="006F6A98">
        <w:rPr>
          <w:lang w:val="ru-RU"/>
        </w:rPr>
        <w:t>лн</w:t>
      </w:r>
      <w:r w:rsidR="004A7096">
        <w:rPr>
          <w:lang w:val="ru-RU"/>
        </w:rPr>
        <w:t>.</w:t>
      </w:r>
      <w:r w:rsidR="00A85496" w:rsidRPr="00A85496">
        <w:rPr>
          <w:lang w:val="ru-RU"/>
        </w:rPr>
        <w:t xml:space="preserve"> долларов США</w:t>
      </w:r>
      <w:r w:rsidR="00790BE6" w:rsidRPr="00395A5A">
        <w:rPr>
          <w:rStyle w:val="FootnoteReference"/>
          <w:lang w:val="en-US"/>
        </w:rPr>
        <w:footnoteReference w:id="1"/>
      </w:r>
      <w:r w:rsidR="00A85496" w:rsidRPr="00A85496">
        <w:rPr>
          <w:lang w:val="ru-RU"/>
        </w:rPr>
        <w:t>.</w:t>
      </w:r>
    </w:p>
    <w:bookmarkEnd w:id="33"/>
    <w:p w14:paraId="15B437A9" w14:textId="4FCF0ACC" w:rsidR="00790BE6" w:rsidRPr="002B5404" w:rsidRDefault="00395A5A" w:rsidP="00656BD6">
      <w:pPr>
        <w:pStyle w:val="enumlev1"/>
        <w:rPr>
          <w:lang w:val="ru-RU"/>
        </w:rPr>
      </w:pPr>
      <w:r w:rsidRPr="00790BE6">
        <w:rPr>
          <w:lang w:val="ru-RU"/>
        </w:rPr>
        <w:t>•</w:t>
      </w:r>
      <w:r w:rsidRPr="00790BE6">
        <w:rPr>
          <w:lang w:val="ru-RU"/>
        </w:rPr>
        <w:tab/>
      </w:r>
      <w:bookmarkStart w:id="36" w:name="lt_pId132"/>
      <w:r w:rsidR="00790BE6" w:rsidRPr="00790BE6">
        <w:rPr>
          <w:lang w:val="ru-RU"/>
        </w:rPr>
        <w:t>В ВОЗ на 76-й сессии Всемирной асса</w:t>
      </w:r>
      <w:r w:rsidR="00790BE6">
        <w:rPr>
          <w:lang w:val="ru-RU"/>
        </w:rPr>
        <w:t>мблеи здравоохранения (май 2023 </w:t>
      </w:r>
      <w:r w:rsidR="00790BE6" w:rsidRPr="00790BE6">
        <w:rPr>
          <w:lang w:val="ru-RU"/>
        </w:rPr>
        <w:t>г</w:t>
      </w:r>
      <w:r w:rsidR="00167178">
        <w:rPr>
          <w:lang w:val="ru-RU"/>
        </w:rPr>
        <w:t>.</w:t>
      </w:r>
      <w:r w:rsidR="00790BE6" w:rsidRPr="00790BE6">
        <w:rPr>
          <w:lang w:val="ru-RU"/>
        </w:rPr>
        <w:t xml:space="preserve">) был утвержден бюджет программ ВОЗ на </w:t>
      </w:r>
      <w:r w:rsidR="00790BE6">
        <w:rPr>
          <w:lang w:val="ru-RU"/>
        </w:rPr>
        <w:t xml:space="preserve">период </w:t>
      </w:r>
      <w:r w:rsidR="00F327E1">
        <w:rPr>
          <w:lang w:val="ru-RU"/>
        </w:rPr>
        <w:t>2024</w:t>
      </w:r>
      <w:r w:rsidR="00167178">
        <w:rPr>
          <w:lang w:val="ru-RU"/>
        </w:rPr>
        <w:t>–</w:t>
      </w:r>
      <w:r w:rsidR="00F327E1">
        <w:rPr>
          <w:lang w:val="ru-RU"/>
        </w:rPr>
        <w:t>2025 </w:t>
      </w:r>
      <w:r w:rsidR="00790BE6" w:rsidRPr="00790BE6">
        <w:rPr>
          <w:lang w:val="ru-RU"/>
        </w:rPr>
        <w:t>г</w:t>
      </w:r>
      <w:r w:rsidR="00167178">
        <w:rPr>
          <w:lang w:val="ru-RU"/>
        </w:rPr>
        <w:t>одов</w:t>
      </w:r>
      <w:r w:rsidR="00790BE6">
        <w:rPr>
          <w:lang w:val="ru-RU"/>
        </w:rPr>
        <w:t xml:space="preserve"> </w:t>
      </w:r>
      <w:r w:rsidR="00790BE6" w:rsidRPr="00790BE6">
        <w:rPr>
          <w:lang w:val="ru-RU"/>
        </w:rPr>
        <w:t>с увеличением начисленных взносов на 20</w:t>
      </w:r>
      <w:r w:rsidR="002B5404">
        <w:rPr>
          <w:lang w:val="ru-RU"/>
        </w:rPr>
        <w:t> процентов</w:t>
      </w:r>
      <w:r w:rsidR="00790BE6" w:rsidRPr="00790BE6">
        <w:rPr>
          <w:lang w:val="ru-RU"/>
        </w:rPr>
        <w:t xml:space="preserve">. </w:t>
      </w:r>
      <w:r w:rsidR="00790BE6" w:rsidRPr="002B5404">
        <w:rPr>
          <w:lang w:val="ru-RU"/>
        </w:rPr>
        <w:t>В результате этого ре</w:t>
      </w:r>
      <w:r w:rsidR="002B5404" w:rsidRPr="002B5404">
        <w:rPr>
          <w:lang w:val="ru-RU"/>
        </w:rPr>
        <w:t>шения бюджет ВОЗ достигнет 6,83</w:t>
      </w:r>
      <w:r w:rsidR="002B5404">
        <w:rPr>
          <w:lang w:val="ru-RU"/>
        </w:rPr>
        <w:t> </w:t>
      </w:r>
      <w:r w:rsidR="00790BE6" w:rsidRPr="002B5404">
        <w:rPr>
          <w:lang w:val="ru-RU"/>
        </w:rPr>
        <w:t>млрд</w:t>
      </w:r>
      <w:r w:rsidR="0079091D">
        <w:rPr>
          <w:lang w:val="ru-RU"/>
        </w:rPr>
        <w:t>.</w:t>
      </w:r>
      <w:r w:rsidR="002B5404" w:rsidRPr="002B5404">
        <w:rPr>
          <w:lang w:val="ru-RU"/>
        </w:rPr>
        <w:t xml:space="preserve"> долл</w:t>
      </w:r>
      <w:r w:rsidR="002B5404">
        <w:rPr>
          <w:lang w:val="ru-RU"/>
        </w:rPr>
        <w:t>аров США</w:t>
      </w:r>
      <w:r w:rsidR="002B5404" w:rsidRPr="00395A5A">
        <w:rPr>
          <w:rStyle w:val="FootnoteReference"/>
          <w:lang w:val="en-US"/>
        </w:rPr>
        <w:footnoteReference w:id="2"/>
      </w:r>
      <w:r w:rsidR="002B5404">
        <w:rPr>
          <w:lang w:val="ru-RU"/>
        </w:rPr>
        <w:t>.</w:t>
      </w:r>
    </w:p>
    <w:p w14:paraId="66BD0B9B" w14:textId="62333554" w:rsidR="002B5404" w:rsidRDefault="00395A5A" w:rsidP="00656BD6">
      <w:pPr>
        <w:pStyle w:val="enumlev1"/>
        <w:rPr>
          <w:lang w:val="ru-RU"/>
        </w:rPr>
      </w:pPr>
      <w:bookmarkStart w:id="38" w:name="_Hlk137468774"/>
      <w:bookmarkEnd w:id="36"/>
      <w:r w:rsidRPr="002B5404">
        <w:rPr>
          <w:lang w:val="ru-RU"/>
        </w:rPr>
        <w:t>•</w:t>
      </w:r>
      <w:r w:rsidRPr="002B5404">
        <w:rPr>
          <w:lang w:val="ru-RU"/>
        </w:rPr>
        <w:tab/>
      </w:r>
      <w:bookmarkStart w:id="39" w:name="lt_pId135"/>
      <w:bookmarkEnd w:id="38"/>
      <w:r w:rsidR="002B5404" w:rsidRPr="002B5404">
        <w:rPr>
          <w:lang w:val="ru-RU"/>
        </w:rPr>
        <w:t>В ВМО Всемирный метеорологический конгресс (июнь 2023</w:t>
      </w:r>
      <w:r w:rsidR="002B5404">
        <w:rPr>
          <w:lang w:val="ru-RU"/>
        </w:rPr>
        <w:t> </w:t>
      </w:r>
      <w:r w:rsidR="002B5404" w:rsidRPr="002B5404">
        <w:rPr>
          <w:lang w:val="ru-RU"/>
        </w:rPr>
        <w:t>г</w:t>
      </w:r>
      <w:r w:rsidR="00167178">
        <w:rPr>
          <w:lang w:val="ru-RU"/>
        </w:rPr>
        <w:t>.</w:t>
      </w:r>
      <w:r w:rsidR="002B5404" w:rsidRPr="002B5404">
        <w:rPr>
          <w:lang w:val="ru-RU"/>
        </w:rPr>
        <w:t xml:space="preserve">) утвердил регулярный </w:t>
      </w:r>
      <w:r w:rsidR="002B5404">
        <w:rPr>
          <w:lang w:val="ru-RU"/>
        </w:rPr>
        <w:t>бюджет в размере чуть более 278 </w:t>
      </w:r>
      <w:r w:rsidR="002B5404" w:rsidRPr="002B5404">
        <w:rPr>
          <w:lang w:val="ru-RU"/>
        </w:rPr>
        <w:t>миллионов швейцарских франков на финансовый период 2024</w:t>
      </w:r>
      <w:r w:rsidR="00167178">
        <w:rPr>
          <w:lang w:val="ru-RU"/>
        </w:rPr>
        <w:t>–</w:t>
      </w:r>
      <w:r w:rsidR="002B5404" w:rsidRPr="002B5404">
        <w:rPr>
          <w:lang w:val="ru-RU"/>
        </w:rPr>
        <w:t>2027</w:t>
      </w:r>
      <w:r w:rsidR="002B5404">
        <w:rPr>
          <w:lang w:val="ru-RU"/>
        </w:rPr>
        <w:t> г</w:t>
      </w:r>
      <w:r w:rsidR="00167178">
        <w:rPr>
          <w:lang w:val="ru-RU"/>
        </w:rPr>
        <w:t>одов</w:t>
      </w:r>
      <w:r w:rsidR="002B5404">
        <w:rPr>
          <w:lang w:val="ru-RU"/>
        </w:rPr>
        <w:t>, что на 2,4 </w:t>
      </w:r>
      <w:r w:rsidR="002B5404" w:rsidRPr="002B5404">
        <w:rPr>
          <w:lang w:val="ru-RU"/>
        </w:rPr>
        <w:t>п</w:t>
      </w:r>
      <w:r w:rsidR="002B5404">
        <w:rPr>
          <w:lang w:val="ru-RU"/>
        </w:rPr>
        <w:t>роцента больше, чем в 2020</w:t>
      </w:r>
      <w:r w:rsidR="00167178">
        <w:rPr>
          <w:lang w:val="ru-RU"/>
        </w:rPr>
        <w:t>–</w:t>
      </w:r>
      <w:r w:rsidR="002B5404">
        <w:rPr>
          <w:lang w:val="ru-RU"/>
        </w:rPr>
        <w:t>2023 г</w:t>
      </w:r>
      <w:r w:rsidR="00167178">
        <w:rPr>
          <w:lang w:val="ru-RU"/>
        </w:rPr>
        <w:t>одах</w:t>
      </w:r>
      <w:r w:rsidR="002B5404" w:rsidRPr="00395A5A">
        <w:rPr>
          <w:rStyle w:val="FootnoteReference"/>
          <w:lang w:val="en-US"/>
        </w:rPr>
        <w:footnoteReference w:id="3"/>
      </w:r>
      <w:r w:rsidR="00167178">
        <w:rPr>
          <w:lang w:val="ru-RU"/>
        </w:rPr>
        <w:t>.</w:t>
      </w:r>
    </w:p>
    <w:bookmarkEnd w:id="39"/>
    <w:p w14:paraId="31176A5D" w14:textId="40A517AE" w:rsidR="002B5404" w:rsidRDefault="00395A5A" w:rsidP="00656BD6">
      <w:pPr>
        <w:pStyle w:val="Heading2"/>
        <w:rPr>
          <w:lang w:val="ru-RU"/>
        </w:rPr>
      </w:pPr>
      <w:r w:rsidRPr="002B5404">
        <w:rPr>
          <w:lang w:val="ru-RU"/>
        </w:rPr>
        <w:t>2.3</w:t>
      </w:r>
      <w:r w:rsidRPr="002B5404">
        <w:rPr>
          <w:lang w:val="ru-RU"/>
        </w:rPr>
        <w:tab/>
      </w:r>
      <w:bookmarkStart w:id="41" w:name="lt_pId137"/>
      <w:r w:rsidR="002B5404" w:rsidRPr="002B5404">
        <w:rPr>
          <w:lang w:val="ru-RU"/>
        </w:rPr>
        <w:t>Оценка восприятия МСЭ со стороны о</w:t>
      </w:r>
      <w:r w:rsidR="002C5F38">
        <w:rPr>
          <w:lang w:val="ru-RU"/>
        </w:rPr>
        <w:t>сновных заинтересованных сторон</w:t>
      </w:r>
    </w:p>
    <w:p w14:paraId="3657D954" w14:textId="6D5D810E" w:rsidR="002B5404" w:rsidRDefault="00F327E1" w:rsidP="00395A5A">
      <w:pPr>
        <w:rPr>
          <w:lang w:val="ru-RU"/>
        </w:rPr>
      </w:pPr>
      <w:bookmarkStart w:id="42" w:name="lt_pId138"/>
      <w:bookmarkEnd w:id="41"/>
      <w:r>
        <w:rPr>
          <w:lang w:val="ru-RU"/>
        </w:rPr>
        <w:t>С февраля 2023 </w:t>
      </w:r>
      <w:r w:rsidR="002B5404" w:rsidRPr="002B5404">
        <w:rPr>
          <w:lang w:val="ru-RU"/>
        </w:rPr>
        <w:t xml:space="preserve">года МСЭ и </w:t>
      </w:r>
      <w:r w:rsidR="002B5404">
        <w:rPr>
          <w:lang w:val="ru-RU"/>
        </w:rPr>
        <w:t xml:space="preserve">компания </w:t>
      </w:r>
      <w:r w:rsidR="002B5404" w:rsidRPr="002B5404">
        <w:rPr>
          <w:lang w:val="en-US"/>
        </w:rPr>
        <w:t>BCG</w:t>
      </w:r>
      <w:r w:rsidR="002B5404" w:rsidRPr="002B5404">
        <w:rPr>
          <w:lang w:val="ru-RU"/>
        </w:rPr>
        <w:t xml:space="preserve"> собирали отзывы</w:t>
      </w:r>
      <w:r>
        <w:rPr>
          <w:lang w:val="ru-RU"/>
        </w:rPr>
        <w:t xml:space="preserve"> от</w:t>
      </w:r>
      <w:r w:rsidR="002B5404" w:rsidRPr="002B5404">
        <w:rPr>
          <w:lang w:val="ru-RU"/>
        </w:rPr>
        <w:t xml:space="preserve"> заинтересованных сторон вну</w:t>
      </w:r>
      <w:r w:rsidR="006B6100">
        <w:rPr>
          <w:lang w:val="ru-RU"/>
        </w:rPr>
        <w:t>три и вне организации, включая Государства-Ч</w:t>
      </w:r>
      <w:r w:rsidR="002B5404" w:rsidRPr="002B5404">
        <w:rPr>
          <w:lang w:val="ru-RU"/>
        </w:rPr>
        <w:t xml:space="preserve">лены, </w:t>
      </w:r>
      <w:r w:rsidR="006B6100">
        <w:rPr>
          <w:lang w:val="ru-RU"/>
        </w:rPr>
        <w:t>представителей частного</w:t>
      </w:r>
      <w:r w:rsidR="002B5404" w:rsidRPr="002B5404">
        <w:rPr>
          <w:lang w:val="ru-RU"/>
        </w:rPr>
        <w:t xml:space="preserve"> </w:t>
      </w:r>
      <w:r w:rsidR="006B6100">
        <w:rPr>
          <w:lang w:val="ru-RU"/>
        </w:rPr>
        <w:t>и социального</w:t>
      </w:r>
      <w:r w:rsidR="002B5404" w:rsidRPr="002B5404">
        <w:rPr>
          <w:lang w:val="ru-RU"/>
        </w:rPr>
        <w:t xml:space="preserve"> сектор</w:t>
      </w:r>
      <w:r w:rsidR="006B6100">
        <w:rPr>
          <w:lang w:val="ru-RU"/>
        </w:rPr>
        <w:t>ов</w:t>
      </w:r>
      <w:r w:rsidR="002B5404" w:rsidRPr="002B5404">
        <w:rPr>
          <w:lang w:val="ru-RU"/>
        </w:rPr>
        <w:t xml:space="preserve"> и аналогичные учреждения </w:t>
      </w:r>
      <w:r w:rsidR="006B6100">
        <w:rPr>
          <w:lang w:val="ru-RU"/>
        </w:rPr>
        <w:t xml:space="preserve">системы </w:t>
      </w:r>
      <w:r w:rsidR="006B6100" w:rsidRPr="00E01C76">
        <w:rPr>
          <w:lang w:val="ru-RU"/>
        </w:rPr>
        <w:t>Организации Объединенных Наций</w:t>
      </w:r>
      <w:r w:rsidR="006B6100">
        <w:rPr>
          <w:lang w:val="ru-RU"/>
        </w:rPr>
        <w:t>, провели более 70 </w:t>
      </w:r>
      <w:r w:rsidR="002B5404" w:rsidRPr="002B5404">
        <w:rPr>
          <w:lang w:val="ru-RU"/>
        </w:rPr>
        <w:t>интервью и проанализировали более 100</w:t>
      </w:r>
      <w:r w:rsidR="006B6100">
        <w:rPr>
          <w:lang w:val="ru-RU"/>
        </w:rPr>
        <w:t> </w:t>
      </w:r>
      <w:r w:rsidR="002B5404" w:rsidRPr="002B5404">
        <w:rPr>
          <w:lang w:val="ru-RU"/>
        </w:rPr>
        <w:t xml:space="preserve">документов и отчетов. Несколько ключевых выводов, которые были сделаны в ходе этой работы и которые также перекликаются с результатами </w:t>
      </w:r>
      <w:r w:rsidR="006B6100" w:rsidRPr="00985A7A">
        <w:rPr>
          <w:lang w:val="ru-RU"/>
        </w:rPr>
        <w:t xml:space="preserve">мероприятия МСЭ по определению </w:t>
      </w:r>
      <w:r w:rsidR="00167178">
        <w:rPr>
          <w:lang w:val="ru-RU"/>
        </w:rPr>
        <w:t xml:space="preserve">концепции </w:t>
      </w:r>
      <w:r w:rsidR="006B6100">
        <w:rPr>
          <w:lang w:val="ru-RU"/>
        </w:rPr>
        <w:t>и выездного С</w:t>
      </w:r>
      <w:r w:rsidR="002B5404" w:rsidRPr="002B5404">
        <w:rPr>
          <w:lang w:val="ru-RU"/>
        </w:rPr>
        <w:t xml:space="preserve">овещания </w:t>
      </w:r>
      <w:r w:rsidR="006B6100">
        <w:rPr>
          <w:lang w:val="ru-RU"/>
        </w:rPr>
        <w:t>старших руководителей</w:t>
      </w:r>
      <w:r w:rsidR="002B5404" w:rsidRPr="002B5404">
        <w:rPr>
          <w:lang w:val="ru-RU"/>
        </w:rPr>
        <w:t xml:space="preserve">, </w:t>
      </w:r>
      <w:r w:rsidR="00663AB5">
        <w:rPr>
          <w:lang w:val="ru-RU"/>
        </w:rPr>
        <w:t xml:space="preserve">демонстрируют </w:t>
      </w:r>
      <w:r w:rsidR="002B5404" w:rsidRPr="002B5404">
        <w:rPr>
          <w:lang w:val="ru-RU"/>
        </w:rPr>
        <w:t xml:space="preserve">основные </w:t>
      </w:r>
      <w:r>
        <w:rPr>
          <w:lang w:val="ru-RU"/>
        </w:rPr>
        <w:t xml:space="preserve">возможные направления деятельности </w:t>
      </w:r>
      <w:r w:rsidR="005C17D1">
        <w:rPr>
          <w:lang w:val="ru-RU"/>
        </w:rPr>
        <w:t>по повышению</w:t>
      </w:r>
      <w:r w:rsidR="006B6100">
        <w:rPr>
          <w:lang w:val="ru-RU"/>
        </w:rPr>
        <w:t xml:space="preserve"> эффективности</w:t>
      </w:r>
      <w:r w:rsidR="002B5404" w:rsidRPr="002B5404">
        <w:rPr>
          <w:lang w:val="ru-RU"/>
        </w:rPr>
        <w:t xml:space="preserve"> </w:t>
      </w:r>
      <w:r w:rsidR="005C17D1">
        <w:rPr>
          <w:lang w:val="ru-RU"/>
        </w:rPr>
        <w:t xml:space="preserve">и расширению предлагаемых преимуществ </w:t>
      </w:r>
      <w:r w:rsidR="002B5404" w:rsidRPr="002B5404">
        <w:rPr>
          <w:lang w:val="ru-RU"/>
        </w:rPr>
        <w:t>МСЭ</w:t>
      </w:r>
      <w:r w:rsidR="006B6100">
        <w:rPr>
          <w:lang w:val="ru-RU"/>
        </w:rPr>
        <w:t>:</w:t>
      </w:r>
    </w:p>
    <w:p w14:paraId="0629017F" w14:textId="66BD773E" w:rsidR="006B6100" w:rsidRDefault="00656BD6" w:rsidP="00656BD6">
      <w:pPr>
        <w:pStyle w:val="enumlev1"/>
        <w:rPr>
          <w:lang w:val="ru-RU"/>
        </w:rPr>
      </w:pPr>
      <w:bookmarkStart w:id="43" w:name="lt_pId140"/>
      <w:bookmarkEnd w:id="42"/>
      <w:r w:rsidRPr="006B6100">
        <w:rPr>
          <w:lang w:val="ru-RU"/>
        </w:rPr>
        <w:t>•</w:t>
      </w:r>
      <w:r w:rsidRPr="006B6100">
        <w:rPr>
          <w:lang w:val="ru-RU"/>
        </w:rPr>
        <w:tab/>
      </w:r>
      <w:r w:rsidR="006B6100">
        <w:rPr>
          <w:lang w:val="ru-RU"/>
        </w:rPr>
        <w:t>п</w:t>
      </w:r>
      <w:r w:rsidR="00461E4C">
        <w:rPr>
          <w:lang w:val="ru-RU"/>
        </w:rPr>
        <w:t>озиционирование МСЭ как организации</w:t>
      </w:r>
      <w:r w:rsidR="006B6100" w:rsidRPr="006B6100">
        <w:rPr>
          <w:lang w:val="ru-RU"/>
        </w:rPr>
        <w:t xml:space="preserve">, которая стала сильнее и соответствует своему назначению, демонстрируя </w:t>
      </w:r>
      <w:r w:rsidR="00663AB5">
        <w:rPr>
          <w:lang w:val="ru-RU"/>
        </w:rPr>
        <w:t xml:space="preserve">большую </w:t>
      </w:r>
      <w:r w:rsidR="006B6100">
        <w:rPr>
          <w:lang w:val="ru-RU"/>
        </w:rPr>
        <w:t>эффективность;</w:t>
      </w:r>
      <w:r w:rsidR="006B6100" w:rsidRPr="006B6100">
        <w:rPr>
          <w:lang w:val="ru-RU"/>
        </w:rPr>
        <w:t xml:space="preserve"> </w:t>
      </w:r>
    </w:p>
    <w:p w14:paraId="0F9E5C46" w14:textId="4BD7F9B1" w:rsidR="006B6100" w:rsidRDefault="00656BD6" w:rsidP="00656BD6">
      <w:pPr>
        <w:pStyle w:val="enumlev1"/>
        <w:rPr>
          <w:lang w:val="ru-RU"/>
        </w:rPr>
      </w:pPr>
      <w:bookmarkStart w:id="44" w:name="lt_pId141"/>
      <w:bookmarkEnd w:id="43"/>
      <w:r w:rsidRPr="00A27C69">
        <w:rPr>
          <w:lang w:val="ru-RU"/>
        </w:rPr>
        <w:t>•</w:t>
      </w:r>
      <w:r w:rsidRPr="00A27C69">
        <w:rPr>
          <w:lang w:val="ru-RU"/>
        </w:rPr>
        <w:tab/>
      </w:r>
      <w:r w:rsidR="006B6100">
        <w:rPr>
          <w:lang w:val="ru-RU"/>
        </w:rPr>
        <w:t>расш</w:t>
      </w:r>
      <w:r w:rsidR="00461E4C">
        <w:rPr>
          <w:lang w:val="ru-RU"/>
        </w:rPr>
        <w:t>ирение</w:t>
      </w:r>
      <w:r w:rsidR="006B6100" w:rsidRPr="00A27C69">
        <w:rPr>
          <w:lang w:val="ru-RU"/>
        </w:rPr>
        <w:t xml:space="preserve"> </w:t>
      </w:r>
      <w:r w:rsidR="00461E4C">
        <w:rPr>
          <w:lang w:val="ru-RU"/>
        </w:rPr>
        <w:t>участия</w:t>
      </w:r>
      <w:r w:rsidR="006B6100" w:rsidRPr="00A27C69">
        <w:rPr>
          <w:lang w:val="ru-RU"/>
        </w:rPr>
        <w:t xml:space="preserve"> </w:t>
      </w:r>
      <w:r w:rsidR="006B6100">
        <w:rPr>
          <w:lang w:val="ru-RU"/>
        </w:rPr>
        <w:t>частного</w:t>
      </w:r>
      <w:r w:rsidR="006B6100" w:rsidRPr="00A27C69">
        <w:rPr>
          <w:lang w:val="ru-RU"/>
        </w:rPr>
        <w:t xml:space="preserve"> </w:t>
      </w:r>
      <w:r w:rsidR="006B6100">
        <w:rPr>
          <w:lang w:val="ru-RU"/>
        </w:rPr>
        <w:t>сектора</w:t>
      </w:r>
      <w:r w:rsidR="006B6100" w:rsidRPr="00A27C69">
        <w:rPr>
          <w:lang w:val="ru-RU"/>
        </w:rPr>
        <w:t xml:space="preserve">; </w:t>
      </w:r>
    </w:p>
    <w:p w14:paraId="5A4449EB" w14:textId="5593E36F" w:rsidR="006B6100" w:rsidRDefault="00656BD6" w:rsidP="00656BD6">
      <w:pPr>
        <w:pStyle w:val="enumlev1"/>
        <w:rPr>
          <w:lang w:val="ru-RU"/>
        </w:rPr>
      </w:pPr>
      <w:bookmarkStart w:id="45" w:name="lt_pId142"/>
      <w:bookmarkEnd w:id="44"/>
      <w:r w:rsidRPr="006B6100">
        <w:rPr>
          <w:lang w:val="ru-RU"/>
        </w:rPr>
        <w:t>•</w:t>
      </w:r>
      <w:r w:rsidRPr="006B6100">
        <w:rPr>
          <w:lang w:val="ru-RU"/>
        </w:rPr>
        <w:tab/>
      </w:r>
      <w:r w:rsidR="006B6100">
        <w:rPr>
          <w:lang w:val="ru-RU"/>
        </w:rPr>
        <w:t>о</w:t>
      </w:r>
      <w:r w:rsidR="006B6100" w:rsidRPr="006B6100">
        <w:rPr>
          <w:lang w:val="ru-RU"/>
        </w:rPr>
        <w:t xml:space="preserve">бновление </w:t>
      </w:r>
      <w:r w:rsidR="00461E4C">
        <w:rPr>
          <w:lang w:val="ru-RU"/>
        </w:rPr>
        <w:t>исторически сложившихся</w:t>
      </w:r>
      <w:r w:rsidR="006B6100" w:rsidRPr="006B6100">
        <w:rPr>
          <w:lang w:val="ru-RU"/>
        </w:rPr>
        <w:t xml:space="preserve"> структур и упрощение процессов</w:t>
      </w:r>
      <w:r w:rsidR="00461E4C">
        <w:rPr>
          <w:lang w:val="ru-RU"/>
        </w:rPr>
        <w:t>;</w:t>
      </w:r>
      <w:r w:rsidR="006B6100" w:rsidRPr="006B6100">
        <w:rPr>
          <w:lang w:val="ru-RU"/>
        </w:rPr>
        <w:t xml:space="preserve"> </w:t>
      </w:r>
    </w:p>
    <w:p w14:paraId="3CFFD462" w14:textId="49D6F234" w:rsidR="00461E4C" w:rsidRDefault="00656BD6" w:rsidP="00656BD6">
      <w:pPr>
        <w:pStyle w:val="enumlev1"/>
        <w:rPr>
          <w:lang w:val="ru-RU"/>
        </w:rPr>
      </w:pPr>
      <w:bookmarkStart w:id="46" w:name="lt_pId143"/>
      <w:bookmarkEnd w:id="45"/>
      <w:r w:rsidRPr="00461E4C">
        <w:rPr>
          <w:lang w:val="ru-RU"/>
        </w:rPr>
        <w:t>•</w:t>
      </w:r>
      <w:r w:rsidRPr="00461E4C">
        <w:rPr>
          <w:lang w:val="ru-RU"/>
        </w:rPr>
        <w:tab/>
      </w:r>
      <w:r w:rsidR="00461E4C">
        <w:rPr>
          <w:lang w:val="ru-RU"/>
        </w:rPr>
        <w:t>у</w:t>
      </w:r>
      <w:r w:rsidR="00461E4C" w:rsidRPr="00461E4C">
        <w:rPr>
          <w:lang w:val="ru-RU"/>
        </w:rPr>
        <w:t>лучшение структуры данных и обмен знаниями</w:t>
      </w:r>
      <w:r w:rsidR="00461E4C">
        <w:rPr>
          <w:lang w:val="ru-RU"/>
        </w:rPr>
        <w:t>;</w:t>
      </w:r>
    </w:p>
    <w:p w14:paraId="2664D7FA" w14:textId="12C7E45A" w:rsidR="00461E4C" w:rsidRDefault="00656BD6" w:rsidP="00656BD6">
      <w:pPr>
        <w:pStyle w:val="enumlev1"/>
        <w:rPr>
          <w:lang w:val="ru-RU"/>
        </w:rPr>
      </w:pPr>
      <w:bookmarkStart w:id="47" w:name="lt_pId144"/>
      <w:bookmarkEnd w:id="46"/>
      <w:r w:rsidRPr="00461E4C">
        <w:rPr>
          <w:lang w:val="ru-RU"/>
        </w:rPr>
        <w:t>•</w:t>
      </w:r>
      <w:r w:rsidRPr="00461E4C">
        <w:rPr>
          <w:lang w:val="ru-RU"/>
        </w:rPr>
        <w:tab/>
      </w:r>
      <w:r w:rsidR="00461E4C">
        <w:rPr>
          <w:lang w:val="ru-RU"/>
        </w:rPr>
        <w:t>более эффективная координация информационно-пропагандистской</w:t>
      </w:r>
      <w:r w:rsidR="00461E4C" w:rsidRPr="00461E4C">
        <w:rPr>
          <w:lang w:val="ru-RU"/>
        </w:rPr>
        <w:t xml:space="preserve"> работы с заинтересованными сторонами</w:t>
      </w:r>
      <w:r w:rsidR="00461E4C">
        <w:rPr>
          <w:lang w:val="ru-RU"/>
        </w:rPr>
        <w:t>.</w:t>
      </w:r>
    </w:p>
    <w:bookmarkEnd w:id="47"/>
    <w:p w14:paraId="2F588EFB" w14:textId="58517508" w:rsidR="008F5F0B" w:rsidRPr="003E7484" w:rsidRDefault="00395A5A" w:rsidP="00656BD6">
      <w:pPr>
        <w:pStyle w:val="Heading2"/>
        <w:rPr>
          <w:lang w:val="ru-RU"/>
        </w:rPr>
      </w:pPr>
      <w:r w:rsidRPr="008F5F0B">
        <w:rPr>
          <w:lang w:val="ru-RU"/>
        </w:rPr>
        <w:t>2.4</w:t>
      </w:r>
      <w:r w:rsidRPr="008F5F0B">
        <w:rPr>
          <w:lang w:val="ru-RU"/>
        </w:rPr>
        <w:tab/>
      </w:r>
      <w:bookmarkStart w:id="48" w:name="lt_pId146"/>
      <w:r w:rsidR="00663AB5" w:rsidRPr="003E7484">
        <w:rPr>
          <w:lang w:val="ru-RU"/>
        </w:rPr>
        <w:t>С</w:t>
      </w:r>
      <w:r w:rsidR="008F5F0B" w:rsidRPr="003E7484">
        <w:rPr>
          <w:lang w:val="ru-RU"/>
        </w:rPr>
        <w:t>труктура</w:t>
      </w:r>
      <w:r w:rsidR="0075297A" w:rsidRPr="003E7484">
        <w:rPr>
          <w:lang w:val="ru-RU"/>
        </w:rPr>
        <w:t xml:space="preserve"> формирования концепции</w:t>
      </w:r>
      <w:r w:rsidR="008F5F0B" w:rsidRPr="003E7484">
        <w:rPr>
          <w:lang w:val="ru-RU"/>
        </w:rPr>
        <w:t xml:space="preserve"> "Единого МСЭ"</w:t>
      </w:r>
    </w:p>
    <w:p w14:paraId="54447836" w14:textId="409CB1E9" w:rsidR="008F5F0B" w:rsidRDefault="001962EA" w:rsidP="00395A5A">
      <w:pPr>
        <w:rPr>
          <w:lang w:val="ru-RU"/>
        </w:rPr>
      </w:pPr>
      <w:bookmarkStart w:id="49" w:name="lt_pId147"/>
      <w:bookmarkEnd w:id="48"/>
      <w:r>
        <w:rPr>
          <w:lang w:val="ru-RU"/>
        </w:rPr>
        <w:t>С учетом результатов</w:t>
      </w:r>
      <w:r w:rsidR="008F5F0B" w:rsidRPr="008F5F0B">
        <w:rPr>
          <w:lang w:val="ru-RU"/>
        </w:rPr>
        <w:t xml:space="preserve"> вышеприведенного анализа секретариат МСЭ и </w:t>
      </w:r>
      <w:r w:rsidR="008F5F0B">
        <w:rPr>
          <w:lang w:val="ru-RU"/>
        </w:rPr>
        <w:t xml:space="preserve">компания </w:t>
      </w:r>
      <w:r w:rsidR="008F5F0B" w:rsidRPr="008F5F0B">
        <w:rPr>
          <w:lang w:val="en-US"/>
        </w:rPr>
        <w:t>BCG</w:t>
      </w:r>
      <w:r w:rsidR="008F5F0B" w:rsidRPr="008F5F0B">
        <w:rPr>
          <w:lang w:val="ru-RU"/>
        </w:rPr>
        <w:t xml:space="preserve"> совместно работали над уточнением </w:t>
      </w:r>
      <w:r w:rsidR="008F5F0B">
        <w:rPr>
          <w:lang w:val="ru-RU"/>
        </w:rPr>
        <w:t>с</w:t>
      </w:r>
      <w:r>
        <w:rPr>
          <w:lang w:val="ru-RU"/>
        </w:rPr>
        <w:t>труктуры</w:t>
      </w:r>
      <w:r w:rsidR="008F5F0B">
        <w:rPr>
          <w:lang w:val="ru-RU"/>
        </w:rPr>
        <w:t xml:space="preserve"> формирования </w:t>
      </w:r>
      <w:r w:rsidR="0075297A">
        <w:rPr>
          <w:lang w:val="ru-RU"/>
        </w:rPr>
        <w:t xml:space="preserve">концепции </w:t>
      </w:r>
      <w:r w:rsidR="008F5F0B" w:rsidRPr="008F5F0B">
        <w:rPr>
          <w:lang w:val="ru-RU"/>
        </w:rPr>
        <w:t>"Един</w:t>
      </w:r>
      <w:r w:rsidR="008F5F0B">
        <w:rPr>
          <w:lang w:val="ru-RU"/>
        </w:rPr>
        <w:t>ого</w:t>
      </w:r>
      <w:r>
        <w:rPr>
          <w:lang w:val="ru-RU"/>
        </w:rPr>
        <w:t xml:space="preserve"> МСЭ" </w:t>
      </w:r>
      <w:r w:rsidR="008F5F0B" w:rsidRPr="008F5F0B">
        <w:rPr>
          <w:lang w:val="ru-RU"/>
        </w:rPr>
        <w:t>на</w:t>
      </w:r>
      <w:r>
        <w:rPr>
          <w:lang w:val="ru-RU"/>
        </w:rPr>
        <w:t xml:space="preserve"> основе</w:t>
      </w:r>
      <w:r w:rsidR="008F5F0B" w:rsidRPr="008F5F0B">
        <w:rPr>
          <w:lang w:val="ru-RU"/>
        </w:rPr>
        <w:t xml:space="preserve"> пяти ключевых ценностных </w:t>
      </w:r>
      <w:r>
        <w:rPr>
          <w:lang w:val="ru-RU"/>
        </w:rPr>
        <w:t xml:space="preserve">компонентов </w:t>
      </w:r>
      <w:r w:rsidR="008F5F0B">
        <w:rPr>
          <w:lang w:val="ru-RU"/>
        </w:rPr>
        <w:t xml:space="preserve">(см. </w:t>
      </w:r>
      <w:r w:rsidR="00890B49">
        <w:rPr>
          <w:lang w:val="ru-RU"/>
        </w:rPr>
        <w:t>Т</w:t>
      </w:r>
      <w:r w:rsidR="008F5F0B" w:rsidRPr="008F5F0B">
        <w:rPr>
          <w:lang w:val="ru-RU"/>
        </w:rPr>
        <w:t>аблицу</w:t>
      </w:r>
      <w:r w:rsidR="008F5F0B">
        <w:rPr>
          <w:lang w:val="ru-RU"/>
        </w:rPr>
        <w:t> </w:t>
      </w:r>
      <w:r>
        <w:rPr>
          <w:lang w:val="ru-RU"/>
        </w:rPr>
        <w:t>2)</w:t>
      </w:r>
      <w:r w:rsidR="008F5F0B" w:rsidRPr="008F5F0B">
        <w:rPr>
          <w:lang w:val="ru-RU"/>
        </w:rPr>
        <w:t xml:space="preserve"> в соответствии с целями стратегического плана МСЭ и с опорой на ключевые темы для </w:t>
      </w:r>
      <w:r>
        <w:rPr>
          <w:lang w:val="ru-RU"/>
        </w:rPr>
        <w:t>разработки</w:t>
      </w:r>
      <w:r w:rsidR="008F5F0B">
        <w:rPr>
          <w:lang w:val="ru-RU"/>
        </w:rPr>
        <w:t xml:space="preserve"> </w:t>
      </w:r>
      <w:r w:rsidR="008F5F0B" w:rsidRPr="008F5F0B">
        <w:rPr>
          <w:lang w:val="ru-RU"/>
        </w:rPr>
        <w:t xml:space="preserve">комплексной стратегии мобилизации ресурсов. </w:t>
      </w:r>
      <w:r w:rsidR="008F5F0B" w:rsidRPr="001962EA">
        <w:rPr>
          <w:lang w:val="ru-RU"/>
        </w:rPr>
        <w:t>Предл</w:t>
      </w:r>
      <w:r w:rsidRPr="001962EA">
        <w:rPr>
          <w:lang w:val="ru-RU"/>
        </w:rPr>
        <w:t xml:space="preserve">агаемая </w:t>
      </w:r>
      <w:r w:rsidR="008F5F0B" w:rsidRPr="001962EA">
        <w:rPr>
          <w:lang w:val="ru-RU"/>
        </w:rPr>
        <w:t xml:space="preserve">структура может также </w:t>
      </w:r>
      <w:r>
        <w:rPr>
          <w:lang w:val="ru-RU"/>
        </w:rPr>
        <w:t xml:space="preserve">помочь обеспечить более системный подход к распространению информации об </w:t>
      </w:r>
      <w:r w:rsidR="00E44A7E" w:rsidRPr="001962EA">
        <w:rPr>
          <w:lang w:val="ru-RU"/>
        </w:rPr>
        <w:t>услуг</w:t>
      </w:r>
      <w:r>
        <w:rPr>
          <w:lang w:val="ru-RU"/>
        </w:rPr>
        <w:t xml:space="preserve">ах </w:t>
      </w:r>
      <w:r w:rsidR="0054260B">
        <w:rPr>
          <w:lang w:val="ru-RU"/>
        </w:rPr>
        <w:t>МСЭ среди</w:t>
      </w:r>
      <w:r w:rsidR="008F5F0B" w:rsidRPr="001962EA">
        <w:rPr>
          <w:lang w:val="ru-RU"/>
        </w:rPr>
        <w:t xml:space="preserve"> членов и других заинтересованных сторон</w:t>
      </w:r>
      <w:r w:rsidR="00E44A7E" w:rsidRPr="001962EA">
        <w:rPr>
          <w:lang w:val="ru-RU"/>
        </w:rPr>
        <w:t>.</w:t>
      </w:r>
    </w:p>
    <w:p w14:paraId="24E48E91" w14:textId="0B1C19B7" w:rsidR="00E44A7E" w:rsidRDefault="00E44A7E" w:rsidP="00395A5A">
      <w:pPr>
        <w:rPr>
          <w:lang w:val="ru-RU"/>
        </w:rPr>
      </w:pPr>
      <w:bookmarkStart w:id="50" w:name="lt_pId149"/>
      <w:bookmarkEnd w:id="49"/>
      <w:r w:rsidRPr="00E44A7E">
        <w:rPr>
          <w:lang w:val="ru-RU"/>
        </w:rPr>
        <w:t xml:space="preserve">Пять ключевых ценностных </w:t>
      </w:r>
      <w:r w:rsidR="0054260B">
        <w:rPr>
          <w:lang w:val="ru-RU"/>
        </w:rPr>
        <w:t>компонентов</w:t>
      </w:r>
      <w:r w:rsidR="00A51BD2">
        <w:rPr>
          <w:lang w:val="ru-RU"/>
        </w:rPr>
        <w:t xml:space="preserve"> в рамках</w:t>
      </w:r>
      <w:r w:rsidRPr="00E44A7E">
        <w:rPr>
          <w:lang w:val="ru-RU"/>
        </w:rPr>
        <w:t xml:space="preserve"> структуры </w:t>
      </w:r>
      <w:r>
        <w:rPr>
          <w:lang w:val="ru-RU"/>
        </w:rPr>
        <w:t xml:space="preserve">формирования </w:t>
      </w:r>
      <w:r w:rsidR="00A51BD2">
        <w:rPr>
          <w:lang w:val="ru-RU"/>
        </w:rPr>
        <w:t>концепции</w:t>
      </w:r>
      <w:r>
        <w:rPr>
          <w:lang w:val="ru-RU"/>
        </w:rPr>
        <w:t xml:space="preserve"> "Единого</w:t>
      </w:r>
      <w:r w:rsidRPr="00E44A7E">
        <w:rPr>
          <w:lang w:val="ru-RU"/>
        </w:rPr>
        <w:t xml:space="preserve"> МСЭ" опираются на уже </w:t>
      </w:r>
      <w:r>
        <w:rPr>
          <w:lang w:val="ru-RU"/>
        </w:rPr>
        <w:t>существующие</w:t>
      </w:r>
      <w:r w:rsidRPr="00E44A7E">
        <w:rPr>
          <w:lang w:val="ru-RU"/>
        </w:rPr>
        <w:t xml:space="preserve"> возможности МСЭ</w:t>
      </w:r>
      <w:r>
        <w:rPr>
          <w:lang w:val="ru-RU"/>
        </w:rPr>
        <w:t>:</w:t>
      </w:r>
    </w:p>
    <w:p w14:paraId="3FCF0E27" w14:textId="2F31BC4A" w:rsidR="00E44A7E" w:rsidRDefault="00656BD6" w:rsidP="00656BD6">
      <w:pPr>
        <w:pStyle w:val="enumlev1"/>
        <w:rPr>
          <w:lang w:val="ru-RU"/>
        </w:rPr>
      </w:pPr>
      <w:bookmarkStart w:id="51" w:name="lt_pId150"/>
      <w:bookmarkEnd w:id="50"/>
      <w:r w:rsidRPr="00E44A7E">
        <w:rPr>
          <w:lang w:val="ru-RU"/>
        </w:rPr>
        <w:t>1)</w:t>
      </w:r>
      <w:r w:rsidRPr="00E44A7E">
        <w:rPr>
          <w:lang w:val="ru-RU"/>
        </w:rPr>
        <w:tab/>
      </w:r>
      <w:r w:rsidR="00E44A7E">
        <w:rPr>
          <w:lang w:val="ru-RU"/>
        </w:rPr>
        <w:t xml:space="preserve">создание платформы для </w:t>
      </w:r>
      <w:r w:rsidR="003228F1">
        <w:rPr>
          <w:lang w:val="ru-RU"/>
        </w:rPr>
        <w:t>созыва мероприятий</w:t>
      </w:r>
      <w:r w:rsidR="00E44A7E">
        <w:rPr>
          <w:lang w:val="ru-RU"/>
        </w:rPr>
        <w:t xml:space="preserve">; </w:t>
      </w:r>
    </w:p>
    <w:p w14:paraId="5588CA00" w14:textId="77777777" w:rsidR="00E44A7E" w:rsidRDefault="00656BD6" w:rsidP="00656BD6">
      <w:pPr>
        <w:pStyle w:val="enumlev1"/>
        <w:rPr>
          <w:lang w:val="ru-RU"/>
        </w:rPr>
      </w:pPr>
      <w:bookmarkStart w:id="52" w:name="lt_pId151"/>
      <w:bookmarkEnd w:id="51"/>
      <w:r w:rsidRPr="00E44A7E">
        <w:rPr>
          <w:lang w:val="ru-RU"/>
        </w:rPr>
        <w:t>2)</w:t>
      </w:r>
      <w:r w:rsidRPr="00E44A7E">
        <w:rPr>
          <w:lang w:val="ru-RU"/>
        </w:rPr>
        <w:tab/>
      </w:r>
      <w:r w:rsidR="00E44A7E">
        <w:rPr>
          <w:lang w:val="ru-RU"/>
        </w:rPr>
        <w:t>ф</w:t>
      </w:r>
      <w:r w:rsidR="00E44A7E" w:rsidRPr="00E44A7E">
        <w:rPr>
          <w:lang w:val="ru-RU"/>
        </w:rPr>
        <w:t>ормир</w:t>
      </w:r>
      <w:r w:rsidR="00E44A7E">
        <w:rPr>
          <w:lang w:val="ru-RU"/>
        </w:rPr>
        <w:t xml:space="preserve">ование </w:t>
      </w:r>
      <w:r w:rsidR="00E44A7E" w:rsidRPr="00E44A7E">
        <w:rPr>
          <w:lang w:val="ru-RU"/>
        </w:rPr>
        <w:t>рыночн</w:t>
      </w:r>
      <w:r w:rsidR="00E44A7E">
        <w:rPr>
          <w:lang w:val="ru-RU"/>
        </w:rPr>
        <w:t>ой политики</w:t>
      </w:r>
      <w:r w:rsidR="00E44A7E" w:rsidRPr="00E44A7E">
        <w:rPr>
          <w:lang w:val="ru-RU"/>
        </w:rPr>
        <w:t xml:space="preserve"> и </w:t>
      </w:r>
      <w:r w:rsidR="00E44A7E">
        <w:rPr>
          <w:lang w:val="ru-RU"/>
        </w:rPr>
        <w:t>руководство</w:t>
      </w:r>
      <w:r w:rsidR="00E44A7E" w:rsidRPr="00E44A7E">
        <w:rPr>
          <w:lang w:val="ru-RU"/>
        </w:rPr>
        <w:t xml:space="preserve"> инвестиционны</w:t>
      </w:r>
      <w:r w:rsidR="00E44A7E">
        <w:rPr>
          <w:lang w:val="ru-RU"/>
        </w:rPr>
        <w:t>ми</w:t>
      </w:r>
      <w:r w:rsidR="00E44A7E" w:rsidRPr="00E44A7E">
        <w:rPr>
          <w:lang w:val="ru-RU"/>
        </w:rPr>
        <w:t xml:space="preserve"> решения</w:t>
      </w:r>
      <w:r w:rsidR="00E44A7E">
        <w:rPr>
          <w:lang w:val="ru-RU"/>
        </w:rPr>
        <w:t>ми;</w:t>
      </w:r>
    </w:p>
    <w:p w14:paraId="6B6C2005" w14:textId="7C242928" w:rsidR="00E44A7E" w:rsidRDefault="00656BD6" w:rsidP="00656BD6">
      <w:pPr>
        <w:pStyle w:val="enumlev1"/>
        <w:rPr>
          <w:lang w:val="ru-RU"/>
        </w:rPr>
      </w:pPr>
      <w:bookmarkStart w:id="53" w:name="lt_pId152"/>
      <w:bookmarkEnd w:id="52"/>
      <w:r w:rsidRPr="00E44A7E">
        <w:rPr>
          <w:lang w:val="ru-RU"/>
        </w:rPr>
        <w:t>3)</w:t>
      </w:r>
      <w:r w:rsidRPr="00E44A7E">
        <w:rPr>
          <w:lang w:val="ru-RU"/>
        </w:rPr>
        <w:tab/>
      </w:r>
      <w:r w:rsidR="00E44A7E">
        <w:rPr>
          <w:lang w:val="ru-RU"/>
        </w:rPr>
        <w:t>о</w:t>
      </w:r>
      <w:r w:rsidR="00E44A7E" w:rsidRPr="00E44A7E">
        <w:rPr>
          <w:lang w:val="ru-RU"/>
        </w:rPr>
        <w:t>беспеч</w:t>
      </w:r>
      <w:r w:rsidR="00E44A7E">
        <w:rPr>
          <w:lang w:val="ru-RU"/>
        </w:rPr>
        <w:t>ение</w:t>
      </w:r>
      <w:r w:rsidR="00E44A7E" w:rsidRPr="00E44A7E">
        <w:rPr>
          <w:lang w:val="ru-RU"/>
        </w:rPr>
        <w:t xml:space="preserve"> </w:t>
      </w:r>
      <w:r w:rsidR="00872F9E">
        <w:rPr>
          <w:lang w:val="ru-RU"/>
        </w:rPr>
        <w:t>эффекта</w:t>
      </w:r>
      <w:r w:rsidR="00E44A7E" w:rsidRPr="00E44A7E">
        <w:rPr>
          <w:lang w:val="ru-RU"/>
        </w:rPr>
        <w:t xml:space="preserve"> масштаба за счет стандартизации</w:t>
      </w:r>
      <w:r w:rsidR="00E44A7E">
        <w:rPr>
          <w:lang w:val="ru-RU"/>
        </w:rPr>
        <w:t>;</w:t>
      </w:r>
    </w:p>
    <w:p w14:paraId="211669B5" w14:textId="077377FD" w:rsidR="00E44A7E" w:rsidRDefault="00656BD6" w:rsidP="00656BD6">
      <w:pPr>
        <w:pStyle w:val="enumlev1"/>
        <w:rPr>
          <w:lang w:val="ru-RU"/>
        </w:rPr>
      </w:pPr>
      <w:bookmarkStart w:id="54" w:name="lt_pId153"/>
      <w:bookmarkEnd w:id="53"/>
      <w:r w:rsidRPr="00E44A7E">
        <w:rPr>
          <w:lang w:val="ru-RU"/>
        </w:rPr>
        <w:t>4)</w:t>
      </w:r>
      <w:r w:rsidRPr="00E44A7E">
        <w:rPr>
          <w:lang w:val="ru-RU"/>
        </w:rPr>
        <w:tab/>
      </w:r>
      <w:r w:rsidR="00E44A7E">
        <w:rPr>
          <w:lang w:val="ru-RU"/>
        </w:rPr>
        <w:t>предоставление надежных данных и знаний;</w:t>
      </w:r>
    </w:p>
    <w:p w14:paraId="33394686" w14:textId="77777777" w:rsidR="00E44A7E" w:rsidRDefault="00656BD6" w:rsidP="00656BD6">
      <w:pPr>
        <w:pStyle w:val="enumlev1"/>
        <w:rPr>
          <w:lang w:val="ru-RU"/>
        </w:rPr>
      </w:pPr>
      <w:bookmarkStart w:id="55" w:name="lt_pId154"/>
      <w:bookmarkEnd w:id="54"/>
      <w:r w:rsidRPr="00E44A7E">
        <w:rPr>
          <w:lang w:val="ru-RU"/>
        </w:rPr>
        <w:lastRenderedPageBreak/>
        <w:t>5)</w:t>
      </w:r>
      <w:r w:rsidRPr="00E44A7E">
        <w:rPr>
          <w:lang w:val="ru-RU"/>
        </w:rPr>
        <w:tab/>
      </w:r>
      <w:r w:rsidR="00E44A7E">
        <w:rPr>
          <w:lang w:val="ru-RU"/>
        </w:rPr>
        <w:t>о</w:t>
      </w:r>
      <w:r w:rsidR="00E44A7E" w:rsidRPr="00E44A7E">
        <w:rPr>
          <w:lang w:val="ru-RU"/>
        </w:rPr>
        <w:t>рганизация проектов с участием многих заинтересованных сторон</w:t>
      </w:r>
      <w:r w:rsidR="00E44A7E">
        <w:rPr>
          <w:lang w:val="ru-RU"/>
        </w:rPr>
        <w:t>.</w:t>
      </w:r>
    </w:p>
    <w:p w14:paraId="7F9B7228" w14:textId="578ABB08" w:rsidR="00E44A7E" w:rsidRDefault="00E44A7E" w:rsidP="00395A5A">
      <w:pPr>
        <w:rPr>
          <w:lang w:val="ru-RU"/>
        </w:rPr>
      </w:pPr>
      <w:bookmarkStart w:id="56" w:name="lt_pId155"/>
      <w:bookmarkEnd w:id="55"/>
      <w:r w:rsidRPr="00A51BD2">
        <w:rPr>
          <w:lang w:val="ru-RU"/>
        </w:rPr>
        <w:t xml:space="preserve">Секретариат предлагает использовать эти пять ценностных </w:t>
      </w:r>
      <w:r w:rsidR="00A51BD2" w:rsidRPr="00A51BD2">
        <w:rPr>
          <w:lang w:val="ru-RU"/>
        </w:rPr>
        <w:t xml:space="preserve">компонентов </w:t>
      </w:r>
      <w:r w:rsidRPr="00A51BD2">
        <w:rPr>
          <w:lang w:val="ru-RU"/>
        </w:rPr>
        <w:t xml:space="preserve">в качестве основы для формулирования предлагаемых МСЭ преимуществ </w:t>
      </w:r>
      <w:r w:rsidR="0064077D" w:rsidRPr="00A51BD2">
        <w:rPr>
          <w:lang w:val="ru-RU"/>
        </w:rPr>
        <w:t>для</w:t>
      </w:r>
      <w:r w:rsidR="00EB16AE" w:rsidRPr="00A51BD2">
        <w:rPr>
          <w:lang w:val="ru-RU"/>
        </w:rPr>
        <w:t xml:space="preserve"> мобилизации ресурсов в рамках </w:t>
      </w:r>
      <w:r w:rsidR="0064077D" w:rsidRPr="00A51BD2">
        <w:rPr>
          <w:lang w:val="ru-RU"/>
        </w:rPr>
        <w:t xml:space="preserve">концепции </w:t>
      </w:r>
      <w:r w:rsidRPr="00A51BD2">
        <w:rPr>
          <w:lang w:val="ru-RU"/>
        </w:rPr>
        <w:t>"Един</w:t>
      </w:r>
      <w:r w:rsidR="00EB16AE" w:rsidRPr="00A51BD2">
        <w:rPr>
          <w:lang w:val="ru-RU"/>
        </w:rPr>
        <w:t>ого</w:t>
      </w:r>
      <w:r w:rsidRPr="00A51BD2">
        <w:rPr>
          <w:lang w:val="ru-RU"/>
        </w:rPr>
        <w:t xml:space="preserve"> МСЭ"</w:t>
      </w:r>
      <w:r w:rsidR="00EB16AE" w:rsidRPr="00A51BD2">
        <w:rPr>
          <w:lang w:val="ru-RU"/>
        </w:rPr>
        <w:t>.</w:t>
      </w:r>
      <w:r w:rsidRPr="00E44A7E">
        <w:rPr>
          <w:lang w:val="ru-RU"/>
        </w:rPr>
        <w:t xml:space="preserve"> </w:t>
      </w:r>
    </w:p>
    <w:p w14:paraId="32BD4F34" w14:textId="0A489EAF" w:rsidR="00656BD6" w:rsidRPr="00A51BD2" w:rsidRDefault="00656BD6" w:rsidP="00656BD6">
      <w:pPr>
        <w:pStyle w:val="TableNo"/>
        <w:rPr>
          <w:lang w:val="ru-RU"/>
        </w:rPr>
      </w:pPr>
      <w:bookmarkStart w:id="57" w:name="lt_pId156"/>
      <w:bookmarkEnd w:id="56"/>
      <w:r>
        <w:rPr>
          <w:lang w:val="ru-RU"/>
        </w:rPr>
        <w:t>ТАБЛИЦА</w:t>
      </w:r>
      <w:r w:rsidR="00395A5A" w:rsidRPr="00A51BD2">
        <w:rPr>
          <w:lang w:val="ru-RU"/>
        </w:rPr>
        <w:t xml:space="preserve"> 2</w:t>
      </w:r>
    </w:p>
    <w:p w14:paraId="10C10F9A" w14:textId="78DD8D40" w:rsidR="00A51BD2" w:rsidRPr="003E7484" w:rsidRDefault="00A51BD2" w:rsidP="00656BD6">
      <w:pPr>
        <w:pStyle w:val="Tabletitle"/>
        <w:rPr>
          <w:lang w:val="ru-RU"/>
        </w:rPr>
      </w:pPr>
      <w:bookmarkStart w:id="58" w:name="lt_pId157"/>
      <w:bookmarkEnd w:id="57"/>
      <w:r w:rsidRPr="003E7484">
        <w:rPr>
          <w:lang w:val="ru-RU"/>
        </w:rPr>
        <w:t>Структура формирования концепции "Единого МСЭ": пять ценност</w:t>
      </w:r>
      <w:r w:rsidR="008E6EA0" w:rsidRPr="003E7484">
        <w:rPr>
          <w:lang w:val="ru-RU"/>
        </w:rPr>
        <w:t>ных компонентов и горизонтальных</w:t>
      </w:r>
      <w:r w:rsidRPr="003E7484">
        <w:rPr>
          <w:lang w:val="ru-RU"/>
        </w:rPr>
        <w:t xml:space="preserve"> тем</w:t>
      </w:r>
    </w:p>
    <w:bookmarkEnd w:id="58"/>
    <w:p w14:paraId="2CB205D0" w14:textId="2DB2D111" w:rsidR="00D35A78" w:rsidRPr="00395A5A" w:rsidRDefault="00D35A78" w:rsidP="00395A5A">
      <w:r>
        <w:rPr>
          <w:noProof/>
          <w:lang w:val="en-US"/>
        </w:rPr>
        <w:drawing>
          <wp:inline distT="0" distB="0" distL="0" distR="0" wp14:anchorId="72D2A0A4" wp14:editId="50956066">
            <wp:extent cx="5735022" cy="305956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000" cy="3071828"/>
                    </a:xfrm>
                    <a:prstGeom prst="rect">
                      <a:avLst/>
                    </a:prstGeom>
                    <a:noFill/>
                  </pic:spPr>
                </pic:pic>
              </a:graphicData>
            </a:graphic>
          </wp:inline>
        </w:drawing>
      </w:r>
    </w:p>
    <w:p w14:paraId="6010781D" w14:textId="6D29EB19" w:rsidR="00395A5A" w:rsidRPr="00EF44C3" w:rsidRDefault="00395A5A" w:rsidP="00656BD6">
      <w:pPr>
        <w:pStyle w:val="Heading2"/>
        <w:rPr>
          <w:lang w:val="ru-RU"/>
        </w:rPr>
      </w:pPr>
      <w:r w:rsidRPr="00EF44C3">
        <w:rPr>
          <w:lang w:val="ru-RU"/>
        </w:rPr>
        <w:t>2.5</w:t>
      </w:r>
      <w:r w:rsidRPr="00EF44C3">
        <w:rPr>
          <w:lang w:val="ru-RU"/>
        </w:rPr>
        <w:tab/>
      </w:r>
      <w:bookmarkStart w:id="59" w:name="lt_pId159"/>
      <w:r w:rsidR="00EF44C3" w:rsidRPr="00EF44C3">
        <w:rPr>
          <w:lang w:val="ru-RU"/>
        </w:rPr>
        <w:t>Управление рисками</w:t>
      </w:r>
      <w:bookmarkEnd w:id="59"/>
    </w:p>
    <w:p w14:paraId="51353BE9" w14:textId="4C574622" w:rsidR="00EF44C3" w:rsidRPr="00D9557C" w:rsidRDefault="00EF44C3" w:rsidP="00395A5A">
      <w:pPr>
        <w:rPr>
          <w:lang w:val="ru-RU"/>
        </w:rPr>
      </w:pPr>
      <w:bookmarkStart w:id="60" w:name="lt_pId160"/>
      <w:r w:rsidRPr="00EF44C3">
        <w:rPr>
          <w:lang w:val="ru-RU"/>
        </w:rPr>
        <w:t xml:space="preserve">Поскольку МСЭ наращивает усилия по привлечению внебюджетного финансирования, причем все чаще от организаций, не являющихся его членами, необходимо предпринять шаги по минимизации рисков и защите репутации и нейтралитета Союза. С этой целью МСЭ внедрил политику и процедуры для </w:t>
      </w:r>
      <w:r w:rsidR="007B4DCB">
        <w:rPr>
          <w:lang w:val="ru-RU"/>
        </w:rPr>
        <w:t>укрепления системы</w:t>
      </w:r>
      <w:r w:rsidRPr="00EF44C3">
        <w:rPr>
          <w:lang w:val="ru-RU"/>
        </w:rPr>
        <w:t xml:space="preserve"> управления </w:t>
      </w:r>
      <w:r w:rsidR="00A22B1A">
        <w:rPr>
          <w:lang w:val="ru-RU"/>
        </w:rPr>
        <w:t>рисками</w:t>
      </w:r>
      <w:r w:rsidR="003E7484">
        <w:rPr>
          <w:lang w:val="ru-RU"/>
        </w:rPr>
        <w:t xml:space="preserve">, которые могут возникнуть в процессе установления </w:t>
      </w:r>
      <w:r w:rsidR="00E83CD9">
        <w:rPr>
          <w:lang w:val="ru-RU"/>
        </w:rPr>
        <w:t>партнерских отношений</w:t>
      </w:r>
      <w:r w:rsidRPr="00EF44C3">
        <w:rPr>
          <w:lang w:val="ru-RU"/>
        </w:rPr>
        <w:t xml:space="preserve"> и сбора средств, включая служебный приказ 20/03 о </w:t>
      </w:r>
      <w:r w:rsidR="00E83CD9">
        <w:rPr>
          <w:lang w:val="ru-RU"/>
        </w:rPr>
        <w:t>руководящих</w:t>
      </w:r>
      <w:r w:rsidR="00E83CD9" w:rsidRPr="00E83CD9">
        <w:rPr>
          <w:lang w:val="ru-RU"/>
        </w:rPr>
        <w:t xml:space="preserve"> указания</w:t>
      </w:r>
      <w:r w:rsidR="00E83CD9">
        <w:rPr>
          <w:lang w:val="ru-RU"/>
        </w:rPr>
        <w:t>х МСЭ</w:t>
      </w:r>
      <w:r w:rsidR="00E83CD9" w:rsidRPr="00E83CD9">
        <w:rPr>
          <w:lang w:val="ru-RU"/>
        </w:rPr>
        <w:t xml:space="preserve"> по спонсорской поддержке, связанной с мероприятиями</w:t>
      </w:r>
      <w:r w:rsidR="00E83CD9">
        <w:rPr>
          <w:lang w:val="ru-RU"/>
        </w:rPr>
        <w:t>, который вступил в силу в 2020 </w:t>
      </w:r>
      <w:r w:rsidRPr="00EF44C3">
        <w:rPr>
          <w:lang w:val="ru-RU"/>
        </w:rPr>
        <w:t xml:space="preserve">году, и, совсем недавно, служебный приказ 22/12 о руководящих </w:t>
      </w:r>
      <w:r w:rsidR="00E83CD9">
        <w:rPr>
          <w:lang w:val="ru-RU"/>
        </w:rPr>
        <w:t xml:space="preserve">указаниях </w:t>
      </w:r>
      <w:r w:rsidRPr="00EF44C3">
        <w:rPr>
          <w:lang w:val="ru-RU"/>
        </w:rPr>
        <w:t xml:space="preserve">МСЭ по </w:t>
      </w:r>
      <w:r w:rsidR="00D9557C">
        <w:rPr>
          <w:lang w:val="ru-RU"/>
        </w:rPr>
        <w:t xml:space="preserve">процедуре </w:t>
      </w:r>
      <w:r w:rsidR="00E83CD9">
        <w:rPr>
          <w:lang w:val="ru-RU"/>
        </w:rPr>
        <w:t>надлежаще</w:t>
      </w:r>
      <w:r w:rsidR="00D9557C">
        <w:rPr>
          <w:lang w:val="ru-RU"/>
        </w:rPr>
        <w:t xml:space="preserve">го исполнения </w:t>
      </w:r>
      <w:r w:rsidRPr="00EF44C3">
        <w:rPr>
          <w:lang w:val="ru-RU"/>
        </w:rPr>
        <w:t>в отношении организаций частного</w:t>
      </w:r>
      <w:r w:rsidR="00E83CD9">
        <w:rPr>
          <w:lang w:val="ru-RU"/>
        </w:rPr>
        <w:t xml:space="preserve"> сектора, не являющихся членами</w:t>
      </w:r>
      <w:r w:rsidRPr="00EF44C3">
        <w:rPr>
          <w:lang w:val="ru-RU"/>
        </w:rPr>
        <w:t xml:space="preserve">, </w:t>
      </w:r>
      <w:r w:rsidR="00E83CD9">
        <w:rPr>
          <w:lang w:val="ru-RU"/>
        </w:rPr>
        <w:t xml:space="preserve">который вступил в силу в конце 2022 года и в соответствии с которым </w:t>
      </w:r>
      <w:r w:rsidRPr="00EF44C3">
        <w:rPr>
          <w:lang w:val="ru-RU"/>
        </w:rPr>
        <w:t xml:space="preserve">сотрудники МСЭ </w:t>
      </w:r>
      <w:r w:rsidR="00E83CD9">
        <w:rPr>
          <w:lang w:val="ru-RU"/>
        </w:rPr>
        <w:t>должны проверять</w:t>
      </w:r>
      <w:r w:rsidRPr="00EF44C3">
        <w:rPr>
          <w:lang w:val="ru-RU"/>
        </w:rPr>
        <w:t xml:space="preserve"> любую организацию, не являющуюся членом МСЭ, перед заключением любого официального соглашения. Эта процедура </w:t>
      </w:r>
      <w:r w:rsidR="00D9557C">
        <w:rPr>
          <w:lang w:val="ru-RU"/>
        </w:rPr>
        <w:t>надлежащего исполнения</w:t>
      </w:r>
      <w:r w:rsidRPr="00EF44C3">
        <w:rPr>
          <w:lang w:val="ru-RU"/>
        </w:rPr>
        <w:t xml:space="preserve"> отвечает рекомендациям внешних и внутренних аудиторов и</w:t>
      </w:r>
      <w:r w:rsidR="00A22B1A">
        <w:rPr>
          <w:lang w:val="ru-RU"/>
        </w:rPr>
        <w:t xml:space="preserve"> основана на передовой практике, используемой в рамках </w:t>
      </w:r>
      <w:r w:rsidR="00D9557C">
        <w:rPr>
          <w:lang w:val="ru-RU"/>
        </w:rPr>
        <w:t>системы</w:t>
      </w:r>
      <w:r w:rsidRPr="00EF44C3">
        <w:rPr>
          <w:lang w:val="ru-RU"/>
        </w:rPr>
        <w:t xml:space="preserve"> ООН, которая была адаптирована к ситуации МСЭ.</w:t>
      </w:r>
    </w:p>
    <w:bookmarkEnd w:id="60"/>
    <w:p w14:paraId="627E8AF3" w14:textId="00E8513D" w:rsidR="00D9557C" w:rsidRPr="00836F21" w:rsidRDefault="00395A5A" w:rsidP="00656BD6">
      <w:pPr>
        <w:pStyle w:val="Heading2"/>
        <w:rPr>
          <w:lang w:val="ru-RU"/>
        </w:rPr>
      </w:pPr>
      <w:r w:rsidRPr="00836F21">
        <w:rPr>
          <w:lang w:val="ru-RU"/>
        </w:rPr>
        <w:t>2.6</w:t>
      </w:r>
      <w:r w:rsidRPr="00836F21">
        <w:rPr>
          <w:lang w:val="ru-RU"/>
        </w:rPr>
        <w:tab/>
      </w:r>
      <w:bookmarkStart w:id="61" w:name="lt_pId164"/>
      <w:r w:rsidR="00D9557C">
        <w:rPr>
          <w:lang w:val="ru-RU"/>
        </w:rPr>
        <w:t>Потенциальные стратегии</w:t>
      </w:r>
      <w:r w:rsidR="00D9557C" w:rsidRPr="00836F21">
        <w:rPr>
          <w:lang w:val="ru-RU"/>
        </w:rPr>
        <w:t xml:space="preserve"> </w:t>
      </w:r>
      <w:r w:rsidR="00D9557C">
        <w:rPr>
          <w:lang w:val="ru-RU"/>
        </w:rPr>
        <w:t>дальнейшей</w:t>
      </w:r>
      <w:r w:rsidR="00D9557C" w:rsidRPr="00836F21">
        <w:rPr>
          <w:lang w:val="ru-RU"/>
        </w:rPr>
        <w:t xml:space="preserve"> </w:t>
      </w:r>
      <w:r w:rsidR="00D9557C">
        <w:rPr>
          <w:lang w:val="ru-RU"/>
        </w:rPr>
        <w:t>работы</w:t>
      </w:r>
    </w:p>
    <w:p w14:paraId="1905F70F" w14:textId="24B65DCE" w:rsidR="00D9557C" w:rsidRDefault="00D9557C" w:rsidP="00395A5A">
      <w:pPr>
        <w:rPr>
          <w:lang w:val="ru-RU"/>
        </w:rPr>
      </w:pPr>
      <w:bookmarkStart w:id="62" w:name="lt_pId165"/>
      <w:bookmarkEnd w:id="61"/>
      <w:r w:rsidRPr="00D9557C">
        <w:rPr>
          <w:lang w:val="ru-RU"/>
        </w:rPr>
        <w:t xml:space="preserve">Были определены три </w:t>
      </w:r>
      <w:r w:rsidR="00836F21">
        <w:rPr>
          <w:lang w:val="ru-RU"/>
        </w:rPr>
        <w:t xml:space="preserve">основных направления </w:t>
      </w:r>
      <w:r>
        <w:rPr>
          <w:lang w:val="ru-RU"/>
        </w:rPr>
        <w:t>деятельности на начальном этапе</w:t>
      </w:r>
      <w:r w:rsidRPr="00D9557C">
        <w:rPr>
          <w:lang w:val="ru-RU"/>
        </w:rPr>
        <w:t>:</w:t>
      </w:r>
    </w:p>
    <w:p w14:paraId="786E6009" w14:textId="0C3241DE" w:rsidR="00157A60" w:rsidRPr="00681CC3" w:rsidRDefault="00395A5A" w:rsidP="00656BD6">
      <w:pPr>
        <w:pStyle w:val="Headingb"/>
        <w:ind w:left="794" w:hanging="794"/>
        <w:rPr>
          <w:lang w:val="ru-RU"/>
        </w:rPr>
      </w:pPr>
      <w:bookmarkStart w:id="63" w:name="lt_pId166"/>
      <w:bookmarkEnd w:id="62"/>
      <w:r w:rsidRPr="00395A5A">
        <w:rPr>
          <w:lang w:val="en-US"/>
        </w:rPr>
        <w:lastRenderedPageBreak/>
        <w:t>a</w:t>
      </w:r>
      <w:bookmarkEnd w:id="63"/>
      <w:r w:rsidR="00656BD6" w:rsidRPr="00157A60">
        <w:rPr>
          <w:lang w:val="ru-RU"/>
        </w:rPr>
        <w:t>)</w:t>
      </w:r>
      <w:r w:rsidRPr="00157A60">
        <w:rPr>
          <w:lang w:val="ru-RU"/>
        </w:rPr>
        <w:tab/>
      </w:r>
      <w:bookmarkStart w:id="64" w:name="lt_pId167"/>
      <w:r w:rsidR="00157A60">
        <w:rPr>
          <w:lang w:val="ru-RU"/>
        </w:rPr>
        <w:t xml:space="preserve">Совершенствование </w:t>
      </w:r>
      <w:r w:rsidR="00836F21">
        <w:rPr>
          <w:lang w:val="ru-RU"/>
        </w:rPr>
        <w:t xml:space="preserve">основных </w:t>
      </w:r>
      <w:r w:rsidR="00157A60">
        <w:rPr>
          <w:lang w:val="ru-RU"/>
        </w:rPr>
        <w:t>п</w:t>
      </w:r>
      <w:r w:rsidR="00157A60" w:rsidRPr="00157A60">
        <w:rPr>
          <w:lang w:val="ru-RU"/>
        </w:rPr>
        <w:t xml:space="preserve">редлагаемых Членам МСЭ </w:t>
      </w:r>
      <w:r w:rsidR="00836F21">
        <w:rPr>
          <w:lang w:val="ru-RU"/>
        </w:rPr>
        <w:t>услуг</w:t>
      </w:r>
      <w:r w:rsidR="00157A60">
        <w:rPr>
          <w:lang w:val="ru-RU"/>
        </w:rPr>
        <w:t xml:space="preserve"> в целях расширения участия </w:t>
      </w:r>
      <w:r w:rsidR="00681CC3">
        <w:rPr>
          <w:lang w:val="ru-RU"/>
        </w:rPr>
        <w:t xml:space="preserve">и </w:t>
      </w:r>
      <w:r w:rsidR="00681CC3" w:rsidRPr="00681CC3">
        <w:rPr>
          <w:lang w:val="ru-RU"/>
        </w:rPr>
        <w:t xml:space="preserve">формирования основы для изменения структуры членских взносов </w:t>
      </w:r>
      <w:r w:rsidR="00681CC3" w:rsidRPr="003E7484">
        <w:rPr>
          <w:lang w:val="ru-RU"/>
        </w:rPr>
        <w:t>Членов Секторов</w:t>
      </w:r>
      <w:r w:rsidR="00681CC3" w:rsidRPr="00681CC3">
        <w:rPr>
          <w:lang w:val="ru-RU"/>
        </w:rPr>
        <w:t xml:space="preserve"> </w:t>
      </w:r>
    </w:p>
    <w:p w14:paraId="0BAC477C" w14:textId="2FB2BBD6" w:rsidR="00395A5A" w:rsidRPr="00836F21" w:rsidRDefault="00681CC3" w:rsidP="00395A5A">
      <w:pPr>
        <w:rPr>
          <w:lang w:val="ru-RU"/>
        </w:rPr>
      </w:pPr>
      <w:bookmarkStart w:id="65" w:name="lt_pId168"/>
      <w:bookmarkEnd w:id="64"/>
      <w:r w:rsidRPr="00836F21">
        <w:rPr>
          <w:lang w:val="ru-RU"/>
        </w:rPr>
        <w:t xml:space="preserve">Сюда </w:t>
      </w:r>
      <w:r w:rsidR="00CA77B6" w:rsidRPr="00836F21">
        <w:rPr>
          <w:lang w:val="ru-RU"/>
        </w:rPr>
        <w:t>относится</w:t>
      </w:r>
      <w:r w:rsidRPr="00836F21">
        <w:rPr>
          <w:lang w:val="ru-RU"/>
        </w:rPr>
        <w:t>:</w:t>
      </w:r>
      <w:bookmarkEnd w:id="65"/>
    </w:p>
    <w:p w14:paraId="1BE51DA2" w14:textId="64351EC5" w:rsidR="00681CC3" w:rsidRPr="00836F21" w:rsidRDefault="00656BD6" w:rsidP="00656BD6">
      <w:pPr>
        <w:pStyle w:val="enumlev1"/>
        <w:rPr>
          <w:lang w:val="ru-RU"/>
        </w:rPr>
      </w:pPr>
      <w:bookmarkStart w:id="66" w:name="lt_pId169"/>
      <w:r w:rsidRPr="00836F21">
        <w:rPr>
          <w:lang w:val="ru-RU"/>
        </w:rPr>
        <w:t>•</w:t>
      </w:r>
      <w:r w:rsidRPr="00836F21">
        <w:rPr>
          <w:lang w:val="ru-RU"/>
        </w:rPr>
        <w:tab/>
      </w:r>
      <w:r w:rsidR="003866C8" w:rsidRPr="00836F21">
        <w:rPr>
          <w:lang w:val="ru-RU"/>
        </w:rPr>
        <w:t>и</w:t>
      </w:r>
      <w:r w:rsidR="00681CC3" w:rsidRPr="00836F21">
        <w:rPr>
          <w:lang w:val="ru-RU"/>
        </w:rPr>
        <w:t xml:space="preserve">зучение вариантов </w:t>
      </w:r>
      <w:r w:rsidR="006C74B8" w:rsidRPr="00836F21">
        <w:rPr>
          <w:lang w:val="ru-RU"/>
        </w:rPr>
        <w:t>расширения участия</w:t>
      </w:r>
      <w:r w:rsidR="00681CC3" w:rsidRPr="00836F21">
        <w:rPr>
          <w:lang w:val="ru-RU"/>
        </w:rPr>
        <w:t xml:space="preserve"> </w:t>
      </w:r>
      <w:r w:rsidR="003228F1" w:rsidRPr="00836F21">
        <w:rPr>
          <w:lang w:val="ru-RU"/>
        </w:rPr>
        <w:t xml:space="preserve">Членов </w:t>
      </w:r>
      <w:r w:rsidR="00681CC3" w:rsidRPr="00836F21">
        <w:rPr>
          <w:lang w:val="ru-RU"/>
        </w:rPr>
        <w:t xml:space="preserve">и </w:t>
      </w:r>
      <w:r w:rsidR="006C74B8" w:rsidRPr="00836F21">
        <w:rPr>
          <w:lang w:val="ru-RU"/>
        </w:rPr>
        <w:t>предлагаемых преимуществ</w:t>
      </w:r>
      <w:r w:rsidR="00681CC3" w:rsidRPr="00836F21">
        <w:rPr>
          <w:lang w:val="ru-RU"/>
        </w:rPr>
        <w:t xml:space="preserve">; </w:t>
      </w:r>
    </w:p>
    <w:p w14:paraId="35C80543" w14:textId="0A9DF246" w:rsidR="006C74B8" w:rsidRPr="003866C8" w:rsidRDefault="00656BD6" w:rsidP="00656BD6">
      <w:pPr>
        <w:pStyle w:val="enumlev1"/>
        <w:rPr>
          <w:lang w:val="ru-RU"/>
        </w:rPr>
      </w:pPr>
      <w:bookmarkStart w:id="67" w:name="lt_pId170"/>
      <w:bookmarkEnd w:id="66"/>
      <w:r w:rsidRPr="006C74B8">
        <w:rPr>
          <w:lang w:val="ru-RU"/>
        </w:rPr>
        <w:t>•</w:t>
      </w:r>
      <w:r w:rsidRPr="006C74B8">
        <w:rPr>
          <w:lang w:val="ru-RU"/>
        </w:rPr>
        <w:tab/>
      </w:r>
      <w:r w:rsidR="003866C8">
        <w:rPr>
          <w:lang w:val="ru-RU"/>
        </w:rPr>
        <w:t>в</w:t>
      </w:r>
      <w:r w:rsidR="006C74B8" w:rsidRPr="006C74B8">
        <w:rPr>
          <w:lang w:val="ru-RU"/>
        </w:rPr>
        <w:t xml:space="preserve">недрение новых мер для </w:t>
      </w:r>
      <w:r w:rsidR="006C74B8">
        <w:rPr>
          <w:lang w:val="ru-RU"/>
        </w:rPr>
        <w:t xml:space="preserve">более эффективной </w:t>
      </w:r>
      <w:r w:rsidR="006C74B8" w:rsidRPr="006C74B8">
        <w:rPr>
          <w:lang w:val="ru-RU"/>
        </w:rPr>
        <w:t xml:space="preserve">координации </w:t>
      </w:r>
      <w:r w:rsidR="00836F21">
        <w:rPr>
          <w:lang w:val="ru-RU"/>
        </w:rPr>
        <w:t>процессов</w:t>
      </w:r>
      <w:r w:rsidR="006C74B8">
        <w:rPr>
          <w:lang w:val="ru-RU"/>
        </w:rPr>
        <w:t xml:space="preserve"> </w:t>
      </w:r>
      <w:r w:rsidR="006C74B8" w:rsidRPr="006C74B8">
        <w:rPr>
          <w:lang w:val="ru-RU"/>
        </w:rPr>
        <w:t xml:space="preserve">управления </w:t>
      </w:r>
      <w:r w:rsidR="006C74B8">
        <w:rPr>
          <w:lang w:val="ru-RU"/>
        </w:rPr>
        <w:t>уч</w:t>
      </w:r>
      <w:r w:rsidR="003228F1">
        <w:rPr>
          <w:lang w:val="ru-RU"/>
        </w:rPr>
        <w:t>е</w:t>
      </w:r>
      <w:r w:rsidR="006C74B8">
        <w:rPr>
          <w:lang w:val="ru-RU"/>
        </w:rPr>
        <w:t>тными записями</w:t>
      </w:r>
      <w:r w:rsidR="006C74B8" w:rsidRPr="006C74B8">
        <w:rPr>
          <w:lang w:val="ru-RU"/>
        </w:rPr>
        <w:t xml:space="preserve"> и </w:t>
      </w:r>
      <w:r w:rsidR="003866C8">
        <w:rPr>
          <w:lang w:val="ru-RU"/>
        </w:rPr>
        <w:t xml:space="preserve">предоставления услуг </w:t>
      </w:r>
      <w:r w:rsidR="00836F21">
        <w:rPr>
          <w:lang w:val="ru-RU"/>
        </w:rPr>
        <w:t>Государствам</w:t>
      </w:r>
      <w:r w:rsidR="003866C8">
        <w:rPr>
          <w:lang w:val="ru-RU"/>
        </w:rPr>
        <w:t>-</w:t>
      </w:r>
      <w:r w:rsidR="003866C8" w:rsidRPr="003866C8">
        <w:rPr>
          <w:lang w:val="ru-RU"/>
        </w:rPr>
        <w:t>Членам</w:t>
      </w:r>
      <w:r w:rsidR="003866C8">
        <w:rPr>
          <w:lang w:val="ru-RU"/>
        </w:rPr>
        <w:t xml:space="preserve">, </w:t>
      </w:r>
      <w:r w:rsidR="003866C8" w:rsidRPr="003866C8">
        <w:rPr>
          <w:lang w:val="ru-RU"/>
        </w:rPr>
        <w:t>Членам Секторов</w:t>
      </w:r>
      <w:r w:rsidR="003866C8">
        <w:rPr>
          <w:lang w:val="ru-RU"/>
        </w:rPr>
        <w:t>, донорам и т.</w:t>
      </w:r>
      <w:r w:rsidR="003228F1">
        <w:rPr>
          <w:lang w:val="ru-RU"/>
        </w:rPr>
        <w:t xml:space="preserve"> </w:t>
      </w:r>
      <w:r w:rsidR="003866C8">
        <w:rPr>
          <w:lang w:val="ru-RU"/>
        </w:rPr>
        <w:t>д.;</w:t>
      </w:r>
    </w:p>
    <w:p w14:paraId="58E48227" w14:textId="0D64D8E6" w:rsidR="003866C8" w:rsidRDefault="00656BD6" w:rsidP="00656BD6">
      <w:pPr>
        <w:pStyle w:val="enumlev1"/>
        <w:rPr>
          <w:lang w:val="ru-RU"/>
        </w:rPr>
      </w:pPr>
      <w:bookmarkStart w:id="68" w:name="lt_pId171"/>
      <w:bookmarkEnd w:id="67"/>
      <w:r w:rsidRPr="003866C8">
        <w:rPr>
          <w:lang w:val="ru-RU"/>
        </w:rPr>
        <w:t>•</w:t>
      </w:r>
      <w:r w:rsidRPr="003866C8">
        <w:rPr>
          <w:lang w:val="ru-RU"/>
        </w:rPr>
        <w:tab/>
      </w:r>
      <w:r w:rsidR="003866C8">
        <w:rPr>
          <w:lang w:val="ru-RU"/>
        </w:rPr>
        <w:t>и</w:t>
      </w:r>
      <w:r w:rsidR="003866C8" w:rsidRPr="003866C8">
        <w:rPr>
          <w:lang w:val="ru-RU"/>
        </w:rPr>
        <w:t xml:space="preserve">нвестирование во внутренние </w:t>
      </w:r>
      <w:r w:rsidR="003866C8">
        <w:rPr>
          <w:lang w:val="ru-RU"/>
        </w:rPr>
        <w:t xml:space="preserve">системы обеспечения, включая </w:t>
      </w:r>
      <w:r w:rsidR="003866C8" w:rsidRPr="003866C8">
        <w:rPr>
          <w:lang w:val="ru-RU"/>
        </w:rPr>
        <w:t>системы</w:t>
      </w:r>
      <w:r w:rsidR="003866C8">
        <w:rPr>
          <w:lang w:val="ru-RU"/>
        </w:rPr>
        <w:t xml:space="preserve"> ИТ</w:t>
      </w:r>
      <w:r w:rsidR="003866C8" w:rsidRPr="003866C8">
        <w:rPr>
          <w:lang w:val="ru-RU"/>
        </w:rPr>
        <w:t xml:space="preserve">, </w:t>
      </w:r>
      <w:r w:rsidR="00ED46FD">
        <w:rPr>
          <w:lang w:val="ru-RU"/>
        </w:rPr>
        <w:t>создание</w:t>
      </w:r>
      <w:r w:rsidR="003866C8" w:rsidRPr="003866C8">
        <w:rPr>
          <w:lang w:val="ru-RU"/>
        </w:rPr>
        <w:t xml:space="preserve"> потенциала и </w:t>
      </w:r>
      <w:r w:rsidR="00ED46FD">
        <w:rPr>
          <w:lang w:val="ru-RU"/>
        </w:rPr>
        <w:t xml:space="preserve">повышение квалификации </w:t>
      </w:r>
      <w:r w:rsidR="003866C8" w:rsidRPr="003866C8">
        <w:rPr>
          <w:lang w:val="ru-RU"/>
        </w:rPr>
        <w:t>персонала, рационализаци</w:t>
      </w:r>
      <w:r w:rsidR="003866C8">
        <w:rPr>
          <w:lang w:val="ru-RU"/>
        </w:rPr>
        <w:t>я и модернизация</w:t>
      </w:r>
      <w:r w:rsidR="003866C8" w:rsidRPr="003866C8">
        <w:rPr>
          <w:lang w:val="ru-RU"/>
        </w:rPr>
        <w:t xml:space="preserve"> финансовых и админи</w:t>
      </w:r>
      <w:r w:rsidR="003866C8">
        <w:rPr>
          <w:lang w:val="ru-RU"/>
        </w:rPr>
        <w:t>стративных правил и процессов и </w:t>
      </w:r>
      <w:r w:rsidR="003866C8" w:rsidRPr="003866C8">
        <w:rPr>
          <w:lang w:val="ru-RU"/>
        </w:rPr>
        <w:t>т.</w:t>
      </w:r>
      <w:r w:rsidR="00612A82">
        <w:rPr>
          <w:lang w:val="ru-RU"/>
        </w:rPr>
        <w:t> </w:t>
      </w:r>
      <w:r w:rsidR="003866C8" w:rsidRPr="003866C8">
        <w:rPr>
          <w:lang w:val="ru-RU"/>
        </w:rPr>
        <w:t>д.;</w:t>
      </w:r>
    </w:p>
    <w:p w14:paraId="7F5FEA4B" w14:textId="45170168" w:rsidR="003866C8" w:rsidRDefault="00656BD6" w:rsidP="00656BD6">
      <w:pPr>
        <w:pStyle w:val="enumlev1"/>
        <w:rPr>
          <w:lang w:val="ru-RU"/>
        </w:rPr>
      </w:pPr>
      <w:bookmarkStart w:id="69" w:name="lt_pId172"/>
      <w:bookmarkEnd w:id="68"/>
      <w:r w:rsidRPr="003866C8">
        <w:rPr>
          <w:lang w:val="ru-RU"/>
        </w:rPr>
        <w:t>•</w:t>
      </w:r>
      <w:r w:rsidRPr="003866C8">
        <w:rPr>
          <w:lang w:val="ru-RU"/>
        </w:rPr>
        <w:tab/>
      </w:r>
      <w:r w:rsidR="00836F21">
        <w:rPr>
          <w:lang w:val="ru-RU"/>
        </w:rPr>
        <w:t xml:space="preserve">настоятельные рекомендации </w:t>
      </w:r>
      <w:r w:rsidR="003866C8">
        <w:rPr>
          <w:lang w:val="ru-RU"/>
        </w:rPr>
        <w:t>действующи</w:t>
      </w:r>
      <w:r w:rsidR="00836F21">
        <w:rPr>
          <w:lang w:val="ru-RU"/>
        </w:rPr>
        <w:t>м</w:t>
      </w:r>
      <w:r w:rsidR="003866C8">
        <w:rPr>
          <w:lang w:val="ru-RU"/>
        </w:rPr>
        <w:t xml:space="preserve"> Ч</w:t>
      </w:r>
      <w:r w:rsidR="00836F21">
        <w:rPr>
          <w:lang w:val="ru-RU"/>
        </w:rPr>
        <w:t xml:space="preserve">ленам Секторов </w:t>
      </w:r>
      <w:r w:rsidR="00D46D8D">
        <w:rPr>
          <w:lang w:val="ru-RU"/>
        </w:rPr>
        <w:t xml:space="preserve">присоединяться к членству сразу в </w:t>
      </w:r>
      <w:r w:rsidR="003866C8" w:rsidRPr="003866C8">
        <w:rPr>
          <w:lang w:val="ru-RU"/>
        </w:rPr>
        <w:t>нескольких Секторах</w:t>
      </w:r>
      <w:r w:rsidR="00D46D8D">
        <w:rPr>
          <w:lang w:val="ru-RU"/>
        </w:rPr>
        <w:t>, а А</w:t>
      </w:r>
      <w:r w:rsidR="00836F21">
        <w:rPr>
          <w:lang w:val="ru-RU"/>
        </w:rPr>
        <w:t>ссоциированным членам</w:t>
      </w:r>
      <w:r w:rsidR="00D46D8D">
        <w:rPr>
          <w:lang w:val="ru-RU"/>
        </w:rPr>
        <w:t xml:space="preserve"> </w:t>
      </w:r>
      <w:r w:rsidR="00D46D8D" w:rsidRPr="00395A5A">
        <w:rPr>
          <w:lang w:val="ru-RU"/>
        </w:rPr>
        <w:t>–</w:t>
      </w:r>
      <w:r w:rsidR="003866C8" w:rsidRPr="003866C8">
        <w:rPr>
          <w:lang w:val="ru-RU"/>
        </w:rPr>
        <w:t xml:space="preserve"> </w:t>
      </w:r>
      <w:r w:rsidR="00836F21">
        <w:rPr>
          <w:lang w:val="ru-RU"/>
        </w:rPr>
        <w:t>повышать</w:t>
      </w:r>
      <w:r w:rsidR="003866C8" w:rsidRPr="003866C8">
        <w:rPr>
          <w:lang w:val="ru-RU"/>
        </w:rPr>
        <w:t xml:space="preserve"> статус до полного членства в Секторе</w:t>
      </w:r>
      <w:r w:rsidR="00D46D8D">
        <w:rPr>
          <w:lang w:val="ru-RU"/>
        </w:rPr>
        <w:t>;</w:t>
      </w:r>
      <w:r w:rsidR="003866C8" w:rsidRPr="003866C8">
        <w:rPr>
          <w:lang w:val="ru-RU"/>
        </w:rPr>
        <w:t xml:space="preserve"> </w:t>
      </w:r>
    </w:p>
    <w:p w14:paraId="61252AB9" w14:textId="052DB35C" w:rsidR="00D46D8D" w:rsidRDefault="00656BD6" w:rsidP="00656BD6">
      <w:pPr>
        <w:pStyle w:val="enumlev1"/>
        <w:rPr>
          <w:lang w:val="ru-RU"/>
        </w:rPr>
      </w:pPr>
      <w:bookmarkStart w:id="70" w:name="lt_pId173"/>
      <w:bookmarkEnd w:id="69"/>
      <w:r w:rsidRPr="00D46D8D">
        <w:rPr>
          <w:lang w:val="ru-RU"/>
        </w:rPr>
        <w:t>•</w:t>
      </w:r>
      <w:r w:rsidRPr="00D46D8D">
        <w:rPr>
          <w:lang w:val="ru-RU"/>
        </w:rPr>
        <w:tab/>
      </w:r>
      <w:r w:rsidR="00D46D8D">
        <w:rPr>
          <w:lang w:val="ru-RU"/>
        </w:rPr>
        <w:t>о</w:t>
      </w:r>
      <w:r w:rsidR="00D46D8D" w:rsidRPr="00D46D8D">
        <w:rPr>
          <w:lang w:val="ru-RU"/>
        </w:rPr>
        <w:t xml:space="preserve">пределение ключевых компаний, не являющихся членами, из </w:t>
      </w:r>
      <w:r w:rsidR="00BF5442">
        <w:rPr>
          <w:lang w:val="ru-RU"/>
        </w:rPr>
        <w:t xml:space="preserve">числа </w:t>
      </w:r>
      <w:r w:rsidR="00FC08E3">
        <w:rPr>
          <w:lang w:val="ru-RU"/>
        </w:rPr>
        <w:t xml:space="preserve">недостаточно представленных </w:t>
      </w:r>
      <w:r w:rsidR="00BF5442">
        <w:rPr>
          <w:lang w:val="ru-RU"/>
        </w:rPr>
        <w:t>участников</w:t>
      </w:r>
      <w:r w:rsidR="00D46D8D" w:rsidRPr="00D46D8D">
        <w:rPr>
          <w:lang w:val="ru-RU"/>
        </w:rPr>
        <w:t xml:space="preserve"> цифровой экосистемы</w:t>
      </w:r>
      <w:r w:rsidR="00FC08E3">
        <w:rPr>
          <w:lang w:val="ru-RU"/>
        </w:rPr>
        <w:t xml:space="preserve">, которые </w:t>
      </w:r>
      <w:r w:rsidR="001C671A">
        <w:rPr>
          <w:lang w:val="ru-RU"/>
        </w:rPr>
        <w:t xml:space="preserve">могли бы стать членами </w:t>
      </w:r>
      <w:r w:rsidR="00D46D8D" w:rsidRPr="00D46D8D">
        <w:rPr>
          <w:lang w:val="ru-RU"/>
        </w:rPr>
        <w:t>МСЭ</w:t>
      </w:r>
      <w:r w:rsidR="001C671A">
        <w:rPr>
          <w:lang w:val="ru-RU"/>
        </w:rPr>
        <w:t>.</w:t>
      </w:r>
    </w:p>
    <w:p w14:paraId="57747D77" w14:textId="08100DBA" w:rsidR="001C671A" w:rsidRDefault="00395A5A" w:rsidP="00656BD6">
      <w:pPr>
        <w:pStyle w:val="Headingb"/>
        <w:ind w:left="794" w:hanging="794"/>
        <w:rPr>
          <w:bCs/>
          <w:lang w:val="ru-RU"/>
        </w:rPr>
      </w:pPr>
      <w:bookmarkStart w:id="71" w:name="lt_pId174"/>
      <w:bookmarkEnd w:id="70"/>
      <w:r w:rsidRPr="00395A5A">
        <w:rPr>
          <w:bCs/>
          <w:lang w:val="en-AU"/>
        </w:rPr>
        <w:t>b</w:t>
      </w:r>
      <w:bookmarkEnd w:id="71"/>
      <w:r w:rsidR="00656BD6" w:rsidRPr="001C671A">
        <w:rPr>
          <w:bCs/>
          <w:lang w:val="ru-RU"/>
        </w:rPr>
        <w:t>)</w:t>
      </w:r>
      <w:r w:rsidRPr="001C671A">
        <w:rPr>
          <w:bCs/>
          <w:lang w:val="ru-RU"/>
        </w:rPr>
        <w:tab/>
      </w:r>
      <w:bookmarkStart w:id="72" w:name="lt_pId175"/>
      <w:r w:rsidR="00CA77B6">
        <w:rPr>
          <w:bCs/>
          <w:lang w:val="ru-RU"/>
        </w:rPr>
        <w:t>Развитие тематических</w:t>
      </w:r>
      <w:r w:rsidR="001C671A" w:rsidRPr="001C671A">
        <w:rPr>
          <w:bCs/>
          <w:lang w:val="ru-RU"/>
        </w:rPr>
        <w:t xml:space="preserve"> инициатив </w:t>
      </w:r>
      <w:r w:rsidR="001C671A">
        <w:rPr>
          <w:bCs/>
          <w:lang w:val="ru-RU"/>
        </w:rPr>
        <w:t xml:space="preserve">в рамках </w:t>
      </w:r>
      <w:r w:rsidR="00CA77B6">
        <w:rPr>
          <w:bCs/>
          <w:lang w:val="ru-RU"/>
        </w:rPr>
        <w:t>концепции</w:t>
      </w:r>
      <w:r w:rsidR="001C671A">
        <w:rPr>
          <w:bCs/>
          <w:lang w:val="ru-RU"/>
        </w:rPr>
        <w:t xml:space="preserve"> </w:t>
      </w:r>
      <w:r w:rsidR="001C671A" w:rsidRPr="001C671A">
        <w:rPr>
          <w:bCs/>
          <w:lang w:val="ru-RU"/>
        </w:rPr>
        <w:t>"Едино</w:t>
      </w:r>
      <w:r w:rsidR="00A73894">
        <w:rPr>
          <w:bCs/>
          <w:lang w:val="ru-RU"/>
        </w:rPr>
        <w:t xml:space="preserve">го МСЭ" в дополнение к членству с приданием официального характера </w:t>
      </w:r>
      <w:r w:rsidR="001C671A" w:rsidRPr="001C671A">
        <w:rPr>
          <w:bCs/>
          <w:lang w:val="ru-RU"/>
        </w:rPr>
        <w:t>"внебюджетны</w:t>
      </w:r>
      <w:r w:rsidR="00A73894">
        <w:rPr>
          <w:bCs/>
          <w:lang w:val="ru-RU"/>
        </w:rPr>
        <w:t>м</w:t>
      </w:r>
      <w:r w:rsidR="001C671A" w:rsidRPr="001C671A">
        <w:rPr>
          <w:bCs/>
          <w:lang w:val="ru-RU"/>
        </w:rPr>
        <w:t>" взнос</w:t>
      </w:r>
      <w:r w:rsidR="00A73894">
        <w:rPr>
          <w:bCs/>
          <w:lang w:val="ru-RU"/>
        </w:rPr>
        <w:t>ам</w:t>
      </w:r>
      <w:r w:rsidR="001C671A" w:rsidRPr="001C671A">
        <w:rPr>
          <w:bCs/>
          <w:lang w:val="ru-RU"/>
        </w:rPr>
        <w:t xml:space="preserve"> с многолетними обязательствами </w:t>
      </w:r>
    </w:p>
    <w:p w14:paraId="41F5584B" w14:textId="4316DD1E" w:rsidR="00395A5A" w:rsidRPr="00C424D1" w:rsidRDefault="00F439A4" w:rsidP="00395A5A">
      <w:pPr>
        <w:rPr>
          <w:lang w:val="ru-RU"/>
        </w:rPr>
      </w:pPr>
      <w:bookmarkStart w:id="73" w:name="lt_pId176"/>
      <w:bookmarkEnd w:id="72"/>
      <w:r w:rsidRPr="00F439A4">
        <w:rPr>
          <w:lang w:val="ru-RU"/>
        </w:rPr>
        <w:t xml:space="preserve">Сюда относится: </w:t>
      </w:r>
      <w:bookmarkEnd w:id="73"/>
    </w:p>
    <w:p w14:paraId="07AB1F9B" w14:textId="34B4A20F" w:rsidR="00C424D1" w:rsidRDefault="00656BD6" w:rsidP="00656BD6">
      <w:pPr>
        <w:pStyle w:val="enumlev1"/>
        <w:rPr>
          <w:lang w:val="ru-RU"/>
        </w:rPr>
      </w:pPr>
      <w:bookmarkStart w:id="74" w:name="lt_pId177"/>
      <w:r w:rsidRPr="00C424D1">
        <w:rPr>
          <w:lang w:val="ru-RU"/>
        </w:rPr>
        <w:t>•</w:t>
      </w:r>
      <w:r w:rsidRPr="00C424D1">
        <w:rPr>
          <w:lang w:val="ru-RU"/>
        </w:rPr>
        <w:tab/>
      </w:r>
      <w:r w:rsidR="00C424D1">
        <w:rPr>
          <w:lang w:val="ru-RU"/>
        </w:rPr>
        <w:t>р</w:t>
      </w:r>
      <w:r w:rsidR="00C424D1" w:rsidRPr="00C424D1">
        <w:rPr>
          <w:lang w:val="ru-RU"/>
        </w:rPr>
        <w:t xml:space="preserve">азработка и продвижение тематических инициатив </w:t>
      </w:r>
      <w:r w:rsidR="00CA77B6">
        <w:rPr>
          <w:lang w:val="ru-RU"/>
        </w:rPr>
        <w:t xml:space="preserve">в рамках концепции </w:t>
      </w:r>
      <w:r w:rsidR="00C424D1" w:rsidRPr="00C424D1">
        <w:rPr>
          <w:lang w:val="ru-RU"/>
        </w:rPr>
        <w:t>"Един</w:t>
      </w:r>
      <w:r w:rsidR="00CA77B6">
        <w:rPr>
          <w:lang w:val="ru-RU"/>
        </w:rPr>
        <w:t>ого</w:t>
      </w:r>
      <w:r w:rsidR="00C424D1" w:rsidRPr="00C424D1">
        <w:rPr>
          <w:lang w:val="ru-RU"/>
        </w:rPr>
        <w:t xml:space="preserve"> МСЭ" в дополнение к деятельности, финансируемой из регулярного бюджета</w:t>
      </w:r>
      <w:r w:rsidR="00CA77B6">
        <w:rPr>
          <w:lang w:val="ru-RU"/>
        </w:rPr>
        <w:t>;</w:t>
      </w:r>
    </w:p>
    <w:p w14:paraId="6C830907" w14:textId="4357D6AB" w:rsidR="00CA77B6" w:rsidRDefault="00656BD6" w:rsidP="00656BD6">
      <w:pPr>
        <w:pStyle w:val="enumlev1"/>
        <w:rPr>
          <w:lang w:val="ru-RU"/>
        </w:rPr>
      </w:pPr>
      <w:bookmarkStart w:id="75" w:name="lt_pId178"/>
      <w:bookmarkEnd w:id="74"/>
      <w:r w:rsidRPr="00CA77B6">
        <w:rPr>
          <w:lang w:val="ru-RU"/>
        </w:rPr>
        <w:t>•</w:t>
      </w:r>
      <w:r w:rsidRPr="00CA77B6">
        <w:rPr>
          <w:lang w:val="ru-RU"/>
        </w:rPr>
        <w:tab/>
      </w:r>
      <w:r w:rsidR="00CA77B6">
        <w:rPr>
          <w:lang w:val="ru-RU"/>
        </w:rPr>
        <w:t>более эффективная координация</w:t>
      </w:r>
      <w:r w:rsidR="00CA77B6" w:rsidRPr="00CA77B6">
        <w:rPr>
          <w:lang w:val="ru-RU"/>
        </w:rPr>
        <w:t xml:space="preserve"> </w:t>
      </w:r>
      <w:r w:rsidR="00CA77B6">
        <w:rPr>
          <w:lang w:val="ru-RU"/>
        </w:rPr>
        <w:t xml:space="preserve">информационно-просветительской </w:t>
      </w:r>
      <w:r w:rsidR="00CA77B6" w:rsidRPr="00CA77B6">
        <w:rPr>
          <w:lang w:val="ru-RU"/>
        </w:rPr>
        <w:t xml:space="preserve">работы </w:t>
      </w:r>
      <w:r w:rsidR="00CA77B6">
        <w:rPr>
          <w:lang w:val="ru-RU"/>
        </w:rPr>
        <w:t xml:space="preserve">в рамках концепции </w:t>
      </w:r>
      <w:r w:rsidR="00CA77B6" w:rsidRPr="00CA77B6">
        <w:rPr>
          <w:lang w:val="ru-RU"/>
        </w:rPr>
        <w:t>"Единого МСЭ" с членами, партнерами и донорами</w:t>
      </w:r>
      <w:r w:rsidR="00CA77B6">
        <w:rPr>
          <w:lang w:val="ru-RU"/>
        </w:rPr>
        <w:t>;</w:t>
      </w:r>
      <w:r w:rsidR="00CA77B6" w:rsidRPr="00CA77B6">
        <w:rPr>
          <w:lang w:val="ru-RU"/>
        </w:rPr>
        <w:t xml:space="preserve"> </w:t>
      </w:r>
    </w:p>
    <w:p w14:paraId="13062EC6" w14:textId="55CAB377" w:rsidR="00CA77B6" w:rsidRPr="00CA77B6" w:rsidRDefault="00656BD6" w:rsidP="00656BD6">
      <w:pPr>
        <w:pStyle w:val="enumlev1"/>
        <w:rPr>
          <w:lang w:val="ru-RU"/>
        </w:rPr>
      </w:pPr>
      <w:bookmarkStart w:id="76" w:name="lt_pId179"/>
      <w:bookmarkEnd w:id="75"/>
      <w:r w:rsidRPr="00CA77B6">
        <w:rPr>
          <w:lang w:val="ru-RU"/>
        </w:rPr>
        <w:t>•</w:t>
      </w:r>
      <w:r w:rsidRPr="00CA77B6">
        <w:rPr>
          <w:lang w:val="ru-RU"/>
        </w:rPr>
        <w:tab/>
      </w:r>
      <w:r w:rsidR="00CA77B6">
        <w:rPr>
          <w:lang w:val="ru-RU"/>
        </w:rPr>
        <w:t>у</w:t>
      </w:r>
      <w:r w:rsidR="00CA77B6" w:rsidRPr="00CA77B6">
        <w:rPr>
          <w:lang w:val="ru-RU"/>
        </w:rPr>
        <w:t>крепление п</w:t>
      </w:r>
      <w:r w:rsidR="00CA77B6">
        <w:rPr>
          <w:lang w:val="ru-RU"/>
        </w:rPr>
        <w:t xml:space="preserve">отенциала для реализации проектов. </w:t>
      </w:r>
    </w:p>
    <w:p w14:paraId="2841F1A3" w14:textId="0A6252B6" w:rsidR="00CA77B6" w:rsidRPr="00A73894" w:rsidRDefault="00395A5A" w:rsidP="00BF5442">
      <w:pPr>
        <w:pStyle w:val="Headingb"/>
        <w:ind w:left="794" w:hanging="794"/>
        <w:rPr>
          <w:bCs/>
          <w:lang w:val="ru-RU"/>
        </w:rPr>
      </w:pPr>
      <w:bookmarkStart w:id="77" w:name="lt_pId180"/>
      <w:bookmarkEnd w:id="76"/>
      <w:r w:rsidRPr="00395A5A">
        <w:rPr>
          <w:bCs/>
          <w:lang w:val="en-AU"/>
        </w:rPr>
        <w:t>c</w:t>
      </w:r>
      <w:bookmarkEnd w:id="77"/>
      <w:r w:rsidR="00656BD6" w:rsidRPr="00CA77B6">
        <w:rPr>
          <w:b w:val="0"/>
          <w:bCs/>
          <w:lang w:val="ru-RU"/>
        </w:rPr>
        <w:t>)</w:t>
      </w:r>
      <w:r w:rsidRPr="00CA77B6">
        <w:rPr>
          <w:bCs/>
          <w:lang w:val="ru-RU"/>
        </w:rPr>
        <w:tab/>
      </w:r>
      <w:bookmarkStart w:id="78" w:name="lt_pId181"/>
      <w:r w:rsidR="00BF5442" w:rsidRPr="00A73894">
        <w:rPr>
          <w:bCs/>
          <w:lang w:val="ru-RU"/>
        </w:rPr>
        <w:t>И</w:t>
      </w:r>
      <w:r w:rsidR="00CA77B6" w:rsidRPr="00A73894">
        <w:rPr>
          <w:bCs/>
          <w:lang w:val="ru-RU"/>
        </w:rPr>
        <w:t>спользование о</w:t>
      </w:r>
      <w:r w:rsidR="00AE0D07" w:rsidRPr="00A73894">
        <w:rPr>
          <w:bCs/>
          <w:lang w:val="ru-RU"/>
        </w:rPr>
        <w:t xml:space="preserve">тдельных </w:t>
      </w:r>
      <w:r w:rsidR="00110B1A" w:rsidRPr="00A73894">
        <w:rPr>
          <w:bCs/>
          <w:lang w:val="ru-RU"/>
        </w:rPr>
        <w:t>услуг</w:t>
      </w:r>
      <w:r w:rsidR="00AE0D07" w:rsidRPr="00A73894">
        <w:rPr>
          <w:bCs/>
          <w:lang w:val="ru-RU"/>
        </w:rPr>
        <w:t xml:space="preserve"> для более успешного</w:t>
      </w:r>
      <w:r w:rsidR="00CA77B6" w:rsidRPr="00A73894">
        <w:rPr>
          <w:bCs/>
          <w:lang w:val="ru-RU"/>
        </w:rPr>
        <w:t xml:space="preserve"> выявления и </w:t>
      </w:r>
      <w:r w:rsidR="00AE0D07" w:rsidRPr="00A73894">
        <w:rPr>
          <w:bCs/>
          <w:lang w:val="ru-RU"/>
        </w:rPr>
        <w:t>усиления предлагаемых преимуществ и эффективности</w:t>
      </w:r>
      <w:r w:rsidR="00CA77B6" w:rsidRPr="00A73894">
        <w:rPr>
          <w:bCs/>
          <w:lang w:val="ru-RU"/>
        </w:rPr>
        <w:t xml:space="preserve"> </w:t>
      </w:r>
    </w:p>
    <w:p w14:paraId="3B50B5BE" w14:textId="1FF99757" w:rsidR="00395A5A" w:rsidRPr="00AE0D07" w:rsidRDefault="00CA77B6" w:rsidP="00395A5A">
      <w:pPr>
        <w:rPr>
          <w:lang w:val="ru-RU"/>
        </w:rPr>
      </w:pPr>
      <w:bookmarkStart w:id="79" w:name="lt_pId182"/>
      <w:bookmarkEnd w:id="78"/>
      <w:r w:rsidRPr="00A73894">
        <w:rPr>
          <w:lang w:val="ru-RU"/>
        </w:rPr>
        <w:t>Сюда относится:</w:t>
      </w:r>
      <w:r w:rsidRPr="00AE0D07">
        <w:rPr>
          <w:lang w:val="ru-RU"/>
        </w:rPr>
        <w:t xml:space="preserve"> </w:t>
      </w:r>
      <w:bookmarkEnd w:id="79"/>
    </w:p>
    <w:p w14:paraId="2ACB3082" w14:textId="44F98C70" w:rsidR="00CA77B6" w:rsidRDefault="00656BD6" w:rsidP="00656BD6">
      <w:pPr>
        <w:pStyle w:val="enumlev1"/>
        <w:rPr>
          <w:lang w:val="ru-RU"/>
        </w:rPr>
      </w:pPr>
      <w:bookmarkStart w:id="80" w:name="lt_pId183"/>
      <w:r w:rsidRPr="00CA77B6">
        <w:rPr>
          <w:lang w:val="ru-RU"/>
        </w:rPr>
        <w:t>•</w:t>
      </w:r>
      <w:r w:rsidRPr="00CA77B6">
        <w:rPr>
          <w:lang w:val="ru-RU"/>
        </w:rPr>
        <w:tab/>
      </w:r>
      <w:r w:rsidR="00CA77B6">
        <w:rPr>
          <w:lang w:val="ru-RU"/>
        </w:rPr>
        <w:t>и</w:t>
      </w:r>
      <w:r w:rsidR="00CA77B6" w:rsidRPr="00CA77B6">
        <w:rPr>
          <w:lang w:val="ru-RU"/>
        </w:rPr>
        <w:t>спользование крупных меропри</w:t>
      </w:r>
      <w:r w:rsidR="00AE0D07">
        <w:rPr>
          <w:lang w:val="ru-RU"/>
        </w:rPr>
        <w:t>ятий МСЭ, которые способствуют</w:t>
      </w:r>
      <w:r w:rsidR="00110B1A">
        <w:rPr>
          <w:lang w:val="ru-RU"/>
        </w:rPr>
        <w:t xml:space="preserve"> </w:t>
      </w:r>
      <w:r w:rsidR="00EF7C0C">
        <w:rPr>
          <w:lang w:val="ru-RU"/>
        </w:rPr>
        <w:t>формированию</w:t>
      </w:r>
      <w:r w:rsidR="00AE0D07">
        <w:rPr>
          <w:lang w:val="ru-RU"/>
        </w:rPr>
        <w:t xml:space="preserve"> сообществ на основ</w:t>
      </w:r>
      <w:r w:rsidR="00110B1A">
        <w:rPr>
          <w:lang w:val="ru-RU"/>
        </w:rPr>
        <w:t>е</w:t>
      </w:r>
      <w:r w:rsidR="00AE0D07">
        <w:rPr>
          <w:lang w:val="ru-RU"/>
        </w:rPr>
        <w:t xml:space="preserve"> общих</w:t>
      </w:r>
      <w:r w:rsidR="00CA77B6" w:rsidRPr="00CA77B6">
        <w:rPr>
          <w:lang w:val="ru-RU"/>
        </w:rPr>
        <w:t xml:space="preserve"> интерес</w:t>
      </w:r>
      <w:r w:rsidR="00AE0D07">
        <w:rPr>
          <w:lang w:val="ru-RU"/>
        </w:rPr>
        <w:t>ов</w:t>
      </w:r>
      <w:r w:rsidR="00110B1A">
        <w:rPr>
          <w:lang w:val="ru-RU"/>
        </w:rPr>
        <w:t xml:space="preserve"> членов и партнеров, для форм</w:t>
      </w:r>
      <w:r w:rsidR="00EF7C0C">
        <w:rPr>
          <w:lang w:val="ru-RU"/>
        </w:rPr>
        <w:t xml:space="preserve">улирования </w:t>
      </w:r>
      <w:r w:rsidR="00CA77B6" w:rsidRPr="00CA77B6">
        <w:rPr>
          <w:lang w:val="ru-RU"/>
        </w:rPr>
        <w:t xml:space="preserve">более </w:t>
      </w:r>
      <w:r w:rsidR="00110B1A" w:rsidRPr="00110B1A">
        <w:rPr>
          <w:lang w:val="ru-RU"/>
        </w:rPr>
        <w:t>эффективных</w:t>
      </w:r>
      <w:r w:rsidR="00110B1A">
        <w:rPr>
          <w:lang w:val="ru-RU"/>
        </w:rPr>
        <w:t xml:space="preserve"> и всеобъемлющих </w:t>
      </w:r>
      <w:r w:rsidR="00110B1A" w:rsidRPr="00110B1A">
        <w:rPr>
          <w:lang w:val="ru-RU"/>
        </w:rPr>
        <w:t>предлагаемых преимуществ</w:t>
      </w:r>
      <w:r w:rsidR="00CA77B6" w:rsidRPr="00110B1A">
        <w:rPr>
          <w:lang w:val="ru-RU"/>
        </w:rPr>
        <w:t>;</w:t>
      </w:r>
    </w:p>
    <w:p w14:paraId="62157431" w14:textId="18E79B3B" w:rsidR="00457043" w:rsidRDefault="00656BD6" w:rsidP="00656BD6">
      <w:pPr>
        <w:pStyle w:val="enumlev1"/>
        <w:rPr>
          <w:lang w:val="ru-RU"/>
        </w:rPr>
      </w:pPr>
      <w:bookmarkStart w:id="81" w:name="lt_pId184"/>
      <w:bookmarkEnd w:id="80"/>
      <w:r w:rsidRPr="00457043">
        <w:rPr>
          <w:lang w:val="ru-RU"/>
        </w:rPr>
        <w:t>•</w:t>
      </w:r>
      <w:r w:rsidRPr="00457043">
        <w:rPr>
          <w:lang w:val="ru-RU"/>
        </w:rPr>
        <w:tab/>
      </w:r>
      <w:r w:rsidR="00457043">
        <w:rPr>
          <w:lang w:val="ru-RU"/>
        </w:rPr>
        <w:t>р</w:t>
      </w:r>
      <w:r w:rsidR="00457043" w:rsidRPr="00457043">
        <w:rPr>
          <w:lang w:val="ru-RU"/>
        </w:rPr>
        <w:t xml:space="preserve">ассмотрение портфеля продуктов и услуг </w:t>
      </w:r>
      <w:r w:rsidR="00457043">
        <w:rPr>
          <w:lang w:val="ru-RU"/>
        </w:rPr>
        <w:t xml:space="preserve">в рамках </w:t>
      </w:r>
      <w:r w:rsidR="00457043" w:rsidRPr="00457043">
        <w:rPr>
          <w:lang w:val="ru-RU"/>
        </w:rPr>
        <w:t xml:space="preserve">всего МСЭ </w:t>
      </w:r>
      <w:r w:rsidR="00457043">
        <w:rPr>
          <w:lang w:val="ru-RU"/>
        </w:rPr>
        <w:t xml:space="preserve">в целом </w:t>
      </w:r>
      <w:r w:rsidR="00457043" w:rsidRPr="00457043">
        <w:rPr>
          <w:lang w:val="ru-RU"/>
        </w:rPr>
        <w:t>для изучения возможностей увеличения доходов, получаемых от Членов Сектор</w:t>
      </w:r>
      <w:r w:rsidR="00110B1A">
        <w:rPr>
          <w:lang w:val="ru-RU"/>
        </w:rPr>
        <w:t>ов</w:t>
      </w:r>
      <w:r w:rsidR="00457043" w:rsidRPr="00457043">
        <w:rPr>
          <w:lang w:val="ru-RU"/>
        </w:rPr>
        <w:t>;</w:t>
      </w:r>
    </w:p>
    <w:p w14:paraId="249C4E27" w14:textId="3FDBB0F3" w:rsidR="00457043" w:rsidRDefault="00656BD6" w:rsidP="00656BD6">
      <w:pPr>
        <w:pStyle w:val="enumlev1"/>
        <w:rPr>
          <w:lang w:val="ru-RU"/>
        </w:rPr>
      </w:pPr>
      <w:bookmarkStart w:id="82" w:name="lt_pId185"/>
      <w:bookmarkEnd w:id="81"/>
      <w:r w:rsidRPr="00457043">
        <w:rPr>
          <w:lang w:val="ru-RU"/>
        </w:rPr>
        <w:t>•</w:t>
      </w:r>
      <w:r w:rsidRPr="00457043">
        <w:rPr>
          <w:lang w:val="ru-RU"/>
        </w:rPr>
        <w:tab/>
      </w:r>
      <w:r w:rsidR="00457043">
        <w:rPr>
          <w:lang w:val="ru-RU"/>
        </w:rPr>
        <w:t>и</w:t>
      </w:r>
      <w:r w:rsidR="00457043" w:rsidRPr="00457043">
        <w:rPr>
          <w:lang w:val="ru-RU"/>
        </w:rPr>
        <w:t>зучение в</w:t>
      </w:r>
      <w:r w:rsidR="00457043">
        <w:rPr>
          <w:lang w:val="ru-RU"/>
        </w:rPr>
        <w:t>озможности увеличения минимального порога</w:t>
      </w:r>
      <w:r w:rsidR="00457043" w:rsidRPr="00457043">
        <w:rPr>
          <w:lang w:val="ru-RU"/>
        </w:rPr>
        <w:t xml:space="preserve"> для спонсорских/добровольных взносов </w:t>
      </w:r>
      <w:r w:rsidR="00224872">
        <w:rPr>
          <w:lang w:val="ru-RU"/>
        </w:rPr>
        <w:t>путем издания служебного приказа</w:t>
      </w:r>
      <w:r w:rsidR="00110B1A">
        <w:rPr>
          <w:lang w:val="ru-RU"/>
        </w:rPr>
        <w:t xml:space="preserve"> с тем, чтобы включить в них </w:t>
      </w:r>
      <w:r w:rsidR="00457043" w:rsidRPr="00457043">
        <w:rPr>
          <w:lang w:val="ru-RU"/>
        </w:rPr>
        <w:t>внутренние административные</w:t>
      </w:r>
      <w:r w:rsidR="00224872">
        <w:rPr>
          <w:lang w:val="ru-RU"/>
        </w:rPr>
        <w:t xml:space="preserve"> расходы/</w:t>
      </w:r>
      <w:r w:rsidR="00457043" w:rsidRPr="00457043">
        <w:rPr>
          <w:lang w:val="ru-RU"/>
        </w:rPr>
        <w:t>расходы</w:t>
      </w:r>
      <w:r w:rsidR="00224872">
        <w:rPr>
          <w:lang w:val="ru-RU"/>
        </w:rPr>
        <w:t xml:space="preserve"> по персоналу</w:t>
      </w:r>
      <w:r w:rsidR="005D099C">
        <w:rPr>
          <w:lang w:val="ru-RU"/>
        </w:rPr>
        <w:t>, связанные с их обработкой.</w:t>
      </w:r>
    </w:p>
    <w:bookmarkEnd w:id="82"/>
    <w:p w14:paraId="683DC68E" w14:textId="77777777" w:rsidR="00224872" w:rsidRDefault="00395A5A" w:rsidP="00656BD6">
      <w:pPr>
        <w:pStyle w:val="Heading1"/>
        <w:rPr>
          <w:lang w:val="ru-RU"/>
        </w:rPr>
      </w:pPr>
      <w:r w:rsidRPr="00224872">
        <w:rPr>
          <w:lang w:val="ru-RU"/>
        </w:rPr>
        <w:t>3</w:t>
      </w:r>
      <w:r w:rsidRPr="00224872">
        <w:rPr>
          <w:lang w:val="ru-RU"/>
        </w:rPr>
        <w:tab/>
      </w:r>
      <w:bookmarkStart w:id="83" w:name="lt_pId187"/>
      <w:r w:rsidR="00224872" w:rsidRPr="00224872">
        <w:rPr>
          <w:lang w:val="ru-RU"/>
        </w:rPr>
        <w:t xml:space="preserve">Следующие шаги и действия, запланированные секретариатом </w:t>
      </w:r>
    </w:p>
    <w:p w14:paraId="6F4A99AD" w14:textId="52CFF36B" w:rsidR="00224872" w:rsidRDefault="00224872" w:rsidP="00395A5A">
      <w:pPr>
        <w:rPr>
          <w:lang w:val="ru-RU"/>
        </w:rPr>
      </w:pPr>
      <w:bookmarkStart w:id="84" w:name="lt_pId188"/>
      <w:bookmarkEnd w:id="83"/>
      <w:r w:rsidRPr="00224872">
        <w:rPr>
          <w:lang w:val="ru-RU"/>
        </w:rPr>
        <w:t xml:space="preserve">Совету предлагается принять к сведению данный документ. </w:t>
      </w:r>
      <w:r w:rsidR="005D099C">
        <w:rPr>
          <w:lang w:val="ru-RU"/>
        </w:rPr>
        <w:t>С</w:t>
      </w:r>
      <w:r w:rsidRPr="00224872">
        <w:rPr>
          <w:lang w:val="ru-RU"/>
        </w:rPr>
        <w:t>екретариат</w:t>
      </w:r>
      <w:r w:rsidR="005D099C">
        <w:rPr>
          <w:lang w:val="ru-RU"/>
        </w:rPr>
        <w:t>, с</w:t>
      </w:r>
      <w:r w:rsidR="005D099C" w:rsidRPr="00224872">
        <w:rPr>
          <w:lang w:val="ru-RU"/>
        </w:rPr>
        <w:t xml:space="preserve"> учетом </w:t>
      </w:r>
      <w:r w:rsidR="005D099C">
        <w:rPr>
          <w:lang w:val="ru-RU"/>
        </w:rPr>
        <w:t>замечаний</w:t>
      </w:r>
      <w:r w:rsidR="005D099C" w:rsidRPr="00224872">
        <w:rPr>
          <w:lang w:val="ru-RU"/>
        </w:rPr>
        <w:t xml:space="preserve"> Совета</w:t>
      </w:r>
      <w:r w:rsidR="005D099C">
        <w:rPr>
          <w:lang w:val="ru-RU"/>
        </w:rPr>
        <w:t>,</w:t>
      </w:r>
      <w:r w:rsidRPr="00224872">
        <w:rPr>
          <w:lang w:val="ru-RU"/>
        </w:rPr>
        <w:t xml:space="preserve"> обновит/доработает проект стратегии мобилизации ресурсов в масштабах всего МСЭ, </w:t>
      </w:r>
      <w:r w:rsidR="005D099C">
        <w:rPr>
          <w:lang w:val="ru-RU"/>
        </w:rPr>
        <w:t>как это изложено</w:t>
      </w:r>
      <w:r w:rsidRPr="00224872">
        <w:rPr>
          <w:lang w:val="ru-RU"/>
        </w:rPr>
        <w:t xml:space="preserve"> в настоящем документе. Всем участникам Совета также рекомендуется </w:t>
      </w:r>
      <w:r w:rsidRPr="00224872">
        <w:rPr>
          <w:lang w:val="ru-RU"/>
        </w:rPr>
        <w:lastRenderedPageBreak/>
        <w:t xml:space="preserve">связаться с секретариатом МСЭ на двусторонней основе для </w:t>
      </w:r>
      <w:r>
        <w:rPr>
          <w:lang w:val="ru-RU"/>
        </w:rPr>
        <w:t>того, чтобы поделиться своими</w:t>
      </w:r>
      <w:r w:rsidRPr="00224872">
        <w:rPr>
          <w:lang w:val="ru-RU"/>
        </w:rPr>
        <w:t xml:space="preserve"> мнениями и предложениями.</w:t>
      </w:r>
    </w:p>
    <w:p w14:paraId="511BDA1F" w14:textId="64C9ED94" w:rsidR="00224872" w:rsidRDefault="00224872" w:rsidP="00395A5A">
      <w:pPr>
        <w:rPr>
          <w:lang w:val="ru-RU"/>
        </w:rPr>
      </w:pPr>
      <w:bookmarkStart w:id="85" w:name="lt_pId191"/>
      <w:bookmarkEnd w:id="84"/>
      <w:r w:rsidRPr="00224872">
        <w:rPr>
          <w:lang w:val="ru-RU"/>
        </w:rPr>
        <w:t xml:space="preserve">В качестве </w:t>
      </w:r>
      <w:r w:rsidR="0086767C">
        <w:rPr>
          <w:lang w:val="ru-RU"/>
        </w:rPr>
        <w:t>первоочередной меры</w:t>
      </w:r>
      <w:r w:rsidRPr="00224872">
        <w:rPr>
          <w:lang w:val="ru-RU"/>
        </w:rPr>
        <w:t xml:space="preserve"> секретариат создал целевую группу по реализации </w:t>
      </w:r>
      <w:r w:rsidR="0086767C">
        <w:rPr>
          <w:lang w:val="ru-RU"/>
        </w:rPr>
        <w:t xml:space="preserve">концепции </w:t>
      </w:r>
      <w:r w:rsidR="0086767C" w:rsidRPr="00CA77B6">
        <w:rPr>
          <w:lang w:val="ru-RU"/>
        </w:rPr>
        <w:t xml:space="preserve">"Единого МСЭ" </w:t>
      </w:r>
      <w:r w:rsidRPr="00224872">
        <w:rPr>
          <w:lang w:val="ru-RU"/>
        </w:rPr>
        <w:t xml:space="preserve">для оценки, координации и изучения </w:t>
      </w:r>
      <w:r w:rsidR="0086767C">
        <w:rPr>
          <w:lang w:val="ru-RU"/>
        </w:rPr>
        <w:t xml:space="preserve">процесса </w:t>
      </w:r>
      <w:r w:rsidRPr="00224872">
        <w:rPr>
          <w:lang w:val="ru-RU"/>
        </w:rPr>
        <w:t>внедрения стратегии мобилизации ресурсов</w:t>
      </w:r>
      <w:r w:rsidR="0086767C">
        <w:rPr>
          <w:lang w:val="ru-RU"/>
        </w:rPr>
        <w:t xml:space="preserve"> на начальном этапе</w:t>
      </w:r>
      <w:r w:rsidRPr="00224872">
        <w:rPr>
          <w:lang w:val="ru-RU"/>
        </w:rPr>
        <w:t>. Обновленная информация об окончательном варианте стратегии мобилизации ресурсов и ходе ее реализации будет предс</w:t>
      </w:r>
      <w:r w:rsidR="0086767C">
        <w:rPr>
          <w:lang w:val="ru-RU"/>
        </w:rPr>
        <w:t>тавлена на сессии Совета в 2024 </w:t>
      </w:r>
      <w:r w:rsidRPr="00224872">
        <w:rPr>
          <w:lang w:val="ru-RU"/>
        </w:rPr>
        <w:t>году.</w:t>
      </w:r>
    </w:p>
    <w:p w14:paraId="54ACC0B5" w14:textId="269D79A1" w:rsidR="00395A5A" w:rsidRPr="006C34DA" w:rsidRDefault="00656BD6" w:rsidP="002C5F38">
      <w:pPr>
        <w:spacing w:before="1440"/>
        <w:rPr>
          <w:lang w:val="ru-RU"/>
        </w:rPr>
      </w:pPr>
      <w:bookmarkStart w:id="86" w:name="lt_pId193"/>
      <w:bookmarkEnd w:id="85"/>
      <w:r w:rsidRPr="00656BD6">
        <w:rPr>
          <w:b/>
          <w:bCs/>
          <w:lang w:val="ru-RU"/>
        </w:rPr>
        <w:t>Приложения</w:t>
      </w:r>
      <w:r w:rsidR="00395A5A" w:rsidRPr="006C34DA">
        <w:rPr>
          <w:lang w:val="ru-RU"/>
        </w:rPr>
        <w:t>: 2</w:t>
      </w:r>
      <w:bookmarkEnd w:id="86"/>
    </w:p>
    <w:p w14:paraId="0269C1B0" w14:textId="77777777" w:rsidR="00395A5A" w:rsidRPr="006C34DA" w:rsidRDefault="00395A5A" w:rsidP="00395A5A">
      <w:pPr>
        <w:rPr>
          <w:b/>
          <w:bCs/>
          <w:lang w:val="ru-RU"/>
        </w:rPr>
      </w:pPr>
      <w:r w:rsidRPr="006C34DA">
        <w:rPr>
          <w:b/>
          <w:bCs/>
          <w:lang w:val="ru-RU"/>
        </w:rPr>
        <w:br w:type="page"/>
      </w:r>
    </w:p>
    <w:p w14:paraId="2E383FED" w14:textId="1C332F32" w:rsidR="00395A5A" w:rsidRPr="006C34DA" w:rsidRDefault="00395A5A" w:rsidP="00395A5A">
      <w:pPr>
        <w:pStyle w:val="AnnexNo"/>
        <w:rPr>
          <w:lang w:val="ru-RU"/>
        </w:rPr>
      </w:pPr>
      <w:bookmarkStart w:id="87" w:name="lt_pId194"/>
      <w:bookmarkStart w:id="88" w:name="Annex_1"/>
      <w:r>
        <w:rPr>
          <w:lang w:val="ru-RU"/>
        </w:rPr>
        <w:lastRenderedPageBreak/>
        <w:t>приложение</w:t>
      </w:r>
      <w:r w:rsidRPr="006C34DA">
        <w:rPr>
          <w:lang w:val="ru-RU"/>
        </w:rPr>
        <w:t xml:space="preserve"> 1</w:t>
      </w:r>
      <w:bookmarkEnd w:id="87"/>
      <w:bookmarkEnd w:id="88"/>
    </w:p>
    <w:p w14:paraId="3EF92969" w14:textId="5BBE31AE" w:rsidR="00395A5A" w:rsidRPr="006C34DA" w:rsidRDefault="0086767C" w:rsidP="00395A5A">
      <w:pPr>
        <w:pStyle w:val="Annextitle"/>
        <w:rPr>
          <w:lang w:val="ru-RU"/>
        </w:rPr>
      </w:pPr>
      <w:bookmarkStart w:id="89" w:name="lt_pId195"/>
      <w:r>
        <w:rPr>
          <w:lang w:val="ru-RU"/>
        </w:rPr>
        <w:t xml:space="preserve">Ведущие доноры, </w:t>
      </w:r>
      <w:r w:rsidR="00395A5A" w:rsidRPr="006C34DA">
        <w:rPr>
          <w:lang w:val="ru-RU"/>
        </w:rPr>
        <w:t>2022</w:t>
      </w:r>
      <w:bookmarkEnd w:id="89"/>
      <w:r>
        <w:rPr>
          <w:lang w:val="ru-RU"/>
        </w:rPr>
        <w:t> год</w:t>
      </w:r>
    </w:p>
    <w:tbl>
      <w:tblPr>
        <w:tblW w:w="0" w:type="auto"/>
        <w:tblLayout w:type="fixed"/>
        <w:tblLook w:val="06A0" w:firstRow="1" w:lastRow="0" w:firstColumn="1" w:lastColumn="0" w:noHBand="1" w:noVBand="1"/>
      </w:tblPr>
      <w:tblGrid>
        <w:gridCol w:w="5524"/>
        <w:gridCol w:w="1984"/>
        <w:gridCol w:w="1552"/>
      </w:tblGrid>
      <w:tr w:rsidR="00395A5A" w:rsidRPr="00395A5A" w14:paraId="4AEE5CA2" w14:textId="77777777" w:rsidTr="00645C20">
        <w:trPr>
          <w:trHeight w:val="315"/>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9E4FF1" w14:textId="792C0A90" w:rsidR="00395A5A" w:rsidRPr="00645C20" w:rsidRDefault="00645C20" w:rsidP="00395A5A">
            <w:pPr>
              <w:pStyle w:val="Tablehead"/>
              <w:rPr>
                <w:lang w:val="ru-RU"/>
              </w:rPr>
            </w:pPr>
            <w:r>
              <w:rPr>
                <w:lang w:val="ru-RU"/>
              </w:rPr>
              <w:t>Организация</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6D9D34" w14:textId="7AE7515A" w:rsidR="00395A5A" w:rsidRPr="00645C20" w:rsidRDefault="00645C20" w:rsidP="00395A5A">
            <w:pPr>
              <w:pStyle w:val="Tablehead"/>
              <w:rPr>
                <w:lang w:val="ru-RU"/>
              </w:rPr>
            </w:pPr>
            <w:r>
              <w:rPr>
                <w:lang w:val="ru-RU"/>
              </w:rPr>
              <w:t>Страна</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34A6C3" w14:textId="7C341F40" w:rsidR="00395A5A" w:rsidRPr="00395A5A" w:rsidRDefault="00645C20" w:rsidP="00395A5A">
            <w:pPr>
              <w:pStyle w:val="Tablehead"/>
            </w:pPr>
            <w:bookmarkStart w:id="90" w:name="lt_pId198"/>
            <w:r>
              <w:rPr>
                <w:lang w:val="ru-RU"/>
              </w:rPr>
              <w:t>Сумма</w:t>
            </w:r>
            <w:r w:rsidR="00395A5A" w:rsidRPr="00395A5A">
              <w:t xml:space="preserve"> (</w:t>
            </w:r>
            <w:r>
              <w:rPr>
                <w:lang w:val="ru-RU"/>
              </w:rPr>
              <w:t>шв. фр.</w:t>
            </w:r>
            <w:r w:rsidR="00395A5A" w:rsidRPr="00395A5A">
              <w:t>)</w:t>
            </w:r>
            <w:bookmarkEnd w:id="90"/>
          </w:p>
        </w:tc>
      </w:tr>
      <w:tr w:rsidR="00395A5A" w:rsidRPr="00395A5A" w14:paraId="0CA9D0FB" w14:textId="77777777" w:rsidTr="00645C20">
        <w:trPr>
          <w:trHeight w:val="315"/>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5648BDE" w14:textId="227D3F8D" w:rsidR="00395A5A" w:rsidRPr="00395A5A" w:rsidRDefault="0086767C" w:rsidP="00645C20">
            <w:pPr>
              <w:pStyle w:val="Tabletext"/>
            </w:pPr>
            <w:r w:rsidRPr="0086767C">
              <w:t>Федеральный департамент иностранных дел</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D569565" w14:textId="55CDB308" w:rsidR="00395A5A" w:rsidRPr="00645C20" w:rsidRDefault="00645C20" w:rsidP="00645C20">
            <w:pPr>
              <w:pStyle w:val="Tabletext"/>
              <w:jc w:val="center"/>
              <w:rPr>
                <w:lang w:val="ru-RU"/>
              </w:rPr>
            </w:pPr>
            <w:r>
              <w:rPr>
                <w:lang w:val="ru-RU"/>
              </w:rPr>
              <w:t>Швейцария</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DAE240D" w14:textId="77777777" w:rsidR="00395A5A" w:rsidRPr="00395A5A" w:rsidRDefault="00395A5A" w:rsidP="00645C20">
            <w:pPr>
              <w:pStyle w:val="Tabletext"/>
              <w:jc w:val="center"/>
            </w:pPr>
            <w:r w:rsidRPr="00395A5A">
              <w:t>1 020 000</w:t>
            </w:r>
          </w:p>
        </w:tc>
      </w:tr>
      <w:tr w:rsidR="00395A5A" w:rsidRPr="00395A5A" w14:paraId="47AF9782" w14:textId="77777777" w:rsidTr="00645C20">
        <w:trPr>
          <w:trHeight w:val="43"/>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9C2E0E2" w14:textId="45B45CB8" w:rsidR="00395A5A" w:rsidRPr="0086767C" w:rsidRDefault="0086767C" w:rsidP="00645C20">
            <w:pPr>
              <w:pStyle w:val="Tabletext"/>
              <w:rPr>
                <w:lang w:val="ru-RU"/>
              </w:rPr>
            </w:pPr>
            <w:r w:rsidRPr="0086767C">
              <w:rPr>
                <w:lang w:val="ru-RU"/>
              </w:rPr>
              <w:t>Министерство промышленности и информационных технологий</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43A24AD" w14:textId="7EEAFD29" w:rsidR="00395A5A" w:rsidRPr="00645C20" w:rsidRDefault="00645C20" w:rsidP="00645C20">
            <w:pPr>
              <w:pStyle w:val="Tabletext"/>
              <w:jc w:val="center"/>
              <w:rPr>
                <w:lang w:val="ru-RU"/>
              </w:rPr>
            </w:pPr>
            <w:r>
              <w:rPr>
                <w:lang w:val="ru-RU"/>
              </w:rPr>
              <w:t>Китай</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59DF43C" w14:textId="77777777" w:rsidR="00395A5A" w:rsidRPr="00395A5A" w:rsidRDefault="00395A5A" w:rsidP="00645C20">
            <w:pPr>
              <w:pStyle w:val="Tabletext"/>
              <w:jc w:val="center"/>
            </w:pPr>
            <w:r w:rsidRPr="00395A5A">
              <w:t>985 924</w:t>
            </w:r>
          </w:p>
        </w:tc>
      </w:tr>
      <w:tr w:rsidR="00395A5A" w:rsidRPr="00395A5A" w14:paraId="743C193D" w14:textId="77777777" w:rsidTr="00645C20">
        <w:trPr>
          <w:trHeight w:val="43"/>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6543DDA" w14:textId="44765544" w:rsidR="00395A5A" w:rsidRPr="0086767C" w:rsidRDefault="0086767C" w:rsidP="00645C20">
            <w:pPr>
              <w:pStyle w:val="Tabletext"/>
              <w:rPr>
                <w:lang w:val="ru-RU"/>
              </w:rPr>
            </w:pPr>
            <w:r w:rsidRPr="0086767C">
              <w:rPr>
                <w:lang w:val="ru-RU"/>
              </w:rPr>
              <w:t>Норвежское агентство по сотрудничеству в целях развития</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8D5B60D" w14:textId="1E4AB30E" w:rsidR="00395A5A" w:rsidRPr="00645C20" w:rsidRDefault="00645C20" w:rsidP="00645C20">
            <w:pPr>
              <w:pStyle w:val="Tabletext"/>
              <w:jc w:val="center"/>
              <w:rPr>
                <w:lang w:val="ru-RU"/>
              </w:rPr>
            </w:pPr>
            <w:r>
              <w:rPr>
                <w:lang w:val="ru-RU"/>
              </w:rPr>
              <w:t>Норвегия</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B5F31B" w14:textId="77777777" w:rsidR="00395A5A" w:rsidRPr="00395A5A" w:rsidRDefault="00395A5A" w:rsidP="00645C20">
            <w:pPr>
              <w:pStyle w:val="Tabletext"/>
              <w:jc w:val="center"/>
            </w:pPr>
            <w:r w:rsidRPr="00395A5A">
              <w:t>932 498</w:t>
            </w:r>
          </w:p>
        </w:tc>
      </w:tr>
      <w:tr w:rsidR="00395A5A" w:rsidRPr="00395A5A" w14:paraId="6CB8118B" w14:textId="77777777" w:rsidTr="00645C20">
        <w:trPr>
          <w:trHeight w:val="315"/>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0A12F79" w14:textId="38C1941D" w:rsidR="00395A5A" w:rsidRPr="0086767C" w:rsidRDefault="0086767C" w:rsidP="00645C20">
            <w:pPr>
              <w:pStyle w:val="Tabletext"/>
              <w:rPr>
                <w:lang w:val="ru-RU"/>
              </w:rPr>
            </w:pPr>
            <w:r>
              <w:rPr>
                <w:lang w:val="ru-RU"/>
              </w:rPr>
              <w:t>Министерство</w:t>
            </w:r>
            <w:r w:rsidRPr="0086767C">
              <w:rPr>
                <w:lang w:val="ru-RU"/>
              </w:rPr>
              <w:t xml:space="preserve"> внутренних дел и связи</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2A7079B" w14:textId="4CD9548E" w:rsidR="00395A5A" w:rsidRPr="00645C20" w:rsidRDefault="00645C20" w:rsidP="00645C20">
            <w:pPr>
              <w:pStyle w:val="Tabletext"/>
              <w:jc w:val="center"/>
              <w:rPr>
                <w:lang w:val="ru-RU"/>
              </w:rPr>
            </w:pPr>
            <w:r>
              <w:rPr>
                <w:lang w:val="ru-RU"/>
              </w:rPr>
              <w:t>Япония</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DB8632" w14:textId="77777777" w:rsidR="00395A5A" w:rsidRPr="00395A5A" w:rsidRDefault="00395A5A" w:rsidP="00645C20">
            <w:pPr>
              <w:pStyle w:val="Tabletext"/>
              <w:jc w:val="center"/>
            </w:pPr>
            <w:r w:rsidRPr="00395A5A">
              <w:t>833 170</w:t>
            </w:r>
          </w:p>
        </w:tc>
      </w:tr>
      <w:tr w:rsidR="00395A5A" w:rsidRPr="00395A5A" w14:paraId="252AA35A" w14:textId="77777777" w:rsidTr="00645C20">
        <w:trPr>
          <w:trHeight w:val="43"/>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C85E91F" w14:textId="46EEDCB8" w:rsidR="00395A5A" w:rsidRPr="0086767C" w:rsidRDefault="0086767C" w:rsidP="00645C20">
            <w:pPr>
              <w:pStyle w:val="Tabletext"/>
              <w:rPr>
                <w:lang w:val="ru-RU"/>
              </w:rPr>
            </w:pPr>
            <w:r w:rsidRPr="0086767C">
              <w:rPr>
                <w:lang w:val="ru-RU"/>
              </w:rPr>
              <w:t>Министерство иностранных дел и торговли</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84D2C31" w14:textId="2FC57E72" w:rsidR="00395A5A" w:rsidRPr="00645C20" w:rsidRDefault="00645C20" w:rsidP="00645C20">
            <w:pPr>
              <w:pStyle w:val="Tabletext"/>
              <w:jc w:val="center"/>
              <w:rPr>
                <w:lang w:val="ru-RU"/>
              </w:rPr>
            </w:pPr>
            <w:r>
              <w:rPr>
                <w:lang w:val="ru-RU"/>
              </w:rPr>
              <w:t>Австралия</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3A53D39" w14:textId="77777777" w:rsidR="00395A5A" w:rsidRPr="00395A5A" w:rsidRDefault="00395A5A" w:rsidP="00645C20">
            <w:pPr>
              <w:pStyle w:val="Tabletext"/>
              <w:jc w:val="center"/>
            </w:pPr>
            <w:r w:rsidRPr="00395A5A">
              <w:t>826 259</w:t>
            </w:r>
          </w:p>
        </w:tc>
      </w:tr>
      <w:tr w:rsidR="00395A5A" w:rsidRPr="00395A5A" w14:paraId="3DF86285" w14:textId="77777777" w:rsidTr="00645C20">
        <w:trPr>
          <w:trHeight w:val="315"/>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C9800B" w14:textId="51C3FEE4" w:rsidR="00395A5A" w:rsidRPr="0086767C" w:rsidRDefault="0086767C" w:rsidP="00645C20">
            <w:pPr>
              <w:pStyle w:val="Tabletext"/>
              <w:rPr>
                <w:lang w:val="ru-RU"/>
              </w:rPr>
            </w:pPr>
            <w:r>
              <w:rPr>
                <w:lang w:val="ru-RU"/>
              </w:rPr>
              <w:t>Целевой фонд с участием нескольких партнеров ПРООН</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04229B9" w14:textId="3A363661" w:rsidR="00395A5A" w:rsidRPr="0086767C" w:rsidRDefault="0086767C" w:rsidP="00645C20">
            <w:pPr>
              <w:pStyle w:val="Tabletext"/>
              <w:jc w:val="center"/>
              <w:rPr>
                <w:lang w:val="ru-RU"/>
              </w:rPr>
            </w:pPr>
            <w:r>
              <w:rPr>
                <w:lang w:val="ru-RU"/>
              </w:rPr>
              <w:t>международная организация</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5475E46" w14:textId="77777777" w:rsidR="00395A5A" w:rsidRPr="00395A5A" w:rsidRDefault="00395A5A" w:rsidP="00645C20">
            <w:pPr>
              <w:pStyle w:val="Tabletext"/>
              <w:jc w:val="center"/>
            </w:pPr>
            <w:r w:rsidRPr="00395A5A">
              <w:t>697 178</w:t>
            </w:r>
          </w:p>
        </w:tc>
      </w:tr>
      <w:tr w:rsidR="00395A5A" w:rsidRPr="00395A5A" w14:paraId="376D0060" w14:textId="77777777" w:rsidTr="00645C20">
        <w:trPr>
          <w:trHeight w:val="315"/>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CE85FE7" w14:textId="00215065" w:rsidR="00395A5A" w:rsidRPr="00395A5A" w:rsidRDefault="0086767C" w:rsidP="00645C20">
            <w:pPr>
              <w:pStyle w:val="Tabletext"/>
            </w:pPr>
            <w:r>
              <w:t>Министерство</w:t>
            </w:r>
            <w:r w:rsidRPr="0086767C">
              <w:t xml:space="preserve"> связи и искусств</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9B42E14" w14:textId="220FCC64" w:rsidR="00395A5A" w:rsidRPr="00645C20" w:rsidRDefault="00645C20" w:rsidP="00645C20">
            <w:pPr>
              <w:pStyle w:val="Tabletext"/>
              <w:jc w:val="center"/>
              <w:rPr>
                <w:lang w:val="ru-RU"/>
              </w:rPr>
            </w:pPr>
            <w:r>
              <w:rPr>
                <w:lang w:val="ru-RU"/>
              </w:rPr>
              <w:t>Австралия</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58BD90" w14:textId="77777777" w:rsidR="00395A5A" w:rsidRPr="00395A5A" w:rsidRDefault="00395A5A" w:rsidP="00645C20">
            <w:pPr>
              <w:pStyle w:val="Tabletext"/>
              <w:jc w:val="center"/>
            </w:pPr>
            <w:r w:rsidRPr="00395A5A">
              <w:t>688 978</w:t>
            </w:r>
          </w:p>
        </w:tc>
      </w:tr>
      <w:tr w:rsidR="00395A5A" w:rsidRPr="00395A5A" w14:paraId="06180650" w14:textId="77777777" w:rsidTr="00645C20">
        <w:trPr>
          <w:trHeight w:val="210"/>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BB42C27" w14:textId="13DDF818" w:rsidR="00395A5A" w:rsidRPr="0086767C" w:rsidRDefault="0079091D" w:rsidP="00645C20">
            <w:pPr>
              <w:pStyle w:val="Tabletext"/>
              <w:rPr>
                <w:lang w:val="ru-RU"/>
              </w:rPr>
            </w:pPr>
            <w:r>
              <w:rPr>
                <w:lang w:val="ru-RU"/>
              </w:rPr>
              <w:t>Министерство науки и ИКТ</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A0EC6BB" w14:textId="0295A4A9" w:rsidR="00395A5A" w:rsidRPr="00645C20" w:rsidRDefault="00645C20" w:rsidP="00645C20">
            <w:pPr>
              <w:pStyle w:val="Tabletext"/>
              <w:jc w:val="center"/>
              <w:rPr>
                <w:lang w:val="ru-RU"/>
              </w:rPr>
            </w:pPr>
            <w:r>
              <w:rPr>
                <w:lang w:val="ru-RU"/>
              </w:rPr>
              <w:t>Республика Корея</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3EAE9CC" w14:textId="0D72A3EA" w:rsidR="00395A5A" w:rsidRPr="00395A5A" w:rsidRDefault="0079091D" w:rsidP="00645C20">
            <w:pPr>
              <w:pStyle w:val="Tabletext"/>
              <w:jc w:val="center"/>
            </w:pPr>
            <w:r w:rsidRPr="004A1531">
              <w:t>600 428</w:t>
            </w:r>
          </w:p>
        </w:tc>
      </w:tr>
      <w:tr w:rsidR="00395A5A" w:rsidRPr="00395A5A" w14:paraId="7B7473AF" w14:textId="77777777" w:rsidTr="00645C20">
        <w:trPr>
          <w:trHeight w:val="43"/>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2B6DE50" w14:textId="2F9A8559" w:rsidR="00395A5A" w:rsidRPr="0086767C" w:rsidRDefault="0086767C" w:rsidP="0086767C">
            <w:pPr>
              <w:pStyle w:val="Tabletext"/>
              <w:rPr>
                <w:lang w:val="ru-RU"/>
              </w:rPr>
            </w:pPr>
            <w:bookmarkStart w:id="91" w:name="lt_pId223"/>
            <w:r>
              <w:rPr>
                <w:lang w:val="ru-RU"/>
              </w:rPr>
              <w:t>Министерство</w:t>
            </w:r>
            <w:r w:rsidRPr="0086767C">
              <w:rPr>
                <w:lang w:val="ru-RU"/>
              </w:rPr>
              <w:t xml:space="preserve"> иностранных дел и по делам Содружества и развития</w:t>
            </w:r>
            <w:bookmarkEnd w:id="91"/>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C7B8632" w14:textId="1F6ADE61" w:rsidR="00395A5A" w:rsidRPr="00645C20" w:rsidRDefault="00645C20" w:rsidP="00645C20">
            <w:pPr>
              <w:pStyle w:val="Tabletext"/>
              <w:jc w:val="center"/>
              <w:rPr>
                <w:lang w:val="ru-RU"/>
              </w:rPr>
            </w:pPr>
            <w:r>
              <w:rPr>
                <w:lang w:val="ru-RU"/>
              </w:rPr>
              <w:t>Соединенное Королевство</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9D7EB8E" w14:textId="77777777" w:rsidR="00395A5A" w:rsidRPr="00395A5A" w:rsidRDefault="00395A5A" w:rsidP="00645C20">
            <w:pPr>
              <w:pStyle w:val="Tabletext"/>
              <w:jc w:val="center"/>
            </w:pPr>
            <w:r w:rsidRPr="00395A5A">
              <w:t>525 555</w:t>
            </w:r>
          </w:p>
        </w:tc>
      </w:tr>
      <w:tr w:rsidR="00395A5A" w:rsidRPr="00395A5A" w14:paraId="5F6DFE1B" w14:textId="77777777" w:rsidTr="00645C20">
        <w:trPr>
          <w:trHeight w:val="315"/>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D86FD41" w14:textId="0B86B641" w:rsidR="00395A5A" w:rsidRPr="00395A5A" w:rsidRDefault="005D099C" w:rsidP="00645C20">
            <w:pPr>
              <w:pStyle w:val="Tabletext"/>
            </w:pPr>
            <w:bookmarkStart w:id="92" w:name="lt_pId226"/>
            <w:r>
              <w:rPr>
                <w:lang w:val="ru-RU"/>
              </w:rPr>
              <w:t xml:space="preserve">Фонд </w:t>
            </w:r>
            <w:r w:rsidR="00395A5A" w:rsidRPr="00395A5A">
              <w:t xml:space="preserve">Botnar </w:t>
            </w:r>
            <w:bookmarkEnd w:id="92"/>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EAE8A0A" w14:textId="0E54C58D" w:rsidR="00395A5A" w:rsidRPr="00645C20" w:rsidRDefault="00645C20" w:rsidP="00645C20">
            <w:pPr>
              <w:pStyle w:val="Tabletext"/>
              <w:jc w:val="center"/>
              <w:rPr>
                <w:lang w:val="ru-RU"/>
              </w:rPr>
            </w:pPr>
            <w:r>
              <w:rPr>
                <w:lang w:val="ru-RU"/>
              </w:rPr>
              <w:t>Швейцария</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F2A343" w14:textId="77777777" w:rsidR="00395A5A" w:rsidRPr="00395A5A" w:rsidRDefault="00395A5A" w:rsidP="00645C20">
            <w:pPr>
              <w:pStyle w:val="Tabletext"/>
              <w:jc w:val="center"/>
            </w:pPr>
            <w:r w:rsidRPr="00395A5A">
              <w:t>442 247</w:t>
            </w:r>
          </w:p>
        </w:tc>
      </w:tr>
    </w:tbl>
    <w:p w14:paraId="19BA3790" w14:textId="77777777" w:rsidR="00395A5A" w:rsidRPr="00395A5A" w:rsidRDefault="00395A5A" w:rsidP="00395A5A">
      <w:pPr>
        <w:rPr>
          <w:b/>
          <w:bCs/>
        </w:rPr>
      </w:pPr>
      <w:r w:rsidRPr="00395A5A">
        <w:rPr>
          <w:b/>
          <w:bCs/>
        </w:rPr>
        <w:br w:type="page"/>
      </w:r>
    </w:p>
    <w:p w14:paraId="17F25C6B" w14:textId="53B1C65D" w:rsidR="00395A5A" w:rsidRPr="00395A5A" w:rsidRDefault="00395A5A" w:rsidP="00395A5A">
      <w:pPr>
        <w:pStyle w:val="AnnexNo"/>
      </w:pPr>
      <w:bookmarkStart w:id="93" w:name="lt_pId229"/>
      <w:bookmarkStart w:id="94" w:name="Annex_2"/>
      <w:r>
        <w:rPr>
          <w:lang w:val="ru-RU"/>
        </w:rPr>
        <w:lastRenderedPageBreak/>
        <w:t>приложение</w:t>
      </w:r>
      <w:r w:rsidRPr="00395A5A">
        <w:t xml:space="preserve"> 2</w:t>
      </w:r>
      <w:bookmarkEnd w:id="93"/>
      <w:bookmarkEnd w:id="94"/>
    </w:p>
    <w:p w14:paraId="4A872C08" w14:textId="2A4633A3" w:rsidR="0086767C" w:rsidRDefault="0086767C" w:rsidP="00395A5A">
      <w:pPr>
        <w:pStyle w:val="Annextitle"/>
        <w:rPr>
          <w:lang w:val="ru-RU"/>
        </w:rPr>
      </w:pPr>
      <w:bookmarkStart w:id="95" w:name="lt_pId230"/>
      <w:r w:rsidRPr="0086767C">
        <w:rPr>
          <w:lang w:val="ru-RU"/>
        </w:rPr>
        <w:t>Взносы</w:t>
      </w:r>
      <w:r>
        <w:rPr>
          <w:lang w:val="ru-RU"/>
        </w:rPr>
        <w:t xml:space="preserve"> от</w:t>
      </w:r>
      <w:r w:rsidRPr="0086767C">
        <w:rPr>
          <w:lang w:val="ru-RU"/>
        </w:rPr>
        <w:t xml:space="preserve"> организаций</w:t>
      </w:r>
      <w:r>
        <w:rPr>
          <w:lang w:val="ru-RU"/>
        </w:rPr>
        <w:t xml:space="preserve">, занимающихся оказанием </w:t>
      </w:r>
      <w:r w:rsidRPr="0086767C">
        <w:rPr>
          <w:lang w:val="ru-RU"/>
        </w:rPr>
        <w:t xml:space="preserve">официальной помощи </w:t>
      </w:r>
      <w:r>
        <w:rPr>
          <w:lang w:val="ru-RU"/>
        </w:rPr>
        <w:t>в целях развития</w:t>
      </w:r>
      <w:r w:rsidRPr="0086767C">
        <w:rPr>
          <w:lang w:val="ru-RU"/>
        </w:rPr>
        <w:t>, министерств иностранных дел и представительств</w:t>
      </w:r>
      <w:r>
        <w:rPr>
          <w:lang w:val="ru-RU"/>
        </w:rPr>
        <w:t xml:space="preserve">, </w:t>
      </w:r>
      <w:r w:rsidRPr="0086767C">
        <w:rPr>
          <w:lang w:val="ru-RU"/>
        </w:rPr>
        <w:t>2022</w:t>
      </w:r>
      <w:r>
        <w:rPr>
          <w:lang w:val="ru-RU"/>
        </w:rPr>
        <w:t> год</w:t>
      </w:r>
    </w:p>
    <w:tbl>
      <w:tblPr>
        <w:tblW w:w="9173" w:type="dxa"/>
        <w:tblLayout w:type="fixed"/>
        <w:tblLook w:val="06A0" w:firstRow="1" w:lastRow="0" w:firstColumn="1" w:lastColumn="0" w:noHBand="1" w:noVBand="1"/>
      </w:tblPr>
      <w:tblGrid>
        <w:gridCol w:w="5524"/>
        <w:gridCol w:w="1984"/>
        <w:gridCol w:w="1665"/>
      </w:tblGrid>
      <w:tr w:rsidR="00395A5A" w:rsidRPr="00395A5A" w14:paraId="716D42AA" w14:textId="77777777" w:rsidTr="00395A5A">
        <w:trPr>
          <w:trHeight w:val="315"/>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bookmarkEnd w:id="95"/>
          <w:p w14:paraId="7E877EE3" w14:textId="1E485FD8" w:rsidR="00395A5A" w:rsidRPr="00395A5A" w:rsidRDefault="00395A5A" w:rsidP="00395A5A">
            <w:pPr>
              <w:pStyle w:val="Tablehead"/>
              <w:rPr>
                <w:lang w:val="ru-RU"/>
              </w:rPr>
            </w:pPr>
            <w:r>
              <w:rPr>
                <w:lang w:val="ru-RU"/>
              </w:rPr>
              <w:t>Организация</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1BD3CF" w14:textId="7957F3D2" w:rsidR="00395A5A" w:rsidRPr="00395A5A" w:rsidRDefault="00395A5A" w:rsidP="00395A5A">
            <w:pPr>
              <w:pStyle w:val="Tablehead"/>
              <w:rPr>
                <w:lang w:val="ru-RU"/>
              </w:rPr>
            </w:pPr>
            <w:r>
              <w:rPr>
                <w:lang w:val="ru-RU"/>
              </w:rPr>
              <w:t>Страна</w:t>
            </w:r>
          </w:p>
        </w:tc>
        <w:tc>
          <w:tcPr>
            <w:tcW w:w="1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998417" w14:textId="0831C69C" w:rsidR="00395A5A" w:rsidRPr="00395A5A" w:rsidRDefault="00395A5A" w:rsidP="00395A5A">
            <w:pPr>
              <w:pStyle w:val="Tablehead"/>
            </w:pPr>
            <w:bookmarkStart w:id="96" w:name="lt_pId233"/>
            <w:r>
              <w:rPr>
                <w:lang w:val="ru-RU"/>
              </w:rPr>
              <w:t>Сумма</w:t>
            </w:r>
            <w:r w:rsidRPr="00395A5A">
              <w:t xml:space="preserve"> (</w:t>
            </w:r>
            <w:r>
              <w:rPr>
                <w:lang w:val="ru-RU"/>
              </w:rPr>
              <w:t>шв. фр.</w:t>
            </w:r>
            <w:r w:rsidRPr="00395A5A">
              <w:t>)</w:t>
            </w:r>
            <w:bookmarkEnd w:id="96"/>
          </w:p>
        </w:tc>
      </w:tr>
      <w:tr w:rsidR="00395A5A" w:rsidRPr="00395A5A" w14:paraId="479C0296" w14:textId="77777777" w:rsidTr="00395A5A">
        <w:trPr>
          <w:trHeight w:val="315"/>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7A36B92" w14:textId="58E00515" w:rsidR="00395A5A" w:rsidRPr="00395A5A" w:rsidRDefault="00AF0228" w:rsidP="00395A5A">
            <w:pPr>
              <w:pStyle w:val="Tabletext"/>
            </w:pPr>
            <w:r w:rsidRPr="00AF0228">
              <w:t>Федеральный департамент иностранных дел</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362849A" w14:textId="4E80C5B0" w:rsidR="00395A5A" w:rsidRPr="00395A5A" w:rsidRDefault="00395A5A" w:rsidP="00395A5A">
            <w:pPr>
              <w:pStyle w:val="Tabletext"/>
              <w:jc w:val="center"/>
              <w:rPr>
                <w:lang w:val="ru-RU"/>
              </w:rPr>
            </w:pPr>
            <w:r>
              <w:rPr>
                <w:lang w:val="ru-RU"/>
              </w:rPr>
              <w:t>Швейцария</w:t>
            </w:r>
          </w:p>
        </w:tc>
        <w:tc>
          <w:tcPr>
            <w:tcW w:w="16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585C324" w14:textId="77777777" w:rsidR="00395A5A" w:rsidRPr="00395A5A" w:rsidRDefault="00395A5A" w:rsidP="00395A5A">
            <w:pPr>
              <w:pStyle w:val="Tabletext"/>
              <w:jc w:val="center"/>
            </w:pPr>
            <w:r w:rsidRPr="00395A5A">
              <w:t>1 020 000</w:t>
            </w:r>
          </w:p>
        </w:tc>
      </w:tr>
      <w:tr w:rsidR="00395A5A" w:rsidRPr="00395A5A" w14:paraId="705AB35A" w14:textId="77777777" w:rsidTr="00395A5A">
        <w:trPr>
          <w:trHeight w:val="43"/>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71C0B69" w14:textId="40A83B5D" w:rsidR="00395A5A" w:rsidRPr="00AF0228" w:rsidRDefault="00AF0228" w:rsidP="00395A5A">
            <w:pPr>
              <w:pStyle w:val="Tabletext"/>
              <w:rPr>
                <w:lang w:val="ru-RU"/>
              </w:rPr>
            </w:pPr>
            <w:r w:rsidRPr="0086767C">
              <w:rPr>
                <w:lang w:val="ru-RU"/>
              </w:rPr>
              <w:t>Норвежское агентство по сотрудничеству в целях развития</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EE8999" w14:textId="2AFD90F4" w:rsidR="00395A5A" w:rsidRPr="00395A5A" w:rsidRDefault="00395A5A" w:rsidP="00395A5A">
            <w:pPr>
              <w:pStyle w:val="Tabletext"/>
              <w:jc w:val="center"/>
              <w:rPr>
                <w:lang w:val="ru-RU"/>
              </w:rPr>
            </w:pPr>
            <w:r>
              <w:rPr>
                <w:lang w:val="ru-RU"/>
              </w:rPr>
              <w:t>Норвегия</w:t>
            </w:r>
          </w:p>
        </w:tc>
        <w:tc>
          <w:tcPr>
            <w:tcW w:w="16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216CE0" w14:textId="77777777" w:rsidR="00395A5A" w:rsidRPr="00395A5A" w:rsidRDefault="00395A5A" w:rsidP="00395A5A">
            <w:pPr>
              <w:pStyle w:val="Tabletext"/>
              <w:jc w:val="center"/>
            </w:pPr>
            <w:r w:rsidRPr="00395A5A">
              <w:t>932 498</w:t>
            </w:r>
          </w:p>
        </w:tc>
      </w:tr>
      <w:tr w:rsidR="00395A5A" w:rsidRPr="00395A5A" w14:paraId="2158F779" w14:textId="77777777" w:rsidTr="00395A5A">
        <w:trPr>
          <w:trHeight w:val="63"/>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29F65C6" w14:textId="49E89E06" w:rsidR="00395A5A" w:rsidRPr="00AF0228" w:rsidRDefault="00AF0228" w:rsidP="00395A5A">
            <w:pPr>
              <w:pStyle w:val="Tabletext"/>
              <w:rPr>
                <w:lang w:val="ru-RU"/>
              </w:rPr>
            </w:pPr>
            <w:r w:rsidRPr="0086767C">
              <w:rPr>
                <w:lang w:val="ru-RU"/>
              </w:rPr>
              <w:t>Министерство иностранных дел и торговли</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810544B" w14:textId="72A8BB69" w:rsidR="00395A5A" w:rsidRPr="00395A5A" w:rsidRDefault="00395A5A" w:rsidP="00395A5A">
            <w:pPr>
              <w:pStyle w:val="Tabletext"/>
              <w:jc w:val="center"/>
              <w:rPr>
                <w:lang w:val="ru-RU"/>
              </w:rPr>
            </w:pPr>
            <w:r>
              <w:rPr>
                <w:lang w:val="ru-RU"/>
              </w:rPr>
              <w:t>Австралия</w:t>
            </w:r>
          </w:p>
        </w:tc>
        <w:tc>
          <w:tcPr>
            <w:tcW w:w="16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57E8249" w14:textId="77777777" w:rsidR="00395A5A" w:rsidRPr="00395A5A" w:rsidRDefault="00395A5A" w:rsidP="00395A5A">
            <w:pPr>
              <w:pStyle w:val="Tabletext"/>
              <w:jc w:val="center"/>
            </w:pPr>
            <w:r w:rsidRPr="00395A5A">
              <w:t>826 259</w:t>
            </w:r>
          </w:p>
        </w:tc>
      </w:tr>
      <w:tr w:rsidR="00395A5A" w:rsidRPr="00395A5A" w14:paraId="14ABFFF7" w14:textId="77777777" w:rsidTr="00395A5A">
        <w:trPr>
          <w:trHeight w:val="43"/>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8120429" w14:textId="5D43841D" w:rsidR="00395A5A" w:rsidRPr="00AF0228" w:rsidRDefault="00AF0228" w:rsidP="00395A5A">
            <w:pPr>
              <w:pStyle w:val="Tabletext"/>
              <w:rPr>
                <w:lang w:val="ru-RU"/>
              </w:rPr>
            </w:pPr>
            <w:r>
              <w:rPr>
                <w:lang w:val="ru-RU"/>
              </w:rPr>
              <w:t>Министерство</w:t>
            </w:r>
            <w:r w:rsidRPr="0086767C">
              <w:rPr>
                <w:lang w:val="ru-RU"/>
              </w:rPr>
              <w:t xml:space="preserve"> иностранных дел и по делам Содружества и развития</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6366ADE" w14:textId="4A43A592" w:rsidR="00395A5A" w:rsidRPr="00395A5A" w:rsidRDefault="00395A5A" w:rsidP="00395A5A">
            <w:pPr>
              <w:pStyle w:val="Tabletext"/>
              <w:jc w:val="center"/>
              <w:rPr>
                <w:lang w:val="ru-RU"/>
              </w:rPr>
            </w:pPr>
            <w:r>
              <w:rPr>
                <w:lang w:val="ru-RU"/>
              </w:rPr>
              <w:t>Соединенное Королевство</w:t>
            </w:r>
          </w:p>
        </w:tc>
        <w:tc>
          <w:tcPr>
            <w:tcW w:w="16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AE958D" w14:textId="77777777" w:rsidR="00395A5A" w:rsidRPr="00395A5A" w:rsidRDefault="00395A5A" w:rsidP="00395A5A">
            <w:pPr>
              <w:pStyle w:val="Tabletext"/>
              <w:jc w:val="center"/>
            </w:pPr>
            <w:r w:rsidRPr="00395A5A">
              <w:t>525 555</w:t>
            </w:r>
          </w:p>
        </w:tc>
      </w:tr>
      <w:tr w:rsidR="00395A5A" w:rsidRPr="00395A5A" w14:paraId="14862C64" w14:textId="77777777" w:rsidTr="00395A5A">
        <w:trPr>
          <w:trHeight w:val="124"/>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58773FC" w14:textId="6D9F344C" w:rsidR="00395A5A" w:rsidRPr="00395A5A" w:rsidRDefault="00395A5A" w:rsidP="00395A5A">
            <w:pPr>
              <w:pStyle w:val="Tabletext"/>
              <w:rPr>
                <w:lang w:val="es-ES"/>
              </w:rPr>
            </w:pPr>
            <w:bookmarkStart w:id="97" w:name="lt_pId249"/>
            <w:r w:rsidRPr="00395A5A">
              <w:rPr>
                <w:lang w:val="es-ES"/>
              </w:rPr>
              <w:t>Secretaría de Estado de Asuntos Exteriores y Globales</w:t>
            </w:r>
            <w:bookmarkEnd w:id="97"/>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8794870" w14:textId="416E867A" w:rsidR="00395A5A" w:rsidRPr="00395A5A" w:rsidRDefault="00395A5A" w:rsidP="00395A5A">
            <w:pPr>
              <w:pStyle w:val="Tabletext"/>
              <w:jc w:val="center"/>
              <w:rPr>
                <w:lang w:val="ru-RU"/>
              </w:rPr>
            </w:pPr>
            <w:r>
              <w:rPr>
                <w:lang w:val="ru-RU"/>
              </w:rPr>
              <w:t>Испания</w:t>
            </w:r>
          </w:p>
        </w:tc>
        <w:tc>
          <w:tcPr>
            <w:tcW w:w="16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FDCCBE0" w14:textId="77777777" w:rsidR="00395A5A" w:rsidRPr="00395A5A" w:rsidRDefault="00395A5A" w:rsidP="00395A5A">
            <w:pPr>
              <w:pStyle w:val="Tabletext"/>
              <w:jc w:val="center"/>
            </w:pPr>
            <w:r w:rsidRPr="00395A5A">
              <w:t>394 031</w:t>
            </w:r>
          </w:p>
        </w:tc>
      </w:tr>
      <w:tr w:rsidR="004E5C6F" w:rsidRPr="00395A5A" w14:paraId="5E3BAEAB" w14:textId="77777777" w:rsidTr="00395A5A">
        <w:trPr>
          <w:trHeight w:val="315"/>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F38066" w14:textId="697142D0" w:rsidR="004E5C6F" w:rsidRDefault="004E5C6F" w:rsidP="004E5C6F">
            <w:pPr>
              <w:pStyle w:val="Tabletext"/>
              <w:rPr>
                <w:lang w:val="ru-RU"/>
              </w:rPr>
            </w:pPr>
            <w:r>
              <w:rPr>
                <w:lang w:val="ru-RU"/>
              </w:rPr>
              <w:t>П</w:t>
            </w:r>
            <w:r w:rsidRPr="0086767C">
              <w:rPr>
                <w:lang w:val="ru-RU"/>
              </w:rPr>
              <w:t xml:space="preserve">редставитель </w:t>
            </w:r>
            <w:r>
              <w:rPr>
                <w:lang w:val="ru-RU"/>
              </w:rPr>
              <w:t xml:space="preserve">Постоянного представительства </w:t>
            </w:r>
            <w:r w:rsidRPr="0086767C">
              <w:rPr>
                <w:lang w:val="ru-RU"/>
              </w:rPr>
              <w:t xml:space="preserve">Республики Корея </w:t>
            </w:r>
            <w:r>
              <w:rPr>
                <w:lang w:val="ru-RU"/>
              </w:rPr>
              <w:t>и посол</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191B566" w14:textId="391D0A6B" w:rsidR="004E5C6F" w:rsidRDefault="004E5C6F" w:rsidP="004E5C6F">
            <w:pPr>
              <w:pStyle w:val="Tabletext"/>
              <w:jc w:val="center"/>
              <w:rPr>
                <w:lang w:val="ru-RU"/>
              </w:rPr>
            </w:pPr>
            <w:r>
              <w:rPr>
                <w:lang w:val="ru-RU"/>
              </w:rPr>
              <w:t>Республика Корея</w:t>
            </w:r>
          </w:p>
        </w:tc>
        <w:tc>
          <w:tcPr>
            <w:tcW w:w="16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DE8FCEC" w14:textId="027EEE1C" w:rsidR="004E5C6F" w:rsidRPr="00395A5A" w:rsidRDefault="004E5C6F" w:rsidP="004E5C6F">
            <w:pPr>
              <w:pStyle w:val="Tabletext"/>
              <w:jc w:val="center"/>
            </w:pPr>
            <w:r w:rsidRPr="004A1531">
              <w:t>347 529</w:t>
            </w:r>
          </w:p>
        </w:tc>
      </w:tr>
      <w:tr w:rsidR="004E5C6F" w:rsidRPr="00395A5A" w14:paraId="27770C0B" w14:textId="77777777" w:rsidTr="00395A5A">
        <w:trPr>
          <w:trHeight w:val="315"/>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A61ADE6" w14:textId="64346BF0" w:rsidR="004E5C6F" w:rsidRPr="00395A5A" w:rsidRDefault="004E5C6F" w:rsidP="004E5C6F">
            <w:pPr>
              <w:pStyle w:val="Tabletext"/>
            </w:pPr>
            <w:bookmarkStart w:id="98" w:name="lt_pId252"/>
            <w:r>
              <w:rPr>
                <w:lang w:val="ru-RU"/>
              </w:rPr>
              <w:t>Постоянное представительство Японии</w:t>
            </w:r>
            <w:bookmarkEnd w:id="98"/>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594BE4" w14:textId="2F4102F5" w:rsidR="004E5C6F" w:rsidRPr="00395A5A" w:rsidRDefault="004E5C6F" w:rsidP="004E5C6F">
            <w:pPr>
              <w:pStyle w:val="Tabletext"/>
              <w:jc w:val="center"/>
              <w:rPr>
                <w:lang w:val="ru-RU"/>
              </w:rPr>
            </w:pPr>
            <w:r>
              <w:rPr>
                <w:lang w:val="ru-RU"/>
              </w:rPr>
              <w:t>Япония</w:t>
            </w:r>
          </w:p>
        </w:tc>
        <w:tc>
          <w:tcPr>
            <w:tcW w:w="16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CC11CB4" w14:textId="77777777" w:rsidR="004E5C6F" w:rsidRPr="00395A5A" w:rsidRDefault="004E5C6F" w:rsidP="004E5C6F">
            <w:pPr>
              <w:pStyle w:val="Tabletext"/>
              <w:jc w:val="center"/>
            </w:pPr>
            <w:r w:rsidRPr="00395A5A">
              <w:t>138 365</w:t>
            </w:r>
          </w:p>
        </w:tc>
      </w:tr>
      <w:tr w:rsidR="004E5C6F" w:rsidRPr="00395A5A" w14:paraId="337B46F7" w14:textId="77777777" w:rsidTr="00395A5A">
        <w:trPr>
          <w:trHeight w:val="43"/>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D15D5FE" w14:textId="3D931B77" w:rsidR="004E5C6F" w:rsidRPr="00395A5A" w:rsidRDefault="004E5C6F" w:rsidP="004E5C6F">
            <w:pPr>
              <w:pStyle w:val="Tabletext"/>
              <w:rPr>
                <w:lang w:val="fr-CH"/>
              </w:rPr>
            </w:pPr>
            <w:bookmarkStart w:id="99" w:name="lt_pId255"/>
            <w:r w:rsidRPr="00395A5A">
              <w:rPr>
                <w:lang w:val="fr-CH"/>
              </w:rPr>
              <w:t>Büro Führungskräfte zu Internationalen Organisationen</w:t>
            </w:r>
            <w:bookmarkEnd w:id="99"/>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9BF3C80" w14:textId="64676599" w:rsidR="004E5C6F" w:rsidRPr="00395A5A" w:rsidRDefault="004E5C6F" w:rsidP="004E5C6F">
            <w:pPr>
              <w:pStyle w:val="Tabletext"/>
              <w:jc w:val="center"/>
              <w:rPr>
                <w:lang w:val="ru-RU"/>
              </w:rPr>
            </w:pPr>
            <w:r>
              <w:rPr>
                <w:lang w:val="ru-RU"/>
              </w:rPr>
              <w:t>Германия</w:t>
            </w:r>
          </w:p>
        </w:tc>
        <w:tc>
          <w:tcPr>
            <w:tcW w:w="16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880E26C" w14:textId="77777777" w:rsidR="004E5C6F" w:rsidRPr="00395A5A" w:rsidRDefault="004E5C6F" w:rsidP="004E5C6F">
            <w:pPr>
              <w:pStyle w:val="Tabletext"/>
              <w:jc w:val="center"/>
            </w:pPr>
            <w:r w:rsidRPr="00395A5A">
              <w:t>127 421</w:t>
            </w:r>
          </w:p>
        </w:tc>
      </w:tr>
      <w:tr w:rsidR="004E5C6F" w:rsidRPr="00395A5A" w14:paraId="4DCB8FF5" w14:textId="77777777" w:rsidTr="00395A5A">
        <w:trPr>
          <w:trHeight w:val="315"/>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B5E43A1" w14:textId="3A7EC67C" w:rsidR="004E5C6F" w:rsidRPr="00395A5A" w:rsidRDefault="004E5C6F" w:rsidP="004E5C6F">
            <w:pPr>
              <w:pStyle w:val="Tabletext"/>
            </w:pPr>
            <w:bookmarkStart w:id="100" w:name="lt_pId258"/>
            <w:r>
              <w:rPr>
                <w:lang w:val="ru-RU"/>
              </w:rPr>
              <w:t>Постоянное</w:t>
            </w:r>
            <w:r w:rsidRPr="00AF0228">
              <w:rPr>
                <w:lang w:val="en-US"/>
              </w:rPr>
              <w:t xml:space="preserve"> </w:t>
            </w:r>
            <w:r>
              <w:rPr>
                <w:lang w:val="ru-RU"/>
              </w:rPr>
              <w:t>представительство</w:t>
            </w:r>
            <w:r w:rsidRPr="00AF0228">
              <w:rPr>
                <w:lang w:val="en-US"/>
              </w:rPr>
              <w:t xml:space="preserve"> </w:t>
            </w:r>
            <w:r>
              <w:rPr>
                <w:lang w:val="ru-RU"/>
              </w:rPr>
              <w:t>Чешской Республики</w:t>
            </w:r>
            <w:bookmarkEnd w:id="100"/>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A553F6C" w14:textId="7B190DA6" w:rsidR="004E5C6F" w:rsidRPr="00395A5A" w:rsidRDefault="004E5C6F" w:rsidP="004E5C6F">
            <w:pPr>
              <w:pStyle w:val="Tabletext"/>
              <w:jc w:val="center"/>
              <w:rPr>
                <w:lang w:val="ru-RU"/>
              </w:rPr>
            </w:pPr>
            <w:r>
              <w:rPr>
                <w:lang w:val="ru-RU"/>
              </w:rPr>
              <w:t>Чешская Республика</w:t>
            </w:r>
          </w:p>
        </w:tc>
        <w:tc>
          <w:tcPr>
            <w:tcW w:w="16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36ED41A" w14:textId="77777777" w:rsidR="004E5C6F" w:rsidRPr="00395A5A" w:rsidRDefault="004E5C6F" w:rsidP="004E5C6F">
            <w:pPr>
              <w:pStyle w:val="Tabletext"/>
              <w:jc w:val="center"/>
            </w:pPr>
            <w:r w:rsidRPr="00395A5A">
              <w:t>20 373</w:t>
            </w:r>
          </w:p>
        </w:tc>
      </w:tr>
      <w:tr w:rsidR="004E5C6F" w:rsidRPr="00395A5A" w14:paraId="4880D489" w14:textId="77777777" w:rsidTr="00395A5A">
        <w:trPr>
          <w:trHeight w:val="315"/>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55E91C8" w14:textId="0B8AA72E" w:rsidR="004E5C6F" w:rsidRPr="003228F1" w:rsidRDefault="004E5C6F" w:rsidP="004E5C6F">
            <w:pPr>
              <w:pStyle w:val="Tabletext"/>
              <w:rPr>
                <w:lang w:val="ru-RU"/>
              </w:rPr>
            </w:pPr>
            <w:r w:rsidRPr="003228F1">
              <w:rPr>
                <w:lang w:val="ru-RU"/>
              </w:rPr>
              <w:t>Республика и кантон Женева</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80B6F15" w14:textId="51E3F2B7" w:rsidR="004E5C6F" w:rsidRPr="00395A5A" w:rsidRDefault="004E5C6F" w:rsidP="004E5C6F">
            <w:pPr>
              <w:pStyle w:val="Tabletext"/>
              <w:jc w:val="center"/>
              <w:rPr>
                <w:lang w:val="ru-RU"/>
              </w:rPr>
            </w:pPr>
            <w:r>
              <w:rPr>
                <w:lang w:val="ru-RU"/>
              </w:rPr>
              <w:t>Швейцария</w:t>
            </w:r>
          </w:p>
        </w:tc>
        <w:tc>
          <w:tcPr>
            <w:tcW w:w="16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B17922" w14:textId="77777777" w:rsidR="004E5C6F" w:rsidRPr="00395A5A" w:rsidRDefault="004E5C6F" w:rsidP="004E5C6F">
            <w:pPr>
              <w:pStyle w:val="Tabletext"/>
              <w:jc w:val="center"/>
            </w:pPr>
            <w:r w:rsidRPr="00395A5A">
              <w:t>1 500</w:t>
            </w:r>
          </w:p>
        </w:tc>
      </w:tr>
    </w:tbl>
    <w:p w14:paraId="71AD79B4" w14:textId="61B1501A" w:rsidR="00395A5A" w:rsidRPr="002A0B1A" w:rsidRDefault="00395A5A" w:rsidP="00690978">
      <w:pPr>
        <w:spacing w:before="720"/>
        <w:jc w:val="center"/>
      </w:pPr>
      <w:r w:rsidRPr="00395A5A">
        <w:rPr>
          <w:lang w:val="es-ES"/>
        </w:rPr>
        <w:t>_______________</w:t>
      </w:r>
    </w:p>
    <w:sectPr w:rsidR="00395A5A" w:rsidRPr="002A0B1A" w:rsidSect="00796BD3">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9E1D" w14:textId="77777777" w:rsidR="00AE3722" w:rsidRDefault="00AE3722">
      <w:r>
        <w:separator/>
      </w:r>
    </w:p>
  </w:endnote>
  <w:endnote w:type="continuationSeparator" w:id="0">
    <w:p w14:paraId="5B31E29B" w14:textId="77777777" w:rsidR="00AE3722" w:rsidRDefault="00AE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F44C3" w:rsidRPr="00784011" w14:paraId="11EF5CF0" w14:textId="77777777" w:rsidTr="00012185">
      <w:trPr>
        <w:jc w:val="center"/>
      </w:trPr>
      <w:tc>
        <w:tcPr>
          <w:tcW w:w="1803" w:type="dxa"/>
          <w:vAlign w:val="center"/>
        </w:tcPr>
        <w:p w14:paraId="12FEE29E" w14:textId="7F41FA18" w:rsidR="00EF44C3" w:rsidRDefault="00EF44C3" w:rsidP="00672F8A">
          <w:pPr>
            <w:pStyle w:val="Header"/>
            <w:jc w:val="left"/>
            <w:rPr>
              <w:noProof/>
            </w:rPr>
          </w:pPr>
          <w:r>
            <w:rPr>
              <w:noProof/>
            </w:rPr>
            <w:t xml:space="preserve">DPS </w:t>
          </w:r>
          <w:r w:rsidRPr="00022623">
            <w:rPr>
              <w:noProof/>
            </w:rPr>
            <w:t>52</w:t>
          </w:r>
          <w:r w:rsidR="00B6774E">
            <w:rPr>
              <w:noProof/>
            </w:rPr>
            <w:t>5708</w:t>
          </w:r>
        </w:p>
      </w:tc>
      <w:tc>
        <w:tcPr>
          <w:tcW w:w="8261" w:type="dxa"/>
        </w:tcPr>
        <w:p w14:paraId="5748764D" w14:textId="163FFCCB" w:rsidR="00EF44C3" w:rsidRPr="00E06FD5" w:rsidRDefault="00EF44C3" w:rsidP="00B6774E">
          <w:pPr>
            <w:pStyle w:val="Header"/>
            <w:tabs>
              <w:tab w:val="left" w:pos="6457"/>
              <w:tab w:val="right" w:pos="8039"/>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62</w:t>
          </w:r>
          <w:r w:rsidR="00B6774E">
            <w:rPr>
              <w:bCs/>
            </w:rPr>
            <w:t>(Rev.1)</w:t>
          </w:r>
          <w:r w:rsidRPr="00623AE3">
            <w:rPr>
              <w:bCs/>
            </w:rPr>
            <w:t>-</w:t>
          </w:r>
          <w:r w:rsidR="00575816">
            <w:rPr>
              <w:bCs/>
            </w:rPr>
            <w:t>R</w:t>
          </w:r>
          <w:r w:rsidR="00575816">
            <w:rPr>
              <w:bCs/>
            </w:rPr>
            <w:tab/>
          </w:r>
          <w:r w:rsidR="00A43618">
            <w:fldChar w:fldCharType="begin"/>
          </w:r>
          <w:r w:rsidR="00A43618">
            <w:instrText>PAGE</w:instrText>
          </w:r>
          <w:r w:rsidR="00A43618">
            <w:fldChar w:fldCharType="separate"/>
          </w:r>
          <w:r w:rsidR="00690978">
            <w:rPr>
              <w:noProof/>
            </w:rPr>
            <w:t>10</w:t>
          </w:r>
          <w:r w:rsidR="00A43618">
            <w:rPr>
              <w:noProof/>
            </w:rPr>
            <w:fldChar w:fldCharType="end"/>
          </w:r>
        </w:p>
      </w:tc>
    </w:tr>
  </w:tbl>
  <w:p w14:paraId="26CD2B6C" w14:textId="77777777" w:rsidR="00EF44C3" w:rsidRPr="00672F8A" w:rsidRDefault="00EF44C3"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10"/>
    </w:tblGrid>
    <w:tr w:rsidR="00EF44C3" w:rsidRPr="00784011" w14:paraId="7C5554CD" w14:textId="77777777" w:rsidTr="00A43618">
      <w:trPr>
        <w:jc w:val="center"/>
      </w:trPr>
      <w:tc>
        <w:tcPr>
          <w:tcW w:w="1803" w:type="dxa"/>
          <w:vAlign w:val="center"/>
        </w:tcPr>
        <w:p w14:paraId="05599560" w14:textId="77777777" w:rsidR="00EF44C3" w:rsidRDefault="0092511C" w:rsidP="00672F8A">
          <w:pPr>
            <w:pStyle w:val="Header"/>
            <w:jc w:val="left"/>
            <w:rPr>
              <w:noProof/>
            </w:rPr>
          </w:pPr>
          <w:hyperlink r:id="rId1" w:history="1">
            <w:r w:rsidR="00EF44C3" w:rsidRPr="00A514A4">
              <w:rPr>
                <w:rStyle w:val="Hyperlink"/>
                <w:szCs w:val="14"/>
              </w:rPr>
              <w:t>www.itu.int/council</w:t>
            </w:r>
          </w:hyperlink>
        </w:p>
      </w:tc>
      <w:tc>
        <w:tcPr>
          <w:tcW w:w="8210" w:type="dxa"/>
        </w:tcPr>
        <w:p w14:paraId="58C44343" w14:textId="4D284229" w:rsidR="00EF44C3" w:rsidRPr="003E1346" w:rsidRDefault="00EF44C3" w:rsidP="00B6774E">
          <w:pPr>
            <w:pStyle w:val="Header"/>
            <w:tabs>
              <w:tab w:val="left" w:pos="6598"/>
              <w:tab w:val="right" w:pos="8000"/>
              <w:tab w:val="right" w:pos="9639"/>
            </w:tabs>
            <w:jc w:val="left"/>
            <w:rPr>
              <w:bCs/>
            </w:rPr>
          </w:pPr>
          <w:r>
            <w:rPr>
              <w:bCs/>
            </w:rPr>
            <w:tab/>
          </w:r>
          <w:r w:rsidR="003E1346" w:rsidRPr="00623AE3">
            <w:rPr>
              <w:bCs/>
            </w:rPr>
            <w:t>C</w:t>
          </w:r>
          <w:r w:rsidR="003E1346">
            <w:rPr>
              <w:bCs/>
            </w:rPr>
            <w:t>23</w:t>
          </w:r>
          <w:r w:rsidR="003E1346" w:rsidRPr="00623AE3">
            <w:rPr>
              <w:bCs/>
            </w:rPr>
            <w:t>/</w:t>
          </w:r>
          <w:r w:rsidR="003E1346">
            <w:rPr>
              <w:bCs/>
            </w:rPr>
            <w:t>6</w:t>
          </w:r>
          <w:r w:rsidR="003E1346">
            <w:rPr>
              <w:bCs/>
              <w:lang w:val="ru-RU"/>
            </w:rPr>
            <w:t>2</w:t>
          </w:r>
          <w:r w:rsidR="00B6774E">
            <w:rPr>
              <w:bCs/>
              <w:lang w:val="en-US"/>
            </w:rPr>
            <w:t>(Rev.1)</w:t>
          </w:r>
          <w:r w:rsidR="003E1346" w:rsidRPr="00623AE3">
            <w:rPr>
              <w:bCs/>
            </w:rPr>
            <w:t>-</w:t>
          </w:r>
          <w:r w:rsidR="003E1346">
            <w:rPr>
              <w:bCs/>
            </w:rPr>
            <w:t>R</w:t>
          </w:r>
          <w:r w:rsidR="003E1346">
            <w:rPr>
              <w:bCs/>
            </w:rPr>
            <w:tab/>
          </w:r>
          <w:r w:rsidR="003E1346">
            <w:fldChar w:fldCharType="begin"/>
          </w:r>
          <w:r w:rsidR="003E1346">
            <w:instrText>PAGE</w:instrText>
          </w:r>
          <w:r w:rsidR="003E1346">
            <w:fldChar w:fldCharType="separate"/>
          </w:r>
          <w:r w:rsidR="00690978">
            <w:rPr>
              <w:noProof/>
            </w:rPr>
            <w:t>1</w:t>
          </w:r>
          <w:r w:rsidR="003E1346">
            <w:rPr>
              <w:noProof/>
            </w:rPr>
            <w:fldChar w:fldCharType="end"/>
          </w:r>
        </w:p>
      </w:tc>
    </w:tr>
  </w:tbl>
  <w:p w14:paraId="70A33927" w14:textId="77777777" w:rsidR="00EF44C3" w:rsidRPr="00672F8A" w:rsidRDefault="00EF44C3"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2D60" w14:textId="77777777" w:rsidR="00AE3722" w:rsidRDefault="00AE3722">
      <w:r>
        <w:t>____________________</w:t>
      </w:r>
    </w:p>
  </w:footnote>
  <w:footnote w:type="continuationSeparator" w:id="0">
    <w:p w14:paraId="30AF0D5D" w14:textId="77777777" w:rsidR="00AE3722" w:rsidRDefault="00AE3722">
      <w:r>
        <w:continuationSeparator/>
      </w:r>
    </w:p>
  </w:footnote>
  <w:footnote w:id="1">
    <w:p w14:paraId="5CF96780" w14:textId="0CA5838A" w:rsidR="00EF44C3" w:rsidRPr="00A27C69" w:rsidRDefault="00EF44C3" w:rsidP="00790BE6">
      <w:pPr>
        <w:pStyle w:val="FootnoteText"/>
        <w:rPr>
          <w:lang w:val="ru-RU"/>
        </w:rPr>
      </w:pPr>
      <w:r>
        <w:rPr>
          <w:rStyle w:val="FootnoteReference"/>
        </w:rPr>
        <w:footnoteRef/>
      </w:r>
      <w:bookmarkStart w:id="34" w:name="lt_pId265"/>
      <w:r w:rsidRPr="00CA3BCD">
        <w:rPr>
          <w:lang w:val="ru-RU"/>
        </w:rPr>
        <w:tab/>
        <w:t>Программа и бюджет МОМ на 2023</w:t>
      </w:r>
      <w:r w:rsidR="00A51BD2">
        <w:rPr>
          <w:lang w:val="ru-RU"/>
        </w:rPr>
        <w:t> </w:t>
      </w:r>
      <w:r w:rsidRPr="00CA3BCD">
        <w:rPr>
          <w:lang w:val="ru-RU"/>
        </w:rPr>
        <w:t>год.</w:t>
      </w:r>
      <w:bookmarkEnd w:id="34"/>
      <w:r w:rsidRPr="00CA3BCD">
        <w:rPr>
          <w:lang w:val="ru-RU"/>
        </w:rPr>
        <w:t xml:space="preserve"> </w:t>
      </w:r>
      <w:bookmarkStart w:id="35" w:name="lt_pId266"/>
      <w:r>
        <w:rPr>
          <w:lang w:val="ru-RU"/>
        </w:rPr>
        <w:t>См</w:t>
      </w:r>
      <w:r w:rsidRPr="00A27C69">
        <w:rPr>
          <w:lang w:val="ru-RU"/>
        </w:rPr>
        <w:t xml:space="preserve">. </w:t>
      </w:r>
      <w:r w:rsidR="00515FAE">
        <w:rPr>
          <w:lang w:val="ru-RU"/>
        </w:rPr>
        <w:t>д</w:t>
      </w:r>
      <w:r>
        <w:rPr>
          <w:lang w:val="ru-RU"/>
        </w:rPr>
        <w:t>окумент</w:t>
      </w:r>
      <w:r w:rsidRPr="00A27C69">
        <w:rPr>
          <w:lang w:val="ru-RU"/>
        </w:rPr>
        <w:t xml:space="preserve"> </w:t>
      </w:r>
      <w:hyperlink r:id="rId1" w:history="1">
        <w:r w:rsidRPr="00AA1FD1">
          <w:rPr>
            <w:rStyle w:val="Hyperlink"/>
          </w:rPr>
          <w:t>C</w:t>
        </w:r>
        <w:r w:rsidRPr="00A27C69">
          <w:rPr>
            <w:rStyle w:val="Hyperlink"/>
            <w:lang w:val="ru-RU"/>
          </w:rPr>
          <w:t>/113/7</w:t>
        </w:r>
      </w:hyperlink>
      <w:bookmarkEnd w:id="35"/>
      <w:r w:rsidRPr="00A27C69">
        <w:rPr>
          <w:lang w:val="ru-RU"/>
        </w:rPr>
        <w:t>.</w:t>
      </w:r>
    </w:p>
  </w:footnote>
  <w:footnote w:id="2">
    <w:p w14:paraId="4F9F96D9" w14:textId="5FDFE1A7" w:rsidR="00EF44C3" w:rsidRPr="00A27C69" w:rsidRDefault="00EF44C3" w:rsidP="002B5404">
      <w:pPr>
        <w:pStyle w:val="FootnoteText"/>
        <w:rPr>
          <w:lang w:val="ru-RU"/>
        </w:rPr>
      </w:pPr>
      <w:r>
        <w:rPr>
          <w:rStyle w:val="FootnoteReference"/>
        </w:rPr>
        <w:footnoteRef/>
      </w:r>
      <w:r w:rsidRPr="00A27C69">
        <w:rPr>
          <w:lang w:val="ru-RU"/>
        </w:rPr>
        <w:tab/>
      </w:r>
      <w:r w:rsidR="0092511C">
        <w:fldChar w:fldCharType="begin"/>
      </w:r>
      <w:r w:rsidR="0092511C">
        <w:instrText>HYPERLINK</w:instrText>
      </w:r>
      <w:r w:rsidR="0092511C">
        <w:instrText xml:space="preserve"> "https://www.who.int/news/item/22-05-2023-seventy-sixth-world-healt</w:instrText>
      </w:r>
      <w:r w:rsidR="0092511C">
        <w:instrText>h-assembly---daily-update--22-may-2023"</w:instrText>
      </w:r>
      <w:r w:rsidR="0092511C">
        <w:fldChar w:fldCharType="separate"/>
      </w:r>
      <w:bookmarkStart w:id="37" w:name="lt_pId267"/>
      <w:r>
        <w:rPr>
          <w:rStyle w:val="Hyperlink"/>
          <w:lang w:val="ru-RU"/>
        </w:rPr>
        <w:t>Пресс</w:t>
      </w:r>
      <w:r w:rsidRPr="00A27C69">
        <w:rPr>
          <w:rStyle w:val="Hyperlink"/>
          <w:lang w:val="ru-RU"/>
        </w:rPr>
        <w:t>-</w:t>
      </w:r>
      <w:r>
        <w:rPr>
          <w:rStyle w:val="Hyperlink"/>
          <w:lang w:val="ru-RU"/>
        </w:rPr>
        <w:t>релиз</w:t>
      </w:r>
      <w:r w:rsidRPr="00A27C69">
        <w:rPr>
          <w:rStyle w:val="Hyperlink"/>
          <w:lang w:val="ru-RU"/>
        </w:rPr>
        <w:t xml:space="preserve"> </w:t>
      </w:r>
      <w:r>
        <w:rPr>
          <w:rStyle w:val="Hyperlink"/>
          <w:lang w:val="ru-RU"/>
        </w:rPr>
        <w:t>ВОЗ</w:t>
      </w:r>
      <w:bookmarkEnd w:id="37"/>
      <w:r w:rsidR="0092511C">
        <w:rPr>
          <w:rStyle w:val="Hyperlink"/>
          <w:lang w:val="ru-RU"/>
        </w:rPr>
        <w:fldChar w:fldCharType="end"/>
      </w:r>
      <w:r w:rsidRPr="00A27C69">
        <w:rPr>
          <w:lang w:val="ru-RU"/>
        </w:rPr>
        <w:t>.</w:t>
      </w:r>
    </w:p>
  </w:footnote>
  <w:footnote w:id="3">
    <w:p w14:paraId="7595EBD3" w14:textId="48E62369" w:rsidR="00EF44C3" w:rsidRPr="005217D6" w:rsidRDefault="00EF44C3" w:rsidP="002B5404">
      <w:pPr>
        <w:pStyle w:val="FootnoteText"/>
      </w:pPr>
      <w:r w:rsidRPr="00A414FA">
        <w:rPr>
          <w:rStyle w:val="FootnoteReference"/>
        </w:rPr>
        <w:footnoteRef/>
      </w:r>
      <w:r>
        <w:tab/>
      </w:r>
      <w:hyperlink r:id="rId2" w:history="1">
        <w:bookmarkStart w:id="40" w:name="lt_pId268"/>
        <w:r>
          <w:rPr>
            <w:rStyle w:val="Hyperlink"/>
            <w:lang w:val="ru-RU"/>
          </w:rPr>
          <w:t>Пресс</w:t>
        </w:r>
        <w:r w:rsidRPr="002B5404">
          <w:rPr>
            <w:rStyle w:val="Hyperlink"/>
            <w:lang w:val="en-US"/>
          </w:rPr>
          <w:t>-</w:t>
        </w:r>
        <w:r>
          <w:rPr>
            <w:rStyle w:val="Hyperlink"/>
            <w:lang w:val="ru-RU"/>
          </w:rPr>
          <w:t>релиз</w:t>
        </w:r>
        <w:r w:rsidRPr="002B5404">
          <w:rPr>
            <w:rStyle w:val="Hyperlink"/>
            <w:lang w:val="en-US"/>
          </w:rPr>
          <w:t xml:space="preserve"> </w:t>
        </w:r>
        <w:r>
          <w:rPr>
            <w:rStyle w:val="Hyperlink"/>
            <w:lang w:val="ru-RU"/>
          </w:rPr>
          <w:t>ВМО</w:t>
        </w:r>
        <w:bookmarkEnd w:id="40"/>
      </w:hyperlink>
      <w:r w:rsidRPr="005217D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F44C3" w:rsidRPr="00784011" w14:paraId="040A49A3" w14:textId="77777777" w:rsidTr="00012185">
      <w:trPr>
        <w:trHeight w:val="1104"/>
        <w:jc w:val="center"/>
      </w:trPr>
      <w:tc>
        <w:tcPr>
          <w:tcW w:w="4390" w:type="dxa"/>
          <w:vAlign w:val="center"/>
        </w:tcPr>
        <w:p w14:paraId="439D6E10" w14:textId="77777777" w:rsidR="00EF44C3" w:rsidRPr="009621F8" w:rsidRDefault="00EF44C3" w:rsidP="00796BD3">
          <w:pPr>
            <w:pStyle w:val="Header"/>
            <w:jc w:val="left"/>
            <w:rPr>
              <w:rFonts w:ascii="Arial" w:hAnsi="Arial" w:cs="Arial"/>
              <w:b/>
              <w:bCs/>
              <w:color w:val="009CD6"/>
              <w:sz w:val="36"/>
              <w:szCs w:val="36"/>
            </w:rPr>
          </w:pPr>
          <w:bookmarkStart w:id="101" w:name="_Hlk133422111"/>
          <w:r>
            <w:rPr>
              <w:noProof/>
              <w:lang w:val="en-US"/>
            </w:rPr>
            <w:drawing>
              <wp:inline distT="0" distB="0" distL="0" distR="0" wp14:anchorId="145BB953" wp14:editId="1DE1527D">
                <wp:extent cx="1923897" cy="54064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998" cy="574394"/>
                        </a:xfrm>
                        <a:prstGeom prst="rect">
                          <a:avLst/>
                        </a:prstGeom>
                        <a:noFill/>
                        <a:ln>
                          <a:noFill/>
                        </a:ln>
                      </pic:spPr>
                    </pic:pic>
                  </a:graphicData>
                </a:graphic>
              </wp:inline>
            </w:drawing>
          </w:r>
        </w:p>
      </w:tc>
      <w:tc>
        <w:tcPr>
          <w:tcW w:w="5630" w:type="dxa"/>
        </w:tcPr>
        <w:p w14:paraId="09944517" w14:textId="77777777" w:rsidR="00EF44C3" w:rsidRDefault="00EF44C3" w:rsidP="00796BD3">
          <w:pPr>
            <w:pStyle w:val="Header"/>
            <w:jc w:val="right"/>
            <w:rPr>
              <w:rFonts w:ascii="Arial" w:hAnsi="Arial" w:cs="Arial"/>
              <w:b/>
              <w:bCs/>
              <w:color w:val="009CD6"/>
              <w:szCs w:val="18"/>
            </w:rPr>
          </w:pPr>
        </w:p>
        <w:p w14:paraId="182B3EB4" w14:textId="77777777" w:rsidR="00EF44C3" w:rsidRDefault="00EF44C3" w:rsidP="00796BD3">
          <w:pPr>
            <w:pStyle w:val="Header"/>
            <w:jc w:val="right"/>
            <w:rPr>
              <w:rFonts w:ascii="Arial" w:hAnsi="Arial" w:cs="Arial"/>
              <w:b/>
              <w:bCs/>
              <w:color w:val="009CD6"/>
              <w:szCs w:val="18"/>
            </w:rPr>
          </w:pPr>
        </w:p>
        <w:p w14:paraId="4E112D79" w14:textId="77777777" w:rsidR="00EF44C3" w:rsidRPr="00784011" w:rsidRDefault="00EF44C3" w:rsidP="00796BD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1"/>
  <w:p w14:paraId="19B79B0E" w14:textId="77777777" w:rsidR="00EF44C3" w:rsidRDefault="00EF44C3">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682634C3" wp14:editId="1CC31541">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D9175"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BA6001"/>
    <w:multiLevelType w:val="hybridMultilevel"/>
    <w:tmpl w:val="AF1E878E"/>
    <w:lvl w:ilvl="0" w:tplc="EAF0A7C0">
      <w:start w:val="1"/>
      <w:numFmt w:val="decimal"/>
      <w:lvlText w:val="%1."/>
      <w:lvlJc w:val="left"/>
      <w:pPr>
        <w:ind w:left="720" w:hanging="360"/>
      </w:pPr>
    </w:lvl>
    <w:lvl w:ilvl="1" w:tplc="FF1EC1E6" w:tentative="1">
      <w:start w:val="1"/>
      <w:numFmt w:val="lowerLetter"/>
      <w:lvlText w:val="%2."/>
      <w:lvlJc w:val="left"/>
      <w:pPr>
        <w:ind w:left="1440" w:hanging="360"/>
      </w:pPr>
    </w:lvl>
    <w:lvl w:ilvl="2" w:tplc="126C2972" w:tentative="1">
      <w:start w:val="1"/>
      <w:numFmt w:val="lowerRoman"/>
      <w:lvlText w:val="%3."/>
      <w:lvlJc w:val="right"/>
      <w:pPr>
        <w:ind w:left="2160" w:hanging="180"/>
      </w:pPr>
    </w:lvl>
    <w:lvl w:ilvl="3" w:tplc="6EDA4158" w:tentative="1">
      <w:start w:val="1"/>
      <w:numFmt w:val="decimal"/>
      <w:lvlText w:val="%4."/>
      <w:lvlJc w:val="left"/>
      <w:pPr>
        <w:ind w:left="2880" w:hanging="360"/>
      </w:pPr>
    </w:lvl>
    <w:lvl w:ilvl="4" w:tplc="3D6CB5D2" w:tentative="1">
      <w:start w:val="1"/>
      <w:numFmt w:val="lowerLetter"/>
      <w:lvlText w:val="%5."/>
      <w:lvlJc w:val="left"/>
      <w:pPr>
        <w:ind w:left="3600" w:hanging="360"/>
      </w:pPr>
    </w:lvl>
    <w:lvl w:ilvl="5" w:tplc="D07A516E" w:tentative="1">
      <w:start w:val="1"/>
      <w:numFmt w:val="lowerRoman"/>
      <w:lvlText w:val="%6."/>
      <w:lvlJc w:val="right"/>
      <w:pPr>
        <w:ind w:left="4320" w:hanging="180"/>
      </w:pPr>
    </w:lvl>
    <w:lvl w:ilvl="6" w:tplc="65001180" w:tentative="1">
      <w:start w:val="1"/>
      <w:numFmt w:val="decimal"/>
      <w:lvlText w:val="%7."/>
      <w:lvlJc w:val="left"/>
      <w:pPr>
        <w:ind w:left="5040" w:hanging="360"/>
      </w:pPr>
    </w:lvl>
    <w:lvl w:ilvl="7" w:tplc="E2124B9A" w:tentative="1">
      <w:start w:val="1"/>
      <w:numFmt w:val="lowerLetter"/>
      <w:lvlText w:val="%8."/>
      <w:lvlJc w:val="left"/>
      <w:pPr>
        <w:ind w:left="5760" w:hanging="360"/>
      </w:pPr>
    </w:lvl>
    <w:lvl w:ilvl="8" w:tplc="AD1489A6" w:tentative="1">
      <w:start w:val="1"/>
      <w:numFmt w:val="lowerRoman"/>
      <w:lvlText w:val="%9."/>
      <w:lvlJc w:val="right"/>
      <w:pPr>
        <w:ind w:left="6480" w:hanging="180"/>
      </w:pPr>
    </w:lvl>
  </w:abstractNum>
  <w:abstractNum w:abstractNumId="2" w15:restartNumberingAfterBreak="0">
    <w:nsid w:val="1B4D1F0B"/>
    <w:multiLevelType w:val="hybridMultilevel"/>
    <w:tmpl w:val="612C68DE"/>
    <w:lvl w:ilvl="0" w:tplc="4ACE573A">
      <w:start w:val="1"/>
      <w:numFmt w:val="bullet"/>
      <w:lvlText w:val=""/>
      <w:lvlJc w:val="left"/>
      <w:pPr>
        <w:ind w:left="720" w:hanging="360"/>
      </w:pPr>
      <w:rPr>
        <w:rFonts w:ascii="Symbol" w:hAnsi="Symbol" w:hint="default"/>
      </w:rPr>
    </w:lvl>
    <w:lvl w:ilvl="1" w:tplc="AC0260FA" w:tentative="1">
      <w:start w:val="1"/>
      <w:numFmt w:val="bullet"/>
      <w:lvlText w:val="o"/>
      <w:lvlJc w:val="left"/>
      <w:pPr>
        <w:ind w:left="1440" w:hanging="360"/>
      </w:pPr>
      <w:rPr>
        <w:rFonts w:ascii="Courier New" w:hAnsi="Courier New" w:cs="Courier New" w:hint="default"/>
      </w:rPr>
    </w:lvl>
    <w:lvl w:ilvl="2" w:tplc="CC34A404" w:tentative="1">
      <w:start w:val="1"/>
      <w:numFmt w:val="bullet"/>
      <w:lvlText w:val=""/>
      <w:lvlJc w:val="left"/>
      <w:pPr>
        <w:ind w:left="2160" w:hanging="360"/>
      </w:pPr>
      <w:rPr>
        <w:rFonts w:ascii="Wingdings" w:hAnsi="Wingdings" w:hint="default"/>
      </w:rPr>
    </w:lvl>
    <w:lvl w:ilvl="3" w:tplc="A7B41068" w:tentative="1">
      <w:start w:val="1"/>
      <w:numFmt w:val="bullet"/>
      <w:lvlText w:val=""/>
      <w:lvlJc w:val="left"/>
      <w:pPr>
        <w:ind w:left="2880" w:hanging="360"/>
      </w:pPr>
      <w:rPr>
        <w:rFonts w:ascii="Symbol" w:hAnsi="Symbol" w:hint="default"/>
      </w:rPr>
    </w:lvl>
    <w:lvl w:ilvl="4" w:tplc="A8C29BB8" w:tentative="1">
      <w:start w:val="1"/>
      <w:numFmt w:val="bullet"/>
      <w:lvlText w:val="o"/>
      <w:lvlJc w:val="left"/>
      <w:pPr>
        <w:ind w:left="3600" w:hanging="360"/>
      </w:pPr>
      <w:rPr>
        <w:rFonts w:ascii="Courier New" w:hAnsi="Courier New" w:cs="Courier New" w:hint="default"/>
      </w:rPr>
    </w:lvl>
    <w:lvl w:ilvl="5" w:tplc="59B4D204" w:tentative="1">
      <w:start w:val="1"/>
      <w:numFmt w:val="bullet"/>
      <w:lvlText w:val=""/>
      <w:lvlJc w:val="left"/>
      <w:pPr>
        <w:ind w:left="4320" w:hanging="360"/>
      </w:pPr>
      <w:rPr>
        <w:rFonts w:ascii="Wingdings" w:hAnsi="Wingdings" w:hint="default"/>
      </w:rPr>
    </w:lvl>
    <w:lvl w:ilvl="6" w:tplc="7C9E1C36" w:tentative="1">
      <w:start w:val="1"/>
      <w:numFmt w:val="bullet"/>
      <w:lvlText w:val=""/>
      <w:lvlJc w:val="left"/>
      <w:pPr>
        <w:ind w:left="5040" w:hanging="360"/>
      </w:pPr>
      <w:rPr>
        <w:rFonts w:ascii="Symbol" w:hAnsi="Symbol" w:hint="default"/>
      </w:rPr>
    </w:lvl>
    <w:lvl w:ilvl="7" w:tplc="BBCC1780" w:tentative="1">
      <w:start w:val="1"/>
      <w:numFmt w:val="bullet"/>
      <w:lvlText w:val="o"/>
      <w:lvlJc w:val="left"/>
      <w:pPr>
        <w:ind w:left="5760" w:hanging="360"/>
      </w:pPr>
      <w:rPr>
        <w:rFonts w:ascii="Courier New" w:hAnsi="Courier New" w:cs="Courier New" w:hint="default"/>
      </w:rPr>
    </w:lvl>
    <w:lvl w:ilvl="8" w:tplc="EDE29ADC" w:tentative="1">
      <w:start w:val="1"/>
      <w:numFmt w:val="bullet"/>
      <w:lvlText w:val=""/>
      <w:lvlJc w:val="left"/>
      <w:pPr>
        <w:ind w:left="6480" w:hanging="360"/>
      </w:pPr>
      <w:rPr>
        <w:rFonts w:ascii="Wingdings" w:hAnsi="Wingdings" w:hint="default"/>
      </w:rPr>
    </w:lvl>
  </w:abstractNum>
  <w:abstractNum w:abstractNumId="3" w15:restartNumberingAfterBreak="0">
    <w:nsid w:val="6C5003F5"/>
    <w:multiLevelType w:val="hybridMultilevel"/>
    <w:tmpl w:val="1EFE3758"/>
    <w:lvl w:ilvl="0" w:tplc="6E24DA48">
      <w:start w:val="1"/>
      <w:numFmt w:val="bullet"/>
      <w:lvlText w:val=""/>
      <w:lvlJc w:val="left"/>
      <w:pPr>
        <w:ind w:left="720" w:hanging="360"/>
      </w:pPr>
      <w:rPr>
        <w:rFonts w:ascii="Symbol" w:hAnsi="Symbol" w:hint="default"/>
      </w:rPr>
    </w:lvl>
    <w:lvl w:ilvl="1" w:tplc="79504E9E" w:tentative="1">
      <w:start w:val="1"/>
      <w:numFmt w:val="bullet"/>
      <w:lvlText w:val="o"/>
      <w:lvlJc w:val="left"/>
      <w:pPr>
        <w:ind w:left="1440" w:hanging="360"/>
      </w:pPr>
      <w:rPr>
        <w:rFonts w:ascii="Courier New" w:hAnsi="Courier New" w:cs="Courier New" w:hint="default"/>
      </w:rPr>
    </w:lvl>
    <w:lvl w:ilvl="2" w:tplc="6548D9D6" w:tentative="1">
      <w:start w:val="1"/>
      <w:numFmt w:val="bullet"/>
      <w:lvlText w:val=""/>
      <w:lvlJc w:val="left"/>
      <w:pPr>
        <w:ind w:left="2160" w:hanging="360"/>
      </w:pPr>
      <w:rPr>
        <w:rFonts w:ascii="Wingdings" w:hAnsi="Wingdings" w:hint="default"/>
      </w:rPr>
    </w:lvl>
    <w:lvl w:ilvl="3" w:tplc="71042192" w:tentative="1">
      <w:start w:val="1"/>
      <w:numFmt w:val="bullet"/>
      <w:lvlText w:val=""/>
      <w:lvlJc w:val="left"/>
      <w:pPr>
        <w:ind w:left="2880" w:hanging="360"/>
      </w:pPr>
      <w:rPr>
        <w:rFonts w:ascii="Symbol" w:hAnsi="Symbol" w:hint="default"/>
      </w:rPr>
    </w:lvl>
    <w:lvl w:ilvl="4" w:tplc="5274C38C" w:tentative="1">
      <w:start w:val="1"/>
      <w:numFmt w:val="bullet"/>
      <w:lvlText w:val="o"/>
      <w:lvlJc w:val="left"/>
      <w:pPr>
        <w:ind w:left="3600" w:hanging="360"/>
      </w:pPr>
      <w:rPr>
        <w:rFonts w:ascii="Courier New" w:hAnsi="Courier New" w:cs="Courier New" w:hint="default"/>
      </w:rPr>
    </w:lvl>
    <w:lvl w:ilvl="5" w:tplc="55760702" w:tentative="1">
      <w:start w:val="1"/>
      <w:numFmt w:val="bullet"/>
      <w:lvlText w:val=""/>
      <w:lvlJc w:val="left"/>
      <w:pPr>
        <w:ind w:left="4320" w:hanging="360"/>
      </w:pPr>
      <w:rPr>
        <w:rFonts w:ascii="Wingdings" w:hAnsi="Wingdings" w:hint="default"/>
      </w:rPr>
    </w:lvl>
    <w:lvl w:ilvl="6" w:tplc="196EE8E0" w:tentative="1">
      <w:start w:val="1"/>
      <w:numFmt w:val="bullet"/>
      <w:lvlText w:val=""/>
      <w:lvlJc w:val="left"/>
      <w:pPr>
        <w:ind w:left="5040" w:hanging="360"/>
      </w:pPr>
      <w:rPr>
        <w:rFonts w:ascii="Symbol" w:hAnsi="Symbol" w:hint="default"/>
      </w:rPr>
    </w:lvl>
    <w:lvl w:ilvl="7" w:tplc="78E43CBA" w:tentative="1">
      <w:start w:val="1"/>
      <w:numFmt w:val="bullet"/>
      <w:lvlText w:val="o"/>
      <w:lvlJc w:val="left"/>
      <w:pPr>
        <w:ind w:left="5760" w:hanging="360"/>
      </w:pPr>
      <w:rPr>
        <w:rFonts w:ascii="Courier New" w:hAnsi="Courier New" w:cs="Courier New" w:hint="default"/>
      </w:rPr>
    </w:lvl>
    <w:lvl w:ilvl="8" w:tplc="104EF9AA" w:tentative="1">
      <w:start w:val="1"/>
      <w:numFmt w:val="bullet"/>
      <w:lvlText w:val=""/>
      <w:lvlJc w:val="left"/>
      <w:pPr>
        <w:ind w:left="6480" w:hanging="360"/>
      </w:pPr>
      <w:rPr>
        <w:rFonts w:ascii="Wingdings" w:hAnsi="Wingdings" w:hint="default"/>
      </w:rPr>
    </w:lvl>
  </w:abstractNum>
  <w:abstractNum w:abstractNumId="4" w15:restartNumberingAfterBreak="0">
    <w:nsid w:val="7083308D"/>
    <w:multiLevelType w:val="hybridMultilevel"/>
    <w:tmpl w:val="B54CCBB0"/>
    <w:lvl w:ilvl="0" w:tplc="4ED49230">
      <w:start w:val="1"/>
      <w:numFmt w:val="bullet"/>
      <w:lvlText w:val=""/>
      <w:lvlJc w:val="left"/>
      <w:pPr>
        <w:ind w:left="720" w:hanging="360"/>
      </w:pPr>
      <w:rPr>
        <w:rFonts w:ascii="Symbol" w:hAnsi="Symbol" w:hint="default"/>
      </w:rPr>
    </w:lvl>
    <w:lvl w:ilvl="1" w:tplc="A2AC4540" w:tentative="1">
      <w:start w:val="1"/>
      <w:numFmt w:val="bullet"/>
      <w:lvlText w:val="o"/>
      <w:lvlJc w:val="left"/>
      <w:pPr>
        <w:ind w:left="1440" w:hanging="360"/>
      </w:pPr>
      <w:rPr>
        <w:rFonts w:ascii="Courier New" w:hAnsi="Courier New" w:cs="Courier New" w:hint="default"/>
      </w:rPr>
    </w:lvl>
    <w:lvl w:ilvl="2" w:tplc="151E620E" w:tentative="1">
      <w:start w:val="1"/>
      <w:numFmt w:val="bullet"/>
      <w:lvlText w:val=""/>
      <w:lvlJc w:val="left"/>
      <w:pPr>
        <w:ind w:left="2160" w:hanging="360"/>
      </w:pPr>
      <w:rPr>
        <w:rFonts w:ascii="Wingdings" w:hAnsi="Wingdings" w:hint="default"/>
      </w:rPr>
    </w:lvl>
    <w:lvl w:ilvl="3" w:tplc="484602E4" w:tentative="1">
      <w:start w:val="1"/>
      <w:numFmt w:val="bullet"/>
      <w:lvlText w:val=""/>
      <w:lvlJc w:val="left"/>
      <w:pPr>
        <w:ind w:left="2880" w:hanging="360"/>
      </w:pPr>
      <w:rPr>
        <w:rFonts w:ascii="Symbol" w:hAnsi="Symbol" w:hint="default"/>
      </w:rPr>
    </w:lvl>
    <w:lvl w:ilvl="4" w:tplc="42508656" w:tentative="1">
      <w:start w:val="1"/>
      <w:numFmt w:val="bullet"/>
      <w:lvlText w:val="o"/>
      <w:lvlJc w:val="left"/>
      <w:pPr>
        <w:ind w:left="3600" w:hanging="360"/>
      </w:pPr>
      <w:rPr>
        <w:rFonts w:ascii="Courier New" w:hAnsi="Courier New" w:cs="Courier New" w:hint="default"/>
      </w:rPr>
    </w:lvl>
    <w:lvl w:ilvl="5" w:tplc="399C64D6" w:tentative="1">
      <w:start w:val="1"/>
      <w:numFmt w:val="bullet"/>
      <w:lvlText w:val=""/>
      <w:lvlJc w:val="left"/>
      <w:pPr>
        <w:ind w:left="4320" w:hanging="360"/>
      </w:pPr>
      <w:rPr>
        <w:rFonts w:ascii="Wingdings" w:hAnsi="Wingdings" w:hint="default"/>
      </w:rPr>
    </w:lvl>
    <w:lvl w:ilvl="6" w:tplc="01CAFB1E" w:tentative="1">
      <w:start w:val="1"/>
      <w:numFmt w:val="bullet"/>
      <w:lvlText w:val=""/>
      <w:lvlJc w:val="left"/>
      <w:pPr>
        <w:ind w:left="5040" w:hanging="360"/>
      </w:pPr>
      <w:rPr>
        <w:rFonts w:ascii="Symbol" w:hAnsi="Symbol" w:hint="default"/>
      </w:rPr>
    </w:lvl>
    <w:lvl w:ilvl="7" w:tplc="5C823F10" w:tentative="1">
      <w:start w:val="1"/>
      <w:numFmt w:val="bullet"/>
      <w:lvlText w:val="o"/>
      <w:lvlJc w:val="left"/>
      <w:pPr>
        <w:ind w:left="5760" w:hanging="360"/>
      </w:pPr>
      <w:rPr>
        <w:rFonts w:ascii="Courier New" w:hAnsi="Courier New" w:cs="Courier New" w:hint="default"/>
      </w:rPr>
    </w:lvl>
    <w:lvl w:ilvl="8" w:tplc="9F40F320" w:tentative="1">
      <w:start w:val="1"/>
      <w:numFmt w:val="bullet"/>
      <w:lvlText w:val=""/>
      <w:lvlJc w:val="left"/>
      <w:pPr>
        <w:ind w:left="6480" w:hanging="360"/>
      </w:pPr>
      <w:rPr>
        <w:rFonts w:ascii="Wingdings" w:hAnsi="Wingdings" w:hint="default"/>
      </w:rPr>
    </w:lvl>
  </w:abstractNum>
  <w:abstractNum w:abstractNumId="5" w15:restartNumberingAfterBreak="0">
    <w:nsid w:val="7B025AC1"/>
    <w:multiLevelType w:val="hybridMultilevel"/>
    <w:tmpl w:val="F4CE082A"/>
    <w:lvl w:ilvl="0" w:tplc="4820540A">
      <w:start w:val="1"/>
      <w:numFmt w:val="bullet"/>
      <w:lvlText w:val=""/>
      <w:lvlJc w:val="left"/>
      <w:pPr>
        <w:ind w:left="720" w:hanging="360"/>
      </w:pPr>
      <w:rPr>
        <w:rFonts w:ascii="Symbol" w:hAnsi="Symbol" w:hint="default"/>
      </w:rPr>
    </w:lvl>
    <w:lvl w:ilvl="1" w:tplc="63BA4DB0" w:tentative="1">
      <w:start w:val="1"/>
      <w:numFmt w:val="bullet"/>
      <w:lvlText w:val="o"/>
      <w:lvlJc w:val="left"/>
      <w:pPr>
        <w:ind w:left="1440" w:hanging="360"/>
      </w:pPr>
      <w:rPr>
        <w:rFonts w:ascii="Courier New" w:hAnsi="Courier New" w:cs="Courier New" w:hint="default"/>
      </w:rPr>
    </w:lvl>
    <w:lvl w:ilvl="2" w:tplc="B478E082" w:tentative="1">
      <w:start w:val="1"/>
      <w:numFmt w:val="bullet"/>
      <w:lvlText w:val=""/>
      <w:lvlJc w:val="left"/>
      <w:pPr>
        <w:ind w:left="2160" w:hanging="360"/>
      </w:pPr>
      <w:rPr>
        <w:rFonts w:ascii="Wingdings" w:hAnsi="Wingdings" w:hint="default"/>
      </w:rPr>
    </w:lvl>
    <w:lvl w:ilvl="3" w:tplc="844E2D7C" w:tentative="1">
      <w:start w:val="1"/>
      <w:numFmt w:val="bullet"/>
      <w:lvlText w:val=""/>
      <w:lvlJc w:val="left"/>
      <w:pPr>
        <w:ind w:left="2880" w:hanging="360"/>
      </w:pPr>
      <w:rPr>
        <w:rFonts w:ascii="Symbol" w:hAnsi="Symbol" w:hint="default"/>
      </w:rPr>
    </w:lvl>
    <w:lvl w:ilvl="4" w:tplc="68F886E4" w:tentative="1">
      <w:start w:val="1"/>
      <w:numFmt w:val="bullet"/>
      <w:lvlText w:val="o"/>
      <w:lvlJc w:val="left"/>
      <w:pPr>
        <w:ind w:left="3600" w:hanging="360"/>
      </w:pPr>
      <w:rPr>
        <w:rFonts w:ascii="Courier New" w:hAnsi="Courier New" w:cs="Courier New" w:hint="default"/>
      </w:rPr>
    </w:lvl>
    <w:lvl w:ilvl="5" w:tplc="73CCCCEC" w:tentative="1">
      <w:start w:val="1"/>
      <w:numFmt w:val="bullet"/>
      <w:lvlText w:val=""/>
      <w:lvlJc w:val="left"/>
      <w:pPr>
        <w:ind w:left="4320" w:hanging="360"/>
      </w:pPr>
      <w:rPr>
        <w:rFonts w:ascii="Wingdings" w:hAnsi="Wingdings" w:hint="default"/>
      </w:rPr>
    </w:lvl>
    <w:lvl w:ilvl="6" w:tplc="37EE21B4" w:tentative="1">
      <w:start w:val="1"/>
      <w:numFmt w:val="bullet"/>
      <w:lvlText w:val=""/>
      <w:lvlJc w:val="left"/>
      <w:pPr>
        <w:ind w:left="5040" w:hanging="360"/>
      </w:pPr>
      <w:rPr>
        <w:rFonts w:ascii="Symbol" w:hAnsi="Symbol" w:hint="default"/>
      </w:rPr>
    </w:lvl>
    <w:lvl w:ilvl="7" w:tplc="6B8426A2" w:tentative="1">
      <w:start w:val="1"/>
      <w:numFmt w:val="bullet"/>
      <w:lvlText w:val="o"/>
      <w:lvlJc w:val="left"/>
      <w:pPr>
        <w:ind w:left="5760" w:hanging="360"/>
      </w:pPr>
      <w:rPr>
        <w:rFonts w:ascii="Courier New" w:hAnsi="Courier New" w:cs="Courier New" w:hint="default"/>
      </w:rPr>
    </w:lvl>
    <w:lvl w:ilvl="8" w:tplc="82D4A2F8" w:tentative="1">
      <w:start w:val="1"/>
      <w:numFmt w:val="bullet"/>
      <w:lvlText w:val=""/>
      <w:lvlJc w:val="left"/>
      <w:pPr>
        <w:ind w:left="6480" w:hanging="360"/>
      </w:pPr>
      <w:rPr>
        <w:rFonts w:ascii="Wingdings" w:hAnsi="Wingdings" w:hint="default"/>
      </w:rPr>
    </w:lvl>
  </w:abstractNum>
  <w:abstractNum w:abstractNumId="6" w15:restartNumberingAfterBreak="0">
    <w:nsid w:val="7C4F2EC9"/>
    <w:multiLevelType w:val="hybridMultilevel"/>
    <w:tmpl w:val="1AF0E21E"/>
    <w:lvl w:ilvl="0" w:tplc="61706BF6">
      <w:start w:val="1"/>
      <w:numFmt w:val="bullet"/>
      <w:lvlText w:val=""/>
      <w:lvlJc w:val="left"/>
      <w:pPr>
        <w:ind w:left="720" w:hanging="360"/>
      </w:pPr>
      <w:rPr>
        <w:rFonts w:ascii="Symbol" w:hAnsi="Symbol" w:hint="default"/>
      </w:rPr>
    </w:lvl>
    <w:lvl w:ilvl="1" w:tplc="45D8DF1C" w:tentative="1">
      <w:start w:val="1"/>
      <w:numFmt w:val="bullet"/>
      <w:lvlText w:val="o"/>
      <w:lvlJc w:val="left"/>
      <w:pPr>
        <w:ind w:left="1440" w:hanging="360"/>
      </w:pPr>
      <w:rPr>
        <w:rFonts w:ascii="Courier New" w:hAnsi="Courier New" w:cs="Courier New" w:hint="default"/>
      </w:rPr>
    </w:lvl>
    <w:lvl w:ilvl="2" w:tplc="E7A8A33A" w:tentative="1">
      <w:start w:val="1"/>
      <w:numFmt w:val="bullet"/>
      <w:lvlText w:val=""/>
      <w:lvlJc w:val="left"/>
      <w:pPr>
        <w:ind w:left="2160" w:hanging="360"/>
      </w:pPr>
      <w:rPr>
        <w:rFonts w:ascii="Wingdings" w:hAnsi="Wingdings" w:hint="default"/>
      </w:rPr>
    </w:lvl>
    <w:lvl w:ilvl="3" w:tplc="6B0C4878" w:tentative="1">
      <w:start w:val="1"/>
      <w:numFmt w:val="bullet"/>
      <w:lvlText w:val=""/>
      <w:lvlJc w:val="left"/>
      <w:pPr>
        <w:ind w:left="2880" w:hanging="360"/>
      </w:pPr>
      <w:rPr>
        <w:rFonts w:ascii="Symbol" w:hAnsi="Symbol" w:hint="default"/>
      </w:rPr>
    </w:lvl>
    <w:lvl w:ilvl="4" w:tplc="A68A6C9C" w:tentative="1">
      <w:start w:val="1"/>
      <w:numFmt w:val="bullet"/>
      <w:lvlText w:val="o"/>
      <w:lvlJc w:val="left"/>
      <w:pPr>
        <w:ind w:left="3600" w:hanging="360"/>
      </w:pPr>
      <w:rPr>
        <w:rFonts w:ascii="Courier New" w:hAnsi="Courier New" w:cs="Courier New" w:hint="default"/>
      </w:rPr>
    </w:lvl>
    <w:lvl w:ilvl="5" w:tplc="0562ED58" w:tentative="1">
      <w:start w:val="1"/>
      <w:numFmt w:val="bullet"/>
      <w:lvlText w:val=""/>
      <w:lvlJc w:val="left"/>
      <w:pPr>
        <w:ind w:left="4320" w:hanging="360"/>
      </w:pPr>
      <w:rPr>
        <w:rFonts w:ascii="Wingdings" w:hAnsi="Wingdings" w:hint="default"/>
      </w:rPr>
    </w:lvl>
    <w:lvl w:ilvl="6" w:tplc="E964362A" w:tentative="1">
      <w:start w:val="1"/>
      <w:numFmt w:val="bullet"/>
      <w:lvlText w:val=""/>
      <w:lvlJc w:val="left"/>
      <w:pPr>
        <w:ind w:left="5040" w:hanging="360"/>
      </w:pPr>
      <w:rPr>
        <w:rFonts w:ascii="Symbol" w:hAnsi="Symbol" w:hint="default"/>
      </w:rPr>
    </w:lvl>
    <w:lvl w:ilvl="7" w:tplc="32A42DFE" w:tentative="1">
      <w:start w:val="1"/>
      <w:numFmt w:val="bullet"/>
      <w:lvlText w:val="o"/>
      <w:lvlJc w:val="left"/>
      <w:pPr>
        <w:ind w:left="5760" w:hanging="360"/>
      </w:pPr>
      <w:rPr>
        <w:rFonts w:ascii="Courier New" w:hAnsi="Courier New" w:cs="Courier New" w:hint="default"/>
      </w:rPr>
    </w:lvl>
    <w:lvl w:ilvl="8" w:tplc="EF82D92E" w:tentative="1">
      <w:start w:val="1"/>
      <w:numFmt w:val="bullet"/>
      <w:lvlText w:val=""/>
      <w:lvlJc w:val="left"/>
      <w:pPr>
        <w:ind w:left="6480" w:hanging="360"/>
      </w:pPr>
      <w:rPr>
        <w:rFonts w:ascii="Wingdings" w:hAnsi="Wingdings" w:hint="default"/>
      </w:rPr>
    </w:lvl>
  </w:abstractNum>
  <w:num w:numId="1" w16cid:durableId="1505051039">
    <w:abstractNumId w:val="0"/>
  </w:num>
  <w:num w:numId="2" w16cid:durableId="2146463745">
    <w:abstractNumId w:val="3"/>
  </w:num>
  <w:num w:numId="3" w16cid:durableId="1445422632">
    <w:abstractNumId w:val="1"/>
  </w:num>
  <w:num w:numId="4" w16cid:durableId="1573158450">
    <w:abstractNumId w:val="5"/>
  </w:num>
  <w:num w:numId="5" w16cid:durableId="150026326">
    <w:abstractNumId w:val="2"/>
  </w:num>
  <w:num w:numId="6" w16cid:durableId="1263218568">
    <w:abstractNumId w:val="4"/>
  </w:num>
  <w:num w:numId="7" w16cid:durableId="20869488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623"/>
    <w:rsid w:val="00003BBF"/>
    <w:rsid w:val="00005BE0"/>
    <w:rsid w:val="00012185"/>
    <w:rsid w:val="00020C28"/>
    <w:rsid w:val="0002183E"/>
    <w:rsid w:val="00022623"/>
    <w:rsid w:val="000470C7"/>
    <w:rsid w:val="000513AA"/>
    <w:rsid w:val="000569B4"/>
    <w:rsid w:val="00080E82"/>
    <w:rsid w:val="000B17C0"/>
    <w:rsid w:val="000B2DE7"/>
    <w:rsid w:val="000E568E"/>
    <w:rsid w:val="00110B1A"/>
    <w:rsid w:val="0014734F"/>
    <w:rsid w:val="0015710D"/>
    <w:rsid w:val="00157A60"/>
    <w:rsid w:val="00163A32"/>
    <w:rsid w:val="00165D06"/>
    <w:rsid w:val="00167178"/>
    <w:rsid w:val="00192B41"/>
    <w:rsid w:val="001962EA"/>
    <w:rsid w:val="001B7B09"/>
    <w:rsid w:val="001C671A"/>
    <w:rsid w:val="001E6719"/>
    <w:rsid w:val="001E7F50"/>
    <w:rsid w:val="001F22EB"/>
    <w:rsid w:val="00224872"/>
    <w:rsid w:val="00225368"/>
    <w:rsid w:val="00227FF0"/>
    <w:rsid w:val="002600DF"/>
    <w:rsid w:val="002614E8"/>
    <w:rsid w:val="00291EB6"/>
    <w:rsid w:val="002A0B1A"/>
    <w:rsid w:val="002A1503"/>
    <w:rsid w:val="002B5404"/>
    <w:rsid w:val="002C5F38"/>
    <w:rsid w:val="002D2F57"/>
    <w:rsid w:val="002D48C5"/>
    <w:rsid w:val="003228F1"/>
    <w:rsid w:val="0033025A"/>
    <w:rsid w:val="00333950"/>
    <w:rsid w:val="00352EF4"/>
    <w:rsid w:val="003866C8"/>
    <w:rsid w:val="00386B26"/>
    <w:rsid w:val="00395A5A"/>
    <w:rsid w:val="00397EBD"/>
    <w:rsid w:val="003E1346"/>
    <w:rsid w:val="003E7484"/>
    <w:rsid w:val="003F099E"/>
    <w:rsid w:val="003F235E"/>
    <w:rsid w:val="004023E0"/>
    <w:rsid w:val="00403DD8"/>
    <w:rsid w:val="0041275C"/>
    <w:rsid w:val="00442515"/>
    <w:rsid w:val="00444D4C"/>
    <w:rsid w:val="0045686C"/>
    <w:rsid w:val="00457043"/>
    <w:rsid w:val="00461E4C"/>
    <w:rsid w:val="004918C4"/>
    <w:rsid w:val="00497703"/>
    <w:rsid w:val="004A0374"/>
    <w:rsid w:val="004A45B5"/>
    <w:rsid w:val="004A7096"/>
    <w:rsid w:val="004B1A68"/>
    <w:rsid w:val="004D0129"/>
    <w:rsid w:val="004E5C6F"/>
    <w:rsid w:val="004F2DC5"/>
    <w:rsid w:val="004F7827"/>
    <w:rsid w:val="00515FAE"/>
    <w:rsid w:val="005217D6"/>
    <w:rsid w:val="0052486B"/>
    <w:rsid w:val="0054260B"/>
    <w:rsid w:val="00575816"/>
    <w:rsid w:val="005A64D5"/>
    <w:rsid w:val="005B3DEC"/>
    <w:rsid w:val="005C17D1"/>
    <w:rsid w:val="005D099C"/>
    <w:rsid w:val="005D71A1"/>
    <w:rsid w:val="00601399"/>
    <w:rsid w:val="00601994"/>
    <w:rsid w:val="00612A82"/>
    <w:rsid w:val="0064077D"/>
    <w:rsid w:val="00645C20"/>
    <w:rsid w:val="00656BD6"/>
    <w:rsid w:val="00663AB5"/>
    <w:rsid w:val="00672F8A"/>
    <w:rsid w:val="00681CC3"/>
    <w:rsid w:val="00690978"/>
    <w:rsid w:val="00691A88"/>
    <w:rsid w:val="006967EB"/>
    <w:rsid w:val="006A7925"/>
    <w:rsid w:val="006B6100"/>
    <w:rsid w:val="006C34DA"/>
    <w:rsid w:val="006C74B8"/>
    <w:rsid w:val="006E2D42"/>
    <w:rsid w:val="006F6A98"/>
    <w:rsid w:val="00703676"/>
    <w:rsid w:val="00707304"/>
    <w:rsid w:val="00711209"/>
    <w:rsid w:val="00732269"/>
    <w:rsid w:val="0075297A"/>
    <w:rsid w:val="00762555"/>
    <w:rsid w:val="00785ABD"/>
    <w:rsid w:val="0079091D"/>
    <w:rsid w:val="00790BE6"/>
    <w:rsid w:val="00796BD3"/>
    <w:rsid w:val="007A2DD4"/>
    <w:rsid w:val="007B4DCB"/>
    <w:rsid w:val="007D38B5"/>
    <w:rsid w:val="007E7EA0"/>
    <w:rsid w:val="008014B6"/>
    <w:rsid w:val="00807255"/>
    <w:rsid w:val="0081023E"/>
    <w:rsid w:val="00811667"/>
    <w:rsid w:val="008173AA"/>
    <w:rsid w:val="00836F21"/>
    <w:rsid w:val="00840A14"/>
    <w:rsid w:val="0086767C"/>
    <w:rsid w:val="00872F9E"/>
    <w:rsid w:val="00886C7B"/>
    <w:rsid w:val="00890B49"/>
    <w:rsid w:val="008B62B4"/>
    <w:rsid w:val="008D2D7B"/>
    <w:rsid w:val="008E0737"/>
    <w:rsid w:val="008E6EA0"/>
    <w:rsid w:val="008F5F0B"/>
    <w:rsid w:val="008F7C2C"/>
    <w:rsid w:val="00921490"/>
    <w:rsid w:val="0092511C"/>
    <w:rsid w:val="00940E96"/>
    <w:rsid w:val="00985A7A"/>
    <w:rsid w:val="009B0BAE"/>
    <w:rsid w:val="009C1C89"/>
    <w:rsid w:val="009E2283"/>
    <w:rsid w:val="009F3448"/>
    <w:rsid w:val="00A01CF9"/>
    <w:rsid w:val="00A22B1A"/>
    <w:rsid w:val="00A27C69"/>
    <w:rsid w:val="00A43618"/>
    <w:rsid w:val="00A51BD2"/>
    <w:rsid w:val="00A71773"/>
    <w:rsid w:val="00A73894"/>
    <w:rsid w:val="00A85496"/>
    <w:rsid w:val="00AE0D07"/>
    <w:rsid w:val="00AE2C85"/>
    <w:rsid w:val="00AE3722"/>
    <w:rsid w:val="00AF0228"/>
    <w:rsid w:val="00AF0477"/>
    <w:rsid w:val="00B07A8D"/>
    <w:rsid w:val="00B12A37"/>
    <w:rsid w:val="00B14B5D"/>
    <w:rsid w:val="00B41837"/>
    <w:rsid w:val="00B63EF2"/>
    <w:rsid w:val="00B6774E"/>
    <w:rsid w:val="00B9234F"/>
    <w:rsid w:val="00BA7D89"/>
    <w:rsid w:val="00BC0D39"/>
    <w:rsid w:val="00BC7BC0"/>
    <w:rsid w:val="00BD57B7"/>
    <w:rsid w:val="00BE63E2"/>
    <w:rsid w:val="00BF5442"/>
    <w:rsid w:val="00C077E5"/>
    <w:rsid w:val="00C1094F"/>
    <w:rsid w:val="00C424D1"/>
    <w:rsid w:val="00C60A66"/>
    <w:rsid w:val="00C75E5D"/>
    <w:rsid w:val="00CA3BCD"/>
    <w:rsid w:val="00CA77B6"/>
    <w:rsid w:val="00CD2009"/>
    <w:rsid w:val="00CF629C"/>
    <w:rsid w:val="00D35A78"/>
    <w:rsid w:val="00D37683"/>
    <w:rsid w:val="00D469A7"/>
    <w:rsid w:val="00D46D8D"/>
    <w:rsid w:val="00D77D4B"/>
    <w:rsid w:val="00D92EEA"/>
    <w:rsid w:val="00D9557C"/>
    <w:rsid w:val="00DA5D4E"/>
    <w:rsid w:val="00DB5EF2"/>
    <w:rsid w:val="00E01C76"/>
    <w:rsid w:val="00E176BA"/>
    <w:rsid w:val="00E423EC"/>
    <w:rsid w:val="00E4265C"/>
    <w:rsid w:val="00E44A7E"/>
    <w:rsid w:val="00E55121"/>
    <w:rsid w:val="00E66DAC"/>
    <w:rsid w:val="00E839D0"/>
    <w:rsid w:val="00E83CD9"/>
    <w:rsid w:val="00EA65C2"/>
    <w:rsid w:val="00EB16AE"/>
    <w:rsid w:val="00EB4FCB"/>
    <w:rsid w:val="00EC6BC5"/>
    <w:rsid w:val="00ED46FD"/>
    <w:rsid w:val="00ED769D"/>
    <w:rsid w:val="00EF44C3"/>
    <w:rsid w:val="00EF7C0C"/>
    <w:rsid w:val="00F327E1"/>
    <w:rsid w:val="00F35898"/>
    <w:rsid w:val="00F439A4"/>
    <w:rsid w:val="00F5225B"/>
    <w:rsid w:val="00F66114"/>
    <w:rsid w:val="00F93445"/>
    <w:rsid w:val="00FC08E3"/>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D1174E3"/>
  <w15:docId w15:val="{7239907D-D71A-4FB3-A681-35F63C38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customStyle="1" w:styleId="UnresolvedMention1">
    <w:name w:val="Unresolved Mention1"/>
    <w:basedOn w:val="DefaultParagraphFont"/>
    <w:uiPriority w:val="99"/>
    <w:semiHidden/>
    <w:unhideWhenUsed/>
    <w:rsid w:val="00395A5A"/>
    <w:rPr>
      <w:color w:val="605E5C"/>
      <w:shd w:val="clear" w:color="auto" w:fill="E1DFDD"/>
    </w:rPr>
  </w:style>
  <w:style w:type="paragraph" w:styleId="BalloonText">
    <w:name w:val="Balloon Text"/>
    <w:basedOn w:val="Normal"/>
    <w:link w:val="BalloonTextChar"/>
    <w:semiHidden/>
    <w:unhideWhenUsed/>
    <w:rsid w:val="006C34DA"/>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C34DA"/>
    <w:rPr>
      <w:rFonts w:ascii="Tahoma" w:hAnsi="Tahoma" w:cs="Tahoma"/>
      <w:sz w:val="16"/>
      <w:szCs w:val="16"/>
      <w:lang w:val="en-GB" w:eastAsia="en-US"/>
    </w:rPr>
  </w:style>
  <w:style w:type="character" w:customStyle="1" w:styleId="FootnoteTextChar">
    <w:name w:val="Footnote Text Char"/>
    <w:basedOn w:val="DefaultParagraphFont"/>
    <w:link w:val="FootnoteText"/>
    <w:rsid w:val="00790BE6"/>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u.int/hub/membership/how-we-are-funded/principles-for-resource-mobiliz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ublic.wmo.int/en/media/press-release/world-meteorological-congress-sets-new-strategic-priorities-era-of-rapid-climate" TargetMode="External"/><Relationship Id="rId1" Type="http://schemas.openxmlformats.org/officeDocument/2006/relationships/hyperlink" Target="https://governingbodies.iom.int/system/files/en/council/113/C-113-7%20-%20Programme%20and%20Budget%20for%202023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PR_Council23.dotx</Template>
  <TotalTime>0</TotalTime>
  <Pages>10</Pages>
  <Words>2531</Words>
  <Characters>17846</Characters>
  <Application>Microsoft Office Word</Application>
  <DocSecurity>4</DocSecurity>
  <Lines>148</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20337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 a new "One ITU" resource mobilization strategy</dc:title>
  <dc:subject>Council 2023</dc:subject>
  <dc:creator>Antipina, Nadezda</dc:creator>
  <cp:keywords>C2023, C23, Council-23</cp:keywords>
  <dc:description/>
  <cp:lastModifiedBy>Xue, Kun</cp:lastModifiedBy>
  <cp:revision>2</cp:revision>
  <cp:lastPrinted>2006-03-28T16:12:00Z</cp:lastPrinted>
  <dcterms:created xsi:type="dcterms:W3CDTF">2023-07-11T14:06:00Z</dcterms:created>
  <dcterms:modified xsi:type="dcterms:W3CDTF">2023-07-11T14:06:00Z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