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7221C" w14:paraId="1591300A" w14:textId="77777777" w:rsidTr="00AD3606">
        <w:trPr>
          <w:cantSplit/>
          <w:trHeight w:val="23"/>
        </w:trPr>
        <w:tc>
          <w:tcPr>
            <w:tcW w:w="3969" w:type="dxa"/>
            <w:vMerge w:val="restart"/>
            <w:tcMar>
              <w:left w:w="0" w:type="dxa"/>
            </w:tcMar>
          </w:tcPr>
          <w:p w14:paraId="4F2DE73B" w14:textId="5E8C929D" w:rsidR="00AD3606" w:rsidRPr="0017221C" w:rsidRDefault="00AD3606" w:rsidP="00472BAD">
            <w:pPr>
              <w:tabs>
                <w:tab w:val="left" w:pos="851"/>
              </w:tabs>
              <w:spacing w:before="0" w:line="240" w:lineRule="atLeast"/>
              <w:rPr>
                <w:b/>
                <w:lang w:val="es-ES_tradnl"/>
              </w:rPr>
            </w:pPr>
            <w:bookmarkStart w:id="0" w:name="dmeeting" w:colFirst="0" w:colLast="0"/>
            <w:bookmarkStart w:id="1" w:name="dnum" w:colFirst="1" w:colLast="1"/>
            <w:r w:rsidRPr="0017221C">
              <w:rPr>
                <w:b/>
                <w:bCs/>
                <w:lang w:val="es-ES_tradnl"/>
              </w:rPr>
              <w:t>Punto del orden del día: ADM 1</w:t>
            </w:r>
          </w:p>
        </w:tc>
        <w:tc>
          <w:tcPr>
            <w:tcW w:w="5245" w:type="dxa"/>
          </w:tcPr>
          <w:p w14:paraId="2F0CB53A" w14:textId="69689781" w:rsidR="00AD3606" w:rsidRPr="0017221C" w:rsidRDefault="00AD3606" w:rsidP="00472BAD">
            <w:pPr>
              <w:tabs>
                <w:tab w:val="left" w:pos="851"/>
              </w:tabs>
              <w:spacing w:before="0" w:line="240" w:lineRule="atLeast"/>
              <w:jc w:val="right"/>
              <w:rPr>
                <w:b/>
                <w:lang w:val="es-ES_tradnl"/>
              </w:rPr>
            </w:pPr>
            <w:r w:rsidRPr="0017221C">
              <w:rPr>
                <w:b/>
                <w:bCs/>
                <w:lang w:val="es-ES_tradnl"/>
              </w:rPr>
              <w:t>Documento C23/60-S</w:t>
            </w:r>
          </w:p>
        </w:tc>
      </w:tr>
      <w:tr w:rsidR="00AD3606" w:rsidRPr="0017221C" w14:paraId="777833CB" w14:textId="77777777" w:rsidTr="00AD3606">
        <w:trPr>
          <w:cantSplit/>
        </w:trPr>
        <w:tc>
          <w:tcPr>
            <w:tcW w:w="3969" w:type="dxa"/>
            <w:vMerge/>
          </w:tcPr>
          <w:p w14:paraId="7DECAB6C" w14:textId="77777777" w:rsidR="00AD3606" w:rsidRPr="0017221C" w:rsidRDefault="00AD3606" w:rsidP="00AD3606">
            <w:pPr>
              <w:tabs>
                <w:tab w:val="left" w:pos="851"/>
              </w:tabs>
              <w:spacing w:line="240" w:lineRule="atLeast"/>
              <w:rPr>
                <w:b/>
                <w:lang w:val="es-ES_tradnl"/>
              </w:rPr>
            </w:pPr>
            <w:bookmarkStart w:id="2" w:name="ddate" w:colFirst="1" w:colLast="1"/>
            <w:bookmarkEnd w:id="0"/>
            <w:bookmarkEnd w:id="1"/>
          </w:p>
        </w:tc>
        <w:tc>
          <w:tcPr>
            <w:tcW w:w="5245" w:type="dxa"/>
          </w:tcPr>
          <w:p w14:paraId="7B794C7C" w14:textId="482F56C4" w:rsidR="00AD3606" w:rsidRPr="0017221C" w:rsidRDefault="005274F7" w:rsidP="00AD3606">
            <w:pPr>
              <w:tabs>
                <w:tab w:val="left" w:pos="851"/>
              </w:tabs>
              <w:spacing w:before="0"/>
              <w:jc w:val="right"/>
              <w:rPr>
                <w:b/>
                <w:lang w:val="es-ES_tradnl"/>
              </w:rPr>
            </w:pPr>
            <w:r w:rsidRPr="0017221C">
              <w:rPr>
                <w:b/>
                <w:bCs/>
                <w:lang w:val="es-ES_tradnl"/>
              </w:rPr>
              <w:t>23 de mayo de 2023</w:t>
            </w:r>
          </w:p>
        </w:tc>
      </w:tr>
      <w:tr w:rsidR="00AD3606" w:rsidRPr="0017221C" w14:paraId="082C2282" w14:textId="77777777" w:rsidTr="00AD3606">
        <w:trPr>
          <w:cantSplit/>
          <w:trHeight w:val="23"/>
        </w:trPr>
        <w:tc>
          <w:tcPr>
            <w:tcW w:w="3969" w:type="dxa"/>
            <w:vMerge/>
          </w:tcPr>
          <w:p w14:paraId="5967F199" w14:textId="77777777" w:rsidR="00AD3606" w:rsidRPr="0017221C" w:rsidRDefault="00AD3606" w:rsidP="00AD3606">
            <w:pPr>
              <w:tabs>
                <w:tab w:val="left" w:pos="851"/>
              </w:tabs>
              <w:spacing w:line="240" w:lineRule="atLeast"/>
              <w:rPr>
                <w:b/>
                <w:lang w:val="es-ES_tradnl"/>
              </w:rPr>
            </w:pPr>
            <w:bookmarkStart w:id="3" w:name="dorlang" w:colFirst="1" w:colLast="1"/>
            <w:bookmarkEnd w:id="2"/>
          </w:p>
        </w:tc>
        <w:tc>
          <w:tcPr>
            <w:tcW w:w="5245" w:type="dxa"/>
          </w:tcPr>
          <w:p w14:paraId="03AC685B" w14:textId="77777777" w:rsidR="00AD3606" w:rsidRPr="0017221C" w:rsidRDefault="00AD3606" w:rsidP="00AD3606">
            <w:pPr>
              <w:tabs>
                <w:tab w:val="left" w:pos="851"/>
              </w:tabs>
              <w:spacing w:before="0" w:line="240" w:lineRule="atLeast"/>
              <w:jc w:val="right"/>
              <w:rPr>
                <w:b/>
                <w:lang w:val="es-ES_tradnl"/>
              </w:rPr>
            </w:pPr>
            <w:r w:rsidRPr="0017221C">
              <w:rPr>
                <w:b/>
                <w:bCs/>
                <w:lang w:val="es-ES_tradnl"/>
              </w:rPr>
              <w:t>Original: inglés</w:t>
            </w:r>
          </w:p>
        </w:tc>
      </w:tr>
      <w:tr w:rsidR="00472BAD" w:rsidRPr="0017221C" w14:paraId="3C9C7706" w14:textId="77777777" w:rsidTr="00AD3606">
        <w:trPr>
          <w:cantSplit/>
          <w:trHeight w:val="23"/>
        </w:trPr>
        <w:tc>
          <w:tcPr>
            <w:tcW w:w="3969" w:type="dxa"/>
          </w:tcPr>
          <w:p w14:paraId="20349897" w14:textId="77777777" w:rsidR="00472BAD" w:rsidRPr="0017221C" w:rsidRDefault="00472BAD" w:rsidP="00AD3606">
            <w:pPr>
              <w:tabs>
                <w:tab w:val="left" w:pos="851"/>
              </w:tabs>
              <w:spacing w:line="240" w:lineRule="atLeast"/>
              <w:rPr>
                <w:b/>
                <w:lang w:val="es-ES_tradnl"/>
              </w:rPr>
            </w:pPr>
          </w:p>
        </w:tc>
        <w:tc>
          <w:tcPr>
            <w:tcW w:w="5245" w:type="dxa"/>
          </w:tcPr>
          <w:p w14:paraId="1CCE97A6" w14:textId="77777777" w:rsidR="00472BAD" w:rsidRPr="0017221C" w:rsidRDefault="00472BAD" w:rsidP="00AD3606">
            <w:pPr>
              <w:tabs>
                <w:tab w:val="left" w:pos="851"/>
              </w:tabs>
              <w:spacing w:before="0" w:line="240" w:lineRule="atLeast"/>
              <w:jc w:val="right"/>
              <w:rPr>
                <w:b/>
                <w:lang w:val="es-ES_tradnl"/>
              </w:rPr>
            </w:pPr>
          </w:p>
        </w:tc>
      </w:tr>
      <w:tr w:rsidR="00AD3606" w:rsidRPr="0017221C" w14:paraId="5BEAAFE0" w14:textId="77777777" w:rsidTr="00AD3606">
        <w:trPr>
          <w:cantSplit/>
        </w:trPr>
        <w:tc>
          <w:tcPr>
            <w:tcW w:w="9214" w:type="dxa"/>
            <w:gridSpan w:val="2"/>
            <w:tcMar>
              <w:left w:w="0" w:type="dxa"/>
            </w:tcMar>
          </w:tcPr>
          <w:p w14:paraId="598EF21A" w14:textId="588A33AD" w:rsidR="00AD3606" w:rsidRPr="0017221C" w:rsidRDefault="00AD3606" w:rsidP="00AD3606">
            <w:pPr>
              <w:pStyle w:val="Source"/>
              <w:framePr w:hSpace="0" w:wrap="auto" w:vAnchor="margin" w:hAnchor="text" w:yAlign="inline"/>
              <w:rPr>
                <w:lang w:val="es-ES_tradnl"/>
              </w:rPr>
            </w:pPr>
            <w:bookmarkStart w:id="4" w:name="dsource" w:colFirst="0" w:colLast="0"/>
            <w:bookmarkEnd w:id="3"/>
            <w:r w:rsidRPr="0017221C">
              <w:rPr>
                <w:bCs/>
                <w:lang w:val="es-ES_tradnl"/>
              </w:rPr>
              <w:t>Informe del Secretario General</w:t>
            </w:r>
          </w:p>
        </w:tc>
      </w:tr>
      <w:tr w:rsidR="00AD3606" w:rsidRPr="00D939BA" w14:paraId="62B9C291" w14:textId="77777777" w:rsidTr="00AD3606">
        <w:trPr>
          <w:cantSplit/>
        </w:trPr>
        <w:tc>
          <w:tcPr>
            <w:tcW w:w="9214" w:type="dxa"/>
            <w:gridSpan w:val="2"/>
            <w:tcMar>
              <w:left w:w="0" w:type="dxa"/>
            </w:tcMar>
          </w:tcPr>
          <w:p w14:paraId="556A1BCF" w14:textId="710648FD" w:rsidR="00AD3606" w:rsidRPr="0017221C" w:rsidRDefault="00EA19F8" w:rsidP="00DF0189">
            <w:pPr>
              <w:pStyle w:val="Subtitle"/>
              <w:framePr w:hSpace="0" w:wrap="auto" w:hAnchor="text" w:xAlign="left" w:yAlign="inline"/>
              <w:rPr>
                <w:lang w:val="es-ES_tradnl"/>
              </w:rPr>
            </w:pPr>
            <w:bookmarkStart w:id="5" w:name="dtitle1" w:colFirst="0" w:colLast="0"/>
            <w:bookmarkEnd w:id="4"/>
            <w:r w:rsidRPr="0017221C">
              <w:rPr>
                <w:lang w:val="es-ES_tradnl"/>
              </w:rPr>
              <w:t>PROYECTO DE PRESUPUESTO BIENAL DE LA UNIÓN</w:t>
            </w:r>
            <w:r w:rsidR="00E77AB6" w:rsidRPr="0017221C">
              <w:rPr>
                <w:lang w:val="es-ES_tradnl"/>
              </w:rPr>
              <w:br/>
            </w:r>
            <w:r w:rsidRPr="0017221C">
              <w:rPr>
                <w:lang w:val="es-ES_tradnl"/>
              </w:rPr>
              <w:t>PARA 2024-2025</w:t>
            </w:r>
          </w:p>
        </w:tc>
      </w:tr>
      <w:tr w:rsidR="00AD3606" w:rsidRPr="00D939BA"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52F0CA21" w:rsidR="00AD3606" w:rsidRPr="0017221C" w:rsidRDefault="00F16BAB" w:rsidP="00F16BAB">
            <w:pPr>
              <w:spacing w:before="160"/>
              <w:rPr>
                <w:b/>
                <w:bCs/>
                <w:sz w:val="26"/>
                <w:szCs w:val="26"/>
                <w:lang w:val="es-ES_tradnl"/>
              </w:rPr>
            </w:pPr>
            <w:r w:rsidRPr="0017221C">
              <w:rPr>
                <w:b/>
                <w:bCs/>
                <w:sz w:val="26"/>
                <w:szCs w:val="26"/>
                <w:lang w:val="es-ES_tradnl"/>
              </w:rPr>
              <w:t>Objeto</w:t>
            </w:r>
          </w:p>
          <w:p w14:paraId="558765CD" w14:textId="210A9059" w:rsidR="00197584" w:rsidRPr="0017221C" w:rsidRDefault="00197584" w:rsidP="003B05ED">
            <w:pPr>
              <w:rPr>
                <w:lang w:val="es-ES_tradnl"/>
              </w:rPr>
            </w:pPr>
            <w:r w:rsidRPr="0017221C">
              <w:rPr>
                <w:lang w:val="es-ES_tradnl"/>
              </w:rPr>
              <w:t>En este documento se presenta el proyecto de presupuesto bienal de la Unión para 2024</w:t>
            </w:r>
            <w:r w:rsidR="003A7CB8" w:rsidRPr="0017221C">
              <w:rPr>
                <w:lang w:val="es-ES_tradnl"/>
              </w:rPr>
              <w:noBreakHyphen/>
            </w:r>
            <w:r w:rsidRPr="0017221C">
              <w:rPr>
                <w:lang w:val="es-ES_tradnl"/>
              </w:rPr>
              <w:t>2025. Se basa en el Plan Estratégico de la Unión para dicho periodo y refleja las repercusiones financieras de la aplicación de las decisiones y resoluciones aprobadas por la Conferencia de Plenipotenciarios (Bucarest, 2022) y por el Consejo de la UIT en sus reuniones</w:t>
            </w:r>
            <w:r w:rsidR="003A7CB8" w:rsidRPr="0017221C">
              <w:rPr>
                <w:lang w:val="es-ES_tradnl"/>
              </w:rPr>
              <w:t> </w:t>
            </w:r>
            <w:r w:rsidRPr="0017221C">
              <w:rPr>
                <w:lang w:val="es-ES_tradnl"/>
              </w:rPr>
              <w:t>anteriores.</w:t>
            </w:r>
          </w:p>
          <w:p w14:paraId="45B1495A" w14:textId="13CA5E11" w:rsidR="00AD3606" w:rsidRPr="0017221C" w:rsidRDefault="00AD3606" w:rsidP="00F16BAB">
            <w:pPr>
              <w:spacing w:before="160"/>
              <w:rPr>
                <w:b/>
                <w:bCs/>
                <w:sz w:val="26"/>
                <w:szCs w:val="26"/>
                <w:lang w:val="es-ES_tradnl"/>
              </w:rPr>
            </w:pPr>
            <w:r w:rsidRPr="0017221C">
              <w:rPr>
                <w:b/>
                <w:bCs/>
                <w:sz w:val="26"/>
                <w:szCs w:val="26"/>
                <w:lang w:val="es-ES_tradnl"/>
              </w:rPr>
              <w:t>Acción solicitada por el Consejo</w:t>
            </w:r>
          </w:p>
          <w:p w14:paraId="3D57EDF8" w14:textId="13BD6C3E" w:rsidR="00AD3606" w:rsidRPr="0017221C" w:rsidRDefault="00195FA0" w:rsidP="00195FA0">
            <w:pPr>
              <w:rPr>
                <w:lang w:val="es-ES_tradnl"/>
              </w:rPr>
            </w:pPr>
            <w:r w:rsidRPr="0017221C">
              <w:rPr>
                <w:lang w:val="es-ES_tradnl"/>
              </w:rPr>
              <w:t xml:space="preserve">Se ruega al Consejo que </w:t>
            </w:r>
            <w:r w:rsidRPr="0017221C">
              <w:rPr>
                <w:b/>
                <w:bCs/>
                <w:lang w:val="es-ES_tradnl"/>
              </w:rPr>
              <w:t xml:space="preserve">examine </w:t>
            </w:r>
            <w:r w:rsidRPr="0017221C">
              <w:rPr>
                <w:lang w:val="es-ES_tradnl"/>
              </w:rPr>
              <w:t>el proyecto de presupuesto bienal de la Unión para 2024</w:t>
            </w:r>
            <w:r w:rsidR="006104BE" w:rsidRPr="0017221C">
              <w:rPr>
                <w:lang w:val="es-ES_tradnl"/>
              </w:rPr>
              <w:noBreakHyphen/>
            </w:r>
            <w:r w:rsidRPr="0017221C">
              <w:rPr>
                <w:lang w:val="es-ES_tradnl"/>
              </w:rPr>
              <w:t xml:space="preserve">2025 y </w:t>
            </w:r>
            <w:r w:rsidRPr="0017221C">
              <w:rPr>
                <w:b/>
                <w:bCs/>
                <w:lang w:val="es-ES_tradnl"/>
              </w:rPr>
              <w:t xml:space="preserve">apruebe </w:t>
            </w:r>
            <w:r w:rsidRPr="0017221C">
              <w:rPr>
                <w:lang w:val="es-ES_tradnl"/>
              </w:rPr>
              <w:t>el proyecto de resolución que se presenta en el Anexo al presente documento.</w:t>
            </w:r>
          </w:p>
          <w:p w14:paraId="71511FA1" w14:textId="22F1AEBD" w:rsidR="00F16BAB" w:rsidRPr="0017221C" w:rsidRDefault="00175DBD" w:rsidP="00F16BAB">
            <w:pPr>
              <w:spacing w:before="160"/>
              <w:rPr>
                <w:b/>
                <w:bCs/>
                <w:sz w:val="26"/>
                <w:szCs w:val="26"/>
                <w:lang w:val="es-ES_tradnl"/>
              </w:rPr>
            </w:pPr>
            <w:r w:rsidRPr="0017221C">
              <w:rPr>
                <w:b/>
                <w:bCs/>
                <w:sz w:val="26"/>
                <w:szCs w:val="26"/>
                <w:lang w:val="es-ES_tradnl"/>
              </w:rPr>
              <w:t>Vínculos</w:t>
            </w:r>
            <w:r w:rsidR="00F16BAB" w:rsidRPr="0017221C">
              <w:rPr>
                <w:b/>
                <w:bCs/>
                <w:sz w:val="26"/>
                <w:szCs w:val="26"/>
                <w:lang w:val="es-ES_tradnl"/>
              </w:rPr>
              <w:t xml:space="preserve"> pertinentes con el Plan Estratégico</w:t>
            </w:r>
          </w:p>
          <w:p w14:paraId="503749D7" w14:textId="75A874EA" w:rsidR="00F16BAB" w:rsidRPr="0017221C" w:rsidRDefault="000714B7" w:rsidP="00F16BAB">
            <w:pPr>
              <w:rPr>
                <w:lang w:val="es-ES_tradnl"/>
              </w:rPr>
            </w:pPr>
            <w:r w:rsidRPr="0017221C">
              <w:rPr>
                <w:lang w:val="es-ES_tradnl"/>
              </w:rPr>
              <w:t>El proyecto de presupuesto bienal de la Unión proporciona financiación para los dos objetivos y las cinco prioridades temáticas del Plan Estratégico de la Unión.</w:t>
            </w:r>
          </w:p>
          <w:p w14:paraId="74189BBD" w14:textId="5F24AB69" w:rsidR="00F16BAB" w:rsidRPr="0017221C" w:rsidRDefault="00F16BAB" w:rsidP="00F16BAB">
            <w:pPr>
              <w:spacing w:before="160"/>
              <w:rPr>
                <w:b/>
                <w:bCs/>
                <w:sz w:val="26"/>
                <w:szCs w:val="26"/>
                <w:lang w:val="es-ES_tradnl"/>
              </w:rPr>
            </w:pPr>
            <w:r w:rsidRPr="0017221C">
              <w:rPr>
                <w:b/>
                <w:bCs/>
                <w:sz w:val="26"/>
                <w:szCs w:val="26"/>
                <w:lang w:val="es-ES_tradnl"/>
              </w:rPr>
              <w:t>Consecuencias financieras</w:t>
            </w:r>
          </w:p>
          <w:p w14:paraId="7936A1FC" w14:textId="47221C72" w:rsidR="008531B3" w:rsidRPr="0017221C" w:rsidRDefault="00195FA0" w:rsidP="003B05ED">
            <w:pPr>
              <w:rPr>
                <w:szCs w:val="24"/>
                <w:lang w:val="es-ES_tradnl"/>
              </w:rPr>
            </w:pPr>
            <w:r w:rsidRPr="0017221C">
              <w:rPr>
                <w:lang w:val="es-ES_tradnl"/>
              </w:rPr>
              <w:t xml:space="preserve">El proyecto de presupuesto bienal de la Unión para 2024-2025 está equilibrado, con la misma cantidad de ingresos que de gastos, y sigue respetando los límites establecidos por el Plan Financiero para 2024-2025. En el marco de la ejecución del presupuesto, la Dirección de la UIT </w:t>
            </w:r>
            <w:r w:rsidR="00175DBD" w:rsidRPr="0017221C">
              <w:rPr>
                <w:lang w:val="es-ES_tradnl"/>
              </w:rPr>
              <w:t>implementará</w:t>
            </w:r>
            <w:r w:rsidRPr="0017221C">
              <w:rPr>
                <w:lang w:val="es-ES_tradnl"/>
              </w:rPr>
              <w:t xml:space="preserve"> medidas de optimización de recursos y eficiencia para financiar las nuevas solicitudes no previstas en el Plan Financiero para 2024-2027.</w:t>
            </w:r>
          </w:p>
          <w:p w14:paraId="0EBC340A" w14:textId="2EB1E1F8" w:rsidR="00AD3606" w:rsidRPr="00D939BA" w:rsidRDefault="00AD3606" w:rsidP="00F16BAB">
            <w:pPr>
              <w:spacing w:before="160"/>
              <w:rPr>
                <w:b/>
                <w:bCs/>
                <w:sz w:val="26"/>
                <w:szCs w:val="26"/>
              </w:rPr>
            </w:pPr>
            <w:proofErr w:type="spellStart"/>
            <w:r w:rsidRPr="00D939BA">
              <w:rPr>
                <w:b/>
                <w:bCs/>
              </w:rPr>
              <w:t>Referencias</w:t>
            </w:r>
            <w:proofErr w:type="spellEnd"/>
          </w:p>
          <w:p w14:paraId="2962F9D6" w14:textId="4E8E3890" w:rsidR="00396DA5" w:rsidRPr="00D939BA" w:rsidRDefault="00000000" w:rsidP="00396DA5">
            <w:pPr>
              <w:spacing w:before="0"/>
            </w:pPr>
            <w:hyperlink r:id="rId8" w:history="1">
              <w:r w:rsidR="00396DA5" w:rsidRPr="00D939BA">
                <w:rPr>
                  <w:rStyle w:val="Hyperlink"/>
                </w:rPr>
                <w:t>CS Art. 28</w:t>
              </w:r>
            </w:hyperlink>
            <w:r w:rsidR="00396DA5" w:rsidRPr="00D939BA">
              <w:t xml:space="preserve">, </w:t>
            </w:r>
            <w:hyperlink r:id="rId9" w:history="1">
              <w:r w:rsidR="00396DA5" w:rsidRPr="00D939BA">
                <w:rPr>
                  <w:rStyle w:val="Hyperlink"/>
                </w:rPr>
                <w:t xml:space="preserve">CV Art. 4, </w:t>
              </w:r>
              <w:proofErr w:type="spellStart"/>
              <w:r w:rsidR="00396DA5" w:rsidRPr="00D939BA">
                <w:rPr>
                  <w:rStyle w:val="Hyperlink"/>
                </w:rPr>
                <w:t>Núm</w:t>
              </w:r>
              <w:proofErr w:type="spellEnd"/>
              <w:r w:rsidR="00396DA5" w:rsidRPr="00D939BA">
                <w:rPr>
                  <w:rStyle w:val="Hyperlink"/>
                </w:rPr>
                <w:t>. 73, CV Art. 33</w:t>
              </w:r>
            </w:hyperlink>
          </w:p>
          <w:p w14:paraId="678BC69B" w14:textId="32AC7032" w:rsidR="00195FA0" w:rsidRPr="0017221C" w:rsidRDefault="00000000" w:rsidP="00195FA0">
            <w:pPr>
              <w:spacing w:before="0"/>
              <w:rPr>
                <w:lang w:val="es-ES_tradnl"/>
              </w:rPr>
            </w:pPr>
            <w:hyperlink r:id="rId10" w:history="1">
              <w:r w:rsidR="00E2017A" w:rsidRPr="0017221C">
                <w:rPr>
                  <w:u w:val="single"/>
                  <w:lang w:val="es-ES_tradnl"/>
                </w:rPr>
                <w:t>Decisión 5</w:t>
              </w:r>
              <w:r w:rsidR="00E2017A" w:rsidRPr="0017221C">
                <w:rPr>
                  <w:lang w:val="es-ES_tradnl"/>
                </w:rPr>
                <w:t xml:space="preserve"> (Rev. Bucarest, 2022) de la Conferencia de Plenipotenciarios</w:t>
              </w:r>
            </w:hyperlink>
          </w:p>
          <w:p w14:paraId="0A7F7891" w14:textId="0BD228E0" w:rsidR="00195FA0" w:rsidRPr="0017221C" w:rsidRDefault="00000000" w:rsidP="00195FA0">
            <w:pPr>
              <w:spacing w:before="0"/>
              <w:rPr>
                <w:lang w:val="es-ES_tradnl"/>
              </w:rPr>
            </w:pPr>
            <w:hyperlink r:id="rId11" w:history="1">
              <w:r w:rsidR="00E2017A" w:rsidRPr="0017221C">
                <w:rPr>
                  <w:u w:val="single"/>
                  <w:lang w:val="es-ES_tradnl"/>
                </w:rPr>
                <w:t>Resolución 71</w:t>
              </w:r>
              <w:r w:rsidR="00E2017A" w:rsidRPr="0017221C">
                <w:rPr>
                  <w:lang w:val="es-ES_tradnl"/>
                </w:rPr>
                <w:t xml:space="preserve"> (Rev. Bucarest, 2022) de la Conferencia de Plenipotenciarios</w:t>
              </w:r>
            </w:hyperlink>
          </w:p>
          <w:p w14:paraId="65250B1E" w14:textId="0D2D6A3A" w:rsidR="00195FA0" w:rsidRPr="0017221C" w:rsidRDefault="00000000" w:rsidP="00195FA0">
            <w:pPr>
              <w:spacing w:before="0"/>
              <w:rPr>
                <w:lang w:val="es-ES_tradnl"/>
              </w:rPr>
            </w:pPr>
            <w:hyperlink r:id="rId12" w:history="1">
              <w:r w:rsidR="00E2017A" w:rsidRPr="0017221C">
                <w:rPr>
                  <w:u w:val="single"/>
                  <w:lang w:val="es-ES_tradnl"/>
                </w:rPr>
                <w:t>Resolución 151</w:t>
              </w:r>
              <w:r w:rsidR="00E2017A" w:rsidRPr="0017221C">
                <w:rPr>
                  <w:lang w:val="es-ES_tradnl"/>
                </w:rPr>
                <w:t xml:space="preserve"> (Rev. Bucarest, 2022) de la Conferencia de Plenipotenciarios</w:t>
              </w:r>
            </w:hyperlink>
          </w:p>
        </w:tc>
      </w:tr>
      <w:bookmarkEnd w:id="5"/>
    </w:tbl>
    <w:p w14:paraId="7FE52F59" w14:textId="77777777" w:rsidR="0090147A" w:rsidRPr="0017221C"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_tradnl"/>
        </w:rPr>
      </w:pPr>
      <w:r w:rsidRPr="0017221C">
        <w:rPr>
          <w:lang w:val="es-ES_tradnl"/>
        </w:rPr>
        <w:br w:type="page"/>
      </w:r>
    </w:p>
    <w:p w14:paraId="61E5AA25" w14:textId="03C4B27B" w:rsidR="00CE3353" w:rsidRPr="0017221C" w:rsidRDefault="003B05ED" w:rsidP="003B05ED">
      <w:pPr>
        <w:pStyle w:val="Heading1"/>
        <w:rPr>
          <w:rFonts w:asciiTheme="minorHAnsi" w:hAnsiTheme="minorHAnsi" w:cstheme="minorHAnsi"/>
          <w:lang w:val="es-ES_tradnl"/>
        </w:rPr>
      </w:pPr>
      <w:r w:rsidRPr="0017221C">
        <w:rPr>
          <w:lang w:val="es-ES_tradnl"/>
        </w:rPr>
        <w:lastRenderedPageBreak/>
        <w:t>1</w:t>
      </w:r>
      <w:r w:rsidRPr="0017221C">
        <w:rPr>
          <w:lang w:val="es-ES_tradnl"/>
        </w:rPr>
        <w:tab/>
      </w:r>
      <w:r w:rsidR="00195FA0" w:rsidRPr="0017221C">
        <w:rPr>
          <w:lang w:val="es-ES_tradnl"/>
        </w:rPr>
        <w:t>Proyecto de presupuesto bienal de la Unión para 2024-2025</w:t>
      </w:r>
    </w:p>
    <w:p w14:paraId="42BD3EA9" w14:textId="33C105D4" w:rsidR="00CE3353" w:rsidRPr="0017221C" w:rsidRDefault="00CE3353" w:rsidP="00EA19F8">
      <w:pPr>
        <w:tabs>
          <w:tab w:val="clear" w:pos="567"/>
          <w:tab w:val="clear" w:pos="1134"/>
          <w:tab w:val="clear" w:pos="1701"/>
          <w:tab w:val="clear" w:pos="2268"/>
          <w:tab w:val="clear" w:pos="2835"/>
          <w:tab w:val="left" w:pos="709"/>
          <w:tab w:val="left" w:pos="851"/>
        </w:tabs>
        <w:snapToGrid w:val="0"/>
        <w:rPr>
          <w:rFonts w:asciiTheme="minorHAnsi" w:hAnsiTheme="minorHAnsi" w:cstheme="minorHAnsi"/>
          <w:lang w:val="es-ES_tradnl"/>
        </w:rPr>
      </w:pPr>
      <w:r w:rsidRPr="0017221C">
        <w:rPr>
          <w:lang w:val="es-ES_tradnl"/>
        </w:rPr>
        <w:t>1.1</w:t>
      </w:r>
      <w:r w:rsidRPr="0017221C">
        <w:rPr>
          <w:lang w:val="es-ES_tradnl"/>
        </w:rPr>
        <w:tab/>
        <w:t>El proyecto de presupuesto bienal de la Unión para 2024-2025 está equilibrado y se cifra en 329 067 000 CHF, a saber, 164 933 000 CHF para 2024 y 164 134 000 para 2025.</w:t>
      </w:r>
    </w:p>
    <w:p w14:paraId="71199E7A" w14:textId="143240AC" w:rsidR="00CE3353" w:rsidRPr="0017221C" w:rsidRDefault="003B05ED" w:rsidP="003B05ED">
      <w:pPr>
        <w:pStyle w:val="Heading1"/>
        <w:rPr>
          <w:rFonts w:asciiTheme="minorHAnsi" w:hAnsiTheme="minorHAnsi" w:cstheme="minorHAnsi"/>
          <w:b w:val="0"/>
          <w:bCs/>
          <w:lang w:val="es-ES_tradnl"/>
        </w:rPr>
      </w:pPr>
      <w:r w:rsidRPr="0017221C">
        <w:rPr>
          <w:lang w:val="es-ES_tradnl"/>
        </w:rPr>
        <w:t>2</w:t>
      </w:r>
      <w:r w:rsidRPr="0017221C">
        <w:rPr>
          <w:lang w:val="es-ES_tradnl"/>
        </w:rPr>
        <w:tab/>
      </w:r>
      <w:r w:rsidR="00175DBD" w:rsidRPr="0017221C">
        <w:rPr>
          <w:lang w:val="es-ES_tradnl"/>
        </w:rPr>
        <w:t>Definición</w:t>
      </w:r>
      <w:r w:rsidR="00175DBD" w:rsidRPr="0017221C">
        <w:rPr>
          <w:bCs/>
          <w:lang w:val="es-ES_tradnl"/>
        </w:rPr>
        <w:t xml:space="preserve"> del presupuesto sobre la base de</w:t>
      </w:r>
      <w:r w:rsidR="00D96C08" w:rsidRPr="0017221C">
        <w:rPr>
          <w:bCs/>
          <w:lang w:val="es-ES_tradnl"/>
        </w:rPr>
        <w:t xml:space="preserve"> los resultados</w:t>
      </w:r>
    </w:p>
    <w:p w14:paraId="04C90779" w14:textId="659175AE" w:rsidR="00195FA0" w:rsidRPr="0017221C" w:rsidRDefault="003B05ED" w:rsidP="003B05ED">
      <w:pPr>
        <w:rPr>
          <w:rFonts w:asciiTheme="minorHAnsi" w:hAnsiTheme="minorHAnsi" w:cstheme="minorHAnsi"/>
          <w:lang w:val="es-ES_tradnl"/>
        </w:rPr>
      </w:pPr>
      <w:r w:rsidRPr="0017221C">
        <w:rPr>
          <w:lang w:val="es-ES_tradnl"/>
        </w:rPr>
        <w:t>2.1</w:t>
      </w:r>
      <w:r w:rsidRPr="0017221C">
        <w:rPr>
          <w:lang w:val="es-ES_tradnl"/>
        </w:rPr>
        <w:tab/>
      </w:r>
      <w:r w:rsidR="00195FA0" w:rsidRPr="0017221C">
        <w:rPr>
          <w:lang w:val="es-ES_tradnl"/>
        </w:rPr>
        <w:t xml:space="preserve">El proyecto de presupuesto bienal de la Unión para 2024-2025 </w:t>
      </w:r>
      <w:r w:rsidR="00175DBD" w:rsidRPr="0017221C">
        <w:rPr>
          <w:lang w:val="es-ES_tradnl"/>
        </w:rPr>
        <w:t>incluye</w:t>
      </w:r>
      <w:r w:rsidR="00195FA0" w:rsidRPr="0017221C">
        <w:rPr>
          <w:lang w:val="es-ES_tradnl"/>
        </w:rPr>
        <w:t xml:space="preserve"> asignaciones para la consecución de los dos objetivos estratégicos, las cinco prioridades temáticas y los 43 productos del Plan Estratégico. Prevé también la atribución de un nivel apropiado de recursos para los servicios administrativos y de apoyo, tanto en las Oficinas como en la Secretaría General.</w:t>
      </w:r>
    </w:p>
    <w:p w14:paraId="7857AA5F" w14:textId="140581E8" w:rsidR="00195FA0" w:rsidRPr="0017221C" w:rsidRDefault="003B05ED" w:rsidP="003B05ED">
      <w:pPr>
        <w:rPr>
          <w:rFonts w:asciiTheme="minorHAnsi" w:hAnsiTheme="minorHAnsi" w:cstheme="minorHAnsi"/>
          <w:lang w:val="es-ES_tradnl"/>
        </w:rPr>
      </w:pPr>
      <w:r w:rsidRPr="0017221C">
        <w:rPr>
          <w:lang w:val="es-ES_tradnl"/>
        </w:rPr>
        <w:t>2.2</w:t>
      </w:r>
      <w:r w:rsidRPr="0017221C">
        <w:rPr>
          <w:lang w:val="es-ES_tradnl"/>
        </w:rPr>
        <w:tab/>
      </w:r>
      <w:r w:rsidR="00195FA0" w:rsidRPr="0017221C">
        <w:rPr>
          <w:lang w:val="es-ES_tradnl"/>
        </w:rPr>
        <w:t xml:space="preserve">El Cuadro 1 y el Gráfico 1 muestran la distribución del presupuesto por prioridad temática para 2024-2025. En el Cuadro 1 se desglosa la utilización real de recursos por cada prioridad temática, tras la atribución de los servicios administrativos y centralizados, así como los servicios de apoyo a las Oficinas, a las </w:t>
      </w:r>
      <w:r w:rsidR="00175DBD" w:rsidRPr="0017221C">
        <w:rPr>
          <w:lang w:val="es-ES_tradnl"/>
        </w:rPr>
        <w:t>correspondientes</w:t>
      </w:r>
      <w:r w:rsidR="00195FA0" w:rsidRPr="0017221C">
        <w:rPr>
          <w:lang w:val="es-ES_tradnl"/>
        </w:rPr>
        <w:t xml:space="preserve"> prioridades temáticas y</w:t>
      </w:r>
      <w:r w:rsidR="003A7CB8" w:rsidRPr="0017221C">
        <w:rPr>
          <w:lang w:val="es-ES_tradnl"/>
        </w:rPr>
        <w:t> </w:t>
      </w:r>
      <w:r w:rsidR="00195FA0" w:rsidRPr="0017221C">
        <w:rPr>
          <w:lang w:val="es-ES_tradnl"/>
        </w:rPr>
        <w:t>productos.</w:t>
      </w:r>
    </w:p>
    <w:p w14:paraId="3133DE2F" w14:textId="6556D685" w:rsidR="00195FA0" w:rsidRPr="0017221C" w:rsidRDefault="00195FA0" w:rsidP="003A7CB8">
      <w:pPr>
        <w:pStyle w:val="TableNo"/>
        <w:rPr>
          <w:lang w:val="es-ES_tradnl"/>
        </w:rPr>
      </w:pPr>
      <w:r w:rsidRPr="0017221C">
        <w:rPr>
          <w:lang w:val="es-ES_tradnl"/>
        </w:rPr>
        <w:t>Cuadro 1</w:t>
      </w:r>
    </w:p>
    <w:p w14:paraId="31120ED7" w14:textId="3F834AF4" w:rsidR="003E1394" w:rsidRPr="0017221C" w:rsidRDefault="003E1394" w:rsidP="003E1394">
      <w:pPr>
        <w:pStyle w:val="Tabletitle"/>
        <w:rPr>
          <w:lang w:val="es-ES_tradnl"/>
        </w:rPr>
      </w:pPr>
      <w:r w:rsidRPr="0017221C">
        <w:rPr>
          <w:noProof/>
          <w:lang w:val="es-ES_tradnl"/>
        </w:rPr>
        <w:drawing>
          <wp:inline distT="0" distB="0" distL="0" distR="0" wp14:anchorId="2DC491E2" wp14:editId="08EE7821">
            <wp:extent cx="5274310" cy="1806575"/>
            <wp:effectExtent l="0" t="0" r="254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806575"/>
                    </a:xfrm>
                    <a:prstGeom prst="rect">
                      <a:avLst/>
                    </a:prstGeom>
                    <a:noFill/>
                    <a:ln>
                      <a:noFill/>
                    </a:ln>
                  </pic:spPr>
                </pic:pic>
              </a:graphicData>
            </a:graphic>
          </wp:inline>
        </w:drawing>
      </w:r>
    </w:p>
    <w:p w14:paraId="1A1AB6C8" w14:textId="50780CBD" w:rsidR="00195FA0" w:rsidRPr="0017221C" w:rsidRDefault="00195FA0" w:rsidP="003A7CB8">
      <w:pPr>
        <w:pStyle w:val="TableNo"/>
        <w:rPr>
          <w:rFonts w:asciiTheme="minorHAnsi" w:hAnsiTheme="minorHAnsi" w:cstheme="minorHAnsi"/>
          <w:lang w:val="es-ES_tradnl"/>
        </w:rPr>
      </w:pPr>
      <w:r w:rsidRPr="0017221C">
        <w:rPr>
          <w:lang w:val="es-ES_tradnl"/>
        </w:rPr>
        <w:t>Gráfico 1</w:t>
      </w:r>
    </w:p>
    <w:p w14:paraId="049F97E4" w14:textId="56AF21E3" w:rsidR="00195FA0" w:rsidRPr="0017221C" w:rsidRDefault="00F847F8" w:rsidP="00195FA0">
      <w:pPr>
        <w:tabs>
          <w:tab w:val="clear" w:pos="567"/>
          <w:tab w:val="clear" w:pos="1134"/>
          <w:tab w:val="clear" w:pos="1701"/>
          <w:tab w:val="clear" w:pos="2268"/>
          <w:tab w:val="clear" w:pos="2835"/>
        </w:tabs>
        <w:overflowPunct/>
        <w:autoSpaceDE/>
        <w:autoSpaceDN/>
        <w:adjustRightInd/>
        <w:snapToGrid w:val="0"/>
        <w:spacing w:before="240" w:after="120"/>
        <w:jc w:val="center"/>
        <w:textAlignment w:val="auto"/>
        <w:rPr>
          <w:rFonts w:asciiTheme="minorHAnsi" w:hAnsiTheme="minorHAnsi" w:cstheme="minorHAnsi"/>
          <w:lang w:val="es-ES_tradnl"/>
        </w:rPr>
      </w:pPr>
      <w:r w:rsidRPr="0017221C">
        <w:rPr>
          <w:rFonts w:asciiTheme="minorHAnsi" w:hAnsiTheme="minorHAnsi" w:cstheme="minorHAnsi"/>
          <w:noProof/>
          <w:lang w:val="es-ES_tradnl"/>
        </w:rPr>
        <w:drawing>
          <wp:inline distT="0" distB="0" distL="0" distR="0" wp14:anchorId="67748590" wp14:editId="4A62CAD3">
            <wp:extent cx="5687238" cy="2492580"/>
            <wp:effectExtent l="0" t="0" r="889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6067" cy="2513981"/>
                    </a:xfrm>
                    <a:prstGeom prst="rect">
                      <a:avLst/>
                    </a:prstGeom>
                    <a:noFill/>
                  </pic:spPr>
                </pic:pic>
              </a:graphicData>
            </a:graphic>
          </wp:inline>
        </w:drawing>
      </w:r>
    </w:p>
    <w:p w14:paraId="2487A13B" w14:textId="19436566" w:rsidR="00A961BE" w:rsidRPr="0017221C" w:rsidRDefault="003B05ED" w:rsidP="003A7CB8">
      <w:pPr>
        <w:keepNext/>
        <w:keepLines/>
        <w:rPr>
          <w:rFonts w:asciiTheme="minorHAnsi" w:hAnsiTheme="minorHAnsi" w:cstheme="minorHAnsi"/>
          <w:lang w:val="es-ES_tradnl"/>
        </w:rPr>
      </w:pPr>
      <w:r w:rsidRPr="0017221C">
        <w:rPr>
          <w:lang w:val="es-ES_tradnl"/>
        </w:rPr>
        <w:lastRenderedPageBreak/>
        <w:t>2.3</w:t>
      </w:r>
      <w:r w:rsidRPr="0017221C">
        <w:rPr>
          <w:lang w:val="es-ES_tradnl"/>
        </w:rPr>
        <w:tab/>
      </w:r>
      <w:r w:rsidR="00A961BE" w:rsidRPr="0017221C">
        <w:rPr>
          <w:lang w:val="es-ES_tradnl"/>
        </w:rPr>
        <w:t>El proyecto de presupuesto bienal de la Unión para 2024-2025 incluye asignaciones para el logro de los 43 productos clasificados de la siguiente manera:</w:t>
      </w:r>
    </w:p>
    <w:p w14:paraId="74A1E8F1" w14:textId="43A003F9" w:rsidR="00A961BE" w:rsidRPr="0017221C" w:rsidRDefault="002019EE" w:rsidP="003A7CB8">
      <w:pPr>
        <w:pStyle w:val="enumlev1"/>
        <w:keepNext/>
        <w:keepLines/>
        <w:rPr>
          <w:rFonts w:asciiTheme="minorHAnsi" w:hAnsiTheme="minorHAnsi"/>
          <w:lang w:val="es-ES_tradnl"/>
        </w:rPr>
      </w:pPr>
      <w:r w:rsidRPr="0017221C">
        <w:rPr>
          <w:lang w:val="es-ES_tradnl"/>
        </w:rPr>
        <w:t>–</w:t>
      </w:r>
      <w:r w:rsidRPr="0017221C">
        <w:rPr>
          <w:lang w:val="es-ES_tradnl"/>
        </w:rPr>
        <w:tab/>
      </w:r>
      <w:r w:rsidR="00A961BE" w:rsidRPr="0017221C">
        <w:rPr>
          <w:lang w:val="es-ES_tradnl"/>
        </w:rPr>
        <w:t>9 productos intersectoriales;</w:t>
      </w:r>
    </w:p>
    <w:p w14:paraId="02726589" w14:textId="6A5CF932" w:rsidR="00A961BE" w:rsidRPr="0017221C" w:rsidRDefault="002019EE" w:rsidP="003A7CB8">
      <w:pPr>
        <w:pStyle w:val="enumlev1"/>
        <w:keepNext/>
        <w:keepLines/>
        <w:rPr>
          <w:rFonts w:asciiTheme="minorHAnsi" w:hAnsiTheme="minorHAnsi"/>
          <w:lang w:val="es-ES_tradnl"/>
        </w:rPr>
      </w:pPr>
      <w:r w:rsidRPr="0017221C">
        <w:rPr>
          <w:lang w:val="es-ES_tradnl"/>
        </w:rPr>
        <w:t>–</w:t>
      </w:r>
      <w:r w:rsidRPr="0017221C">
        <w:rPr>
          <w:lang w:val="es-ES_tradnl"/>
        </w:rPr>
        <w:tab/>
      </w:r>
      <w:r w:rsidR="00A961BE" w:rsidRPr="0017221C">
        <w:rPr>
          <w:lang w:val="es-ES_tradnl"/>
        </w:rPr>
        <w:t>12 productos del UIT-R;</w:t>
      </w:r>
    </w:p>
    <w:p w14:paraId="79ADDAB5" w14:textId="0BD0F3E5" w:rsidR="00A961BE" w:rsidRPr="0017221C" w:rsidRDefault="002019EE" w:rsidP="003B05ED">
      <w:pPr>
        <w:pStyle w:val="enumlev1"/>
        <w:rPr>
          <w:rFonts w:asciiTheme="minorHAnsi" w:hAnsiTheme="minorHAnsi"/>
          <w:lang w:val="es-ES_tradnl"/>
        </w:rPr>
      </w:pPr>
      <w:r w:rsidRPr="0017221C">
        <w:rPr>
          <w:lang w:val="es-ES_tradnl"/>
        </w:rPr>
        <w:t>–</w:t>
      </w:r>
      <w:r w:rsidRPr="0017221C">
        <w:rPr>
          <w:lang w:val="es-ES_tradnl"/>
        </w:rPr>
        <w:tab/>
      </w:r>
      <w:r w:rsidR="00A961BE" w:rsidRPr="0017221C">
        <w:rPr>
          <w:lang w:val="es-ES_tradnl"/>
        </w:rPr>
        <w:t>9 productos del UIT-T;</w:t>
      </w:r>
    </w:p>
    <w:p w14:paraId="499370F9" w14:textId="6A294DEA" w:rsidR="00A961BE" w:rsidRPr="0017221C" w:rsidRDefault="002019EE" w:rsidP="003B05ED">
      <w:pPr>
        <w:pStyle w:val="enumlev1"/>
        <w:rPr>
          <w:rFonts w:asciiTheme="minorHAnsi" w:hAnsiTheme="minorHAnsi"/>
          <w:lang w:val="es-ES_tradnl"/>
        </w:rPr>
      </w:pPr>
      <w:r w:rsidRPr="0017221C">
        <w:rPr>
          <w:lang w:val="es-ES_tradnl"/>
        </w:rPr>
        <w:t>–</w:t>
      </w:r>
      <w:r w:rsidRPr="0017221C">
        <w:rPr>
          <w:lang w:val="es-ES_tradnl"/>
        </w:rPr>
        <w:tab/>
      </w:r>
      <w:r w:rsidR="00A961BE" w:rsidRPr="0017221C">
        <w:rPr>
          <w:lang w:val="es-ES_tradnl"/>
        </w:rPr>
        <w:t>y 13 productos del UIT-D.</w:t>
      </w:r>
    </w:p>
    <w:p w14:paraId="53D7CCF2" w14:textId="35EA8A71" w:rsidR="00A961BE" w:rsidRPr="0017221C" w:rsidRDefault="002019EE" w:rsidP="002019EE">
      <w:pPr>
        <w:rPr>
          <w:rFonts w:asciiTheme="minorHAnsi" w:hAnsiTheme="minorHAnsi"/>
          <w:lang w:val="es-ES_tradnl"/>
        </w:rPr>
      </w:pPr>
      <w:r w:rsidRPr="0017221C">
        <w:rPr>
          <w:lang w:val="es-ES_tradnl"/>
        </w:rPr>
        <w:t>2.4</w:t>
      </w:r>
      <w:r w:rsidRPr="0017221C">
        <w:rPr>
          <w:lang w:val="es-ES_tradnl"/>
        </w:rPr>
        <w:tab/>
      </w:r>
      <w:r w:rsidR="00A961BE" w:rsidRPr="0017221C">
        <w:rPr>
          <w:lang w:val="es-ES_tradnl"/>
        </w:rPr>
        <w:t>La atribución completa de los costes a cada componente del presupuesto basado en resultados, es decir, a las prioridades temáticas y los productos, se basa en la metodología de atribución de costes descrita en el Acuerdo 535 del Consejo de la UIT (C05, modificado por última vez C14).</w:t>
      </w:r>
    </w:p>
    <w:p w14:paraId="44DE513E" w14:textId="2EE3C3B6" w:rsidR="00A961BE" w:rsidRPr="0017221C" w:rsidRDefault="002019EE" w:rsidP="002019EE">
      <w:pPr>
        <w:rPr>
          <w:rFonts w:asciiTheme="minorHAnsi" w:hAnsiTheme="minorHAnsi"/>
          <w:lang w:val="es-ES_tradnl"/>
        </w:rPr>
      </w:pPr>
      <w:r w:rsidRPr="0017221C">
        <w:rPr>
          <w:lang w:val="es-ES_tradnl"/>
        </w:rPr>
        <w:t>2.5</w:t>
      </w:r>
      <w:r w:rsidRPr="0017221C">
        <w:rPr>
          <w:lang w:val="es-ES_tradnl"/>
        </w:rPr>
        <w:tab/>
      </w:r>
      <w:r w:rsidR="00A961BE" w:rsidRPr="0017221C">
        <w:rPr>
          <w:lang w:val="es-ES_tradnl"/>
        </w:rPr>
        <w:t>La estructura de costes completa es la siguiente:</w:t>
      </w:r>
    </w:p>
    <w:p w14:paraId="74ACDE70" w14:textId="0F466277" w:rsidR="007A03F9" w:rsidRPr="0017221C" w:rsidRDefault="002019EE" w:rsidP="00A961BE">
      <w:pPr>
        <w:pStyle w:val="ListParagraph"/>
        <w:tabs>
          <w:tab w:val="clear" w:pos="567"/>
          <w:tab w:val="left" w:pos="709"/>
        </w:tabs>
        <w:snapToGrid w:val="0"/>
        <w:ind w:left="0"/>
        <w:rPr>
          <w:rFonts w:asciiTheme="minorHAnsi" w:hAnsiTheme="minorHAnsi"/>
          <w:lang w:val="es-ES_tradnl"/>
        </w:rPr>
      </w:pPr>
      <w:r w:rsidRPr="0017221C">
        <w:rPr>
          <w:rFonts w:cs="Calibri"/>
          <w:noProof/>
          <w:color w:val="000000"/>
          <w:szCs w:val="24"/>
          <w:lang w:val="es-ES_tradnl" w:eastAsia="es-ES"/>
        </w:rPr>
        <mc:AlternateContent>
          <mc:Choice Requires="wpg">
            <w:drawing>
              <wp:anchor distT="0" distB="0" distL="114300" distR="114300" simplePos="0" relativeHeight="251669504" behindDoc="0" locked="0" layoutInCell="1" allowOverlap="1" wp14:anchorId="03C777CC" wp14:editId="1FEFEE59">
                <wp:simplePos x="0" y="0"/>
                <wp:positionH relativeFrom="column">
                  <wp:posOffset>98857</wp:posOffset>
                </wp:positionH>
                <wp:positionV relativeFrom="paragraph">
                  <wp:posOffset>172720</wp:posOffset>
                </wp:positionV>
                <wp:extent cx="4821621" cy="2687367"/>
                <wp:effectExtent l="19050" t="19050" r="93345" b="93980"/>
                <wp:wrapNone/>
                <wp:docPr id="1093852577" name="Grupo 1093852577"/>
                <wp:cNvGraphicFramePr/>
                <a:graphic xmlns:a="http://schemas.openxmlformats.org/drawingml/2006/main">
                  <a:graphicData uri="http://schemas.microsoft.com/office/word/2010/wordprocessingGroup">
                    <wpg:wgp>
                      <wpg:cNvGrpSpPr/>
                      <wpg:grpSpPr>
                        <a:xfrm>
                          <a:off x="0" y="0"/>
                          <a:ext cx="4821621" cy="2687367"/>
                          <a:chOff x="0" y="22344"/>
                          <a:chExt cx="4821694" cy="2687766"/>
                        </a:xfrm>
                      </wpg:grpSpPr>
                      <wps:wsp>
                        <wps:cNvPr id="163" name="Rectangle 2">
                          <a:extLst>
                            <a:ext uri="{FF2B5EF4-FFF2-40B4-BE49-F238E27FC236}">
                              <a16:creationId xmlns:a16="http://schemas.microsoft.com/office/drawing/2014/main" id="{110B209C-D326-B6FD-B3A8-D2CB07CE9252}"/>
                            </a:ext>
                          </a:extLst>
                        </wps:cNvPr>
                        <wps:cNvSpPr/>
                        <wps:spPr>
                          <a:xfrm>
                            <a:off x="440239" y="83778"/>
                            <a:ext cx="4380296" cy="432499"/>
                          </a:xfrm>
                          <a:prstGeom prst="rect">
                            <a:avLst/>
                          </a:prstGeom>
                          <a:solidFill>
                            <a:schemeClr val="accent1"/>
                          </a:solidFill>
                        </wps:spPr>
                        <wps:style>
                          <a:lnRef idx="0">
                            <a:schemeClr val="accent1"/>
                          </a:lnRef>
                          <a:fillRef idx="3">
                            <a:schemeClr val="accent1"/>
                          </a:fillRef>
                          <a:effectRef idx="3">
                            <a:schemeClr val="accent1"/>
                          </a:effectRef>
                          <a:fontRef idx="minor">
                            <a:schemeClr val="lt1"/>
                          </a:fontRef>
                        </wps:style>
                        <wps:txbx>
                          <w:txbxContent>
                            <w:p w14:paraId="71E8C586" w14:textId="77777777" w:rsidR="00755E39" w:rsidRPr="0017221C" w:rsidRDefault="00755E39" w:rsidP="005C2C7A">
                              <w:pPr>
                                <w:pStyle w:val="ListParagraph"/>
                                <w:numPr>
                                  <w:ilvl w:val="0"/>
                                  <w:numId w:val="16"/>
                                </w:numPr>
                                <w:tabs>
                                  <w:tab w:val="clear" w:pos="567"/>
                                  <w:tab w:val="clear" w:pos="1134"/>
                                  <w:tab w:val="clear" w:pos="1701"/>
                                  <w:tab w:val="clear" w:pos="2268"/>
                                  <w:tab w:val="clear" w:pos="2835"/>
                                </w:tabs>
                                <w:overflowPunct/>
                                <w:autoSpaceDE/>
                                <w:autoSpaceDN/>
                                <w:adjustRightInd/>
                                <w:spacing w:before="0"/>
                                <w:textAlignment w:val="auto"/>
                                <w:rPr>
                                  <w:sz w:val="22"/>
                                  <w:szCs w:val="18"/>
                                  <w:lang w:val="es-ES_tradnl"/>
                                </w:rPr>
                              </w:pPr>
                              <w:r w:rsidRPr="0017221C">
                                <w:rPr>
                                  <w:rFonts w:asciiTheme="minorHAnsi" w:cstheme="minorBidi"/>
                                  <w:color w:val="FFFFFF" w:themeColor="light1"/>
                                  <w:sz w:val="22"/>
                                  <w:szCs w:val="18"/>
                                  <w:lang w:val="es-ES_tradnl"/>
                                </w:rPr>
                                <w:t>Gastos previstos</w:t>
                              </w:r>
                            </w:p>
                            <w:p w14:paraId="09EE8D9C" w14:textId="77777777" w:rsidR="00755E39" w:rsidRPr="0017221C" w:rsidRDefault="00755E39" w:rsidP="005C2C7A">
                              <w:pPr>
                                <w:pStyle w:val="ListParagraph"/>
                                <w:numPr>
                                  <w:ilvl w:val="0"/>
                                  <w:numId w:val="16"/>
                                </w:numPr>
                                <w:tabs>
                                  <w:tab w:val="clear" w:pos="567"/>
                                  <w:tab w:val="clear" w:pos="1134"/>
                                  <w:tab w:val="clear" w:pos="1701"/>
                                  <w:tab w:val="clear" w:pos="2268"/>
                                  <w:tab w:val="clear" w:pos="2835"/>
                                </w:tabs>
                                <w:overflowPunct/>
                                <w:autoSpaceDE/>
                                <w:autoSpaceDN/>
                                <w:adjustRightInd/>
                                <w:spacing w:before="0"/>
                                <w:textAlignment w:val="auto"/>
                                <w:rPr>
                                  <w:sz w:val="22"/>
                                  <w:szCs w:val="18"/>
                                  <w:lang w:val="es-ES_tradnl"/>
                                </w:rPr>
                              </w:pPr>
                              <w:r w:rsidRPr="0017221C">
                                <w:rPr>
                                  <w:rFonts w:asciiTheme="minorHAnsi" w:cstheme="minorBidi"/>
                                  <w:color w:val="FFFFFF" w:themeColor="light1"/>
                                  <w:sz w:val="22"/>
                                  <w:szCs w:val="18"/>
                                  <w:lang w:val="es-ES_tradnl"/>
                                </w:rPr>
                                <w:t>Costes de documentación</w:t>
                              </w:r>
                            </w:p>
                          </w:txbxContent>
                        </wps:txbx>
                        <wps:bodyPr wrap="square">
                          <a:spAutoFit/>
                        </wps:bodyPr>
                      </wps:wsp>
                      <wps:wsp>
                        <wps:cNvPr id="164" name="Rectangle 3">
                          <a:extLst>
                            <a:ext uri="{FF2B5EF4-FFF2-40B4-BE49-F238E27FC236}">
                              <a16:creationId xmlns:a16="http://schemas.microsoft.com/office/drawing/2014/main" id="{0BE9F747-DAA7-7842-2991-83F3F005DCD2}"/>
                            </a:ext>
                          </a:extLst>
                        </wps:cNvPr>
                        <wps:cNvSpPr/>
                        <wps:spPr>
                          <a:xfrm>
                            <a:off x="441398" y="2409710"/>
                            <a:ext cx="4380296" cy="300400"/>
                          </a:xfrm>
                          <a:prstGeom prst="rect">
                            <a:avLst/>
                          </a:prstGeom>
                          <a:solidFill>
                            <a:schemeClr val="accent1">
                              <a:lumMod val="50000"/>
                            </a:schemeClr>
                          </a:solidFill>
                        </wps:spPr>
                        <wps:style>
                          <a:lnRef idx="3">
                            <a:schemeClr val="lt1"/>
                          </a:lnRef>
                          <a:fillRef idx="1">
                            <a:schemeClr val="accent5"/>
                          </a:fillRef>
                          <a:effectRef idx="1">
                            <a:schemeClr val="accent5"/>
                          </a:effectRef>
                          <a:fontRef idx="minor">
                            <a:schemeClr val="lt1"/>
                          </a:fontRef>
                        </wps:style>
                        <wps:txbx>
                          <w:txbxContent>
                            <w:p w14:paraId="0C65F136" w14:textId="77777777" w:rsidR="00755E39" w:rsidRPr="0017221C" w:rsidRDefault="00755E39" w:rsidP="005C2C7A">
                              <w:pPr>
                                <w:pStyle w:val="NormalWeb"/>
                                <w:spacing w:before="0" w:beforeAutospacing="0" w:after="0" w:afterAutospacing="0"/>
                                <w:rPr>
                                  <w:sz w:val="22"/>
                                  <w:szCs w:val="22"/>
                                  <w:lang w:val="es-ES_tradnl"/>
                                </w:rPr>
                              </w:pPr>
                              <w:r w:rsidRPr="0017221C">
                                <w:rPr>
                                  <w:rFonts w:asciiTheme="minorHAnsi" w:hAnsi="Calibri" w:cstheme="minorBidi"/>
                                  <w:color w:val="FFFFFF" w:themeColor="light1"/>
                                  <w:sz w:val="22"/>
                                  <w:szCs w:val="22"/>
                                  <w:lang w:val="es-ES_tradnl"/>
                                </w:rPr>
                                <w:t>Costes completos</w:t>
                              </w:r>
                            </w:p>
                          </w:txbxContent>
                        </wps:txbx>
                        <wps:bodyPr wrap="square">
                          <a:spAutoFit/>
                        </wps:bodyPr>
                      </wps:wsp>
                      <wps:wsp>
                        <wps:cNvPr id="165" name="Rectangle 4">
                          <a:extLst>
                            <a:ext uri="{FF2B5EF4-FFF2-40B4-BE49-F238E27FC236}">
                              <a16:creationId xmlns:a16="http://schemas.microsoft.com/office/drawing/2014/main" id="{2019BC28-AC72-1396-04EB-FD359C021864}"/>
                            </a:ext>
                          </a:extLst>
                        </wps:cNvPr>
                        <wps:cNvSpPr/>
                        <wps:spPr>
                          <a:xfrm>
                            <a:off x="440248" y="1191789"/>
                            <a:ext cx="4380865" cy="62865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88BF20" w14:textId="77777777" w:rsidR="00755E39" w:rsidRPr="0017221C" w:rsidRDefault="00755E39" w:rsidP="005C2C7A">
                              <w:pPr>
                                <w:pStyle w:val="ListParagraph"/>
                                <w:numPr>
                                  <w:ilvl w:val="0"/>
                                  <w:numId w:val="17"/>
                                </w:numPr>
                                <w:tabs>
                                  <w:tab w:val="clear" w:pos="567"/>
                                  <w:tab w:val="clear" w:pos="1134"/>
                                  <w:tab w:val="clear" w:pos="1701"/>
                                  <w:tab w:val="clear" w:pos="2268"/>
                                  <w:tab w:val="clear" w:pos="2835"/>
                                </w:tabs>
                                <w:overflowPunct/>
                                <w:autoSpaceDE/>
                                <w:autoSpaceDN/>
                                <w:adjustRightInd/>
                                <w:spacing w:before="0"/>
                                <w:textAlignment w:val="auto"/>
                                <w:rPr>
                                  <w:sz w:val="22"/>
                                  <w:lang w:val="es-ES_tradnl"/>
                                </w:rPr>
                              </w:pPr>
                              <w:r w:rsidRPr="0017221C">
                                <w:rPr>
                                  <w:rFonts w:asciiTheme="minorHAnsi" w:cstheme="minorBidi"/>
                                  <w:color w:val="FFFFFF" w:themeColor="light1"/>
                                  <w:sz w:val="22"/>
                                  <w:szCs w:val="22"/>
                                  <w:lang w:val="es-ES_tradnl"/>
                                </w:rPr>
                                <w:t>Costes de apoyo a Oficinas / Departamentos</w:t>
                              </w:r>
                            </w:p>
                            <w:p w14:paraId="2519167A" w14:textId="77777777" w:rsidR="00755E39" w:rsidRPr="0017221C" w:rsidRDefault="00755E39" w:rsidP="005C2C7A">
                              <w:pPr>
                                <w:pStyle w:val="ListParagraph"/>
                                <w:numPr>
                                  <w:ilvl w:val="0"/>
                                  <w:numId w:val="17"/>
                                </w:numPr>
                                <w:tabs>
                                  <w:tab w:val="clear" w:pos="567"/>
                                  <w:tab w:val="clear" w:pos="1134"/>
                                  <w:tab w:val="clear" w:pos="1701"/>
                                  <w:tab w:val="clear" w:pos="2268"/>
                                  <w:tab w:val="clear" w:pos="2835"/>
                                </w:tabs>
                                <w:overflowPunct/>
                                <w:autoSpaceDE/>
                                <w:autoSpaceDN/>
                                <w:adjustRightInd/>
                                <w:spacing w:before="0"/>
                                <w:textAlignment w:val="auto"/>
                                <w:rPr>
                                  <w:sz w:val="22"/>
                                  <w:lang w:val="es-ES_tradnl"/>
                                </w:rPr>
                              </w:pPr>
                              <w:r w:rsidRPr="0017221C">
                                <w:rPr>
                                  <w:rFonts w:asciiTheme="minorHAnsi" w:cstheme="minorBidi"/>
                                  <w:color w:val="FFFFFF" w:themeColor="light1"/>
                                  <w:sz w:val="22"/>
                                  <w:szCs w:val="22"/>
                                  <w:lang w:val="es-ES_tradnl"/>
                                </w:rPr>
                                <w:t>Costes de servicios administrativos centralizados</w:t>
                              </w:r>
                            </w:p>
                            <w:p w14:paraId="4E8016DE" w14:textId="77777777" w:rsidR="00755E39" w:rsidRPr="0017221C" w:rsidRDefault="00755E39" w:rsidP="005C2C7A">
                              <w:pPr>
                                <w:pStyle w:val="ListParagraph"/>
                                <w:numPr>
                                  <w:ilvl w:val="0"/>
                                  <w:numId w:val="17"/>
                                </w:numPr>
                                <w:tabs>
                                  <w:tab w:val="clear" w:pos="567"/>
                                  <w:tab w:val="clear" w:pos="1134"/>
                                  <w:tab w:val="clear" w:pos="1701"/>
                                  <w:tab w:val="clear" w:pos="2268"/>
                                  <w:tab w:val="clear" w:pos="2835"/>
                                </w:tabs>
                                <w:overflowPunct/>
                                <w:autoSpaceDE/>
                                <w:autoSpaceDN/>
                                <w:adjustRightInd/>
                                <w:spacing w:before="0"/>
                                <w:textAlignment w:val="auto"/>
                                <w:rPr>
                                  <w:sz w:val="22"/>
                                  <w:lang w:val="es-ES_tradnl"/>
                                </w:rPr>
                              </w:pPr>
                              <w:r w:rsidRPr="0017221C">
                                <w:rPr>
                                  <w:rFonts w:asciiTheme="minorHAnsi" w:cstheme="minorBidi"/>
                                  <w:color w:val="FFFFFF" w:themeColor="light1"/>
                                  <w:sz w:val="22"/>
                                  <w:szCs w:val="22"/>
                                  <w:lang w:val="es-ES_tradnl"/>
                                </w:rPr>
                                <w:t>Costes de servicios de apoyo centralizados</w:t>
                              </w:r>
                            </w:p>
                          </w:txbxContent>
                        </wps:txbx>
                        <wps:bodyPr wrap="square">
                          <a:spAutoFit/>
                        </wps:bodyPr>
                      </wps:wsp>
                      <wps:wsp>
                        <wps:cNvPr id="166" name="Left Brace 5">
                          <a:extLst>
                            <a:ext uri="{FF2B5EF4-FFF2-40B4-BE49-F238E27FC236}">
                              <a16:creationId xmlns:a16="http://schemas.microsoft.com/office/drawing/2014/main" id="{482D6C17-C5CC-55AB-3D86-A4404686ADBF}"/>
                            </a:ext>
                          </a:extLst>
                        </wps:cNvPr>
                        <wps:cNvSpPr/>
                        <wps:spPr>
                          <a:xfrm>
                            <a:off x="0" y="22344"/>
                            <a:ext cx="313451" cy="2115120"/>
                          </a:xfrm>
                          <a:prstGeom prst="leftBrace">
                            <a:avLst>
                              <a:gd name="adj1" fmla="val 8333"/>
                              <a:gd name="adj2" fmla="val 49571"/>
                            </a:avLst>
                          </a:prstGeom>
                          <a:ln w="28575"/>
                        </wps:spPr>
                        <wps:style>
                          <a:lnRef idx="1">
                            <a:schemeClr val="accent1"/>
                          </a:lnRef>
                          <a:fillRef idx="0">
                            <a:schemeClr val="accent1"/>
                          </a:fillRef>
                          <a:effectRef idx="0">
                            <a:schemeClr val="accent1"/>
                          </a:effectRef>
                          <a:fontRef idx="minor">
                            <a:schemeClr val="tx1"/>
                          </a:fontRef>
                        </wps:style>
                        <wps:bodyPr wrap="square" rtlCol="0" anchor="ctr"/>
                      </wps:wsp>
                      <wps:wsp>
                        <wps:cNvPr id="167" name="Plus 6">
                          <a:extLst>
                            <a:ext uri="{FF2B5EF4-FFF2-40B4-BE49-F238E27FC236}">
                              <a16:creationId xmlns:a16="http://schemas.microsoft.com/office/drawing/2014/main" id="{07360189-98FC-7B4E-2E62-CD30F2DE9252}"/>
                            </a:ext>
                          </a:extLst>
                        </wps:cNvPr>
                        <wps:cNvSpPr/>
                        <wps:spPr>
                          <a:xfrm>
                            <a:off x="2160911" y="650845"/>
                            <a:ext cx="478334" cy="389903"/>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168" name="Equal 11">
                          <a:extLst>
                            <a:ext uri="{FF2B5EF4-FFF2-40B4-BE49-F238E27FC236}">
                              <a16:creationId xmlns:a16="http://schemas.microsoft.com/office/drawing/2014/main" id="{394DF2DF-C36E-1CD4-B2DE-192B5A3411FC}"/>
                            </a:ext>
                          </a:extLst>
                        </wps:cNvPr>
                        <wps:cNvSpPr/>
                        <wps:spPr>
                          <a:xfrm>
                            <a:off x="1986017" y="1991191"/>
                            <a:ext cx="461554" cy="313509"/>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wgp>
                  </a:graphicData>
                </a:graphic>
                <wp14:sizeRelH relativeFrom="page">
                  <wp14:pctWidth>0</wp14:pctWidth>
                </wp14:sizeRelH>
                <wp14:sizeRelV relativeFrom="page">
                  <wp14:pctHeight>0</wp14:pctHeight>
                </wp14:sizeRelV>
              </wp:anchor>
            </w:drawing>
          </mc:Choice>
          <mc:Fallback>
            <w:pict>
              <v:group w14:anchorId="03C777CC" id="Grupo 1093852577" o:spid="_x0000_s1026" style="position:absolute;margin-left:7.8pt;margin-top:13.6pt;width:379.65pt;height:211.6pt;z-index:251669504" coordorigin=",223" coordsize="48216,26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">
                <v:rect id="Rectangle 2" o:spid="_x0000_s1027" style="position:absolute;left:4402;top:837;width:43803;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" fillcolor="#4f81bd [3204]" stroked="f">
                  <v:shadow on="t" color="black" opacity="22937f" origin=",.5" offset="0,.63889mm"/>
                  <v:textbox style="mso-fit-shape-to-text:t">
                    <w:txbxContent>
                      <w:p w14:paraId="71E8C586" w14:textId="77777777" w:rsidR="00755E39" w:rsidRPr="0017221C" w:rsidRDefault="00755E39" w:rsidP="005C2C7A">
                        <w:pPr>
                          <w:pStyle w:val="ListParagraph"/>
                          <w:numPr>
                            <w:ilvl w:val="0"/>
                            <w:numId w:val="16"/>
                          </w:numPr>
                          <w:tabs>
                            <w:tab w:val="clear" w:pos="567"/>
                            <w:tab w:val="clear" w:pos="1134"/>
                            <w:tab w:val="clear" w:pos="1701"/>
                            <w:tab w:val="clear" w:pos="2268"/>
                            <w:tab w:val="clear" w:pos="2835"/>
                          </w:tabs>
                          <w:overflowPunct/>
                          <w:autoSpaceDE/>
                          <w:autoSpaceDN/>
                          <w:adjustRightInd/>
                          <w:spacing w:before="0"/>
                          <w:textAlignment w:val="auto"/>
                          <w:rPr>
                            <w:sz w:val="22"/>
                            <w:szCs w:val="18"/>
                            <w:lang w:val="es-ES_tradnl"/>
                          </w:rPr>
                        </w:pPr>
                        <w:r w:rsidRPr="0017221C">
                          <w:rPr>
                            <w:rFonts w:asciiTheme="minorHAnsi" w:cstheme="minorBidi"/>
                            <w:color w:val="FFFFFF" w:themeColor="light1"/>
                            <w:sz w:val="22"/>
                            <w:szCs w:val="18"/>
                            <w:lang w:val="es-ES_tradnl"/>
                          </w:rPr>
                          <w:t>Gastos previstos</w:t>
                        </w:r>
                      </w:p>
                      <w:p w14:paraId="09EE8D9C" w14:textId="77777777" w:rsidR="00755E39" w:rsidRPr="0017221C" w:rsidRDefault="00755E39" w:rsidP="005C2C7A">
                        <w:pPr>
                          <w:pStyle w:val="ListParagraph"/>
                          <w:numPr>
                            <w:ilvl w:val="0"/>
                            <w:numId w:val="16"/>
                          </w:numPr>
                          <w:tabs>
                            <w:tab w:val="clear" w:pos="567"/>
                            <w:tab w:val="clear" w:pos="1134"/>
                            <w:tab w:val="clear" w:pos="1701"/>
                            <w:tab w:val="clear" w:pos="2268"/>
                            <w:tab w:val="clear" w:pos="2835"/>
                          </w:tabs>
                          <w:overflowPunct/>
                          <w:autoSpaceDE/>
                          <w:autoSpaceDN/>
                          <w:adjustRightInd/>
                          <w:spacing w:before="0"/>
                          <w:textAlignment w:val="auto"/>
                          <w:rPr>
                            <w:sz w:val="22"/>
                            <w:szCs w:val="18"/>
                            <w:lang w:val="es-ES_tradnl"/>
                          </w:rPr>
                        </w:pPr>
                        <w:r w:rsidRPr="0017221C">
                          <w:rPr>
                            <w:rFonts w:asciiTheme="minorHAnsi" w:cstheme="minorBidi"/>
                            <w:color w:val="FFFFFF" w:themeColor="light1"/>
                            <w:sz w:val="22"/>
                            <w:szCs w:val="18"/>
                            <w:lang w:val="es-ES_tradnl"/>
                          </w:rPr>
                          <w:t>Costes de documentación</w:t>
                        </w:r>
                      </w:p>
                    </w:txbxContent>
                  </v:textbox>
                </v:rect>
                <v:rect id="Rectangle 3" o:spid="_x0000_s1028" style="position:absolute;left:4413;top:24097;width:43803;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" fillcolor="#243f60 [1604]" strokecolor="white [3201]" strokeweight="3pt">
                  <v:shadow on="t" color="black" opacity="24903f" origin=",.5" offset="0,.55556mm"/>
                  <v:textbox style="mso-fit-shape-to-text:t">
                    <w:txbxContent>
                      <w:p w14:paraId="0C65F136" w14:textId="77777777" w:rsidR="00755E39" w:rsidRPr="0017221C" w:rsidRDefault="00755E39" w:rsidP="005C2C7A">
                        <w:pPr>
                          <w:pStyle w:val="NormalWeb"/>
                          <w:spacing w:before="0" w:beforeAutospacing="0" w:after="0" w:afterAutospacing="0"/>
                          <w:rPr>
                            <w:sz w:val="22"/>
                            <w:szCs w:val="22"/>
                            <w:lang w:val="es-ES_tradnl"/>
                          </w:rPr>
                        </w:pPr>
                        <w:r w:rsidRPr="0017221C">
                          <w:rPr>
                            <w:rFonts w:asciiTheme="minorHAnsi" w:hAnsi="Calibri" w:cstheme="minorBidi"/>
                            <w:color w:val="FFFFFF" w:themeColor="light1"/>
                            <w:sz w:val="22"/>
                            <w:szCs w:val="22"/>
                            <w:lang w:val="es-ES_tradnl"/>
                          </w:rPr>
                          <w:t>Costes completos</w:t>
                        </w:r>
                      </w:p>
                    </w:txbxContent>
                  </v:textbox>
                </v:rect>
                <v:rect id="Rectangle 4" o:spid="_x0000_s1029" style="position:absolute;left:4402;top:11917;width:43809;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" fillcolor="#365f91 [2404]" strokecolor="#243f60 [1604]" strokeweight="2pt">
                  <v:textbox style="mso-fit-shape-to-text:t">
                    <w:txbxContent>
                      <w:p w14:paraId="7C88BF20" w14:textId="77777777" w:rsidR="00755E39" w:rsidRPr="0017221C" w:rsidRDefault="00755E39" w:rsidP="005C2C7A">
                        <w:pPr>
                          <w:pStyle w:val="ListParagraph"/>
                          <w:numPr>
                            <w:ilvl w:val="0"/>
                            <w:numId w:val="17"/>
                          </w:numPr>
                          <w:tabs>
                            <w:tab w:val="clear" w:pos="567"/>
                            <w:tab w:val="clear" w:pos="1134"/>
                            <w:tab w:val="clear" w:pos="1701"/>
                            <w:tab w:val="clear" w:pos="2268"/>
                            <w:tab w:val="clear" w:pos="2835"/>
                          </w:tabs>
                          <w:overflowPunct/>
                          <w:autoSpaceDE/>
                          <w:autoSpaceDN/>
                          <w:adjustRightInd/>
                          <w:spacing w:before="0"/>
                          <w:textAlignment w:val="auto"/>
                          <w:rPr>
                            <w:sz w:val="22"/>
                            <w:lang w:val="es-ES_tradnl"/>
                          </w:rPr>
                        </w:pPr>
                        <w:r w:rsidRPr="0017221C">
                          <w:rPr>
                            <w:rFonts w:asciiTheme="minorHAnsi" w:cstheme="minorBidi"/>
                            <w:color w:val="FFFFFF" w:themeColor="light1"/>
                            <w:sz w:val="22"/>
                            <w:szCs w:val="22"/>
                            <w:lang w:val="es-ES_tradnl"/>
                          </w:rPr>
                          <w:t>Costes de apoyo a Oficinas / Departamentos</w:t>
                        </w:r>
                      </w:p>
                      <w:p w14:paraId="2519167A" w14:textId="77777777" w:rsidR="00755E39" w:rsidRPr="0017221C" w:rsidRDefault="00755E39" w:rsidP="005C2C7A">
                        <w:pPr>
                          <w:pStyle w:val="ListParagraph"/>
                          <w:numPr>
                            <w:ilvl w:val="0"/>
                            <w:numId w:val="17"/>
                          </w:numPr>
                          <w:tabs>
                            <w:tab w:val="clear" w:pos="567"/>
                            <w:tab w:val="clear" w:pos="1134"/>
                            <w:tab w:val="clear" w:pos="1701"/>
                            <w:tab w:val="clear" w:pos="2268"/>
                            <w:tab w:val="clear" w:pos="2835"/>
                          </w:tabs>
                          <w:overflowPunct/>
                          <w:autoSpaceDE/>
                          <w:autoSpaceDN/>
                          <w:adjustRightInd/>
                          <w:spacing w:before="0"/>
                          <w:textAlignment w:val="auto"/>
                          <w:rPr>
                            <w:sz w:val="22"/>
                            <w:lang w:val="es-ES_tradnl"/>
                          </w:rPr>
                        </w:pPr>
                        <w:r w:rsidRPr="0017221C">
                          <w:rPr>
                            <w:rFonts w:asciiTheme="minorHAnsi" w:cstheme="minorBidi"/>
                            <w:color w:val="FFFFFF" w:themeColor="light1"/>
                            <w:sz w:val="22"/>
                            <w:szCs w:val="22"/>
                            <w:lang w:val="es-ES_tradnl"/>
                          </w:rPr>
                          <w:t>Costes de servicios administrativos centralizados</w:t>
                        </w:r>
                      </w:p>
                      <w:p w14:paraId="4E8016DE" w14:textId="77777777" w:rsidR="00755E39" w:rsidRPr="0017221C" w:rsidRDefault="00755E39" w:rsidP="005C2C7A">
                        <w:pPr>
                          <w:pStyle w:val="ListParagraph"/>
                          <w:numPr>
                            <w:ilvl w:val="0"/>
                            <w:numId w:val="17"/>
                          </w:numPr>
                          <w:tabs>
                            <w:tab w:val="clear" w:pos="567"/>
                            <w:tab w:val="clear" w:pos="1134"/>
                            <w:tab w:val="clear" w:pos="1701"/>
                            <w:tab w:val="clear" w:pos="2268"/>
                            <w:tab w:val="clear" w:pos="2835"/>
                          </w:tabs>
                          <w:overflowPunct/>
                          <w:autoSpaceDE/>
                          <w:autoSpaceDN/>
                          <w:adjustRightInd/>
                          <w:spacing w:before="0"/>
                          <w:textAlignment w:val="auto"/>
                          <w:rPr>
                            <w:sz w:val="22"/>
                            <w:lang w:val="es-ES_tradnl"/>
                          </w:rPr>
                        </w:pPr>
                        <w:r w:rsidRPr="0017221C">
                          <w:rPr>
                            <w:rFonts w:asciiTheme="minorHAnsi" w:cstheme="minorBidi"/>
                            <w:color w:val="FFFFFF" w:themeColor="light1"/>
                            <w:sz w:val="22"/>
                            <w:szCs w:val="22"/>
                            <w:lang w:val="es-ES_tradnl"/>
                          </w:rPr>
                          <w:t>Costes de servicios de apoyo centralizados</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30" type="#_x0000_t87" style="position:absolute;top:223;width:3134;height:21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" adj="267,10707" strokecolor="#4579b8 [3044]" strokeweight="2.25pt"/>
                <v:shape id="Plus 6" o:spid="_x0000_s1031" style="position:absolute;left:21609;top:6508;width:4783;height:3899;visibility:visible;mso-wrap-style:square;v-text-anchor:middle" coordsize="478334,38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" path="m63403,149099r129911,l193314,51682r91706,l285020,149099r129911,l414931,240804r-129911,l285020,338221r-91706,l193314,240804r-129911,l63403,149099xe" fillcolor="#4f81bd [3204]" strokecolor="#243f60 [1604]" strokeweight="2pt">
                  <v:path arrowok="t" o:connecttype="custom" o:connectlocs="63403,149099;193314,149099;193314,51682;285020,51682;285020,149099;414931,149099;414931,240804;285020,240804;285020,338221;193314,338221;193314,240804;63403,240804;63403,149099" o:connectangles="0,0,0,0,0,0,0,0,0,0,0,0,0"/>
                </v:shape>
                <v:shape id="Equal 11" o:spid="_x0000_s1032" style="position:absolute;left:19860;top:19911;width:4615;height:3136;visibility:visible;mso-wrap-style:square;v-text-anchor:middle" coordsize="461554,313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" path="m61179,64583r339196,l400375,138320r-339196,l61179,64583xm61179,175189r339196,l400375,248926r-339196,l61179,175189xe" fillcolor="#4f81bd [3204]" strokecolor="#243f60 [1604]" strokeweight="2pt">
                  <v:path arrowok="t" o:connecttype="custom" o:connectlocs="61179,64583;400375,64583;400375,138320;61179,138320;61179,64583;61179,175189;400375,175189;400375,248926;61179,248926;61179,175189" o:connectangles="0,0,0,0,0,0,0,0,0,0"/>
                </v:shape>
              </v:group>
            </w:pict>
          </mc:Fallback>
        </mc:AlternateContent>
      </w:r>
    </w:p>
    <w:p w14:paraId="3B5FD475" w14:textId="5BAFAA89" w:rsidR="00C05E4C" w:rsidRPr="0017221C" w:rsidRDefault="00C05E4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s-ES_tradnl"/>
        </w:rPr>
      </w:pPr>
      <w:r w:rsidRPr="0017221C">
        <w:rPr>
          <w:rFonts w:asciiTheme="minorHAnsi" w:hAnsiTheme="minorHAnsi"/>
          <w:lang w:val="es-ES_tradnl"/>
        </w:rPr>
        <w:br w:type="page"/>
      </w:r>
    </w:p>
    <w:p w14:paraId="3B6F5D7A" w14:textId="777780E9" w:rsidR="00A961BE" w:rsidRPr="0017221C" w:rsidRDefault="002019EE" w:rsidP="002019EE">
      <w:pPr>
        <w:rPr>
          <w:rFonts w:asciiTheme="minorHAnsi" w:hAnsiTheme="minorHAnsi" w:cstheme="minorHAnsi"/>
          <w:lang w:val="es-ES_tradnl"/>
        </w:rPr>
      </w:pPr>
      <w:r w:rsidRPr="0017221C">
        <w:rPr>
          <w:lang w:val="es-ES_tradnl"/>
        </w:rPr>
        <w:lastRenderedPageBreak/>
        <w:t>2.6</w:t>
      </w:r>
      <w:r w:rsidRPr="0017221C">
        <w:rPr>
          <w:lang w:val="es-ES_tradnl"/>
        </w:rPr>
        <w:tab/>
      </w:r>
      <w:r w:rsidR="00A961BE" w:rsidRPr="0017221C">
        <w:rPr>
          <w:lang w:val="es-ES_tradnl"/>
        </w:rPr>
        <w:t>El Cuadro 2 y el Gráfico 2 presentan la distribución de costes prevista por producto para 2024-2025, en miles de francos suizos.</w:t>
      </w:r>
    </w:p>
    <w:p w14:paraId="7CD83F73" w14:textId="001E7B14" w:rsidR="005274F7" w:rsidRPr="0017221C" w:rsidRDefault="00A961BE" w:rsidP="002019EE">
      <w:pPr>
        <w:pStyle w:val="TableNo"/>
        <w:rPr>
          <w:rFonts w:asciiTheme="minorHAnsi" w:hAnsiTheme="minorHAnsi" w:cstheme="minorHAnsi"/>
          <w:lang w:val="es-ES_tradnl"/>
        </w:rPr>
      </w:pPr>
      <w:r w:rsidRPr="0017221C">
        <w:rPr>
          <w:lang w:val="es-ES_tradnl"/>
        </w:rPr>
        <w:t>Cuadro 2</w:t>
      </w:r>
    </w:p>
    <w:p w14:paraId="0C1857D9" w14:textId="3AED916E" w:rsidR="007A03F9" w:rsidRPr="0017221C" w:rsidRDefault="00D939BA" w:rsidP="00A961BE">
      <w:pPr>
        <w:pStyle w:val="ListParagraph"/>
        <w:tabs>
          <w:tab w:val="clear" w:pos="567"/>
          <w:tab w:val="clear" w:pos="1134"/>
          <w:tab w:val="clear" w:pos="1701"/>
          <w:tab w:val="clear" w:pos="2268"/>
          <w:tab w:val="clear" w:pos="2835"/>
          <w:tab w:val="left" w:pos="709"/>
        </w:tabs>
        <w:overflowPunct/>
        <w:autoSpaceDE/>
        <w:autoSpaceDN/>
        <w:adjustRightInd/>
        <w:snapToGrid w:val="0"/>
        <w:spacing w:before="0"/>
        <w:ind w:left="0"/>
        <w:jc w:val="center"/>
        <w:textAlignment w:val="auto"/>
        <w:rPr>
          <w:rFonts w:asciiTheme="minorHAnsi" w:hAnsiTheme="minorHAnsi" w:cstheme="minorHAnsi"/>
          <w:b/>
          <w:bCs/>
          <w:lang w:val="es-ES_tradnl"/>
        </w:rPr>
      </w:pPr>
      <w:r w:rsidRPr="00D939BA">
        <w:rPr>
          <w:noProof/>
        </w:rPr>
        <w:drawing>
          <wp:inline distT="0" distB="0" distL="0" distR="0" wp14:anchorId="446F692D" wp14:editId="0FF4FBBA">
            <wp:extent cx="5760085" cy="66909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6690995"/>
                    </a:xfrm>
                    <a:prstGeom prst="rect">
                      <a:avLst/>
                    </a:prstGeom>
                    <a:noFill/>
                    <a:ln>
                      <a:noFill/>
                    </a:ln>
                  </pic:spPr>
                </pic:pic>
              </a:graphicData>
            </a:graphic>
          </wp:inline>
        </w:drawing>
      </w:r>
    </w:p>
    <w:p w14:paraId="0FCE9F27" w14:textId="1F514BF1" w:rsidR="00EA19F8" w:rsidRPr="0017221C" w:rsidRDefault="00EA19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lang w:val="es-ES_tradnl"/>
        </w:rPr>
      </w:pPr>
      <w:r w:rsidRPr="0017221C">
        <w:rPr>
          <w:rFonts w:asciiTheme="minorHAnsi" w:hAnsiTheme="minorHAnsi" w:cstheme="minorHAnsi"/>
          <w:b/>
          <w:bCs/>
          <w:lang w:val="es-ES_tradnl"/>
        </w:rPr>
        <w:br w:type="page"/>
      </w:r>
    </w:p>
    <w:p w14:paraId="12E1657B" w14:textId="77777777" w:rsidR="00175DBD" w:rsidRPr="0017221C" w:rsidRDefault="00A961BE" w:rsidP="002019EE">
      <w:pPr>
        <w:pStyle w:val="FigureNo"/>
        <w:rPr>
          <w:lang w:val="es-ES_tradnl"/>
        </w:rPr>
      </w:pPr>
      <w:r w:rsidRPr="0017221C">
        <w:rPr>
          <w:lang w:val="es-ES_tradnl"/>
        </w:rPr>
        <w:lastRenderedPageBreak/>
        <w:t>Gráfico 2. Distribución de costes prevista por producto para 2024-2025</w:t>
      </w:r>
    </w:p>
    <w:p w14:paraId="27AA6D63" w14:textId="5CE6C0D2" w:rsidR="00A961BE" w:rsidRPr="0017221C" w:rsidRDefault="00BB2FFD" w:rsidP="00A961BE">
      <w:pPr>
        <w:pStyle w:val="ListParagraph"/>
        <w:tabs>
          <w:tab w:val="clear" w:pos="567"/>
          <w:tab w:val="clear" w:pos="1134"/>
          <w:tab w:val="clear" w:pos="1701"/>
          <w:tab w:val="clear" w:pos="2268"/>
          <w:tab w:val="clear" w:pos="2835"/>
          <w:tab w:val="left" w:pos="709"/>
        </w:tabs>
        <w:overflowPunct/>
        <w:autoSpaceDE/>
        <w:autoSpaceDN/>
        <w:adjustRightInd/>
        <w:snapToGrid w:val="0"/>
        <w:spacing w:before="0"/>
        <w:ind w:left="0"/>
        <w:jc w:val="center"/>
        <w:textAlignment w:val="auto"/>
        <w:rPr>
          <w:rFonts w:asciiTheme="minorHAnsi" w:hAnsiTheme="minorHAnsi" w:cstheme="minorHAnsi"/>
          <w:b/>
          <w:bCs/>
          <w:lang w:val="es-ES_tradnl"/>
        </w:rPr>
      </w:pPr>
      <w:r w:rsidRPr="0017221C">
        <w:rPr>
          <w:noProof/>
          <w:lang w:val="es-ES_tradnl" w:eastAsia="es-ES"/>
        </w:rPr>
        <w:drawing>
          <wp:inline distT="0" distB="0" distL="0" distR="0" wp14:anchorId="1B8029A8" wp14:editId="1ECAE50E">
            <wp:extent cx="5101955" cy="4489450"/>
            <wp:effectExtent l="0" t="0" r="3810" b="6350"/>
            <wp:docPr id="197752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2284" name=""/>
                    <pic:cNvPicPr/>
                  </pic:nvPicPr>
                  <pic:blipFill>
                    <a:blip r:embed="rId16"/>
                    <a:stretch>
                      <a:fillRect/>
                    </a:stretch>
                  </pic:blipFill>
                  <pic:spPr>
                    <a:xfrm>
                      <a:off x="0" y="0"/>
                      <a:ext cx="5103234" cy="4490575"/>
                    </a:xfrm>
                    <a:prstGeom prst="rect">
                      <a:avLst/>
                    </a:prstGeom>
                  </pic:spPr>
                </pic:pic>
              </a:graphicData>
            </a:graphic>
          </wp:inline>
        </w:drawing>
      </w:r>
    </w:p>
    <w:p w14:paraId="0BF80731" w14:textId="1FD8D818" w:rsidR="007123AA" w:rsidRPr="0017221C" w:rsidRDefault="007123A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lang w:val="es-ES_tradnl"/>
        </w:rPr>
      </w:pPr>
      <w:r w:rsidRPr="0017221C">
        <w:rPr>
          <w:rFonts w:asciiTheme="minorHAnsi" w:hAnsiTheme="minorHAnsi" w:cstheme="minorHAnsi"/>
          <w:b/>
          <w:bCs/>
          <w:lang w:val="es-ES_tradnl"/>
        </w:rPr>
        <w:br w:type="page"/>
      </w:r>
    </w:p>
    <w:p w14:paraId="74F823C3" w14:textId="65BB7882" w:rsidR="007123AA" w:rsidRPr="0017221C" w:rsidRDefault="002019EE" w:rsidP="002019EE">
      <w:pPr>
        <w:rPr>
          <w:rFonts w:asciiTheme="minorHAnsi" w:hAnsiTheme="minorHAnsi" w:cstheme="minorHAnsi"/>
          <w:b/>
          <w:bCs/>
          <w:lang w:val="es-ES_tradnl"/>
        </w:rPr>
      </w:pPr>
      <w:r w:rsidRPr="0017221C">
        <w:rPr>
          <w:lang w:val="es-ES_tradnl"/>
        </w:rPr>
        <w:lastRenderedPageBreak/>
        <w:t>2.7</w:t>
      </w:r>
      <w:r w:rsidRPr="0017221C">
        <w:rPr>
          <w:lang w:val="es-ES_tradnl"/>
        </w:rPr>
        <w:tab/>
      </w:r>
      <w:r w:rsidR="00A961BE" w:rsidRPr="0017221C">
        <w:rPr>
          <w:lang w:val="es-ES_tradnl"/>
        </w:rPr>
        <w:t>El Gráfico 3 presenta la atribución de recursos de la RBB para la UIT a cada componente de costes para 2024-2025.</w:t>
      </w:r>
    </w:p>
    <w:p w14:paraId="14F6E3C4" w14:textId="502EF893" w:rsidR="00A961BE" w:rsidRPr="0017221C" w:rsidRDefault="00A961BE" w:rsidP="002019EE">
      <w:pPr>
        <w:pStyle w:val="Chart"/>
        <w:rPr>
          <w:rFonts w:asciiTheme="minorHAnsi" w:hAnsiTheme="minorHAnsi" w:cstheme="minorHAnsi"/>
          <w:lang w:val="es-ES_tradnl"/>
        </w:rPr>
      </w:pPr>
      <w:r w:rsidRPr="0017221C">
        <w:rPr>
          <w:lang w:val="es-ES_tradnl"/>
        </w:rPr>
        <w:t>Gráfico 3</w:t>
      </w:r>
    </w:p>
    <w:p w14:paraId="181DB6E8" w14:textId="0D82FF23" w:rsidR="00C05E4C" w:rsidRPr="0017221C" w:rsidRDefault="004639D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lang w:val="es-ES_tradnl"/>
        </w:rPr>
      </w:pPr>
      <w:r w:rsidRPr="0017221C">
        <w:rPr>
          <w:noProof/>
          <w:lang w:val="es-ES_tradnl" w:eastAsia="es-ES"/>
        </w:rPr>
        <w:drawing>
          <wp:inline distT="0" distB="0" distL="0" distR="0" wp14:anchorId="7582988F" wp14:editId="2885E334">
            <wp:extent cx="5760085" cy="2992109"/>
            <wp:effectExtent l="0" t="0" r="12065" b="18415"/>
            <wp:docPr id="1" name="Gráfico 1">
              <a:extLst xmlns:a="http://schemas.openxmlformats.org/drawingml/2006/main">
                <a:ext uri="{FF2B5EF4-FFF2-40B4-BE49-F238E27FC236}">
                  <a16:creationId xmlns:a16="http://schemas.microsoft.com/office/drawing/2014/main" id="{9553DF7A-CC0C-E09D-5F25-1934015D00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5C08FDF" w14:textId="2861A50A" w:rsidR="00A961BE" w:rsidRPr="0017221C" w:rsidRDefault="005F3FA0" w:rsidP="002019EE">
      <w:pPr>
        <w:pStyle w:val="Heading1"/>
        <w:rPr>
          <w:rFonts w:asciiTheme="minorHAnsi" w:hAnsiTheme="minorHAnsi" w:cstheme="minorHAnsi"/>
          <w:lang w:val="es-ES_tradnl"/>
        </w:rPr>
      </w:pPr>
      <w:r w:rsidRPr="0017221C">
        <w:rPr>
          <w:lang w:val="es-ES_tradnl"/>
        </w:rPr>
        <w:t>3</w:t>
      </w:r>
      <w:r w:rsidRPr="0017221C">
        <w:rPr>
          <w:lang w:val="es-ES_tradnl"/>
        </w:rPr>
        <w:tab/>
        <w:t>Esbozo del presupuesto</w:t>
      </w:r>
    </w:p>
    <w:p w14:paraId="4D5B8728" w14:textId="0E383644" w:rsidR="005F3FA0" w:rsidRPr="0017221C" w:rsidRDefault="005F3FA0" w:rsidP="002019EE">
      <w:pPr>
        <w:rPr>
          <w:rFonts w:asciiTheme="minorHAnsi" w:hAnsiTheme="minorHAnsi" w:cstheme="minorHAnsi"/>
          <w:lang w:val="es-ES_tradnl"/>
        </w:rPr>
      </w:pPr>
      <w:r w:rsidRPr="0017221C">
        <w:rPr>
          <w:lang w:val="es-ES_tradnl"/>
        </w:rPr>
        <w:t>3.1</w:t>
      </w:r>
      <w:r w:rsidRPr="0017221C">
        <w:rPr>
          <w:lang w:val="es-ES_tradnl"/>
        </w:rPr>
        <w:tab/>
        <w:t>El proyecto de presupuesto bienal de la Unión para 2024-2025 se ha preparado sobre la base de la Decisión 5 (Rev. Bucarest, 2022) de la Conferencia de Plenipotenciarios.</w:t>
      </w:r>
    </w:p>
    <w:p w14:paraId="520DDF1B" w14:textId="0165B1C2" w:rsidR="005F3FA0" w:rsidRPr="0017221C" w:rsidRDefault="005F3FA0" w:rsidP="002019EE">
      <w:pPr>
        <w:rPr>
          <w:rFonts w:asciiTheme="minorHAnsi" w:hAnsiTheme="minorHAnsi"/>
          <w:lang w:val="es-ES_tradnl"/>
        </w:rPr>
      </w:pPr>
      <w:r w:rsidRPr="0017221C">
        <w:rPr>
          <w:lang w:val="es-ES_tradnl"/>
        </w:rPr>
        <w:t>3.2</w:t>
      </w:r>
      <w:r w:rsidRPr="0017221C">
        <w:rPr>
          <w:lang w:val="es-ES_tradnl"/>
        </w:rPr>
        <w:tab/>
        <w:t xml:space="preserve">El proyecto de presupuesto bienal de la Unión para 2024-2025 está equilibrado, con la misma cantidad de ingresos que de gastos, a saber, 329 067 000 CHF, por lo que es superior en 1 605 000 CHF al presupuesto de la Unión para 2022-2023. A continuación se ofrece información detallada sobre las variaciones de ingresos y gastos. El Anexo al presente documento contiene un proyecto de resolución sobre el proyecto de presupuesto bienal de la Unión para 2024-2025, e </w:t>
      </w:r>
      <w:r w:rsidR="00175DBD" w:rsidRPr="0017221C">
        <w:rPr>
          <w:lang w:val="es-ES_tradnl"/>
        </w:rPr>
        <w:t>incluye</w:t>
      </w:r>
      <w:r w:rsidRPr="0017221C">
        <w:rPr>
          <w:lang w:val="es-ES_tradnl"/>
        </w:rPr>
        <w:t xml:space="preserve"> cuadros en que se detallan los ingresos y los gastos.</w:t>
      </w:r>
    </w:p>
    <w:p w14:paraId="663973C3" w14:textId="565A062F" w:rsidR="005F3FA0" w:rsidRPr="0017221C" w:rsidRDefault="005F3FA0" w:rsidP="002019EE">
      <w:pPr>
        <w:rPr>
          <w:rFonts w:asciiTheme="minorHAnsi" w:hAnsiTheme="minorHAnsi"/>
          <w:lang w:val="es-ES_tradnl"/>
        </w:rPr>
      </w:pPr>
      <w:r w:rsidRPr="0017221C">
        <w:rPr>
          <w:lang w:val="es-ES_tradnl"/>
        </w:rPr>
        <w:t>3.3</w:t>
      </w:r>
      <w:r w:rsidRPr="0017221C">
        <w:rPr>
          <w:lang w:val="es-ES_tradnl"/>
        </w:rPr>
        <w:tab/>
        <w:t>En el Cuadro 3 señalado a continuación se compara el proyecto de presupuesto bienal de la Unión para 2024-2025 con el presupuesto de la Unión para 2022-2023.</w:t>
      </w:r>
    </w:p>
    <w:p w14:paraId="387816C8" w14:textId="77777777" w:rsidR="007123AA" w:rsidRPr="0017221C" w:rsidRDefault="007123A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lang w:val="es-ES_tradnl"/>
        </w:rPr>
      </w:pPr>
      <w:r w:rsidRPr="0017221C">
        <w:rPr>
          <w:rFonts w:asciiTheme="minorHAnsi" w:hAnsiTheme="minorHAnsi"/>
          <w:b/>
          <w:bCs/>
          <w:lang w:val="es-ES_tradnl"/>
        </w:rPr>
        <w:br w:type="page"/>
      </w:r>
    </w:p>
    <w:p w14:paraId="2D44B78C" w14:textId="60987949" w:rsidR="00175DBD" w:rsidRPr="0017221C" w:rsidRDefault="005F3FA0" w:rsidP="002019EE">
      <w:pPr>
        <w:pStyle w:val="TableNo"/>
        <w:rPr>
          <w:lang w:val="es-ES_tradnl"/>
        </w:rPr>
      </w:pPr>
      <w:r w:rsidRPr="0017221C">
        <w:rPr>
          <w:lang w:val="es-ES_tradnl"/>
        </w:rPr>
        <w:lastRenderedPageBreak/>
        <w:t>Cuadro 3</w:t>
      </w:r>
    </w:p>
    <w:p w14:paraId="51F836CE" w14:textId="61C9A128" w:rsidR="004639D5" w:rsidRPr="0017221C" w:rsidRDefault="001E1B87" w:rsidP="00796882">
      <w:pPr>
        <w:snapToGrid w:val="0"/>
        <w:spacing w:before="240"/>
        <w:jc w:val="center"/>
        <w:rPr>
          <w:lang w:val="es-ES_tradnl"/>
        </w:rPr>
      </w:pPr>
      <w:r w:rsidRPr="0017221C">
        <w:rPr>
          <w:noProof/>
          <w:lang w:val="es-ES_tradnl"/>
        </w:rPr>
        <w:drawing>
          <wp:inline distT="0" distB="0" distL="0" distR="0" wp14:anchorId="5037FC4D" wp14:editId="4D333644">
            <wp:extent cx="5760085" cy="194056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1940560"/>
                    </a:xfrm>
                    <a:prstGeom prst="rect">
                      <a:avLst/>
                    </a:prstGeom>
                    <a:noFill/>
                    <a:ln>
                      <a:noFill/>
                    </a:ln>
                  </pic:spPr>
                </pic:pic>
              </a:graphicData>
            </a:graphic>
          </wp:inline>
        </w:drawing>
      </w:r>
    </w:p>
    <w:p w14:paraId="37C0FEB1" w14:textId="7A0968B7" w:rsidR="005274F7" w:rsidRPr="0017221C" w:rsidRDefault="003748AC" w:rsidP="002019EE">
      <w:pPr>
        <w:rPr>
          <w:rFonts w:asciiTheme="minorHAnsi" w:hAnsiTheme="minorHAnsi"/>
          <w:lang w:val="es-ES_tradnl"/>
        </w:rPr>
      </w:pPr>
      <w:r w:rsidRPr="0017221C">
        <w:rPr>
          <w:lang w:val="es-ES_tradnl"/>
        </w:rPr>
        <w:t>3.4</w:t>
      </w:r>
      <w:r w:rsidRPr="0017221C">
        <w:rPr>
          <w:lang w:val="es-ES_tradnl"/>
        </w:rPr>
        <w:tab/>
        <w:t>Las principales variaciones por sector son:</w:t>
      </w:r>
    </w:p>
    <w:p w14:paraId="1E6FEFBF" w14:textId="12C55596" w:rsidR="005274F7" w:rsidRPr="0017221C" w:rsidRDefault="005274F7" w:rsidP="002019EE">
      <w:pPr>
        <w:rPr>
          <w:i/>
          <w:iCs/>
          <w:u w:val="single"/>
          <w:lang w:val="es-ES_tradnl"/>
        </w:rPr>
      </w:pPr>
      <w:r w:rsidRPr="0017221C">
        <w:rPr>
          <w:i/>
          <w:iCs/>
          <w:u w:val="single"/>
          <w:lang w:val="es-ES_tradnl"/>
        </w:rPr>
        <w:t>Secretaría General</w:t>
      </w:r>
    </w:p>
    <w:p w14:paraId="68BE619C" w14:textId="1F35EE44" w:rsidR="005274F7" w:rsidRPr="0017221C" w:rsidRDefault="002019EE" w:rsidP="002019EE">
      <w:pPr>
        <w:pStyle w:val="enumlev1"/>
        <w:rPr>
          <w:rFonts w:asciiTheme="minorHAnsi" w:hAnsiTheme="minorHAnsi"/>
          <w:lang w:val="es-ES_tradnl"/>
        </w:rPr>
      </w:pPr>
      <w:r w:rsidRPr="0017221C">
        <w:rPr>
          <w:lang w:val="es-ES_tradnl"/>
        </w:rPr>
        <w:t>–</w:t>
      </w:r>
      <w:r w:rsidRPr="0017221C">
        <w:rPr>
          <w:lang w:val="es-ES_tradnl"/>
        </w:rPr>
        <w:tab/>
      </w:r>
      <w:r w:rsidR="00DD0FC2" w:rsidRPr="0017221C">
        <w:rPr>
          <w:lang w:val="es-ES_tradnl"/>
        </w:rPr>
        <w:t>La ausencia de Conferencia de Plenipotenciarios en 2024-2025, a diferencia de en 2022-2023;</w:t>
      </w:r>
    </w:p>
    <w:p w14:paraId="54171A40" w14:textId="7302603F" w:rsidR="005274F7" w:rsidRPr="0017221C" w:rsidRDefault="002019EE" w:rsidP="002019EE">
      <w:pPr>
        <w:pStyle w:val="enumlev1"/>
        <w:rPr>
          <w:rFonts w:asciiTheme="minorHAnsi" w:hAnsiTheme="minorHAnsi"/>
          <w:lang w:val="es-ES_tradnl"/>
        </w:rPr>
      </w:pPr>
      <w:r w:rsidRPr="0017221C">
        <w:rPr>
          <w:lang w:val="es-ES_tradnl"/>
        </w:rPr>
        <w:t>–</w:t>
      </w:r>
      <w:r w:rsidRPr="0017221C">
        <w:rPr>
          <w:lang w:val="es-ES_tradnl"/>
        </w:rPr>
        <w:tab/>
      </w:r>
      <w:r w:rsidR="00DD0FC2" w:rsidRPr="0017221C">
        <w:rPr>
          <w:lang w:val="es-ES_tradnl"/>
        </w:rPr>
        <w:t>La reducción del coste y el volumen de documentación;</w:t>
      </w:r>
    </w:p>
    <w:p w14:paraId="1A68721A" w14:textId="3D3354E9" w:rsidR="005274F7" w:rsidRPr="0017221C" w:rsidRDefault="002019EE" w:rsidP="002019EE">
      <w:pPr>
        <w:pStyle w:val="enumlev1"/>
        <w:rPr>
          <w:rFonts w:asciiTheme="minorHAnsi" w:hAnsiTheme="minorHAnsi"/>
          <w:lang w:val="es-ES_tradnl"/>
        </w:rPr>
      </w:pPr>
      <w:r w:rsidRPr="0017221C">
        <w:rPr>
          <w:lang w:val="es-ES_tradnl"/>
        </w:rPr>
        <w:t>–</w:t>
      </w:r>
      <w:r w:rsidRPr="0017221C">
        <w:rPr>
          <w:lang w:val="es-ES_tradnl"/>
        </w:rPr>
        <w:tab/>
      </w:r>
      <w:r w:rsidR="00DD0FC2" w:rsidRPr="0017221C">
        <w:rPr>
          <w:lang w:val="es-ES_tradnl"/>
        </w:rPr>
        <w:t>La supresión de la tasa de vacantes del 5%.</w:t>
      </w:r>
    </w:p>
    <w:p w14:paraId="4D252452" w14:textId="23623968" w:rsidR="005274F7" w:rsidRPr="0017221C" w:rsidRDefault="005274F7" w:rsidP="002019EE">
      <w:pPr>
        <w:rPr>
          <w:i/>
          <w:iCs/>
          <w:u w:val="single"/>
          <w:lang w:val="es-ES_tradnl"/>
        </w:rPr>
      </w:pPr>
      <w:r w:rsidRPr="0017221C">
        <w:rPr>
          <w:i/>
          <w:iCs/>
          <w:u w:val="single"/>
          <w:lang w:val="es-ES_tradnl"/>
        </w:rPr>
        <w:t>Sector de Radiocomunicaciones</w:t>
      </w:r>
    </w:p>
    <w:p w14:paraId="7C5E0503" w14:textId="5BC117AB" w:rsidR="005274F7" w:rsidRPr="0017221C" w:rsidRDefault="002019EE" w:rsidP="002019EE">
      <w:pPr>
        <w:pStyle w:val="enumlev1"/>
        <w:rPr>
          <w:rFonts w:asciiTheme="minorHAnsi" w:hAnsiTheme="minorHAnsi"/>
          <w:lang w:val="es-ES_tradnl"/>
        </w:rPr>
      </w:pPr>
      <w:r w:rsidRPr="0017221C">
        <w:rPr>
          <w:lang w:val="es-ES_tradnl"/>
        </w:rPr>
        <w:t>–</w:t>
      </w:r>
      <w:r w:rsidRPr="0017221C">
        <w:rPr>
          <w:lang w:val="es-ES_tradnl"/>
        </w:rPr>
        <w:tab/>
      </w:r>
      <w:r w:rsidR="00DD0FC2" w:rsidRPr="0017221C">
        <w:rPr>
          <w:lang w:val="es-ES_tradnl"/>
        </w:rPr>
        <w:t>No se celebrará ninguna Conferencia Mundial de Radiocomunicaciones ni ninguna</w:t>
      </w:r>
      <w:r w:rsidR="00175DBD" w:rsidRPr="0017221C">
        <w:rPr>
          <w:lang w:val="es-ES_tradnl"/>
        </w:rPr>
        <w:t xml:space="preserve"> </w:t>
      </w:r>
      <w:r w:rsidR="00DD0FC2" w:rsidRPr="0017221C">
        <w:rPr>
          <w:lang w:val="es-ES_tradnl"/>
        </w:rPr>
        <w:t>Asamblea de Radiocomunicaciones en</w:t>
      </w:r>
      <w:r w:rsidR="0033780C" w:rsidRPr="0017221C">
        <w:rPr>
          <w:rFonts w:asciiTheme="minorHAnsi" w:hAnsiTheme="minorHAnsi"/>
          <w:lang w:val="es-ES_tradnl"/>
        </w:rPr>
        <w:t xml:space="preserve"> </w:t>
      </w:r>
      <w:r w:rsidR="005274F7" w:rsidRPr="0017221C">
        <w:rPr>
          <w:lang w:val="es-ES_tradnl"/>
        </w:rPr>
        <w:t>2024-2025, a diferencia de en 2022-2023;</w:t>
      </w:r>
    </w:p>
    <w:p w14:paraId="63F5D1F1" w14:textId="5353C77C" w:rsidR="005274F7" w:rsidRPr="0017221C" w:rsidRDefault="002019EE" w:rsidP="002019EE">
      <w:pPr>
        <w:pStyle w:val="enumlev1"/>
        <w:rPr>
          <w:rFonts w:asciiTheme="minorHAnsi" w:hAnsiTheme="minorHAnsi"/>
          <w:lang w:val="es-ES_tradnl"/>
        </w:rPr>
      </w:pPr>
      <w:r w:rsidRPr="0017221C">
        <w:rPr>
          <w:lang w:val="es-ES_tradnl"/>
        </w:rPr>
        <w:t>–</w:t>
      </w:r>
      <w:r w:rsidRPr="0017221C">
        <w:rPr>
          <w:lang w:val="es-ES_tradnl"/>
        </w:rPr>
        <w:tab/>
      </w:r>
      <w:r w:rsidR="00DD0FC2" w:rsidRPr="0017221C">
        <w:rPr>
          <w:lang w:val="es-ES_tradnl"/>
        </w:rPr>
        <w:t>La actualización de las aplicaciones de software de la Oficina de Radiocomunicaciones;</w:t>
      </w:r>
    </w:p>
    <w:p w14:paraId="2CD666BE" w14:textId="5018B863" w:rsidR="0021380D" w:rsidRPr="0017221C" w:rsidRDefault="002019EE" w:rsidP="002019EE">
      <w:pPr>
        <w:pStyle w:val="enumlev1"/>
        <w:rPr>
          <w:rFonts w:asciiTheme="minorHAnsi" w:hAnsiTheme="minorHAnsi"/>
          <w:lang w:val="es-ES_tradnl"/>
        </w:rPr>
      </w:pPr>
      <w:r w:rsidRPr="0017221C">
        <w:rPr>
          <w:lang w:val="es-ES_tradnl"/>
        </w:rPr>
        <w:t>–</w:t>
      </w:r>
      <w:r w:rsidRPr="0017221C">
        <w:rPr>
          <w:lang w:val="es-ES_tradnl"/>
        </w:rPr>
        <w:tab/>
      </w:r>
      <w:r w:rsidR="00DD0FC2" w:rsidRPr="0017221C">
        <w:rPr>
          <w:lang w:val="es-ES_tradnl"/>
        </w:rPr>
        <w:t>La supresión de la tasa de vacantes del 5%.</w:t>
      </w:r>
    </w:p>
    <w:p w14:paraId="1479C715" w14:textId="23C5754A" w:rsidR="005274F7" w:rsidRPr="0017221C" w:rsidRDefault="005274F7" w:rsidP="002019EE">
      <w:pPr>
        <w:rPr>
          <w:i/>
          <w:iCs/>
          <w:u w:val="single"/>
          <w:lang w:val="es-ES_tradnl"/>
        </w:rPr>
      </w:pPr>
      <w:r w:rsidRPr="0017221C">
        <w:rPr>
          <w:i/>
          <w:iCs/>
          <w:u w:val="single"/>
          <w:lang w:val="es-ES_tradnl"/>
        </w:rPr>
        <w:t>Sector de Normalización de las Telecomunicaciones</w:t>
      </w:r>
    </w:p>
    <w:p w14:paraId="26BCB0B6" w14:textId="5B471A76" w:rsidR="005274F7" w:rsidRPr="0017221C" w:rsidRDefault="002019EE" w:rsidP="002019EE">
      <w:pPr>
        <w:pStyle w:val="enumlev1"/>
        <w:rPr>
          <w:rFonts w:asciiTheme="minorHAnsi" w:hAnsiTheme="minorHAnsi"/>
          <w:lang w:val="es-ES_tradnl"/>
        </w:rPr>
      </w:pPr>
      <w:r w:rsidRPr="0017221C">
        <w:rPr>
          <w:lang w:val="es-ES_tradnl"/>
        </w:rPr>
        <w:t>–</w:t>
      </w:r>
      <w:r w:rsidRPr="0017221C">
        <w:rPr>
          <w:lang w:val="es-ES_tradnl"/>
        </w:rPr>
        <w:tab/>
      </w:r>
      <w:r w:rsidR="00C234C4" w:rsidRPr="0017221C">
        <w:rPr>
          <w:lang w:val="es-ES_tradnl"/>
        </w:rPr>
        <w:t>La inteligencia artificial;</w:t>
      </w:r>
    </w:p>
    <w:p w14:paraId="37E3FE18" w14:textId="51CF0678" w:rsidR="0021380D" w:rsidRPr="0017221C" w:rsidRDefault="002019EE" w:rsidP="002019EE">
      <w:pPr>
        <w:pStyle w:val="enumlev1"/>
        <w:rPr>
          <w:rFonts w:asciiTheme="minorHAnsi" w:hAnsiTheme="minorHAnsi"/>
          <w:lang w:val="es-ES_tradnl"/>
        </w:rPr>
      </w:pPr>
      <w:r w:rsidRPr="0017221C">
        <w:rPr>
          <w:lang w:val="es-ES_tradnl"/>
        </w:rPr>
        <w:t>–</w:t>
      </w:r>
      <w:r w:rsidRPr="0017221C">
        <w:rPr>
          <w:lang w:val="es-ES_tradnl"/>
        </w:rPr>
        <w:tab/>
      </w:r>
      <w:r w:rsidR="00DD0FC2" w:rsidRPr="0017221C">
        <w:rPr>
          <w:lang w:val="es-ES_tradnl"/>
        </w:rPr>
        <w:t>La supresión de la tasa de vacantes del 5%.</w:t>
      </w:r>
    </w:p>
    <w:p w14:paraId="6B9B4474" w14:textId="05CC1800" w:rsidR="005274F7" w:rsidRPr="0017221C" w:rsidRDefault="005274F7" w:rsidP="002019EE">
      <w:pPr>
        <w:rPr>
          <w:i/>
          <w:iCs/>
          <w:u w:val="single"/>
          <w:lang w:val="es-ES_tradnl"/>
        </w:rPr>
      </w:pPr>
      <w:r w:rsidRPr="0017221C">
        <w:rPr>
          <w:i/>
          <w:iCs/>
          <w:u w:val="single"/>
          <w:lang w:val="es-ES_tradnl"/>
        </w:rPr>
        <w:t>Sector de Desarrollo de las Telecomunicaciones</w:t>
      </w:r>
    </w:p>
    <w:p w14:paraId="72596F1B" w14:textId="26634728" w:rsidR="005274F7" w:rsidRPr="0017221C" w:rsidRDefault="002019EE" w:rsidP="002019EE">
      <w:pPr>
        <w:pStyle w:val="enumlev1"/>
        <w:rPr>
          <w:rFonts w:asciiTheme="minorHAnsi" w:hAnsiTheme="minorHAnsi"/>
          <w:lang w:val="es-ES_tradnl"/>
        </w:rPr>
      </w:pPr>
      <w:r w:rsidRPr="0017221C">
        <w:rPr>
          <w:lang w:val="es-ES_tradnl"/>
        </w:rPr>
        <w:t>–</w:t>
      </w:r>
      <w:r w:rsidRPr="0017221C">
        <w:rPr>
          <w:lang w:val="es-ES_tradnl"/>
        </w:rPr>
        <w:tab/>
      </w:r>
      <w:r w:rsidR="00DD0FC2" w:rsidRPr="0017221C">
        <w:rPr>
          <w:lang w:val="es-ES_tradnl"/>
        </w:rPr>
        <w:t>La nueva Oficina Zonal de la India (financiada por la India);</w:t>
      </w:r>
    </w:p>
    <w:p w14:paraId="2B7CDCE8" w14:textId="216A92D6" w:rsidR="0021380D" w:rsidRPr="0017221C" w:rsidRDefault="002019EE" w:rsidP="002019EE">
      <w:pPr>
        <w:pStyle w:val="enumlev1"/>
        <w:rPr>
          <w:rFonts w:asciiTheme="minorHAnsi" w:hAnsiTheme="minorHAnsi"/>
          <w:lang w:val="es-ES_tradnl"/>
        </w:rPr>
      </w:pPr>
      <w:r w:rsidRPr="0017221C">
        <w:rPr>
          <w:lang w:val="es-ES_tradnl"/>
        </w:rPr>
        <w:t>–</w:t>
      </w:r>
      <w:r w:rsidRPr="0017221C">
        <w:rPr>
          <w:lang w:val="es-ES_tradnl"/>
        </w:rPr>
        <w:tab/>
      </w:r>
      <w:r w:rsidR="00DD0FC2" w:rsidRPr="0017221C">
        <w:rPr>
          <w:lang w:val="es-ES_tradnl"/>
        </w:rPr>
        <w:t>La supresión de la tasa de vacantes del 5%.</w:t>
      </w:r>
    </w:p>
    <w:p w14:paraId="77D75541" w14:textId="77777777" w:rsidR="0021380D" w:rsidRPr="0017221C" w:rsidRDefault="0021380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s-ES_tradnl"/>
        </w:rPr>
      </w:pPr>
      <w:r w:rsidRPr="0017221C">
        <w:rPr>
          <w:rFonts w:asciiTheme="minorHAnsi" w:hAnsiTheme="minorHAnsi"/>
          <w:lang w:val="es-ES_tradnl"/>
        </w:rPr>
        <w:br w:type="page"/>
      </w:r>
    </w:p>
    <w:p w14:paraId="007715A5" w14:textId="4634E3C3" w:rsidR="005F3FA0" w:rsidRPr="0017221C" w:rsidRDefault="005F3FA0" w:rsidP="002019EE">
      <w:pPr>
        <w:rPr>
          <w:rFonts w:asciiTheme="minorHAnsi" w:hAnsiTheme="minorHAnsi"/>
          <w:lang w:val="es-ES_tradnl"/>
        </w:rPr>
      </w:pPr>
      <w:r w:rsidRPr="0017221C">
        <w:rPr>
          <w:lang w:val="es-ES_tradnl"/>
        </w:rPr>
        <w:lastRenderedPageBreak/>
        <w:t>3.5</w:t>
      </w:r>
      <w:r w:rsidRPr="0017221C">
        <w:rPr>
          <w:lang w:val="es-ES_tradnl"/>
        </w:rPr>
        <w:tab/>
        <w:t>El Gráfico 5 presenta un desglose del proyecto de presupuesto bienal de la Unión para</w:t>
      </w:r>
      <w:r w:rsidR="0027619E" w:rsidRPr="0017221C">
        <w:rPr>
          <w:lang w:val="es-ES_tradnl"/>
        </w:rPr>
        <w:t> </w:t>
      </w:r>
      <w:r w:rsidRPr="0017221C">
        <w:rPr>
          <w:lang w:val="es-ES_tradnl"/>
        </w:rPr>
        <w:t>2024-2025 por Sector.</w:t>
      </w:r>
    </w:p>
    <w:p w14:paraId="77A7BEC4" w14:textId="2EB898ED" w:rsidR="005F3FA0" w:rsidRPr="0017221C" w:rsidRDefault="005F3FA0" w:rsidP="002019EE">
      <w:pPr>
        <w:pStyle w:val="FigureNo"/>
        <w:rPr>
          <w:rFonts w:asciiTheme="minorHAnsi" w:hAnsiTheme="minorHAnsi"/>
          <w:lang w:val="es-ES_tradnl"/>
        </w:rPr>
      </w:pPr>
      <w:r w:rsidRPr="0017221C">
        <w:rPr>
          <w:lang w:val="es-ES_tradnl"/>
        </w:rPr>
        <w:t>Gráfico 5</w:t>
      </w:r>
    </w:p>
    <w:p w14:paraId="4C83C9F3" w14:textId="20B9EC4F" w:rsidR="0021380D" w:rsidRPr="0017221C" w:rsidRDefault="000259AA" w:rsidP="00BE30E6">
      <w:pPr>
        <w:snapToGrid w:val="0"/>
        <w:jc w:val="center"/>
        <w:rPr>
          <w:rFonts w:asciiTheme="minorHAnsi" w:hAnsiTheme="minorHAnsi"/>
          <w:lang w:val="es-ES_tradnl"/>
        </w:rPr>
      </w:pPr>
      <w:r w:rsidRPr="0017221C">
        <w:rPr>
          <w:rFonts w:asciiTheme="minorHAnsi" w:hAnsiTheme="minorHAnsi"/>
          <w:noProof/>
          <w:lang w:val="es-ES_tradnl" w:eastAsia="es-ES"/>
        </w:rPr>
        <w:drawing>
          <wp:inline distT="0" distB="0" distL="0" distR="0" wp14:anchorId="26E9B214" wp14:editId="32000467">
            <wp:extent cx="5646589" cy="2730500"/>
            <wp:effectExtent l="0" t="0" r="0" b="0"/>
            <wp:docPr id="1093852581" name="Imagen 109385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9834" cy="2732069"/>
                    </a:xfrm>
                    <a:prstGeom prst="rect">
                      <a:avLst/>
                    </a:prstGeom>
                    <a:noFill/>
                  </pic:spPr>
                </pic:pic>
              </a:graphicData>
            </a:graphic>
          </wp:inline>
        </w:drawing>
      </w:r>
    </w:p>
    <w:p w14:paraId="56F2222C" w14:textId="76E74CEF" w:rsidR="005F3FA0" w:rsidRPr="0017221C" w:rsidRDefault="005F3FA0" w:rsidP="00BE30E6">
      <w:pPr>
        <w:snapToGrid w:val="0"/>
        <w:jc w:val="center"/>
        <w:rPr>
          <w:rFonts w:asciiTheme="minorHAnsi" w:hAnsiTheme="minorHAnsi"/>
          <w:lang w:val="es-ES_tradnl"/>
        </w:rPr>
      </w:pPr>
    </w:p>
    <w:p w14:paraId="39A94A48" w14:textId="2BF653B6" w:rsidR="005F3FA0" w:rsidRPr="0017221C" w:rsidRDefault="005F3FA0" w:rsidP="002019EE">
      <w:pPr>
        <w:pStyle w:val="Heading1"/>
        <w:rPr>
          <w:rFonts w:asciiTheme="minorHAnsi" w:hAnsiTheme="minorHAnsi"/>
          <w:lang w:val="es-ES_tradnl"/>
        </w:rPr>
      </w:pPr>
      <w:r w:rsidRPr="0017221C">
        <w:rPr>
          <w:lang w:val="es-ES_tradnl"/>
        </w:rPr>
        <w:t>4</w:t>
      </w:r>
      <w:r w:rsidRPr="0017221C">
        <w:rPr>
          <w:lang w:val="es-ES_tradnl"/>
        </w:rPr>
        <w:tab/>
        <w:t>Bases e indicadores</w:t>
      </w:r>
    </w:p>
    <w:p w14:paraId="2EF4E3B7" w14:textId="79A85DAB" w:rsidR="005F3FA0" w:rsidRPr="0017221C" w:rsidRDefault="005F3FA0" w:rsidP="00EA19F8">
      <w:pPr>
        <w:snapToGrid w:val="0"/>
        <w:contextualSpacing/>
        <w:rPr>
          <w:rFonts w:asciiTheme="minorHAnsi" w:hAnsiTheme="minorHAnsi"/>
          <w:lang w:val="es-ES_tradnl"/>
        </w:rPr>
      </w:pPr>
      <w:r w:rsidRPr="0017221C">
        <w:rPr>
          <w:lang w:val="es-ES_tradnl"/>
        </w:rPr>
        <w:t>4.1</w:t>
      </w:r>
      <w:r w:rsidRPr="0017221C">
        <w:rPr>
          <w:lang w:val="es-ES_tradnl"/>
        </w:rPr>
        <w:tab/>
        <w:t>El proyecto de presupuesto bienal de la Unión para 2024-2025 se basa en lo siguiente:</w:t>
      </w:r>
    </w:p>
    <w:p w14:paraId="6A86B454" w14:textId="70F3C901" w:rsidR="005F3FA0" w:rsidRPr="0017221C" w:rsidRDefault="002019EE" w:rsidP="002019EE">
      <w:pPr>
        <w:pStyle w:val="enumlev1"/>
        <w:rPr>
          <w:rFonts w:asciiTheme="minorHAnsi" w:hAnsiTheme="minorHAnsi"/>
          <w:lang w:val="es-ES_tradnl"/>
        </w:rPr>
      </w:pPr>
      <w:r w:rsidRPr="0017221C">
        <w:rPr>
          <w:lang w:val="es-ES_tradnl"/>
        </w:rPr>
        <w:t>–</w:t>
      </w:r>
      <w:r w:rsidRPr="0017221C">
        <w:rPr>
          <w:lang w:val="es-ES_tradnl"/>
        </w:rPr>
        <w:tab/>
      </w:r>
      <w:r w:rsidR="00742D22" w:rsidRPr="0017221C">
        <w:rPr>
          <w:lang w:val="es-ES_tradnl"/>
        </w:rPr>
        <w:t>un tipo de cambio de 1,0 USD = 0,929 CHF, que corresponde al tipo de cambio vigente en enero de 2023;</w:t>
      </w:r>
    </w:p>
    <w:p w14:paraId="4A6E0BFE" w14:textId="53731BFB" w:rsidR="005F3FA0" w:rsidRPr="0017221C" w:rsidRDefault="002019EE" w:rsidP="002019EE">
      <w:pPr>
        <w:pStyle w:val="enumlev1"/>
        <w:rPr>
          <w:rFonts w:asciiTheme="minorHAnsi" w:hAnsiTheme="minorHAnsi"/>
          <w:lang w:val="es-ES_tradnl"/>
        </w:rPr>
      </w:pPr>
      <w:r w:rsidRPr="0017221C">
        <w:rPr>
          <w:lang w:val="es-ES_tradnl"/>
        </w:rPr>
        <w:t>–</w:t>
      </w:r>
      <w:r w:rsidRPr="0017221C">
        <w:rPr>
          <w:lang w:val="es-ES_tradnl"/>
        </w:rPr>
        <w:tab/>
      </w:r>
      <w:r w:rsidR="00742D22" w:rsidRPr="0017221C">
        <w:rPr>
          <w:lang w:val="es-ES_tradnl"/>
        </w:rPr>
        <w:t>las condiciones de empleo que prevalecían en el régimen común de las Naciones Unidas a 1 de enero de 2023.</w:t>
      </w:r>
    </w:p>
    <w:p w14:paraId="15CC7C41" w14:textId="7EFBFB91" w:rsidR="005F3FA0" w:rsidRPr="0017221C" w:rsidRDefault="005F3FA0" w:rsidP="002019EE">
      <w:pPr>
        <w:rPr>
          <w:rFonts w:asciiTheme="minorHAnsi" w:hAnsiTheme="minorHAnsi"/>
          <w:lang w:val="es-ES_tradnl"/>
        </w:rPr>
      </w:pPr>
      <w:r w:rsidRPr="0017221C">
        <w:rPr>
          <w:lang w:val="es-ES_tradnl"/>
        </w:rPr>
        <w:t>4.2</w:t>
      </w:r>
      <w:r w:rsidRPr="0017221C">
        <w:rPr>
          <w:lang w:val="es-ES_tradnl"/>
        </w:rPr>
        <w:tab/>
        <w:t>El proyecto de presupuesto bienal de la Unión para 2024-2025 no incluye ninguna provisión por posibles aumentos de costes para el periodo comprendido entre el 1 de enero de 2023 al 31 de diciembre de 2025.</w:t>
      </w:r>
    </w:p>
    <w:p w14:paraId="63300955" w14:textId="2C6821CC" w:rsidR="005F3FA0" w:rsidRPr="0017221C" w:rsidRDefault="005F3FA0" w:rsidP="002019EE">
      <w:pPr>
        <w:rPr>
          <w:rFonts w:asciiTheme="minorHAnsi" w:hAnsiTheme="minorHAnsi"/>
          <w:lang w:val="es-ES_tradnl"/>
        </w:rPr>
      </w:pPr>
      <w:r w:rsidRPr="0017221C">
        <w:rPr>
          <w:lang w:val="es-ES_tradnl"/>
        </w:rPr>
        <w:t>4.3</w:t>
      </w:r>
      <w:r w:rsidRPr="0017221C">
        <w:rPr>
          <w:lang w:val="es-ES_tradnl"/>
        </w:rPr>
        <w:tab/>
        <w:t>Los gastos figuran clasificados como gastos de funcionamiento o gastos de capital en los cuadros del proyecto de resolución incluido en el Anexo al presente documento. Los gastos de capital se refieren a los artículos que tienen una vida útil de más de un año y un valor estimado superior a 5 000 CHF. En el proyecto de presupuesto bienal de la Unión para</w:t>
      </w:r>
      <w:r w:rsidR="0027619E" w:rsidRPr="0017221C">
        <w:rPr>
          <w:lang w:val="es-ES_tradnl"/>
        </w:rPr>
        <w:t> </w:t>
      </w:r>
      <w:r w:rsidRPr="0017221C">
        <w:rPr>
          <w:lang w:val="es-ES_tradnl"/>
        </w:rPr>
        <w:t>2024-2025 se estima un total de 796 000 CHF en gastos de capital (véase el Cuadro 12 del Anexo al presente documento).</w:t>
      </w:r>
    </w:p>
    <w:p w14:paraId="3E35DAC4" w14:textId="70E4645F" w:rsidR="005F3FA0" w:rsidRPr="0017221C" w:rsidRDefault="005F3FA0" w:rsidP="00E87945">
      <w:pPr>
        <w:pStyle w:val="Heading1"/>
        <w:rPr>
          <w:rFonts w:asciiTheme="minorHAnsi" w:hAnsiTheme="minorHAnsi"/>
          <w:lang w:val="es-ES_tradnl"/>
        </w:rPr>
      </w:pPr>
      <w:r w:rsidRPr="0017221C">
        <w:rPr>
          <w:lang w:val="es-ES_tradnl"/>
        </w:rPr>
        <w:t>5</w:t>
      </w:r>
      <w:r w:rsidRPr="0017221C">
        <w:rPr>
          <w:lang w:val="es-ES_tradnl"/>
        </w:rPr>
        <w:tab/>
        <w:t>Becas</w:t>
      </w:r>
    </w:p>
    <w:p w14:paraId="13E6F3E0" w14:textId="5F1AE2DF" w:rsidR="005F3FA0" w:rsidRPr="0017221C" w:rsidRDefault="005F3FA0" w:rsidP="003748AC">
      <w:pPr>
        <w:snapToGrid w:val="0"/>
        <w:rPr>
          <w:rFonts w:asciiTheme="minorHAnsi" w:hAnsiTheme="minorHAnsi"/>
          <w:lang w:val="es-ES_tradnl"/>
        </w:rPr>
      </w:pPr>
      <w:r w:rsidRPr="0017221C">
        <w:rPr>
          <w:lang w:val="es-ES_tradnl"/>
        </w:rPr>
        <w:t>5.1</w:t>
      </w:r>
      <w:r w:rsidRPr="0017221C">
        <w:rPr>
          <w:lang w:val="es-ES_tradnl"/>
        </w:rPr>
        <w:tab/>
        <w:t>Los gastos previstos relativos a las becas se cifran en 2 361 000 CHF en el proyecto de presupuesto bienal de la Unión para 2024-2025, en comparación con los 2 065 000 CHF cifrados en el presupuesto de la Unión para 2022</w:t>
      </w:r>
      <w:r w:rsidRPr="0017221C">
        <w:rPr>
          <w:lang w:val="es-ES_tradnl"/>
        </w:rPr>
        <w:noBreakHyphen/>
        <w:t>2023, desglosados por Sectores según se indica en el Cuadro 4.</w:t>
      </w:r>
    </w:p>
    <w:p w14:paraId="0DD133EE" w14:textId="77777777" w:rsidR="0021380D" w:rsidRPr="0017221C" w:rsidRDefault="0021380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lang w:val="es-ES_tradnl"/>
        </w:rPr>
      </w:pPr>
      <w:r w:rsidRPr="0017221C">
        <w:rPr>
          <w:rFonts w:asciiTheme="minorHAnsi" w:hAnsiTheme="minorHAnsi"/>
          <w:b/>
          <w:bCs/>
          <w:lang w:val="es-ES_tradnl"/>
        </w:rPr>
        <w:br w:type="page"/>
      </w:r>
    </w:p>
    <w:p w14:paraId="30F5295A" w14:textId="34A27718" w:rsidR="005F3FA0" w:rsidRPr="0017221C" w:rsidRDefault="005F3FA0" w:rsidP="00E87945">
      <w:pPr>
        <w:pStyle w:val="TableNo"/>
        <w:rPr>
          <w:rFonts w:asciiTheme="minorHAnsi" w:hAnsiTheme="minorHAnsi"/>
          <w:lang w:val="es-ES_tradnl"/>
        </w:rPr>
      </w:pPr>
      <w:r w:rsidRPr="0017221C">
        <w:rPr>
          <w:lang w:val="es-ES_tradnl"/>
        </w:rPr>
        <w:lastRenderedPageBreak/>
        <w:t>Cuadro 4</w:t>
      </w:r>
    </w:p>
    <w:tbl>
      <w:tblPr>
        <w:tblW w:w="6480" w:type="dxa"/>
        <w:tblInd w:w="55" w:type="dxa"/>
        <w:tblCellMar>
          <w:left w:w="70" w:type="dxa"/>
          <w:right w:w="70" w:type="dxa"/>
        </w:tblCellMar>
        <w:tblLook w:val="04A0" w:firstRow="1" w:lastRow="0" w:firstColumn="1" w:lastColumn="0" w:noHBand="0" w:noVBand="1"/>
      </w:tblPr>
      <w:tblGrid>
        <w:gridCol w:w="3560"/>
        <w:gridCol w:w="1640"/>
        <w:gridCol w:w="1280"/>
      </w:tblGrid>
      <w:tr w:rsidR="00257A74" w:rsidRPr="0017221C" w14:paraId="3DD50B2F" w14:textId="77777777" w:rsidTr="00257A74">
        <w:trPr>
          <w:trHeight w:val="310"/>
        </w:trPr>
        <w:tc>
          <w:tcPr>
            <w:tcW w:w="3560" w:type="dxa"/>
            <w:tcBorders>
              <w:top w:val="nil"/>
              <w:left w:val="nil"/>
              <w:bottom w:val="nil"/>
              <w:right w:val="nil"/>
            </w:tcBorders>
            <w:shd w:val="clear" w:color="auto" w:fill="auto"/>
            <w:noWrap/>
            <w:vAlign w:val="bottom"/>
            <w:hideMark/>
          </w:tcPr>
          <w:p w14:paraId="35DCEB4B" w14:textId="77777777" w:rsidR="00257A74" w:rsidRPr="0017221C" w:rsidRDefault="00257A74" w:rsidP="00257A7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_tradnl" w:eastAsia="es-ES"/>
              </w:rPr>
            </w:pPr>
          </w:p>
        </w:tc>
        <w:tc>
          <w:tcPr>
            <w:tcW w:w="2920" w:type="dxa"/>
            <w:gridSpan w:val="2"/>
            <w:tcBorders>
              <w:top w:val="nil"/>
              <w:left w:val="nil"/>
              <w:bottom w:val="nil"/>
              <w:right w:val="nil"/>
            </w:tcBorders>
            <w:shd w:val="clear" w:color="auto" w:fill="auto"/>
            <w:noWrap/>
            <w:vAlign w:val="center"/>
            <w:hideMark/>
          </w:tcPr>
          <w:p w14:paraId="773B6D17" w14:textId="77777777" w:rsidR="00257A74" w:rsidRPr="0017221C" w:rsidRDefault="00257A74" w:rsidP="00E87945">
            <w:pPr>
              <w:pStyle w:val="Tabletext"/>
              <w:jc w:val="center"/>
              <w:rPr>
                <w:lang w:val="es-ES_tradnl" w:eastAsia="es-ES"/>
              </w:rPr>
            </w:pPr>
            <w:r w:rsidRPr="0017221C">
              <w:rPr>
                <w:lang w:val="es-ES_tradnl" w:eastAsia="es-ES"/>
              </w:rPr>
              <w:t>Miles de CHF</w:t>
            </w:r>
          </w:p>
        </w:tc>
      </w:tr>
      <w:tr w:rsidR="00257A74" w:rsidRPr="0017221C" w14:paraId="59BDB314" w14:textId="77777777" w:rsidTr="00257A74">
        <w:trPr>
          <w:trHeight w:val="930"/>
        </w:trPr>
        <w:tc>
          <w:tcPr>
            <w:tcW w:w="3560" w:type="dxa"/>
            <w:tcBorders>
              <w:top w:val="nil"/>
              <w:left w:val="nil"/>
              <w:bottom w:val="nil"/>
              <w:right w:val="nil"/>
            </w:tcBorders>
            <w:shd w:val="clear" w:color="000000" w:fill="02385E"/>
            <w:noWrap/>
            <w:vAlign w:val="center"/>
            <w:hideMark/>
          </w:tcPr>
          <w:p w14:paraId="311ADF6B" w14:textId="77777777" w:rsidR="00257A74" w:rsidRPr="0017221C" w:rsidRDefault="00257A74" w:rsidP="00E87945">
            <w:pPr>
              <w:pStyle w:val="Tablehead"/>
              <w:rPr>
                <w:lang w:val="es-ES_tradnl" w:eastAsia="es-ES"/>
              </w:rPr>
            </w:pPr>
            <w:r w:rsidRPr="0017221C">
              <w:rPr>
                <w:lang w:val="es-ES_tradnl" w:eastAsia="es-ES"/>
              </w:rPr>
              <w:t> </w:t>
            </w:r>
          </w:p>
        </w:tc>
        <w:tc>
          <w:tcPr>
            <w:tcW w:w="1640" w:type="dxa"/>
            <w:tcBorders>
              <w:top w:val="nil"/>
              <w:left w:val="nil"/>
              <w:bottom w:val="nil"/>
              <w:right w:val="nil"/>
            </w:tcBorders>
            <w:shd w:val="clear" w:color="000000" w:fill="D6896F"/>
            <w:vAlign w:val="center"/>
            <w:hideMark/>
          </w:tcPr>
          <w:p w14:paraId="6EF9E170" w14:textId="77777777" w:rsidR="00257A74" w:rsidRPr="0017221C" w:rsidRDefault="00257A74" w:rsidP="00E87945">
            <w:pPr>
              <w:pStyle w:val="Tablehead"/>
              <w:rPr>
                <w:lang w:val="es-ES_tradnl" w:eastAsia="es-ES"/>
              </w:rPr>
            </w:pPr>
            <w:r w:rsidRPr="0017221C">
              <w:rPr>
                <w:lang w:val="es-ES_tradnl" w:eastAsia="es-ES"/>
              </w:rPr>
              <w:t>Presupuesto 2022-2023</w:t>
            </w:r>
          </w:p>
        </w:tc>
        <w:tc>
          <w:tcPr>
            <w:tcW w:w="1280" w:type="dxa"/>
            <w:tcBorders>
              <w:top w:val="nil"/>
              <w:left w:val="nil"/>
              <w:bottom w:val="nil"/>
              <w:right w:val="nil"/>
            </w:tcBorders>
            <w:shd w:val="clear" w:color="000000" w:fill="785C57"/>
            <w:vAlign w:val="center"/>
            <w:hideMark/>
          </w:tcPr>
          <w:p w14:paraId="034A702A" w14:textId="77777777" w:rsidR="00257A74" w:rsidRPr="0017221C" w:rsidRDefault="00257A74" w:rsidP="00E87945">
            <w:pPr>
              <w:pStyle w:val="Tablehead"/>
              <w:rPr>
                <w:lang w:val="es-ES_tradnl" w:eastAsia="es-ES"/>
              </w:rPr>
            </w:pPr>
            <w:r w:rsidRPr="0017221C">
              <w:rPr>
                <w:lang w:val="es-ES_tradnl" w:eastAsia="es-ES"/>
              </w:rPr>
              <w:t>Estimación 2024-2025</w:t>
            </w:r>
          </w:p>
        </w:tc>
      </w:tr>
      <w:tr w:rsidR="00257A74" w:rsidRPr="0017221C" w14:paraId="49DF6204" w14:textId="77777777" w:rsidTr="00257A74">
        <w:trPr>
          <w:trHeight w:val="310"/>
        </w:trPr>
        <w:tc>
          <w:tcPr>
            <w:tcW w:w="3560" w:type="dxa"/>
            <w:tcBorders>
              <w:top w:val="single" w:sz="4" w:space="0" w:color="auto"/>
              <w:left w:val="nil"/>
              <w:bottom w:val="nil"/>
              <w:right w:val="nil"/>
            </w:tcBorders>
            <w:shd w:val="clear" w:color="000000" w:fill="F5F7F8"/>
            <w:noWrap/>
            <w:vAlign w:val="bottom"/>
            <w:hideMark/>
          </w:tcPr>
          <w:p w14:paraId="5D8BEC78" w14:textId="77777777" w:rsidR="00257A74" w:rsidRPr="0017221C" w:rsidRDefault="00257A74" w:rsidP="00E87945">
            <w:pPr>
              <w:pStyle w:val="Tabletext"/>
              <w:rPr>
                <w:lang w:val="es-ES_tradnl" w:eastAsia="es-ES"/>
              </w:rPr>
            </w:pPr>
            <w:r w:rsidRPr="0017221C">
              <w:rPr>
                <w:lang w:val="es-ES_tradnl" w:eastAsia="es-ES"/>
              </w:rPr>
              <w:t>Intersectorial</w:t>
            </w:r>
          </w:p>
        </w:tc>
        <w:tc>
          <w:tcPr>
            <w:tcW w:w="1640" w:type="dxa"/>
            <w:tcBorders>
              <w:top w:val="single" w:sz="4" w:space="0" w:color="auto"/>
              <w:left w:val="nil"/>
              <w:bottom w:val="nil"/>
              <w:right w:val="nil"/>
            </w:tcBorders>
            <w:shd w:val="clear" w:color="000000" w:fill="FBF1EE"/>
            <w:noWrap/>
            <w:vAlign w:val="bottom"/>
            <w:hideMark/>
          </w:tcPr>
          <w:p w14:paraId="5BFB9F25" w14:textId="77777777" w:rsidR="00257A74" w:rsidRPr="0017221C" w:rsidRDefault="00257A74" w:rsidP="00E87945">
            <w:pPr>
              <w:pStyle w:val="Tabletext"/>
              <w:jc w:val="right"/>
              <w:rPr>
                <w:lang w:val="es-ES_tradnl" w:eastAsia="es-ES"/>
              </w:rPr>
            </w:pPr>
            <w:r w:rsidRPr="0017221C">
              <w:rPr>
                <w:lang w:val="es-ES_tradnl" w:eastAsia="es-ES"/>
              </w:rPr>
              <w:t> </w:t>
            </w:r>
          </w:p>
        </w:tc>
        <w:tc>
          <w:tcPr>
            <w:tcW w:w="1280" w:type="dxa"/>
            <w:tcBorders>
              <w:top w:val="single" w:sz="4" w:space="0" w:color="auto"/>
              <w:left w:val="nil"/>
              <w:bottom w:val="nil"/>
              <w:right w:val="nil"/>
            </w:tcBorders>
            <w:shd w:val="clear" w:color="000000" w:fill="EFECEB"/>
            <w:noWrap/>
            <w:vAlign w:val="bottom"/>
            <w:hideMark/>
          </w:tcPr>
          <w:p w14:paraId="5F152954" w14:textId="77777777" w:rsidR="00257A74" w:rsidRPr="0017221C" w:rsidRDefault="00257A74" w:rsidP="00E87945">
            <w:pPr>
              <w:pStyle w:val="Tabletext"/>
              <w:jc w:val="right"/>
              <w:rPr>
                <w:lang w:val="es-ES_tradnl" w:eastAsia="es-ES"/>
              </w:rPr>
            </w:pPr>
            <w:r w:rsidRPr="0017221C">
              <w:rPr>
                <w:lang w:val="es-ES_tradnl" w:eastAsia="es-ES"/>
              </w:rPr>
              <w:t>80</w:t>
            </w:r>
          </w:p>
        </w:tc>
      </w:tr>
      <w:tr w:rsidR="00257A74" w:rsidRPr="0017221C" w14:paraId="0C0EC86E" w14:textId="77777777" w:rsidTr="00257A74">
        <w:trPr>
          <w:trHeight w:val="310"/>
        </w:trPr>
        <w:tc>
          <w:tcPr>
            <w:tcW w:w="3560" w:type="dxa"/>
            <w:tcBorders>
              <w:top w:val="nil"/>
              <w:left w:val="nil"/>
              <w:bottom w:val="nil"/>
              <w:right w:val="nil"/>
            </w:tcBorders>
            <w:shd w:val="clear" w:color="000000" w:fill="F5F7F8"/>
            <w:noWrap/>
            <w:vAlign w:val="bottom"/>
            <w:hideMark/>
          </w:tcPr>
          <w:p w14:paraId="19C01FE1" w14:textId="77777777" w:rsidR="00257A74" w:rsidRPr="0017221C" w:rsidRDefault="00257A74" w:rsidP="00E87945">
            <w:pPr>
              <w:pStyle w:val="Tabletext"/>
              <w:rPr>
                <w:lang w:val="es-ES_tradnl" w:eastAsia="es-ES"/>
              </w:rPr>
            </w:pPr>
            <w:r w:rsidRPr="0017221C">
              <w:rPr>
                <w:lang w:val="es-ES_tradnl" w:eastAsia="es-ES"/>
              </w:rPr>
              <w:t>UIT-R</w:t>
            </w:r>
          </w:p>
        </w:tc>
        <w:tc>
          <w:tcPr>
            <w:tcW w:w="1640" w:type="dxa"/>
            <w:tcBorders>
              <w:top w:val="nil"/>
              <w:left w:val="nil"/>
              <w:bottom w:val="nil"/>
              <w:right w:val="nil"/>
            </w:tcBorders>
            <w:shd w:val="clear" w:color="000000" w:fill="FBF1EE"/>
            <w:noWrap/>
            <w:vAlign w:val="bottom"/>
            <w:hideMark/>
          </w:tcPr>
          <w:p w14:paraId="7A93A7D8" w14:textId="77777777" w:rsidR="00257A74" w:rsidRPr="0017221C" w:rsidRDefault="00257A74" w:rsidP="00E87945">
            <w:pPr>
              <w:pStyle w:val="Tabletext"/>
              <w:jc w:val="right"/>
              <w:rPr>
                <w:lang w:val="es-ES_tradnl" w:eastAsia="es-ES"/>
              </w:rPr>
            </w:pPr>
            <w:r w:rsidRPr="0017221C">
              <w:rPr>
                <w:lang w:val="es-ES_tradnl" w:eastAsia="es-ES"/>
              </w:rPr>
              <w:t>105</w:t>
            </w:r>
          </w:p>
        </w:tc>
        <w:tc>
          <w:tcPr>
            <w:tcW w:w="1280" w:type="dxa"/>
            <w:tcBorders>
              <w:top w:val="nil"/>
              <w:left w:val="nil"/>
              <w:bottom w:val="nil"/>
              <w:right w:val="nil"/>
            </w:tcBorders>
            <w:shd w:val="clear" w:color="000000" w:fill="EFECEB"/>
            <w:noWrap/>
            <w:vAlign w:val="bottom"/>
            <w:hideMark/>
          </w:tcPr>
          <w:p w14:paraId="0D9AF0A6" w14:textId="77777777" w:rsidR="00257A74" w:rsidRPr="0017221C" w:rsidRDefault="00257A74" w:rsidP="00E87945">
            <w:pPr>
              <w:pStyle w:val="Tabletext"/>
              <w:jc w:val="right"/>
              <w:rPr>
                <w:lang w:val="es-ES_tradnl" w:eastAsia="es-ES"/>
              </w:rPr>
            </w:pPr>
            <w:r w:rsidRPr="0017221C">
              <w:rPr>
                <w:lang w:val="es-ES_tradnl" w:eastAsia="es-ES"/>
              </w:rPr>
              <w:t>210</w:t>
            </w:r>
          </w:p>
        </w:tc>
      </w:tr>
      <w:tr w:rsidR="00257A74" w:rsidRPr="0017221C" w14:paraId="211BC5DC" w14:textId="77777777" w:rsidTr="00257A74">
        <w:trPr>
          <w:trHeight w:val="310"/>
        </w:trPr>
        <w:tc>
          <w:tcPr>
            <w:tcW w:w="3560" w:type="dxa"/>
            <w:tcBorders>
              <w:top w:val="nil"/>
              <w:left w:val="nil"/>
              <w:bottom w:val="nil"/>
              <w:right w:val="nil"/>
            </w:tcBorders>
            <w:shd w:val="clear" w:color="000000" w:fill="F5F7F8"/>
            <w:noWrap/>
            <w:vAlign w:val="bottom"/>
            <w:hideMark/>
          </w:tcPr>
          <w:p w14:paraId="2E2BD950" w14:textId="77777777" w:rsidR="00257A74" w:rsidRPr="0017221C" w:rsidRDefault="00257A74" w:rsidP="00E87945">
            <w:pPr>
              <w:pStyle w:val="Tabletext"/>
              <w:rPr>
                <w:lang w:val="es-ES_tradnl" w:eastAsia="es-ES"/>
              </w:rPr>
            </w:pPr>
            <w:r w:rsidRPr="0017221C">
              <w:rPr>
                <w:lang w:val="es-ES_tradnl" w:eastAsia="es-ES"/>
              </w:rPr>
              <w:t>UIT-T</w:t>
            </w:r>
          </w:p>
        </w:tc>
        <w:tc>
          <w:tcPr>
            <w:tcW w:w="1640" w:type="dxa"/>
            <w:tcBorders>
              <w:top w:val="nil"/>
              <w:left w:val="nil"/>
              <w:bottom w:val="nil"/>
              <w:right w:val="nil"/>
            </w:tcBorders>
            <w:shd w:val="clear" w:color="000000" w:fill="FBF1EE"/>
            <w:noWrap/>
            <w:vAlign w:val="bottom"/>
            <w:hideMark/>
          </w:tcPr>
          <w:p w14:paraId="633C9220" w14:textId="77777777" w:rsidR="00257A74" w:rsidRPr="0017221C" w:rsidRDefault="00257A74" w:rsidP="00E87945">
            <w:pPr>
              <w:pStyle w:val="Tabletext"/>
              <w:jc w:val="right"/>
              <w:rPr>
                <w:lang w:val="es-ES_tradnl" w:eastAsia="es-ES"/>
              </w:rPr>
            </w:pPr>
            <w:r w:rsidRPr="0017221C">
              <w:rPr>
                <w:lang w:val="es-ES_tradnl" w:eastAsia="es-ES"/>
              </w:rPr>
              <w:t>920</w:t>
            </w:r>
          </w:p>
        </w:tc>
        <w:tc>
          <w:tcPr>
            <w:tcW w:w="1280" w:type="dxa"/>
            <w:tcBorders>
              <w:top w:val="nil"/>
              <w:left w:val="nil"/>
              <w:bottom w:val="nil"/>
              <w:right w:val="nil"/>
            </w:tcBorders>
            <w:shd w:val="clear" w:color="000000" w:fill="EFECEB"/>
            <w:noWrap/>
            <w:vAlign w:val="bottom"/>
            <w:hideMark/>
          </w:tcPr>
          <w:p w14:paraId="25BEBB14" w14:textId="77777777" w:rsidR="00257A74" w:rsidRPr="0017221C" w:rsidRDefault="00257A74" w:rsidP="00E87945">
            <w:pPr>
              <w:pStyle w:val="Tabletext"/>
              <w:jc w:val="right"/>
              <w:rPr>
                <w:lang w:val="es-ES_tradnl" w:eastAsia="es-ES"/>
              </w:rPr>
            </w:pPr>
            <w:r w:rsidRPr="0017221C">
              <w:rPr>
                <w:lang w:val="es-ES_tradnl" w:eastAsia="es-ES"/>
              </w:rPr>
              <w:t>910</w:t>
            </w:r>
          </w:p>
        </w:tc>
      </w:tr>
      <w:tr w:rsidR="00257A74" w:rsidRPr="0017221C" w14:paraId="278C4CAC" w14:textId="77777777" w:rsidTr="00257A74">
        <w:trPr>
          <w:trHeight w:val="310"/>
        </w:trPr>
        <w:tc>
          <w:tcPr>
            <w:tcW w:w="3560" w:type="dxa"/>
            <w:tcBorders>
              <w:top w:val="nil"/>
              <w:left w:val="nil"/>
              <w:bottom w:val="single" w:sz="4" w:space="0" w:color="auto"/>
              <w:right w:val="nil"/>
            </w:tcBorders>
            <w:shd w:val="clear" w:color="000000" w:fill="F5F7F8"/>
            <w:noWrap/>
            <w:vAlign w:val="bottom"/>
            <w:hideMark/>
          </w:tcPr>
          <w:p w14:paraId="4182495C" w14:textId="77777777" w:rsidR="00257A74" w:rsidRPr="0017221C" w:rsidRDefault="00257A74" w:rsidP="00E87945">
            <w:pPr>
              <w:pStyle w:val="Tabletext"/>
              <w:rPr>
                <w:lang w:val="es-ES_tradnl" w:eastAsia="es-ES"/>
              </w:rPr>
            </w:pPr>
            <w:r w:rsidRPr="0017221C">
              <w:rPr>
                <w:lang w:val="es-ES_tradnl" w:eastAsia="es-ES"/>
              </w:rPr>
              <w:t>UIT-D</w:t>
            </w:r>
          </w:p>
        </w:tc>
        <w:tc>
          <w:tcPr>
            <w:tcW w:w="1640" w:type="dxa"/>
            <w:tcBorders>
              <w:top w:val="nil"/>
              <w:left w:val="nil"/>
              <w:bottom w:val="single" w:sz="4" w:space="0" w:color="auto"/>
              <w:right w:val="nil"/>
            </w:tcBorders>
            <w:shd w:val="clear" w:color="000000" w:fill="FBF1EE"/>
            <w:noWrap/>
            <w:vAlign w:val="bottom"/>
            <w:hideMark/>
          </w:tcPr>
          <w:p w14:paraId="3E45305B" w14:textId="429A0E77" w:rsidR="00257A74" w:rsidRPr="0017221C" w:rsidRDefault="00257A74" w:rsidP="00E87945">
            <w:pPr>
              <w:pStyle w:val="Tabletext"/>
              <w:jc w:val="right"/>
              <w:rPr>
                <w:lang w:val="es-ES_tradnl" w:eastAsia="es-ES"/>
              </w:rPr>
            </w:pPr>
            <w:r w:rsidRPr="0017221C">
              <w:rPr>
                <w:lang w:val="es-ES_tradnl" w:eastAsia="es-ES"/>
              </w:rPr>
              <w:t>1</w:t>
            </w:r>
            <w:r w:rsidR="0027619E" w:rsidRPr="0017221C">
              <w:rPr>
                <w:lang w:val="es-ES_tradnl" w:eastAsia="es-ES"/>
              </w:rPr>
              <w:t> </w:t>
            </w:r>
            <w:r w:rsidRPr="0017221C">
              <w:rPr>
                <w:lang w:val="es-ES_tradnl" w:eastAsia="es-ES"/>
              </w:rPr>
              <w:t>040</w:t>
            </w:r>
          </w:p>
        </w:tc>
        <w:tc>
          <w:tcPr>
            <w:tcW w:w="1280" w:type="dxa"/>
            <w:tcBorders>
              <w:top w:val="nil"/>
              <w:left w:val="nil"/>
              <w:bottom w:val="single" w:sz="4" w:space="0" w:color="auto"/>
              <w:right w:val="nil"/>
            </w:tcBorders>
            <w:shd w:val="clear" w:color="000000" w:fill="EFECEB"/>
            <w:noWrap/>
            <w:vAlign w:val="bottom"/>
            <w:hideMark/>
          </w:tcPr>
          <w:p w14:paraId="7F5CD60A" w14:textId="7DBC06B9" w:rsidR="00257A74" w:rsidRPr="0017221C" w:rsidRDefault="00257A74" w:rsidP="00E87945">
            <w:pPr>
              <w:pStyle w:val="Tabletext"/>
              <w:jc w:val="right"/>
              <w:rPr>
                <w:lang w:val="es-ES_tradnl" w:eastAsia="es-ES"/>
              </w:rPr>
            </w:pPr>
            <w:r w:rsidRPr="0017221C">
              <w:rPr>
                <w:lang w:val="es-ES_tradnl" w:eastAsia="es-ES"/>
              </w:rPr>
              <w:t>1</w:t>
            </w:r>
            <w:r w:rsidR="0027619E" w:rsidRPr="0017221C">
              <w:rPr>
                <w:lang w:val="es-ES_tradnl" w:eastAsia="es-ES"/>
              </w:rPr>
              <w:t> </w:t>
            </w:r>
            <w:r w:rsidRPr="0017221C">
              <w:rPr>
                <w:lang w:val="es-ES_tradnl" w:eastAsia="es-ES"/>
              </w:rPr>
              <w:t>161</w:t>
            </w:r>
          </w:p>
        </w:tc>
      </w:tr>
      <w:tr w:rsidR="00257A74" w:rsidRPr="0017221C" w14:paraId="3026C7AD" w14:textId="77777777" w:rsidTr="00257A74">
        <w:trPr>
          <w:trHeight w:val="310"/>
        </w:trPr>
        <w:tc>
          <w:tcPr>
            <w:tcW w:w="3560" w:type="dxa"/>
            <w:tcBorders>
              <w:top w:val="nil"/>
              <w:left w:val="nil"/>
              <w:bottom w:val="nil"/>
              <w:right w:val="nil"/>
            </w:tcBorders>
            <w:shd w:val="clear" w:color="000000" w:fill="02385E"/>
            <w:noWrap/>
            <w:vAlign w:val="bottom"/>
            <w:hideMark/>
          </w:tcPr>
          <w:p w14:paraId="4C6632E2" w14:textId="77777777" w:rsidR="00257A74" w:rsidRPr="0017221C" w:rsidRDefault="00257A74" w:rsidP="00E87945">
            <w:pPr>
              <w:pStyle w:val="Tabletext"/>
              <w:rPr>
                <w:lang w:val="es-ES_tradnl" w:eastAsia="es-ES"/>
              </w:rPr>
            </w:pPr>
            <w:r w:rsidRPr="0017221C">
              <w:rPr>
                <w:lang w:val="es-ES_tradnl" w:eastAsia="es-ES"/>
              </w:rPr>
              <w:t> </w:t>
            </w:r>
          </w:p>
        </w:tc>
        <w:tc>
          <w:tcPr>
            <w:tcW w:w="1640" w:type="dxa"/>
            <w:tcBorders>
              <w:top w:val="nil"/>
              <w:left w:val="nil"/>
              <w:bottom w:val="nil"/>
              <w:right w:val="nil"/>
            </w:tcBorders>
            <w:shd w:val="clear" w:color="000000" w:fill="D6896F"/>
            <w:noWrap/>
            <w:vAlign w:val="bottom"/>
            <w:hideMark/>
          </w:tcPr>
          <w:p w14:paraId="07BADE1F" w14:textId="77777777" w:rsidR="00257A74" w:rsidRPr="0017221C" w:rsidRDefault="00257A74" w:rsidP="00E87945">
            <w:pPr>
              <w:pStyle w:val="Tabletext"/>
              <w:jc w:val="right"/>
              <w:rPr>
                <w:lang w:val="es-ES_tradnl" w:eastAsia="es-ES"/>
              </w:rPr>
            </w:pPr>
            <w:r w:rsidRPr="0017221C">
              <w:rPr>
                <w:lang w:val="es-ES_tradnl" w:eastAsia="es-ES"/>
              </w:rPr>
              <w:t> </w:t>
            </w:r>
          </w:p>
        </w:tc>
        <w:tc>
          <w:tcPr>
            <w:tcW w:w="1280" w:type="dxa"/>
            <w:tcBorders>
              <w:top w:val="nil"/>
              <w:left w:val="nil"/>
              <w:bottom w:val="nil"/>
              <w:right w:val="nil"/>
            </w:tcBorders>
            <w:shd w:val="clear" w:color="000000" w:fill="785C57"/>
            <w:noWrap/>
            <w:vAlign w:val="bottom"/>
            <w:hideMark/>
          </w:tcPr>
          <w:p w14:paraId="26E812D2" w14:textId="77777777" w:rsidR="00257A74" w:rsidRPr="0017221C" w:rsidRDefault="00257A74" w:rsidP="00E87945">
            <w:pPr>
              <w:pStyle w:val="Tabletext"/>
              <w:jc w:val="right"/>
              <w:rPr>
                <w:lang w:val="es-ES_tradnl" w:eastAsia="es-ES"/>
              </w:rPr>
            </w:pPr>
            <w:r w:rsidRPr="0017221C">
              <w:rPr>
                <w:lang w:val="es-ES_tradnl" w:eastAsia="es-ES"/>
              </w:rPr>
              <w:t> </w:t>
            </w:r>
          </w:p>
        </w:tc>
      </w:tr>
      <w:tr w:rsidR="00257A74" w:rsidRPr="0017221C" w14:paraId="2DB9A0E8" w14:textId="77777777" w:rsidTr="00257A74">
        <w:trPr>
          <w:trHeight w:val="310"/>
        </w:trPr>
        <w:tc>
          <w:tcPr>
            <w:tcW w:w="3560" w:type="dxa"/>
            <w:tcBorders>
              <w:top w:val="nil"/>
              <w:left w:val="nil"/>
              <w:bottom w:val="nil"/>
              <w:right w:val="nil"/>
            </w:tcBorders>
            <w:shd w:val="clear" w:color="000000" w:fill="02385E"/>
            <w:noWrap/>
            <w:vAlign w:val="bottom"/>
            <w:hideMark/>
          </w:tcPr>
          <w:p w14:paraId="5AC6F2F7" w14:textId="77777777" w:rsidR="00257A74" w:rsidRPr="0017221C" w:rsidRDefault="00257A74" w:rsidP="00E87945">
            <w:pPr>
              <w:pStyle w:val="Tabletext"/>
              <w:rPr>
                <w:b/>
                <w:bCs/>
                <w:color w:val="FFFFFF"/>
                <w:lang w:val="es-ES_tradnl" w:eastAsia="es-ES"/>
              </w:rPr>
            </w:pPr>
            <w:r w:rsidRPr="0017221C">
              <w:rPr>
                <w:b/>
                <w:bCs/>
                <w:color w:val="FFFFFF"/>
                <w:lang w:val="es-ES_tradnl" w:eastAsia="es-ES"/>
              </w:rPr>
              <w:t>TOTAL</w:t>
            </w:r>
          </w:p>
        </w:tc>
        <w:tc>
          <w:tcPr>
            <w:tcW w:w="1640" w:type="dxa"/>
            <w:tcBorders>
              <w:top w:val="nil"/>
              <w:left w:val="nil"/>
              <w:bottom w:val="nil"/>
              <w:right w:val="nil"/>
            </w:tcBorders>
            <w:shd w:val="clear" w:color="000000" w:fill="D6896F"/>
            <w:noWrap/>
            <w:vAlign w:val="bottom"/>
            <w:hideMark/>
          </w:tcPr>
          <w:p w14:paraId="1D63D3A3" w14:textId="072D3BBE" w:rsidR="00257A74" w:rsidRPr="0017221C" w:rsidRDefault="00257A74" w:rsidP="00E87945">
            <w:pPr>
              <w:pStyle w:val="Tabletext"/>
              <w:jc w:val="right"/>
              <w:rPr>
                <w:b/>
                <w:bCs/>
                <w:color w:val="FFFFFF"/>
                <w:lang w:val="es-ES_tradnl" w:eastAsia="es-ES"/>
              </w:rPr>
            </w:pPr>
            <w:r w:rsidRPr="0017221C">
              <w:rPr>
                <w:b/>
                <w:bCs/>
                <w:color w:val="FFFFFF"/>
                <w:lang w:val="es-ES_tradnl" w:eastAsia="es-ES"/>
              </w:rPr>
              <w:t>2</w:t>
            </w:r>
            <w:r w:rsidR="0027619E" w:rsidRPr="0017221C">
              <w:rPr>
                <w:b/>
                <w:bCs/>
                <w:color w:val="FFFFFF"/>
                <w:lang w:val="es-ES_tradnl" w:eastAsia="es-ES"/>
              </w:rPr>
              <w:t> </w:t>
            </w:r>
            <w:r w:rsidRPr="0017221C">
              <w:rPr>
                <w:b/>
                <w:bCs/>
                <w:color w:val="FFFFFF"/>
                <w:lang w:val="es-ES_tradnl" w:eastAsia="es-ES"/>
              </w:rPr>
              <w:t>065</w:t>
            </w:r>
          </w:p>
        </w:tc>
        <w:tc>
          <w:tcPr>
            <w:tcW w:w="1280" w:type="dxa"/>
            <w:tcBorders>
              <w:top w:val="nil"/>
              <w:left w:val="nil"/>
              <w:bottom w:val="nil"/>
              <w:right w:val="nil"/>
            </w:tcBorders>
            <w:shd w:val="clear" w:color="000000" w:fill="785C57"/>
            <w:noWrap/>
            <w:vAlign w:val="bottom"/>
            <w:hideMark/>
          </w:tcPr>
          <w:p w14:paraId="19BAC8E4" w14:textId="1F004E15" w:rsidR="00257A74" w:rsidRPr="0017221C" w:rsidRDefault="00257A74" w:rsidP="00E87945">
            <w:pPr>
              <w:pStyle w:val="Tabletext"/>
              <w:jc w:val="right"/>
              <w:rPr>
                <w:b/>
                <w:bCs/>
                <w:color w:val="FFFFFF"/>
                <w:lang w:val="es-ES_tradnl" w:eastAsia="es-ES"/>
              </w:rPr>
            </w:pPr>
            <w:r w:rsidRPr="0017221C">
              <w:rPr>
                <w:b/>
                <w:bCs/>
                <w:color w:val="FFFFFF"/>
                <w:lang w:val="es-ES_tradnl" w:eastAsia="es-ES"/>
              </w:rPr>
              <w:t>2</w:t>
            </w:r>
            <w:r w:rsidR="0027619E" w:rsidRPr="0017221C">
              <w:rPr>
                <w:b/>
                <w:bCs/>
                <w:color w:val="FFFFFF"/>
                <w:lang w:val="es-ES_tradnl" w:eastAsia="es-ES"/>
              </w:rPr>
              <w:t> </w:t>
            </w:r>
            <w:r w:rsidRPr="0017221C">
              <w:rPr>
                <w:b/>
                <w:bCs/>
                <w:color w:val="FFFFFF"/>
                <w:lang w:val="es-ES_tradnl" w:eastAsia="es-ES"/>
              </w:rPr>
              <w:t>361</w:t>
            </w:r>
          </w:p>
        </w:tc>
      </w:tr>
    </w:tbl>
    <w:p w14:paraId="71954B89" w14:textId="0FE42FDB" w:rsidR="005F3FA0" w:rsidRPr="0017221C" w:rsidRDefault="005F3FA0" w:rsidP="00E87945">
      <w:pPr>
        <w:pStyle w:val="Heading1"/>
        <w:rPr>
          <w:rFonts w:asciiTheme="minorHAnsi" w:hAnsiTheme="minorHAnsi"/>
          <w:lang w:val="es-ES_tradnl"/>
        </w:rPr>
      </w:pPr>
      <w:r w:rsidRPr="0017221C">
        <w:rPr>
          <w:lang w:val="es-ES_tradnl"/>
        </w:rPr>
        <w:t>6</w:t>
      </w:r>
      <w:r w:rsidRPr="0017221C">
        <w:rPr>
          <w:lang w:val="es-ES_tradnl"/>
        </w:rPr>
        <w:tab/>
        <w:t>Servicios lingüísticos</w:t>
      </w:r>
    </w:p>
    <w:p w14:paraId="077FC387" w14:textId="5395A8C5" w:rsidR="005F3FA0" w:rsidRPr="0017221C" w:rsidRDefault="005F3FA0" w:rsidP="00EA19F8">
      <w:pPr>
        <w:snapToGrid w:val="0"/>
        <w:rPr>
          <w:rFonts w:asciiTheme="minorHAnsi" w:hAnsiTheme="minorHAnsi"/>
          <w:lang w:val="es-ES_tradnl"/>
        </w:rPr>
      </w:pPr>
      <w:r w:rsidRPr="0017221C">
        <w:rPr>
          <w:lang w:val="es-ES_tradnl"/>
        </w:rPr>
        <w:t>6.1</w:t>
      </w:r>
      <w:r w:rsidRPr="0017221C">
        <w:rPr>
          <w:lang w:val="es-ES_tradnl"/>
        </w:rPr>
        <w:tab/>
        <w:t xml:space="preserve">Según el </w:t>
      </w:r>
      <w:r w:rsidRPr="0017221C">
        <w:rPr>
          <w:i/>
          <w:iCs/>
          <w:lang w:val="es-ES_tradnl"/>
        </w:rPr>
        <w:t xml:space="preserve">decide </w:t>
      </w:r>
      <w:r w:rsidRPr="0017221C">
        <w:rPr>
          <w:lang w:val="es-ES_tradnl"/>
        </w:rPr>
        <w:t>1.2 de la Decisión 5 (Rev. Bucarest, 2022), los gastos de interpretación, traducción y tratamiento de texto en los idiomas oficiales de la Unión no superarán los 85 millones CHF en el periodo 2020-2023.</w:t>
      </w:r>
    </w:p>
    <w:p w14:paraId="03754327" w14:textId="0F15D5B0" w:rsidR="005F3FA0" w:rsidRPr="0017221C" w:rsidRDefault="005F3FA0" w:rsidP="00EA19F8">
      <w:pPr>
        <w:snapToGrid w:val="0"/>
        <w:rPr>
          <w:rFonts w:asciiTheme="minorHAnsi" w:hAnsiTheme="minorHAnsi"/>
          <w:lang w:val="es-ES_tradnl"/>
        </w:rPr>
      </w:pPr>
      <w:r w:rsidRPr="0017221C">
        <w:rPr>
          <w:lang w:val="es-ES_tradnl"/>
        </w:rPr>
        <w:t xml:space="preserve">6.2 </w:t>
      </w:r>
      <w:r w:rsidRPr="0017221C">
        <w:rPr>
          <w:lang w:val="es-ES_tradnl"/>
        </w:rPr>
        <w:tab/>
        <w:t>En el Cuadro 5 se reflejan los gastos estimados de los servicios relacionados con las lenguas para 2024-2025, en comparación con los de 2022-2023. La disminución del coste de servicios de procesamiento de texto se debe principalmente al ajuste de una distribución óptima de las capacidades fijas y variables en las actividades de procesamiento de texto.</w:t>
      </w:r>
    </w:p>
    <w:p w14:paraId="0E9A3D13" w14:textId="0C7464A6" w:rsidR="005F3FA0" w:rsidRPr="0017221C" w:rsidRDefault="005F3FA0" w:rsidP="00E87945">
      <w:pPr>
        <w:pStyle w:val="TableNo"/>
        <w:rPr>
          <w:rFonts w:asciiTheme="minorHAnsi" w:hAnsiTheme="minorHAnsi"/>
          <w:lang w:val="es-ES_tradnl"/>
        </w:rPr>
      </w:pPr>
      <w:r w:rsidRPr="0017221C">
        <w:rPr>
          <w:lang w:val="es-ES_tradnl"/>
        </w:rPr>
        <w:t>Cuadro 5</w:t>
      </w:r>
    </w:p>
    <w:tbl>
      <w:tblPr>
        <w:tblW w:w="6480" w:type="dxa"/>
        <w:tblInd w:w="55" w:type="dxa"/>
        <w:tblCellMar>
          <w:left w:w="70" w:type="dxa"/>
          <w:right w:w="70" w:type="dxa"/>
        </w:tblCellMar>
        <w:tblLook w:val="04A0" w:firstRow="1" w:lastRow="0" w:firstColumn="1" w:lastColumn="0" w:noHBand="0" w:noVBand="1"/>
      </w:tblPr>
      <w:tblGrid>
        <w:gridCol w:w="3560"/>
        <w:gridCol w:w="1640"/>
        <w:gridCol w:w="1280"/>
      </w:tblGrid>
      <w:tr w:rsidR="00257A74" w:rsidRPr="0017221C" w14:paraId="706B39B4" w14:textId="77777777" w:rsidTr="00257A74">
        <w:trPr>
          <w:trHeight w:val="310"/>
        </w:trPr>
        <w:tc>
          <w:tcPr>
            <w:tcW w:w="3560" w:type="dxa"/>
            <w:tcBorders>
              <w:top w:val="nil"/>
              <w:left w:val="nil"/>
              <w:bottom w:val="nil"/>
              <w:right w:val="nil"/>
            </w:tcBorders>
            <w:shd w:val="clear" w:color="auto" w:fill="auto"/>
            <w:noWrap/>
            <w:vAlign w:val="bottom"/>
            <w:hideMark/>
          </w:tcPr>
          <w:p w14:paraId="49F52799" w14:textId="77777777" w:rsidR="00257A74" w:rsidRPr="0017221C" w:rsidRDefault="00257A74" w:rsidP="00257A7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_tradnl" w:eastAsia="es-ES"/>
              </w:rPr>
            </w:pPr>
          </w:p>
        </w:tc>
        <w:tc>
          <w:tcPr>
            <w:tcW w:w="2920" w:type="dxa"/>
            <w:gridSpan w:val="2"/>
            <w:tcBorders>
              <w:top w:val="nil"/>
              <w:left w:val="nil"/>
              <w:bottom w:val="nil"/>
              <w:right w:val="nil"/>
            </w:tcBorders>
            <w:shd w:val="clear" w:color="auto" w:fill="auto"/>
            <w:noWrap/>
            <w:vAlign w:val="center"/>
            <w:hideMark/>
          </w:tcPr>
          <w:p w14:paraId="5CFCFC63" w14:textId="77777777" w:rsidR="00257A74" w:rsidRPr="0017221C" w:rsidRDefault="00257A74" w:rsidP="00E87945">
            <w:pPr>
              <w:pStyle w:val="Tabletext"/>
              <w:jc w:val="center"/>
              <w:rPr>
                <w:lang w:val="es-ES_tradnl" w:eastAsia="es-ES"/>
              </w:rPr>
            </w:pPr>
            <w:r w:rsidRPr="0017221C">
              <w:rPr>
                <w:lang w:val="es-ES_tradnl" w:eastAsia="es-ES"/>
              </w:rPr>
              <w:t>Miles de CHF</w:t>
            </w:r>
          </w:p>
        </w:tc>
      </w:tr>
      <w:tr w:rsidR="00257A74" w:rsidRPr="0017221C" w14:paraId="60A54953" w14:textId="77777777" w:rsidTr="00257A74">
        <w:trPr>
          <w:trHeight w:val="930"/>
        </w:trPr>
        <w:tc>
          <w:tcPr>
            <w:tcW w:w="3560" w:type="dxa"/>
            <w:tcBorders>
              <w:top w:val="nil"/>
              <w:left w:val="nil"/>
              <w:bottom w:val="nil"/>
              <w:right w:val="nil"/>
            </w:tcBorders>
            <w:shd w:val="clear" w:color="000000" w:fill="02385E"/>
            <w:noWrap/>
            <w:vAlign w:val="bottom"/>
            <w:hideMark/>
          </w:tcPr>
          <w:p w14:paraId="5C91A321" w14:textId="77777777" w:rsidR="00257A74" w:rsidRPr="0017221C" w:rsidRDefault="00257A74" w:rsidP="00E87945">
            <w:pPr>
              <w:pStyle w:val="Tablehead"/>
              <w:rPr>
                <w:lang w:val="es-ES_tradnl" w:eastAsia="es-ES"/>
              </w:rPr>
            </w:pPr>
            <w:r w:rsidRPr="0017221C">
              <w:rPr>
                <w:lang w:val="es-ES_tradnl" w:eastAsia="es-ES"/>
              </w:rPr>
              <w:t> </w:t>
            </w:r>
          </w:p>
        </w:tc>
        <w:tc>
          <w:tcPr>
            <w:tcW w:w="1640" w:type="dxa"/>
            <w:tcBorders>
              <w:top w:val="nil"/>
              <w:left w:val="nil"/>
              <w:bottom w:val="nil"/>
              <w:right w:val="nil"/>
            </w:tcBorders>
            <w:shd w:val="clear" w:color="000000" w:fill="D6896F"/>
            <w:vAlign w:val="center"/>
            <w:hideMark/>
          </w:tcPr>
          <w:p w14:paraId="5A2C02D3" w14:textId="77777777" w:rsidR="00257A74" w:rsidRPr="0017221C" w:rsidRDefault="00257A74" w:rsidP="00E87945">
            <w:pPr>
              <w:pStyle w:val="Tablehead"/>
              <w:rPr>
                <w:bCs/>
                <w:lang w:val="es-ES_tradnl" w:eastAsia="es-ES"/>
              </w:rPr>
            </w:pPr>
            <w:r w:rsidRPr="0017221C">
              <w:rPr>
                <w:bCs/>
                <w:lang w:val="es-ES_tradnl" w:eastAsia="es-ES"/>
              </w:rPr>
              <w:t>Presupuesto 2022-2023</w:t>
            </w:r>
          </w:p>
        </w:tc>
        <w:tc>
          <w:tcPr>
            <w:tcW w:w="1280" w:type="dxa"/>
            <w:tcBorders>
              <w:top w:val="nil"/>
              <w:left w:val="nil"/>
              <w:bottom w:val="nil"/>
              <w:right w:val="nil"/>
            </w:tcBorders>
            <w:shd w:val="clear" w:color="000000" w:fill="785C57"/>
            <w:vAlign w:val="center"/>
            <w:hideMark/>
          </w:tcPr>
          <w:p w14:paraId="657550AF" w14:textId="77777777" w:rsidR="00257A74" w:rsidRPr="0017221C" w:rsidRDefault="00257A74" w:rsidP="00E87945">
            <w:pPr>
              <w:pStyle w:val="Tablehead"/>
              <w:rPr>
                <w:bCs/>
                <w:lang w:val="es-ES_tradnl" w:eastAsia="es-ES"/>
              </w:rPr>
            </w:pPr>
            <w:r w:rsidRPr="0017221C">
              <w:rPr>
                <w:bCs/>
                <w:lang w:val="es-ES_tradnl" w:eastAsia="es-ES"/>
              </w:rPr>
              <w:t>Estimación 2024-2025</w:t>
            </w:r>
          </w:p>
        </w:tc>
      </w:tr>
      <w:tr w:rsidR="00257A74" w:rsidRPr="0017221C" w14:paraId="248F8EF3" w14:textId="77777777" w:rsidTr="00257A74">
        <w:trPr>
          <w:trHeight w:val="310"/>
        </w:trPr>
        <w:tc>
          <w:tcPr>
            <w:tcW w:w="3560" w:type="dxa"/>
            <w:tcBorders>
              <w:top w:val="single" w:sz="4" w:space="0" w:color="auto"/>
              <w:left w:val="nil"/>
              <w:bottom w:val="nil"/>
              <w:right w:val="nil"/>
            </w:tcBorders>
            <w:shd w:val="clear" w:color="000000" w:fill="F5F7F8"/>
            <w:noWrap/>
            <w:vAlign w:val="bottom"/>
            <w:hideMark/>
          </w:tcPr>
          <w:p w14:paraId="3FFAE9BE" w14:textId="77777777" w:rsidR="00257A74" w:rsidRPr="0017221C" w:rsidRDefault="00257A74" w:rsidP="00E87945">
            <w:pPr>
              <w:pStyle w:val="Tabletext"/>
              <w:rPr>
                <w:lang w:val="es-ES_tradnl" w:eastAsia="es-ES"/>
              </w:rPr>
            </w:pPr>
            <w:r w:rsidRPr="0017221C">
              <w:rPr>
                <w:lang w:val="es-ES_tradnl" w:eastAsia="es-ES"/>
              </w:rPr>
              <w:t>Traducción</w:t>
            </w:r>
          </w:p>
        </w:tc>
        <w:tc>
          <w:tcPr>
            <w:tcW w:w="1640" w:type="dxa"/>
            <w:tcBorders>
              <w:top w:val="single" w:sz="4" w:space="0" w:color="auto"/>
              <w:left w:val="nil"/>
              <w:bottom w:val="nil"/>
              <w:right w:val="nil"/>
            </w:tcBorders>
            <w:shd w:val="clear" w:color="000000" w:fill="FBF1EE"/>
            <w:noWrap/>
            <w:vAlign w:val="bottom"/>
            <w:hideMark/>
          </w:tcPr>
          <w:p w14:paraId="17E5E9C7" w14:textId="10AD4483" w:rsidR="00257A74" w:rsidRPr="0017221C" w:rsidRDefault="00257A74" w:rsidP="00E87945">
            <w:pPr>
              <w:pStyle w:val="Tabletext"/>
              <w:jc w:val="right"/>
              <w:rPr>
                <w:lang w:val="es-ES_tradnl" w:eastAsia="es-ES"/>
              </w:rPr>
            </w:pPr>
            <w:r w:rsidRPr="0017221C">
              <w:rPr>
                <w:lang w:val="es-ES_tradnl" w:eastAsia="es-ES"/>
              </w:rPr>
              <w:t>16</w:t>
            </w:r>
            <w:r w:rsidR="0027619E" w:rsidRPr="0017221C">
              <w:rPr>
                <w:lang w:val="es-ES_tradnl" w:eastAsia="es-ES"/>
              </w:rPr>
              <w:t> </w:t>
            </w:r>
            <w:r w:rsidRPr="0017221C">
              <w:rPr>
                <w:lang w:val="es-ES_tradnl" w:eastAsia="es-ES"/>
              </w:rPr>
              <w:t>951</w:t>
            </w:r>
          </w:p>
        </w:tc>
        <w:tc>
          <w:tcPr>
            <w:tcW w:w="1280" w:type="dxa"/>
            <w:tcBorders>
              <w:top w:val="single" w:sz="4" w:space="0" w:color="auto"/>
              <w:left w:val="nil"/>
              <w:bottom w:val="nil"/>
              <w:right w:val="nil"/>
            </w:tcBorders>
            <w:shd w:val="clear" w:color="000000" w:fill="EFECEB"/>
            <w:noWrap/>
            <w:vAlign w:val="bottom"/>
            <w:hideMark/>
          </w:tcPr>
          <w:p w14:paraId="6A464345" w14:textId="687ACA7E" w:rsidR="00257A74" w:rsidRPr="0017221C" w:rsidRDefault="00257A74" w:rsidP="00E87945">
            <w:pPr>
              <w:pStyle w:val="Tabletext"/>
              <w:jc w:val="right"/>
              <w:rPr>
                <w:lang w:val="es-ES_tradnl" w:eastAsia="es-ES"/>
              </w:rPr>
            </w:pPr>
            <w:r w:rsidRPr="0017221C">
              <w:rPr>
                <w:lang w:val="es-ES_tradnl" w:eastAsia="es-ES"/>
              </w:rPr>
              <w:t>15</w:t>
            </w:r>
            <w:r w:rsidR="0027619E" w:rsidRPr="0017221C">
              <w:rPr>
                <w:lang w:val="es-ES_tradnl" w:eastAsia="es-ES"/>
              </w:rPr>
              <w:t> </w:t>
            </w:r>
            <w:r w:rsidRPr="0017221C">
              <w:rPr>
                <w:lang w:val="es-ES_tradnl" w:eastAsia="es-ES"/>
              </w:rPr>
              <w:t>030</w:t>
            </w:r>
          </w:p>
        </w:tc>
      </w:tr>
      <w:tr w:rsidR="00257A74" w:rsidRPr="0017221C" w14:paraId="593FAFF0" w14:textId="77777777" w:rsidTr="00257A74">
        <w:trPr>
          <w:trHeight w:val="310"/>
        </w:trPr>
        <w:tc>
          <w:tcPr>
            <w:tcW w:w="3560" w:type="dxa"/>
            <w:tcBorders>
              <w:top w:val="nil"/>
              <w:left w:val="nil"/>
              <w:bottom w:val="nil"/>
              <w:right w:val="nil"/>
            </w:tcBorders>
            <w:shd w:val="clear" w:color="000000" w:fill="F5F7F8"/>
            <w:noWrap/>
            <w:vAlign w:val="bottom"/>
            <w:hideMark/>
          </w:tcPr>
          <w:p w14:paraId="326BD4CC" w14:textId="77777777" w:rsidR="00257A74" w:rsidRPr="0017221C" w:rsidRDefault="00257A74" w:rsidP="00E87945">
            <w:pPr>
              <w:pStyle w:val="Tabletext"/>
              <w:rPr>
                <w:lang w:val="es-ES_tradnl" w:eastAsia="es-ES"/>
              </w:rPr>
            </w:pPr>
            <w:r w:rsidRPr="0017221C">
              <w:rPr>
                <w:lang w:val="es-ES_tradnl" w:eastAsia="es-ES"/>
              </w:rPr>
              <w:t>Procesamiento de texto</w:t>
            </w:r>
          </w:p>
        </w:tc>
        <w:tc>
          <w:tcPr>
            <w:tcW w:w="1640" w:type="dxa"/>
            <w:tcBorders>
              <w:top w:val="nil"/>
              <w:left w:val="nil"/>
              <w:bottom w:val="nil"/>
              <w:right w:val="nil"/>
            </w:tcBorders>
            <w:shd w:val="clear" w:color="000000" w:fill="FBF1EE"/>
            <w:noWrap/>
            <w:vAlign w:val="bottom"/>
            <w:hideMark/>
          </w:tcPr>
          <w:p w14:paraId="6DCF6BC0" w14:textId="0456C412" w:rsidR="00257A74" w:rsidRPr="0017221C" w:rsidRDefault="00257A74" w:rsidP="00E87945">
            <w:pPr>
              <w:pStyle w:val="Tabletext"/>
              <w:jc w:val="right"/>
              <w:rPr>
                <w:lang w:val="es-ES_tradnl" w:eastAsia="es-ES"/>
              </w:rPr>
            </w:pPr>
            <w:r w:rsidRPr="0017221C">
              <w:rPr>
                <w:lang w:val="es-ES_tradnl" w:eastAsia="es-ES"/>
              </w:rPr>
              <w:t>10</w:t>
            </w:r>
            <w:r w:rsidR="0027619E" w:rsidRPr="0017221C">
              <w:rPr>
                <w:lang w:val="es-ES_tradnl" w:eastAsia="es-ES"/>
              </w:rPr>
              <w:t> </w:t>
            </w:r>
            <w:r w:rsidRPr="0017221C">
              <w:rPr>
                <w:lang w:val="es-ES_tradnl" w:eastAsia="es-ES"/>
              </w:rPr>
              <w:t>810</w:t>
            </w:r>
          </w:p>
        </w:tc>
        <w:tc>
          <w:tcPr>
            <w:tcW w:w="1280" w:type="dxa"/>
            <w:tcBorders>
              <w:top w:val="nil"/>
              <w:left w:val="nil"/>
              <w:bottom w:val="nil"/>
              <w:right w:val="nil"/>
            </w:tcBorders>
            <w:shd w:val="clear" w:color="000000" w:fill="EFECEB"/>
            <w:noWrap/>
            <w:vAlign w:val="bottom"/>
            <w:hideMark/>
          </w:tcPr>
          <w:p w14:paraId="49659631" w14:textId="128D467A" w:rsidR="00257A74" w:rsidRPr="0017221C" w:rsidRDefault="00257A74" w:rsidP="00E87945">
            <w:pPr>
              <w:pStyle w:val="Tabletext"/>
              <w:jc w:val="right"/>
              <w:rPr>
                <w:lang w:val="es-ES_tradnl" w:eastAsia="es-ES"/>
              </w:rPr>
            </w:pPr>
            <w:r w:rsidRPr="0017221C">
              <w:rPr>
                <w:lang w:val="es-ES_tradnl" w:eastAsia="es-ES"/>
              </w:rPr>
              <w:t>5</w:t>
            </w:r>
            <w:r w:rsidR="0027619E" w:rsidRPr="0017221C">
              <w:rPr>
                <w:lang w:val="es-ES_tradnl" w:eastAsia="es-ES"/>
              </w:rPr>
              <w:t> </w:t>
            </w:r>
            <w:r w:rsidRPr="0017221C">
              <w:rPr>
                <w:lang w:val="es-ES_tradnl" w:eastAsia="es-ES"/>
              </w:rPr>
              <w:t>846</w:t>
            </w:r>
          </w:p>
        </w:tc>
      </w:tr>
      <w:tr w:rsidR="00257A74" w:rsidRPr="0017221C" w14:paraId="5E03ECEF" w14:textId="77777777" w:rsidTr="00257A74">
        <w:trPr>
          <w:trHeight w:val="310"/>
        </w:trPr>
        <w:tc>
          <w:tcPr>
            <w:tcW w:w="3560" w:type="dxa"/>
            <w:tcBorders>
              <w:top w:val="nil"/>
              <w:left w:val="nil"/>
              <w:bottom w:val="nil"/>
              <w:right w:val="nil"/>
            </w:tcBorders>
            <w:shd w:val="clear" w:color="000000" w:fill="F5F7F8"/>
            <w:noWrap/>
            <w:vAlign w:val="bottom"/>
            <w:hideMark/>
          </w:tcPr>
          <w:p w14:paraId="7B4D77BB" w14:textId="77777777" w:rsidR="00257A74" w:rsidRPr="0017221C" w:rsidRDefault="00257A74" w:rsidP="00E87945">
            <w:pPr>
              <w:pStyle w:val="Tabletext"/>
              <w:rPr>
                <w:lang w:val="es-ES_tradnl" w:eastAsia="es-ES"/>
              </w:rPr>
            </w:pPr>
            <w:r w:rsidRPr="0017221C">
              <w:rPr>
                <w:lang w:val="es-ES_tradnl" w:eastAsia="es-ES"/>
              </w:rPr>
              <w:t>Servicio de Gestión de Documentos</w:t>
            </w:r>
          </w:p>
        </w:tc>
        <w:tc>
          <w:tcPr>
            <w:tcW w:w="1640" w:type="dxa"/>
            <w:tcBorders>
              <w:top w:val="nil"/>
              <w:left w:val="nil"/>
              <w:bottom w:val="nil"/>
              <w:right w:val="nil"/>
            </w:tcBorders>
            <w:shd w:val="clear" w:color="000000" w:fill="FBF1EE"/>
            <w:noWrap/>
            <w:vAlign w:val="bottom"/>
            <w:hideMark/>
          </w:tcPr>
          <w:p w14:paraId="65F73033" w14:textId="6E0A4130" w:rsidR="00257A74" w:rsidRPr="0017221C" w:rsidRDefault="00257A74" w:rsidP="00E87945">
            <w:pPr>
              <w:pStyle w:val="Tabletext"/>
              <w:jc w:val="right"/>
              <w:rPr>
                <w:lang w:val="es-ES_tradnl" w:eastAsia="es-ES"/>
              </w:rPr>
            </w:pPr>
            <w:r w:rsidRPr="0017221C">
              <w:rPr>
                <w:lang w:val="es-ES_tradnl" w:eastAsia="es-ES"/>
              </w:rPr>
              <w:t>3</w:t>
            </w:r>
            <w:r w:rsidR="0027619E" w:rsidRPr="0017221C">
              <w:rPr>
                <w:lang w:val="es-ES_tradnl" w:eastAsia="es-ES"/>
              </w:rPr>
              <w:t> </w:t>
            </w:r>
            <w:r w:rsidRPr="0017221C">
              <w:rPr>
                <w:lang w:val="es-ES_tradnl" w:eastAsia="es-ES"/>
              </w:rPr>
              <w:t>913</w:t>
            </w:r>
          </w:p>
        </w:tc>
        <w:tc>
          <w:tcPr>
            <w:tcW w:w="1280" w:type="dxa"/>
            <w:tcBorders>
              <w:top w:val="nil"/>
              <w:left w:val="nil"/>
              <w:bottom w:val="nil"/>
              <w:right w:val="nil"/>
            </w:tcBorders>
            <w:shd w:val="clear" w:color="000000" w:fill="EFECEB"/>
            <w:noWrap/>
            <w:vAlign w:val="bottom"/>
            <w:hideMark/>
          </w:tcPr>
          <w:p w14:paraId="57010AB0" w14:textId="29C3A0B1" w:rsidR="00257A74" w:rsidRPr="0017221C" w:rsidRDefault="00257A74" w:rsidP="00E87945">
            <w:pPr>
              <w:pStyle w:val="Tabletext"/>
              <w:jc w:val="right"/>
              <w:rPr>
                <w:lang w:val="es-ES_tradnl" w:eastAsia="es-ES"/>
              </w:rPr>
            </w:pPr>
            <w:r w:rsidRPr="0017221C">
              <w:rPr>
                <w:lang w:val="es-ES_tradnl" w:eastAsia="es-ES"/>
              </w:rPr>
              <w:t>4</w:t>
            </w:r>
            <w:r w:rsidR="0027619E" w:rsidRPr="0017221C">
              <w:rPr>
                <w:lang w:val="es-ES_tradnl" w:eastAsia="es-ES"/>
              </w:rPr>
              <w:t> </w:t>
            </w:r>
            <w:r w:rsidRPr="0017221C">
              <w:rPr>
                <w:lang w:val="es-ES_tradnl" w:eastAsia="es-ES"/>
              </w:rPr>
              <w:t>812</w:t>
            </w:r>
          </w:p>
        </w:tc>
      </w:tr>
      <w:tr w:rsidR="00257A74" w:rsidRPr="0017221C" w14:paraId="612874AA" w14:textId="77777777" w:rsidTr="00257A74">
        <w:trPr>
          <w:trHeight w:val="310"/>
        </w:trPr>
        <w:tc>
          <w:tcPr>
            <w:tcW w:w="3560" w:type="dxa"/>
            <w:tcBorders>
              <w:top w:val="nil"/>
              <w:left w:val="nil"/>
              <w:bottom w:val="single" w:sz="4" w:space="0" w:color="auto"/>
              <w:right w:val="nil"/>
            </w:tcBorders>
            <w:shd w:val="clear" w:color="000000" w:fill="F5F7F8"/>
            <w:noWrap/>
            <w:vAlign w:val="bottom"/>
            <w:hideMark/>
          </w:tcPr>
          <w:p w14:paraId="57A57559" w14:textId="77777777" w:rsidR="00257A74" w:rsidRPr="0017221C" w:rsidRDefault="00257A74" w:rsidP="00E87945">
            <w:pPr>
              <w:pStyle w:val="Tabletext"/>
              <w:rPr>
                <w:lang w:val="es-ES_tradnl" w:eastAsia="es-ES"/>
              </w:rPr>
            </w:pPr>
            <w:r w:rsidRPr="0017221C">
              <w:rPr>
                <w:lang w:val="es-ES_tradnl" w:eastAsia="es-ES"/>
              </w:rPr>
              <w:t>Interpretación</w:t>
            </w:r>
          </w:p>
        </w:tc>
        <w:tc>
          <w:tcPr>
            <w:tcW w:w="1640" w:type="dxa"/>
            <w:tcBorders>
              <w:top w:val="nil"/>
              <w:left w:val="nil"/>
              <w:bottom w:val="single" w:sz="4" w:space="0" w:color="auto"/>
              <w:right w:val="nil"/>
            </w:tcBorders>
            <w:shd w:val="clear" w:color="000000" w:fill="FBF1EE"/>
            <w:noWrap/>
            <w:vAlign w:val="bottom"/>
            <w:hideMark/>
          </w:tcPr>
          <w:p w14:paraId="0193C016" w14:textId="668F098C" w:rsidR="00257A74" w:rsidRPr="0017221C" w:rsidRDefault="00257A74" w:rsidP="00E87945">
            <w:pPr>
              <w:pStyle w:val="Tabletext"/>
              <w:jc w:val="right"/>
              <w:rPr>
                <w:lang w:val="es-ES_tradnl" w:eastAsia="es-ES"/>
              </w:rPr>
            </w:pPr>
            <w:r w:rsidRPr="0017221C">
              <w:rPr>
                <w:lang w:val="es-ES_tradnl" w:eastAsia="es-ES"/>
              </w:rPr>
              <w:t>5</w:t>
            </w:r>
            <w:r w:rsidR="0027619E" w:rsidRPr="0017221C">
              <w:rPr>
                <w:lang w:val="es-ES_tradnl" w:eastAsia="es-ES"/>
              </w:rPr>
              <w:t> </w:t>
            </w:r>
            <w:r w:rsidRPr="0017221C">
              <w:rPr>
                <w:lang w:val="es-ES_tradnl" w:eastAsia="es-ES"/>
              </w:rPr>
              <w:t>752</w:t>
            </w:r>
          </w:p>
        </w:tc>
        <w:tc>
          <w:tcPr>
            <w:tcW w:w="1280" w:type="dxa"/>
            <w:tcBorders>
              <w:top w:val="nil"/>
              <w:left w:val="nil"/>
              <w:bottom w:val="single" w:sz="4" w:space="0" w:color="auto"/>
              <w:right w:val="nil"/>
            </w:tcBorders>
            <w:shd w:val="clear" w:color="000000" w:fill="EFECEB"/>
            <w:noWrap/>
            <w:vAlign w:val="bottom"/>
            <w:hideMark/>
          </w:tcPr>
          <w:p w14:paraId="1C3CBCEC" w14:textId="668CCB71" w:rsidR="00257A74" w:rsidRPr="0017221C" w:rsidRDefault="00257A74" w:rsidP="00E87945">
            <w:pPr>
              <w:pStyle w:val="Tabletext"/>
              <w:jc w:val="right"/>
              <w:rPr>
                <w:lang w:val="es-ES_tradnl" w:eastAsia="es-ES"/>
              </w:rPr>
            </w:pPr>
            <w:r w:rsidRPr="0017221C">
              <w:rPr>
                <w:lang w:val="es-ES_tradnl" w:eastAsia="es-ES"/>
              </w:rPr>
              <w:t>3</w:t>
            </w:r>
            <w:r w:rsidR="0027619E" w:rsidRPr="0017221C">
              <w:rPr>
                <w:lang w:val="es-ES_tradnl" w:eastAsia="es-ES"/>
              </w:rPr>
              <w:t> </w:t>
            </w:r>
            <w:r w:rsidRPr="0017221C">
              <w:rPr>
                <w:lang w:val="es-ES_tradnl" w:eastAsia="es-ES"/>
              </w:rPr>
              <w:t>232</w:t>
            </w:r>
          </w:p>
        </w:tc>
      </w:tr>
      <w:tr w:rsidR="00257A74" w:rsidRPr="0017221C" w14:paraId="0D95C05A" w14:textId="77777777" w:rsidTr="00257A74">
        <w:trPr>
          <w:trHeight w:val="310"/>
        </w:trPr>
        <w:tc>
          <w:tcPr>
            <w:tcW w:w="3560" w:type="dxa"/>
            <w:tcBorders>
              <w:top w:val="nil"/>
              <w:left w:val="nil"/>
              <w:bottom w:val="nil"/>
              <w:right w:val="nil"/>
            </w:tcBorders>
            <w:shd w:val="clear" w:color="000000" w:fill="02385E"/>
            <w:noWrap/>
            <w:vAlign w:val="bottom"/>
            <w:hideMark/>
          </w:tcPr>
          <w:p w14:paraId="6810754F" w14:textId="77777777" w:rsidR="00257A74" w:rsidRPr="0017221C" w:rsidRDefault="00257A74" w:rsidP="00E87945">
            <w:pPr>
              <w:pStyle w:val="Tabletext"/>
              <w:rPr>
                <w:color w:val="FFFFFF"/>
                <w:lang w:val="es-ES_tradnl" w:eastAsia="es-ES"/>
              </w:rPr>
            </w:pPr>
            <w:r w:rsidRPr="0017221C">
              <w:rPr>
                <w:color w:val="FFFFFF"/>
                <w:lang w:val="es-ES_tradnl" w:eastAsia="es-ES"/>
              </w:rPr>
              <w:t> </w:t>
            </w:r>
          </w:p>
        </w:tc>
        <w:tc>
          <w:tcPr>
            <w:tcW w:w="1640" w:type="dxa"/>
            <w:tcBorders>
              <w:top w:val="nil"/>
              <w:left w:val="nil"/>
              <w:bottom w:val="nil"/>
              <w:right w:val="nil"/>
            </w:tcBorders>
            <w:shd w:val="clear" w:color="000000" w:fill="D6896F"/>
            <w:noWrap/>
            <w:vAlign w:val="bottom"/>
            <w:hideMark/>
          </w:tcPr>
          <w:p w14:paraId="5A714E3C" w14:textId="77777777" w:rsidR="00257A74" w:rsidRPr="0017221C" w:rsidRDefault="00257A74" w:rsidP="00E87945">
            <w:pPr>
              <w:pStyle w:val="Tabletext"/>
              <w:jc w:val="right"/>
              <w:rPr>
                <w:color w:val="FFFFFF"/>
                <w:lang w:val="es-ES_tradnl" w:eastAsia="es-ES"/>
              </w:rPr>
            </w:pPr>
            <w:r w:rsidRPr="0017221C">
              <w:rPr>
                <w:color w:val="FFFFFF"/>
                <w:lang w:val="es-ES_tradnl" w:eastAsia="es-ES"/>
              </w:rPr>
              <w:t> </w:t>
            </w:r>
          </w:p>
        </w:tc>
        <w:tc>
          <w:tcPr>
            <w:tcW w:w="1280" w:type="dxa"/>
            <w:tcBorders>
              <w:top w:val="nil"/>
              <w:left w:val="nil"/>
              <w:bottom w:val="nil"/>
              <w:right w:val="nil"/>
            </w:tcBorders>
            <w:shd w:val="clear" w:color="000000" w:fill="785C57"/>
            <w:noWrap/>
            <w:vAlign w:val="bottom"/>
            <w:hideMark/>
          </w:tcPr>
          <w:p w14:paraId="47D33B46" w14:textId="77777777" w:rsidR="00257A74" w:rsidRPr="0017221C" w:rsidRDefault="00257A74" w:rsidP="00E87945">
            <w:pPr>
              <w:pStyle w:val="Tabletext"/>
              <w:jc w:val="right"/>
              <w:rPr>
                <w:color w:val="FFFFFF"/>
                <w:lang w:val="es-ES_tradnl" w:eastAsia="es-ES"/>
              </w:rPr>
            </w:pPr>
            <w:r w:rsidRPr="0017221C">
              <w:rPr>
                <w:color w:val="FFFFFF"/>
                <w:lang w:val="es-ES_tradnl" w:eastAsia="es-ES"/>
              </w:rPr>
              <w:t> </w:t>
            </w:r>
          </w:p>
        </w:tc>
      </w:tr>
      <w:tr w:rsidR="00257A74" w:rsidRPr="0017221C" w14:paraId="51DE79E1" w14:textId="77777777" w:rsidTr="00257A74">
        <w:trPr>
          <w:trHeight w:val="310"/>
        </w:trPr>
        <w:tc>
          <w:tcPr>
            <w:tcW w:w="3560" w:type="dxa"/>
            <w:tcBorders>
              <w:top w:val="nil"/>
              <w:left w:val="nil"/>
              <w:bottom w:val="nil"/>
              <w:right w:val="nil"/>
            </w:tcBorders>
            <w:shd w:val="clear" w:color="000000" w:fill="02385E"/>
            <w:noWrap/>
            <w:vAlign w:val="bottom"/>
            <w:hideMark/>
          </w:tcPr>
          <w:p w14:paraId="450100F4" w14:textId="77777777" w:rsidR="00257A74" w:rsidRPr="0017221C" w:rsidRDefault="00257A74" w:rsidP="00E87945">
            <w:pPr>
              <w:pStyle w:val="Tabletext"/>
              <w:rPr>
                <w:color w:val="FFFFFF"/>
                <w:lang w:val="es-ES_tradnl" w:eastAsia="es-ES"/>
              </w:rPr>
            </w:pPr>
            <w:r w:rsidRPr="0017221C">
              <w:rPr>
                <w:color w:val="FFFFFF"/>
                <w:lang w:val="es-ES_tradnl" w:eastAsia="es-ES"/>
              </w:rPr>
              <w:t>TOTAL</w:t>
            </w:r>
          </w:p>
        </w:tc>
        <w:tc>
          <w:tcPr>
            <w:tcW w:w="1640" w:type="dxa"/>
            <w:tcBorders>
              <w:top w:val="nil"/>
              <w:left w:val="nil"/>
              <w:bottom w:val="nil"/>
              <w:right w:val="nil"/>
            </w:tcBorders>
            <w:shd w:val="clear" w:color="000000" w:fill="D6896F"/>
            <w:noWrap/>
            <w:vAlign w:val="bottom"/>
            <w:hideMark/>
          </w:tcPr>
          <w:p w14:paraId="528E7CB0" w14:textId="58885863" w:rsidR="00257A74" w:rsidRPr="0017221C" w:rsidRDefault="00257A74" w:rsidP="00E87945">
            <w:pPr>
              <w:pStyle w:val="Tabletext"/>
              <w:jc w:val="right"/>
              <w:rPr>
                <w:b/>
                <w:bCs/>
                <w:color w:val="FFFFFF"/>
                <w:lang w:val="es-ES_tradnl" w:eastAsia="es-ES"/>
              </w:rPr>
            </w:pPr>
            <w:r w:rsidRPr="0017221C">
              <w:rPr>
                <w:b/>
                <w:bCs/>
                <w:color w:val="FFFFFF"/>
                <w:lang w:val="es-ES_tradnl" w:eastAsia="es-ES"/>
              </w:rPr>
              <w:t>37</w:t>
            </w:r>
            <w:r w:rsidR="0027619E" w:rsidRPr="0017221C">
              <w:rPr>
                <w:b/>
                <w:bCs/>
                <w:color w:val="FFFFFF"/>
                <w:lang w:val="es-ES_tradnl" w:eastAsia="es-ES"/>
              </w:rPr>
              <w:t> </w:t>
            </w:r>
            <w:r w:rsidRPr="0017221C">
              <w:rPr>
                <w:b/>
                <w:bCs/>
                <w:color w:val="FFFFFF"/>
                <w:lang w:val="es-ES_tradnl" w:eastAsia="es-ES"/>
              </w:rPr>
              <w:t>426</w:t>
            </w:r>
          </w:p>
        </w:tc>
        <w:tc>
          <w:tcPr>
            <w:tcW w:w="1280" w:type="dxa"/>
            <w:tcBorders>
              <w:top w:val="nil"/>
              <w:left w:val="nil"/>
              <w:bottom w:val="nil"/>
              <w:right w:val="nil"/>
            </w:tcBorders>
            <w:shd w:val="clear" w:color="000000" w:fill="785C57"/>
            <w:noWrap/>
            <w:vAlign w:val="bottom"/>
            <w:hideMark/>
          </w:tcPr>
          <w:p w14:paraId="3F5242EE" w14:textId="4D1DBBDC" w:rsidR="00257A74" w:rsidRPr="0017221C" w:rsidRDefault="00257A74" w:rsidP="00E87945">
            <w:pPr>
              <w:pStyle w:val="Tabletext"/>
              <w:jc w:val="right"/>
              <w:rPr>
                <w:b/>
                <w:bCs/>
                <w:color w:val="FFFFFF"/>
                <w:lang w:val="es-ES_tradnl" w:eastAsia="es-ES"/>
              </w:rPr>
            </w:pPr>
            <w:r w:rsidRPr="0017221C">
              <w:rPr>
                <w:b/>
                <w:bCs/>
                <w:color w:val="FFFFFF"/>
                <w:lang w:val="es-ES_tradnl" w:eastAsia="es-ES"/>
              </w:rPr>
              <w:t>28</w:t>
            </w:r>
            <w:r w:rsidR="0027619E" w:rsidRPr="0017221C">
              <w:rPr>
                <w:b/>
                <w:bCs/>
                <w:color w:val="FFFFFF"/>
                <w:lang w:val="es-ES_tradnl" w:eastAsia="es-ES"/>
              </w:rPr>
              <w:t> </w:t>
            </w:r>
            <w:r w:rsidRPr="0017221C">
              <w:rPr>
                <w:b/>
                <w:bCs/>
                <w:color w:val="FFFFFF"/>
                <w:lang w:val="es-ES_tradnl" w:eastAsia="es-ES"/>
              </w:rPr>
              <w:t>919</w:t>
            </w:r>
          </w:p>
        </w:tc>
      </w:tr>
    </w:tbl>
    <w:p w14:paraId="196A9914" w14:textId="6D27D5EB" w:rsidR="005F3FA0" w:rsidRPr="0017221C" w:rsidRDefault="005F3FA0" w:rsidP="005F3FA0">
      <w:pPr>
        <w:snapToGrid w:val="0"/>
        <w:jc w:val="center"/>
        <w:rPr>
          <w:rFonts w:asciiTheme="minorHAnsi" w:hAnsiTheme="minorHAnsi"/>
          <w:lang w:val="es-ES_tradnl"/>
        </w:rPr>
      </w:pPr>
    </w:p>
    <w:p w14:paraId="77D6FDF4" w14:textId="24366124" w:rsidR="005F3FA0" w:rsidRPr="0017221C" w:rsidRDefault="005F3FA0" w:rsidP="00E87945">
      <w:pPr>
        <w:pStyle w:val="Heading1"/>
        <w:rPr>
          <w:rFonts w:asciiTheme="minorHAnsi" w:hAnsiTheme="minorHAnsi"/>
          <w:lang w:val="es-ES_tradnl"/>
        </w:rPr>
      </w:pPr>
      <w:r w:rsidRPr="0017221C">
        <w:rPr>
          <w:lang w:val="es-ES_tradnl"/>
        </w:rPr>
        <w:t>7</w:t>
      </w:r>
      <w:r w:rsidRPr="0017221C">
        <w:rPr>
          <w:lang w:val="es-ES_tradnl"/>
        </w:rPr>
        <w:tab/>
        <w:t>Puestos presupuestados</w:t>
      </w:r>
    </w:p>
    <w:p w14:paraId="7F22DF21" w14:textId="27EF107C" w:rsidR="005F3FA0" w:rsidRPr="0017221C" w:rsidRDefault="005F3FA0" w:rsidP="00E87945">
      <w:pPr>
        <w:rPr>
          <w:rFonts w:asciiTheme="minorHAnsi" w:hAnsiTheme="minorHAnsi"/>
          <w:lang w:val="es-ES_tradnl"/>
        </w:rPr>
      </w:pPr>
      <w:r w:rsidRPr="0017221C">
        <w:rPr>
          <w:lang w:val="es-ES_tradnl"/>
        </w:rPr>
        <w:t>7.1</w:t>
      </w:r>
      <w:r w:rsidRPr="0017221C">
        <w:rPr>
          <w:lang w:val="es-ES_tradnl"/>
        </w:rPr>
        <w:tab/>
        <w:t xml:space="preserve">En total hay 761 puestos presupuestados para 2024-2025, lo cual corresponde a una disminución de 18 puestos en comparación con el presupuesto actualizado de 2022-2023. En el Cuadro 6 expuesto a continuación se ofrece un desglose de los puestos presupuestados </w:t>
      </w:r>
      <w:r w:rsidRPr="0017221C">
        <w:rPr>
          <w:lang w:val="es-ES_tradnl"/>
        </w:rPr>
        <w:lastRenderedPageBreak/>
        <w:t>por departamento de la Secretaría General y las Oficinas, así como una comparación del número de puestos presupuestados para 2024-2025 y 2022-2023.</w:t>
      </w:r>
    </w:p>
    <w:p w14:paraId="478E7F04" w14:textId="580CDB58" w:rsidR="00175DBD" w:rsidRPr="0017221C" w:rsidRDefault="005F3FA0" w:rsidP="00E87945">
      <w:pPr>
        <w:pStyle w:val="TableNo"/>
        <w:rPr>
          <w:lang w:val="es-ES_tradnl"/>
        </w:rPr>
      </w:pPr>
      <w:r w:rsidRPr="0017221C">
        <w:rPr>
          <w:lang w:val="es-ES_tradnl"/>
        </w:rPr>
        <w:t>Cuadro 6</w:t>
      </w:r>
    </w:p>
    <w:p w14:paraId="0354C059" w14:textId="215E713E" w:rsidR="005F3FA0" w:rsidRPr="0017221C" w:rsidRDefault="001E1B87" w:rsidP="001E1B87">
      <w:pPr>
        <w:pStyle w:val="Tabletitle"/>
        <w:rPr>
          <w:lang w:val="es-ES_tradnl"/>
        </w:rPr>
      </w:pPr>
      <w:r w:rsidRPr="0017221C">
        <w:rPr>
          <w:noProof/>
          <w:lang w:val="es-ES_tradnl"/>
        </w:rPr>
        <w:drawing>
          <wp:inline distT="0" distB="0" distL="0" distR="0" wp14:anchorId="1C6BA6FF" wp14:editId="1010113A">
            <wp:extent cx="6054815" cy="2691993"/>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9879" cy="2712029"/>
                    </a:xfrm>
                    <a:prstGeom prst="rect">
                      <a:avLst/>
                    </a:prstGeom>
                    <a:noFill/>
                    <a:ln>
                      <a:noFill/>
                    </a:ln>
                  </pic:spPr>
                </pic:pic>
              </a:graphicData>
            </a:graphic>
          </wp:inline>
        </w:drawing>
      </w:r>
    </w:p>
    <w:p w14:paraId="14D9752D" w14:textId="4E13354D" w:rsidR="005F3FA0" w:rsidRPr="0017221C" w:rsidRDefault="005F3FA0" w:rsidP="00EA19F8">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lang w:val="es-ES_tradnl"/>
        </w:rPr>
      </w:pPr>
      <w:r w:rsidRPr="0017221C">
        <w:rPr>
          <w:lang w:val="es-ES_tradnl"/>
        </w:rPr>
        <w:t>7.2</w:t>
      </w:r>
      <w:r w:rsidRPr="0017221C">
        <w:rPr>
          <w:lang w:val="es-ES_tradnl"/>
        </w:rPr>
        <w:tab/>
        <w:t>El Gráfico 6 presenta la evolución del número de puestos presupuestados desde</w:t>
      </w:r>
      <w:r w:rsidR="0027619E" w:rsidRPr="0017221C">
        <w:rPr>
          <w:lang w:val="es-ES_tradnl"/>
        </w:rPr>
        <w:t> </w:t>
      </w:r>
      <w:r w:rsidRPr="0017221C">
        <w:rPr>
          <w:lang w:val="es-ES_tradnl"/>
        </w:rPr>
        <w:t>2012.</w:t>
      </w:r>
    </w:p>
    <w:p w14:paraId="6BFA9FFA" w14:textId="6507CA21" w:rsidR="005F3FA0" w:rsidRPr="0017221C" w:rsidRDefault="005F3FA0" w:rsidP="00FB4AA7">
      <w:pPr>
        <w:pStyle w:val="FigureNo"/>
        <w:rPr>
          <w:rFonts w:asciiTheme="minorHAnsi" w:hAnsiTheme="minorHAnsi" w:cstheme="minorHAnsi"/>
          <w:lang w:val="es-ES_tradnl"/>
        </w:rPr>
      </w:pPr>
      <w:r w:rsidRPr="0017221C">
        <w:rPr>
          <w:lang w:val="es-ES_tradnl"/>
        </w:rPr>
        <w:t>Gráfico 6</w:t>
      </w:r>
    </w:p>
    <w:p w14:paraId="4CBC7E99" w14:textId="75C167F2" w:rsidR="005F3FA0" w:rsidRPr="0017221C" w:rsidRDefault="00A274B0" w:rsidP="005F3FA0">
      <w:pPr>
        <w:pStyle w:val="ListParagraph"/>
        <w:tabs>
          <w:tab w:val="clear" w:pos="567"/>
          <w:tab w:val="clear" w:pos="1134"/>
          <w:tab w:val="clear" w:pos="1701"/>
          <w:tab w:val="clear" w:pos="2268"/>
          <w:tab w:val="clear" w:pos="2835"/>
          <w:tab w:val="left" w:pos="709"/>
        </w:tabs>
        <w:overflowPunct/>
        <w:autoSpaceDE/>
        <w:autoSpaceDN/>
        <w:adjustRightInd/>
        <w:snapToGrid w:val="0"/>
        <w:spacing w:before="0"/>
        <w:ind w:left="0"/>
        <w:jc w:val="center"/>
        <w:textAlignment w:val="auto"/>
        <w:rPr>
          <w:rFonts w:asciiTheme="minorHAnsi" w:hAnsiTheme="minorHAnsi" w:cstheme="minorHAnsi"/>
          <w:b/>
          <w:bCs/>
          <w:lang w:val="es-ES_tradnl"/>
        </w:rPr>
      </w:pPr>
      <w:r w:rsidRPr="0017221C">
        <w:rPr>
          <w:noProof/>
          <w:lang w:val="es-ES_tradnl" w:eastAsia="es-ES"/>
        </w:rPr>
        <w:drawing>
          <wp:inline distT="0" distB="0" distL="0" distR="0" wp14:anchorId="17BDB6D6" wp14:editId="641BF666">
            <wp:extent cx="5369983" cy="2949222"/>
            <wp:effectExtent l="0" t="0" r="2540" b="3810"/>
            <wp:docPr id="1093852583" name="Gráfico 1093852583">
              <a:extLst xmlns:a="http://schemas.openxmlformats.org/drawingml/2006/main">
                <a:ext uri="{FF2B5EF4-FFF2-40B4-BE49-F238E27FC236}">
                  <a16:creationId xmlns:a16="http://schemas.microsoft.com/office/drawing/2014/main" id="{2B84E70B-CCA7-9B07-3FE2-2A9395CAE0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86B01DC" w14:textId="77777777" w:rsidR="00332085" w:rsidRPr="0017221C" w:rsidRDefault="00332085" w:rsidP="005F3FA0">
      <w:pPr>
        <w:snapToGrid w:val="0"/>
        <w:rPr>
          <w:rFonts w:asciiTheme="minorHAnsi" w:hAnsiTheme="minorHAnsi"/>
          <w:lang w:val="es-ES_tradnl"/>
        </w:rPr>
      </w:pPr>
    </w:p>
    <w:p w14:paraId="3E359823" w14:textId="77777777" w:rsidR="0021380D" w:rsidRPr="0017221C" w:rsidRDefault="0021380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lang w:val="es-ES_tradnl"/>
        </w:rPr>
      </w:pPr>
      <w:r w:rsidRPr="0017221C">
        <w:rPr>
          <w:rFonts w:asciiTheme="minorHAnsi" w:hAnsiTheme="minorHAnsi"/>
          <w:b/>
          <w:bCs/>
          <w:lang w:val="es-ES_tradnl"/>
        </w:rPr>
        <w:br w:type="page"/>
      </w:r>
    </w:p>
    <w:p w14:paraId="7D7712C8" w14:textId="13FF24DB" w:rsidR="005F3FA0" w:rsidRPr="0017221C" w:rsidRDefault="005F3FA0" w:rsidP="00FB4AA7">
      <w:pPr>
        <w:pStyle w:val="Heading1"/>
        <w:rPr>
          <w:rFonts w:asciiTheme="minorHAnsi" w:hAnsiTheme="minorHAnsi"/>
          <w:lang w:val="es-ES_tradnl"/>
        </w:rPr>
      </w:pPr>
      <w:r w:rsidRPr="0017221C">
        <w:rPr>
          <w:lang w:val="es-ES_tradnl"/>
        </w:rPr>
        <w:lastRenderedPageBreak/>
        <w:t>8</w:t>
      </w:r>
      <w:r w:rsidRPr="0017221C">
        <w:rPr>
          <w:lang w:val="es-ES_tradnl"/>
        </w:rPr>
        <w:tab/>
        <w:t>Necesidades de financiación adicional</w:t>
      </w:r>
    </w:p>
    <w:p w14:paraId="2FD0EF3F" w14:textId="1A11B8AA" w:rsidR="005F3FA0" w:rsidRPr="0017221C" w:rsidRDefault="005F3FA0" w:rsidP="00FB4AA7">
      <w:pPr>
        <w:rPr>
          <w:rFonts w:asciiTheme="minorHAnsi" w:hAnsiTheme="minorHAnsi"/>
          <w:lang w:val="es-ES_tradnl"/>
        </w:rPr>
      </w:pPr>
      <w:r w:rsidRPr="0017221C">
        <w:rPr>
          <w:lang w:val="es-ES_tradnl"/>
        </w:rPr>
        <w:t>8.1</w:t>
      </w:r>
      <w:r w:rsidRPr="0017221C">
        <w:rPr>
          <w:lang w:val="es-ES_tradnl"/>
        </w:rPr>
        <w:tab/>
        <w:t>En este proyecto de presupuesto bienal se han incluido algunas necesidades de financiación adicional muy prioritarias que no se incluyeron en el Plan Financiero para 2024</w:t>
      </w:r>
      <w:r w:rsidR="0027619E" w:rsidRPr="0017221C">
        <w:rPr>
          <w:lang w:val="es-ES_tradnl"/>
        </w:rPr>
        <w:noBreakHyphen/>
      </w:r>
      <w:r w:rsidRPr="0017221C">
        <w:rPr>
          <w:lang w:val="es-ES_tradnl"/>
        </w:rPr>
        <w:t>2027. Otras se examinarán durante la ejecución del presupuesto de la Unión para 2024-2025.</w:t>
      </w:r>
    </w:p>
    <w:p w14:paraId="587C2982" w14:textId="30984E64" w:rsidR="005F3FA0" w:rsidRPr="0017221C" w:rsidRDefault="005F3FA0" w:rsidP="00FB4AA7">
      <w:pPr>
        <w:rPr>
          <w:rFonts w:asciiTheme="minorHAnsi" w:hAnsiTheme="minorHAnsi"/>
          <w:lang w:val="es-ES_tradnl"/>
        </w:rPr>
      </w:pPr>
      <w:r w:rsidRPr="0017221C">
        <w:rPr>
          <w:lang w:val="es-ES_tradnl"/>
        </w:rPr>
        <w:t>8.2</w:t>
      </w:r>
      <w:r w:rsidRPr="0017221C">
        <w:rPr>
          <w:lang w:val="es-ES_tradnl"/>
        </w:rPr>
        <w:tab/>
        <w:t>La Dirección de la UIT procurará identificar fondos para cubrir las necesidades de financiación adicional en el marco de la ejecución del presupuesto de 2024-2025 por los siguientes medios:</w:t>
      </w:r>
    </w:p>
    <w:p w14:paraId="0707644C" w14:textId="3BBF342B" w:rsidR="005F3FA0" w:rsidRPr="0017221C" w:rsidRDefault="00FB4AA7" w:rsidP="00FB4AA7">
      <w:pPr>
        <w:pStyle w:val="enumlev1"/>
        <w:rPr>
          <w:rFonts w:cs="Calibri"/>
          <w:lang w:val="es-ES_tradnl"/>
        </w:rPr>
      </w:pPr>
      <w:r w:rsidRPr="0017221C">
        <w:rPr>
          <w:lang w:val="es-ES_tradnl"/>
        </w:rPr>
        <w:t>–</w:t>
      </w:r>
      <w:r w:rsidRPr="0017221C">
        <w:rPr>
          <w:lang w:val="es-ES_tradnl"/>
        </w:rPr>
        <w:tab/>
      </w:r>
      <w:r w:rsidR="009F5B8C" w:rsidRPr="0017221C">
        <w:rPr>
          <w:lang w:val="es-ES_tradnl"/>
        </w:rPr>
        <w:t>la movilización de fondos extrapresupuestarios (contribuciones voluntarias);</w:t>
      </w:r>
    </w:p>
    <w:p w14:paraId="4E0BB50D" w14:textId="22792DC8" w:rsidR="005F3FA0" w:rsidRPr="0017221C" w:rsidRDefault="00FB4AA7" w:rsidP="00FB4AA7">
      <w:pPr>
        <w:pStyle w:val="enumlev1"/>
        <w:rPr>
          <w:rFonts w:cs="Calibri"/>
          <w:lang w:val="es-ES_tradnl"/>
        </w:rPr>
      </w:pPr>
      <w:r w:rsidRPr="0017221C">
        <w:rPr>
          <w:lang w:val="es-ES_tradnl"/>
        </w:rPr>
        <w:t>–</w:t>
      </w:r>
      <w:r w:rsidRPr="0017221C">
        <w:rPr>
          <w:lang w:val="es-ES_tradnl"/>
        </w:rPr>
        <w:tab/>
      </w:r>
      <w:r w:rsidR="009F5B8C" w:rsidRPr="0017221C">
        <w:rPr>
          <w:lang w:val="es-ES_tradnl"/>
        </w:rPr>
        <w:t xml:space="preserve">la utilización de fondos liberados a raíz de la ejecución del programa de separación </w:t>
      </w:r>
      <w:r w:rsidR="00175DBD" w:rsidRPr="0017221C">
        <w:rPr>
          <w:lang w:val="es-ES_tradnl"/>
        </w:rPr>
        <w:t>voluntaria</w:t>
      </w:r>
      <w:r w:rsidR="009F5B8C" w:rsidRPr="0017221C">
        <w:rPr>
          <w:lang w:val="es-ES_tradnl"/>
        </w:rPr>
        <w:t xml:space="preserve"> del servicio;</w:t>
      </w:r>
    </w:p>
    <w:p w14:paraId="2BE7F29F" w14:textId="7AB67A2F" w:rsidR="005F3FA0" w:rsidRPr="0017221C" w:rsidRDefault="00FB4AA7" w:rsidP="00FB4AA7">
      <w:pPr>
        <w:pStyle w:val="enumlev1"/>
        <w:rPr>
          <w:rFonts w:cs="Calibri"/>
          <w:lang w:val="es-ES_tradnl"/>
        </w:rPr>
      </w:pPr>
      <w:r w:rsidRPr="0017221C">
        <w:rPr>
          <w:lang w:val="es-ES_tradnl"/>
        </w:rPr>
        <w:t>–</w:t>
      </w:r>
      <w:r w:rsidRPr="0017221C">
        <w:rPr>
          <w:lang w:val="es-ES_tradnl"/>
        </w:rPr>
        <w:tab/>
      </w:r>
      <w:r w:rsidR="009F5B8C" w:rsidRPr="0017221C">
        <w:rPr>
          <w:lang w:val="es-ES_tradnl"/>
        </w:rPr>
        <w:t>la adopción de medidas de eficiencia establecidas en el Anexo 2 a la Decisión 5 (Rev.</w:t>
      </w:r>
      <w:r w:rsidR="0027619E" w:rsidRPr="0017221C">
        <w:rPr>
          <w:lang w:val="es-ES_tradnl"/>
        </w:rPr>
        <w:t> </w:t>
      </w:r>
      <w:r w:rsidR="009F5B8C" w:rsidRPr="0017221C">
        <w:rPr>
          <w:lang w:val="es-ES_tradnl"/>
        </w:rPr>
        <w:t>Bucarest, 2022);</w:t>
      </w:r>
    </w:p>
    <w:p w14:paraId="632BF0FC" w14:textId="46698196" w:rsidR="005F3FA0" w:rsidRPr="0017221C" w:rsidRDefault="00FB4AA7" w:rsidP="00FB4AA7">
      <w:pPr>
        <w:pStyle w:val="enumlev1"/>
        <w:rPr>
          <w:rFonts w:cs="Calibri"/>
          <w:lang w:val="es-ES_tradnl"/>
        </w:rPr>
      </w:pPr>
      <w:r w:rsidRPr="0017221C">
        <w:rPr>
          <w:lang w:val="es-ES_tradnl"/>
        </w:rPr>
        <w:t>–</w:t>
      </w:r>
      <w:r w:rsidRPr="0017221C">
        <w:rPr>
          <w:lang w:val="es-ES_tradnl"/>
        </w:rPr>
        <w:tab/>
      </w:r>
      <w:r w:rsidR="009F5B8C" w:rsidRPr="0017221C">
        <w:rPr>
          <w:lang w:val="es-ES_tradnl"/>
        </w:rPr>
        <w:t xml:space="preserve">el establecimiento de prioridades entre las </w:t>
      </w:r>
      <w:r w:rsidR="00175DBD" w:rsidRPr="0017221C">
        <w:rPr>
          <w:lang w:val="es-ES_tradnl"/>
        </w:rPr>
        <w:t>actividades</w:t>
      </w:r>
      <w:r w:rsidR="009F5B8C" w:rsidRPr="0017221C">
        <w:rPr>
          <w:lang w:val="es-ES_tradnl"/>
        </w:rPr>
        <w:t>, con inclusión de la terminación de iniciativas;</w:t>
      </w:r>
    </w:p>
    <w:p w14:paraId="56B41C99" w14:textId="3B3DAE2C" w:rsidR="0060621F" w:rsidRPr="0017221C" w:rsidRDefault="00FB4AA7" w:rsidP="00FB4AA7">
      <w:pPr>
        <w:pStyle w:val="enumlev1"/>
        <w:rPr>
          <w:rFonts w:cs="Calibri"/>
          <w:lang w:val="es-ES_tradnl"/>
        </w:rPr>
      </w:pPr>
      <w:r w:rsidRPr="0017221C">
        <w:rPr>
          <w:lang w:val="es-ES_tradnl"/>
        </w:rPr>
        <w:t>–</w:t>
      </w:r>
      <w:r w:rsidRPr="0017221C">
        <w:rPr>
          <w:lang w:val="es-ES_tradnl"/>
        </w:rPr>
        <w:tab/>
      </w:r>
      <w:r w:rsidR="009F5B8C" w:rsidRPr="0017221C">
        <w:rPr>
          <w:lang w:val="es-ES_tradnl"/>
        </w:rPr>
        <w:t>la excelencia organizacional.</w:t>
      </w:r>
    </w:p>
    <w:p w14:paraId="41727EE5" w14:textId="77777777" w:rsidR="00ED6DED" w:rsidRPr="0017221C" w:rsidRDefault="00ED6DED" w:rsidP="00ED6DED">
      <w:pPr>
        <w:tabs>
          <w:tab w:val="clear" w:pos="567"/>
          <w:tab w:val="clear" w:pos="1134"/>
          <w:tab w:val="clear" w:pos="1701"/>
          <w:tab w:val="clear" w:pos="2268"/>
          <w:tab w:val="clear" w:pos="2835"/>
        </w:tabs>
        <w:overflowPunct/>
        <w:autoSpaceDE/>
        <w:autoSpaceDN/>
        <w:adjustRightInd/>
        <w:textAlignment w:val="auto"/>
        <w:rPr>
          <w:rFonts w:asciiTheme="minorHAnsi" w:hAnsiTheme="minorHAnsi"/>
          <w:lang w:val="es-ES_tradnl"/>
        </w:rPr>
      </w:pPr>
    </w:p>
    <w:p w14:paraId="78EFC263" w14:textId="77777777" w:rsidR="00ED6DED" w:rsidRPr="0017221C" w:rsidRDefault="00ED6DED" w:rsidP="00ED6DED">
      <w:pPr>
        <w:tabs>
          <w:tab w:val="clear" w:pos="567"/>
          <w:tab w:val="clear" w:pos="1134"/>
          <w:tab w:val="clear" w:pos="1701"/>
          <w:tab w:val="clear" w:pos="2268"/>
          <w:tab w:val="clear" w:pos="2835"/>
        </w:tabs>
        <w:overflowPunct/>
        <w:autoSpaceDE/>
        <w:autoSpaceDN/>
        <w:adjustRightInd/>
        <w:textAlignment w:val="auto"/>
        <w:rPr>
          <w:rFonts w:asciiTheme="minorHAnsi" w:hAnsiTheme="minorHAnsi"/>
          <w:lang w:val="es-ES_tradnl"/>
        </w:rPr>
        <w:sectPr w:rsidR="00ED6DED" w:rsidRPr="0017221C" w:rsidSect="00BE30E6">
          <w:headerReference w:type="even" r:id="rId22"/>
          <w:headerReference w:type="default" r:id="rId23"/>
          <w:footerReference w:type="even" r:id="rId24"/>
          <w:footerReference w:type="default" r:id="rId25"/>
          <w:headerReference w:type="first" r:id="rId26"/>
          <w:footerReference w:type="first" r:id="rId27"/>
          <w:pgSz w:w="11907" w:h="16834"/>
          <w:pgMar w:top="1135" w:right="1418" w:bottom="1418" w:left="1418" w:header="720" w:footer="720" w:gutter="0"/>
          <w:paperSrc w:first="286" w:other="286"/>
          <w:cols w:space="720"/>
          <w:titlePg/>
        </w:sectPr>
      </w:pPr>
    </w:p>
    <w:p w14:paraId="04417361" w14:textId="77777777" w:rsidR="00ED6DED" w:rsidRPr="0017221C" w:rsidRDefault="00ED6DED" w:rsidP="00ED6DED">
      <w:pPr>
        <w:pStyle w:val="AnnexNo"/>
        <w:rPr>
          <w:lang w:val="es-ES_tradnl"/>
        </w:rPr>
      </w:pPr>
      <w:r w:rsidRPr="0017221C">
        <w:rPr>
          <w:lang w:val="es-ES_tradnl"/>
        </w:rPr>
        <w:lastRenderedPageBreak/>
        <w:t>ANEXO</w:t>
      </w:r>
    </w:p>
    <w:p w14:paraId="5DF41193" w14:textId="77777777" w:rsidR="00ED6DED" w:rsidRPr="0017221C" w:rsidRDefault="00ED6DED" w:rsidP="00ED6DED">
      <w:pPr>
        <w:pStyle w:val="ResNo"/>
        <w:rPr>
          <w:lang w:val="es-ES_tradnl"/>
        </w:rPr>
      </w:pPr>
      <w:r w:rsidRPr="0017221C">
        <w:rPr>
          <w:lang w:val="es-ES_tradnl"/>
        </w:rPr>
        <w:t>PROYECTO DE RESOLUCIÓN XXX</w:t>
      </w:r>
    </w:p>
    <w:p w14:paraId="77531D39" w14:textId="4209CB04" w:rsidR="00ED6DED" w:rsidRPr="0017221C" w:rsidRDefault="00ED6DED" w:rsidP="00ED6DED">
      <w:pPr>
        <w:pStyle w:val="Restitle"/>
        <w:rPr>
          <w:lang w:val="es-ES_tradnl"/>
        </w:rPr>
      </w:pPr>
      <w:r w:rsidRPr="0017221C">
        <w:rPr>
          <w:bCs/>
          <w:lang w:val="es-ES_tradnl"/>
        </w:rPr>
        <w:t>Proyecto de presupuesto bienal de la Unión para 2024-2025</w:t>
      </w:r>
    </w:p>
    <w:p w14:paraId="4A951854" w14:textId="77777777" w:rsidR="00ED6DED" w:rsidRPr="0017221C" w:rsidRDefault="00ED6DED" w:rsidP="00ED6DED">
      <w:pPr>
        <w:pStyle w:val="Normalaftertitle"/>
        <w:rPr>
          <w:lang w:val="es-ES_tradnl"/>
        </w:rPr>
      </w:pPr>
      <w:r w:rsidRPr="0017221C">
        <w:rPr>
          <w:lang w:val="es-ES_tradnl"/>
        </w:rPr>
        <w:t>El Consejo de la UIT,</w:t>
      </w:r>
    </w:p>
    <w:p w14:paraId="54D33BD6" w14:textId="77777777" w:rsidR="00ED6DED" w:rsidRPr="0017221C" w:rsidRDefault="00ED6DED" w:rsidP="00ED6DED">
      <w:pPr>
        <w:pStyle w:val="call0"/>
        <w:rPr>
          <w:lang w:val="es-ES_tradnl"/>
        </w:rPr>
      </w:pPr>
      <w:r w:rsidRPr="0017221C">
        <w:rPr>
          <w:iCs/>
          <w:lang w:val="es-ES_tradnl"/>
        </w:rPr>
        <w:t>vistas</w:t>
      </w:r>
    </w:p>
    <w:p w14:paraId="46AB5B1B" w14:textId="50247B40" w:rsidR="00ED6DED" w:rsidRPr="0017221C" w:rsidRDefault="00ED6DED" w:rsidP="00ED6DED">
      <w:pPr>
        <w:overflowPunct/>
        <w:autoSpaceDE/>
        <w:autoSpaceDN/>
        <w:adjustRightInd/>
        <w:snapToGrid w:val="0"/>
        <w:textAlignment w:val="auto"/>
        <w:rPr>
          <w:szCs w:val="24"/>
          <w:lang w:val="es-ES_tradnl"/>
        </w:rPr>
      </w:pPr>
      <w:r w:rsidRPr="0017221C">
        <w:rPr>
          <w:lang w:val="es-ES_tradnl"/>
        </w:rPr>
        <w:t>las disposiciones del Convenio de la UIT,</w:t>
      </w:r>
    </w:p>
    <w:p w14:paraId="36D2F6E5" w14:textId="77777777" w:rsidR="00ED6DED" w:rsidRPr="0017221C" w:rsidRDefault="00ED6DED" w:rsidP="00ED6DED">
      <w:pPr>
        <w:pStyle w:val="call0"/>
        <w:rPr>
          <w:lang w:val="es-ES_tradnl"/>
        </w:rPr>
      </w:pPr>
      <w:r w:rsidRPr="0017221C">
        <w:rPr>
          <w:iCs/>
          <w:lang w:val="es-ES_tradnl"/>
        </w:rPr>
        <w:t>teniendo en cuenta</w:t>
      </w:r>
    </w:p>
    <w:p w14:paraId="56569219" w14:textId="4BC24B2E" w:rsidR="00ED6DED" w:rsidRPr="0017221C" w:rsidRDefault="00ED6DED" w:rsidP="00ED6DED">
      <w:pPr>
        <w:rPr>
          <w:lang w:val="es-ES_tradnl"/>
        </w:rPr>
      </w:pPr>
      <w:r w:rsidRPr="0017221C">
        <w:rPr>
          <w:i/>
          <w:iCs/>
          <w:lang w:val="es-ES_tradnl"/>
        </w:rPr>
        <w:t>a)</w:t>
      </w:r>
      <w:r w:rsidRPr="0017221C">
        <w:rPr>
          <w:lang w:val="es-ES_tradnl"/>
        </w:rPr>
        <w:tab/>
        <w:t>lo dispuesto en la Decisión 5 (Rev. Bucarest, 2022) de la Conferencia de Plenipotenciarios sobre los ingresos y gastos de la Unión para el periodo 2024-2027, en la que se estipula que el importe de la unidad contributiva de los Estados Miembros para los años 2024-2025 deberá establecerse en 318 000 CHF;</w:t>
      </w:r>
    </w:p>
    <w:p w14:paraId="522F99EE" w14:textId="4C74489C" w:rsidR="00ED6DED" w:rsidRPr="0017221C" w:rsidRDefault="00ED6DED" w:rsidP="00ED6DED">
      <w:pPr>
        <w:rPr>
          <w:lang w:val="es-ES_tradnl"/>
        </w:rPr>
      </w:pPr>
      <w:r w:rsidRPr="0017221C">
        <w:rPr>
          <w:i/>
          <w:iCs/>
          <w:lang w:val="es-ES_tradnl"/>
        </w:rPr>
        <w:t>b)</w:t>
      </w:r>
      <w:r w:rsidRPr="0017221C">
        <w:rPr>
          <w:lang w:val="es-ES_tradnl"/>
        </w:rPr>
        <w:tab/>
        <w:t>las disposiciones del Artículo 11 del Reglamento Financiero y las Reglas Financieras de la Unión, sobre las transferencias de consignaciones presupuestarias,</w:t>
      </w:r>
    </w:p>
    <w:p w14:paraId="073118EE" w14:textId="77777777" w:rsidR="00ED6DED" w:rsidRPr="0017221C" w:rsidRDefault="00ED6DED" w:rsidP="00ED6DED">
      <w:pPr>
        <w:pStyle w:val="call0"/>
        <w:rPr>
          <w:lang w:val="es-ES_tradnl"/>
        </w:rPr>
      </w:pPr>
      <w:r w:rsidRPr="0017221C">
        <w:rPr>
          <w:iCs/>
          <w:lang w:val="es-ES_tradnl"/>
        </w:rPr>
        <w:t>resuelve aprobar</w:t>
      </w:r>
    </w:p>
    <w:p w14:paraId="0196114C" w14:textId="0372F1DF" w:rsidR="00ED6DED" w:rsidRPr="0017221C" w:rsidRDefault="00ED6DED" w:rsidP="00ED6DED">
      <w:pPr>
        <w:rPr>
          <w:lang w:val="es-ES_tradnl"/>
        </w:rPr>
      </w:pPr>
      <w:r w:rsidRPr="0017221C">
        <w:rPr>
          <w:lang w:val="es-ES_tradnl"/>
        </w:rPr>
        <w:t>el presupuesto bienal de la Unión para 2024-2025, que asciende a 164 933 000 CHF para</w:t>
      </w:r>
      <w:r w:rsidR="0027619E" w:rsidRPr="0017221C">
        <w:rPr>
          <w:lang w:val="es-ES_tradnl"/>
        </w:rPr>
        <w:t> </w:t>
      </w:r>
      <w:r w:rsidRPr="0017221C">
        <w:rPr>
          <w:lang w:val="es-ES_tradnl"/>
        </w:rPr>
        <w:t xml:space="preserve">2024 y a 164 134 000 CHF para 2025 </w:t>
      </w:r>
      <w:r w:rsidR="00175DBD" w:rsidRPr="0017221C">
        <w:rPr>
          <w:lang w:val="es-ES_tradnl"/>
        </w:rPr>
        <w:t>o</w:t>
      </w:r>
      <w:r w:rsidRPr="0017221C">
        <w:rPr>
          <w:lang w:val="es-ES_tradnl"/>
        </w:rPr>
        <w:t xml:space="preserve"> 329 067 000 CHF para el bienio 2024-2025, desglosado como sigue:</w:t>
      </w:r>
    </w:p>
    <w:tbl>
      <w:tblPr>
        <w:tblW w:w="8740" w:type="dxa"/>
        <w:tblInd w:w="55" w:type="dxa"/>
        <w:tblCellMar>
          <w:left w:w="70" w:type="dxa"/>
          <w:right w:w="70" w:type="dxa"/>
        </w:tblCellMar>
        <w:tblLook w:val="04A0" w:firstRow="1" w:lastRow="0" w:firstColumn="1" w:lastColumn="0" w:noHBand="0" w:noVBand="1"/>
      </w:tblPr>
      <w:tblGrid>
        <w:gridCol w:w="5080"/>
        <w:gridCol w:w="1260"/>
        <w:gridCol w:w="1260"/>
        <w:gridCol w:w="1140"/>
      </w:tblGrid>
      <w:tr w:rsidR="00755E39" w:rsidRPr="0017221C" w14:paraId="11DF40E1" w14:textId="77777777" w:rsidTr="00755E39">
        <w:trPr>
          <w:trHeight w:val="240"/>
        </w:trPr>
        <w:tc>
          <w:tcPr>
            <w:tcW w:w="5080" w:type="dxa"/>
            <w:tcBorders>
              <w:top w:val="nil"/>
              <w:left w:val="nil"/>
              <w:bottom w:val="nil"/>
              <w:right w:val="nil"/>
            </w:tcBorders>
            <w:shd w:val="clear" w:color="auto" w:fill="auto"/>
            <w:noWrap/>
            <w:vAlign w:val="center"/>
            <w:hideMark/>
          </w:tcPr>
          <w:p w14:paraId="6528B857"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s-ES_tradnl" w:eastAsia="es-ES"/>
              </w:rPr>
            </w:pPr>
          </w:p>
        </w:tc>
        <w:tc>
          <w:tcPr>
            <w:tcW w:w="3660" w:type="dxa"/>
            <w:gridSpan w:val="3"/>
            <w:tcBorders>
              <w:top w:val="nil"/>
              <w:left w:val="nil"/>
              <w:bottom w:val="nil"/>
              <w:right w:val="nil"/>
            </w:tcBorders>
            <w:shd w:val="clear" w:color="auto" w:fill="auto"/>
            <w:noWrap/>
            <w:vAlign w:val="center"/>
            <w:hideMark/>
          </w:tcPr>
          <w:p w14:paraId="6634C7BB"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8"/>
                <w:szCs w:val="18"/>
                <w:lang w:val="es-ES_tradnl" w:eastAsia="es-ES"/>
              </w:rPr>
            </w:pPr>
            <w:r w:rsidRPr="0017221C">
              <w:rPr>
                <w:rFonts w:cs="Calibri"/>
                <w:sz w:val="18"/>
                <w:szCs w:val="18"/>
                <w:lang w:val="es-ES_tradnl" w:eastAsia="es-ES"/>
              </w:rPr>
              <w:t>Miles de CHF</w:t>
            </w:r>
          </w:p>
        </w:tc>
      </w:tr>
      <w:tr w:rsidR="00755E39" w:rsidRPr="0017221C" w14:paraId="12CDEF95" w14:textId="77777777" w:rsidTr="00755E39">
        <w:trPr>
          <w:trHeight w:val="290"/>
        </w:trPr>
        <w:tc>
          <w:tcPr>
            <w:tcW w:w="5080" w:type="dxa"/>
            <w:tcBorders>
              <w:top w:val="nil"/>
              <w:left w:val="single" w:sz="4" w:space="0" w:color="000000"/>
              <w:bottom w:val="nil"/>
              <w:right w:val="single" w:sz="4" w:space="0" w:color="0070C0"/>
            </w:tcBorders>
            <w:shd w:val="clear" w:color="000000" w:fill="02385E"/>
            <w:noWrap/>
            <w:vAlign w:val="center"/>
            <w:hideMark/>
          </w:tcPr>
          <w:p w14:paraId="3CC8B973"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22"/>
                <w:szCs w:val="22"/>
                <w:lang w:val="es-ES_tradnl" w:eastAsia="es-ES"/>
              </w:rPr>
            </w:pPr>
            <w:r w:rsidRPr="0017221C">
              <w:rPr>
                <w:rFonts w:cs="Calibri"/>
                <w:b/>
                <w:bCs/>
                <w:color w:val="FFFFFF"/>
                <w:sz w:val="22"/>
                <w:szCs w:val="22"/>
                <w:lang w:val="es-ES_tradnl" w:eastAsia="es-ES"/>
              </w:rPr>
              <w:t> </w:t>
            </w:r>
          </w:p>
        </w:tc>
        <w:tc>
          <w:tcPr>
            <w:tcW w:w="1260" w:type="dxa"/>
            <w:tcBorders>
              <w:top w:val="single" w:sz="4" w:space="0" w:color="auto"/>
              <w:left w:val="nil"/>
              <w:bottom w:val="nil"/>
              <w:right w:val="single" w:sz="4" w:space="0" w:color="0070C0"/>
            </w:tcBorders>
            <w:shd w:val="clear" w:color="000000" w:fill="A63950"/>
            <w:noWrap/>
            <w:vAlign w:val="center"/>
            <w:hideMark/>
          </w:tcPr>
          <w:p w14:paraId="7B7F5614"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22"/>
                <w:szCs w:val="22"/>
                <w:lang w:val="es-ES_tradnl" w:eastAsia="es-ES"/>
              </w:rPr>
            </w:pPr>
            <w:r w:rsidRPr="0017221C">
              <w:rPr>
                <w:rFonts w:cs="Calibri"/>
                <w:b/>
                <w:bCs/>
                <w:color w:val="FFFFFF"/>
                <w:sz w:val="22"/>
                <w:szCs w:val="22"/>
                <w:lang w:val="es-ES_tradnl" w:eastAsia="es-ES"/>
              </w:rPr>
              <w:t>Estimación</w:t>
            </w:r>
          </w:p>
        </w:tc>
        <w:tc>
          <w:tcPr>
            <w:tcW w:w="1260" w:type="dxa"/>
            <w:tcBorders>
              <w:top w:val="single" w:sz="4" w:space="0" w:color="auto"/>
              <w:left w:val="nil"/>
              <w:bottom w:val="nil"/>
              <w:right w:val="nil"/>
            </w:tcBorders>
            <w:shd w:val="clear" w:color="000000" w:fill="DAB785"/>
            <w:noWrap/>
            <w:vAlign w:val="center"/>
            <w:hideMark/>
          </w:tcPr>
          <w:p w14:paraId="5F162D48"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22"/>
                <w:szCs w:val="22"/>
                <w:lang w:val="es-ES_tradnl" w:eastAsia="es-ES"/>
              </w:rPr>
            </w:pPr>
            <w:r w:rsidRPr="0017221C">
              <w:rPr>
                <w:rFonts w:cs="Calibri"/>
                <w:b/>
                <w:bCs/>
                <w:color w:val="FFFFFF"/>
                <w:sz w:val="22"/>
                <w:szCs w:val="22"/>
                <w:lang w:val="es-ES_tradnl" w:eastAsia="es-ES"/>
              </w:rPr>
              <w:t>Estimación</w:t>
            </w:r>
          </w:p>
        </w:tc>
        <w:tc>
          <w:tcPr>
            <w:tcW w:w="1140" w:type="dxa"/>
            <w:tcBorders>
              <w:top w:val="single" w:sz="4" w:space="0" w:color="0070C0"/>
              <w:left w:val="single" w:sz="4" w:space="0" w:color="0070C0"/>
              <w:bottom w:val="nil"/>
              <w:right w:val="single" w:sz="4" w:space="0" w:color="0070C0"/>
            </w:tcBorders>
            <w:shd w:val="clear" w:color="000000" w:fill="785C57"/>
            <w:noWrap/>
            <w:vAlign w:val="center"/>
            <w:hideMark/>
          </w:tcPr>
          <w:p w14:paraId="70D41246"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22"/>
                <w:szCs w:val="22"/>
                <w:lang w:val="es-ES_tradnl" w:eastAsia="es-ES"/>
              </w:rPr>
            </w:pPr>
            <w:r w:rsidRPr="0017221C">
              <w:rPr>
                <w:rFonts w:cs="Calibri"/>
                <w:b/>
                <w:bCs/>
                <w:color w:val="FFFFFF"/>
                <w:sz w:val="22"/>
                <w:szCs w:val="22"/>
                <w:lang w:val="es-ES_tradnl" w:eastAsia="es-ES"/>
              </w:rPr>
              <w:t>TOTAL</w:t>
            </w:r>
          </w:p>
        </w:tc>
      </w:tr>
      <w:tr w:rsidR="00755E39" w:rsidRPr="0017221C" w14:paraId="2C8F93F7" w14:textId="77777777" w:rsidTr="00755E39">
        <w:trPr>
          <w:trHeight w:val="290"/>
        </w:trPr>
        <w:tc>
          <w:tcPr>
            <w:tcW w:w="5080" w:type="dxa"/>
            <w:tcBorders>
              <w:top w:val="nil"/>
              <w:left w:val="single" w:sz="4" w:space="0" w:color="000000"/>
              <w:bottom w:val="single" w:sz="4" w:space="0" w:color="auto"/>
              <w:right w:val="single" w:sz="4" w:space="0" w:color="0070C0"/>
            </w:tcBorders>
            <w:shd w:val="clear" w:color="000000" w:fill="02385E"/>
            <w:noWrap/>
            <w:vAlign w:val="center"/>
            <w:hideMark/>
          </w:tcPr>
          <w:p w14:paraId="016CED31"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22"/>
                <w:szCs w:val="22"/>
                <w:lang w:val="es-ES_tradnl" w:eastAsia="es-ES"/>
              </w:rPr>
            </w:pPr>
            <w:r w:rsidRPr="0017221C">
              <w:rPr>
                <w:rFonts w:cs="Calibri"/>
                <w:b/>
                <w:bCs/>
                <w:color w:val="FFFFFF"/>
                <w:sz w:val="22"/>
                <w:szCs w:val="22"/>
                <w:lang w:val="es-ES_tradnl" w:eastAsia="es-ES"/>
              </w:rPr>
              <w:t> </w:t>
            </w:r>
          </w:p>
        </w:tc>
        <w:tc>
          <w:tcPr>
            <w:tcW w:w="1260" w:type="dxa"/>
            <w:tcBorders>
              <w:top w:val="nil"/>
              <w:left w:val="nil"/>
              <w:bottom w:val="single" w:sz="4" w:space="0" w:color="auto"/>
              <w:right w:val="single" w:sz="4" w:space="0" w:color="0070C0"/>
            </w:tcBorders>
            <w:shd w:val="clear" w:color="000000" w:fill="A63950"/>
            <w:vAlign w:val="center"/>
            <w:hideMark/>
          </w:tcPr>
          <w:p w14:paraId="4AD41DE8"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22"/>
                <w:szCs w:val="22"/>
                <w:lang w:val="es-ES_tradnl" w:eastAsia="es-ES"/>
              </w:rPr>
            </w:pPr>
            <w:r w:rsidRPr="0017221C">
              <w:rPr>
                <w:rFonts w:cs="Calibri"/>
                <w:b/>
                <w:bCs/>
                <w:color w:val="FFFFFF"/>
                <w:sz w:val="22"/>
                <w:szCs w:val="22"/>
                <w:lang w:val="es-ES_tradnl" w:eastAsia="es-ES"/>
              </w:rPr>
              <w:t>2024</w:t>
            </w:r>
          </w:p>
        </w:tc>
        <w:tc>
          <w:tcPr>
            <w:tcW w:w="1260" w:type="dxa"/>
            <w:tcBorders>
              <w:top w:val="nil"/>
              <w:left w:val="nil"/>
              <w:bottom w:val="single" w:sz="4" w:space="0" w:color="auto"/>
              <w:right w:val="nil"/>
            </w:tcBorders>
            <w:shd w:val="clear" w:color="000000" w:fill="DAB785"/>
            <w:vAlign w:val="center"/>
            <w:hideMark/>
          </w:tcPr>
          <w:p w14:paraId="468C3475"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22"/>
                <w:szCs w:val="22"/>
                <w:lang w:val="es-ES_tradnl" w:eastAsia="es-ES"/>
              </w:rPr>
            </w:pPr>
            <w:r w:rsidRPr="0017221C">
              <w:rPr>
                <w:rFonts w:cs="Calibri"/>
                <w:b/>
                <w:bCs/>
                <w:color w:val="FFFFFF"/>
                <w:sz w:val="22"/>
                <w:szCs w:val="22"/>
                <w:lang w:val="es-ES_tradnl" w:eastAsia="es-ES"/>
              </w:rPr>
              <w:t>2025</w:t>
            </w:r>
          </w:p>
        </w:tc>
        <w:tc>
          <w:tcPr>
            <w:tcW w:w="1140" w:type="dxa"/>
            <w:tcBorders>
              <w:top w:val="nil"/>
              <w:left w:val="single" w:sz="4" w:space="0" w:color="0070C0"/>
              <w:bottom w:val="single" w:sz="4" w:space="0" w:color="auto"/>
              <w:right w:val="single" w:sz="4" w:space="0" w:color="0070C0"/>
            </w:tcBorders>
            <w:shd w:val="clear" w:color="000000" w:fill="785C57"/>
            <w:vAlign w:val="center"/>
            <w:hideMark/>
          </w:tcPr>
          <w:p w14:paraId="0BC55662"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22"/>
                <w:szCs w:val="22"/>
                <w:lang w:val="es-ES_tradnl" w:eastAsia="es-ES"/>
              </w:rPr>
            </w:pPr>
            <w:r w:rsidRPr="0017221C">
              <w:rPr>
                <w:rFonts w:cs="Calibri"/>
                <w:b/>
                <w:bCs/>
                <w:color w:val="FFFFFF"/>
                <w:sz w:val="22"/>
                <w:szCs w:val="22"/>
                <w:lang w:val="es-ES_tradnl" w:eastAsia="es-ES"/>
              </w:rPr>
              <w:t>2024-2025</w:t>
            </w:r>
          </w:p>
        </w:tc>
      </w:tr>
      <w:tr w:rsidR="00755E39" w:rsidRPr="0017221C" w14:paraId="2A4F07E5" w14:textId="77777777" w:rsidTr="00755E39">
        <w:trPr>
          <w:trHeight w:val="240"/>
        </w:trPr>
        <w:tc>
          <w:tcPr>
            <w:tcW w:w="5080" w:type="dxa"/>
            <w:tcBorders>
              <w:top w:val="nil"/>
              <w:left w:val="single" w:sz="4" w:space="0" w:color="000000"/>
              <w:bottom w:val="nil"/>
              <w:right w:val="single" w:sz="4" w:space="0" w:color="0070C0"/>
            </w:tcBorders>
            <w:shd w:val="clear" w:color="000000" w:fill="F5F7F8"/>
            <w:noWrap/>
            <w:vAlign w:val="center"/>
            <w:hideMark/>
          </w:tcPr>
          <w:p w14:paraId="1B2C4492"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textAlignment w:val="auto"/>
              <w:rPr>
                <w:rFonts w:cs="Calibri"/>
                <w:color w:val="0033CC"/>
                <w:sz w:val="22"/>
                <w:szCs w:val="22"/>
                <w:lang w:val="es-ES_tradnl" w:eastAsia="es-ES"/>
              </w:rPr>
            </w:pPr>
            <w:r w:rsidRPr="0017221C">
              <w:rPr>
                <w:rFonts w:cs="Calibri"/>
                <w:color w:val="0033CC"/>
                <w:sz w:val="22"/>
                <w:szCs w:val="22"/>
                <w:lang w:val="es-ES_tradnl" w:eastAsia="es-ES"/>
              </w:rPr>
              <w:t> </w:t>
            </w:r>
          </w:p>
        </w:tc>
        <w:tc>
          <w:tcPr>
            <w:tcW w:w="1260" w:type="dxa"/>
            <w:tcBorders>
              <w:top w:val="nil"/>
              <w:left w:val="nil"/>
              <w:bottom w:val="nil"/>
              <w:right w:val="single" w:sz="4" w:space="0" w:color="0070C0"/>
            </w:tcBorders>
            <w:shd w:val="clear" w:color="000000" w:fill="F7EEEF"/>
            <w:noWrap/>
            <w:vAlign w:val="center"/>
            <w:hideMark/>
          </w:tcPr>
          <w:p w14:paraId="0C4F66B7"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2060"/>
                <w:sz w:val="22"/>
                <w:szCs w:val="22"/>
                <w:lang w:val="es-ES_tradnl" w:eastAsia="es-ES"/>
              </w:rPr>
            </w:pPr>
            <w:r w:rsidRPr="0017221C">
              <w:rPr>
                <w:rFonts w:cs="Calibri"/>
                <w:color w:val="002060"/>
                <w:sz w:val="22"/>
                <w:szCs w:val="22"/>
                <w:lang w:val="es-ES_tradnl" w:eastAsia="es-ES"/>
              </w:rPr>
              <w:t> </w:t>
            </w:r>
          </w:p>
        </w:tc>
        <w:tc>
          <w:tcPr>
            <w:tcW w:w="1260" w:type="dxa"/>
            <w:tcBorders>
              <w:top w:val="nil"/>
              <w:left w:val="nil"/>
              <w:bottom w:val="nil"/>
              <w:right w:val="nil"/>
            </w:tcBorders>
            <w:shd w:val="clear" w:color="000000" w:fill="FAF5EF"/>
            <w:noWrap/>
            <w:vAlign w:val="center"/>
            <w:hideMark/>
          </w:tcPr>
          <w:p w14:paraId="5D242D81"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2060"/>
                <w:sz w:val="22"/>
                <w:szCs w:val="22"/>
                <w:lang w:val="es-ES_tradnl" w:eastAsia="es-ES"/>
              </w:rPr>
            </w:pPr>
            <w:r w:rsidRPr="0017221C">
              <w:rPr>
                <w:rFonts w:cs="Calibri"/>
                <w:color w:val="002060"/>
                <w:sz w:val="22"/>
                <w:szCs w:val="22"/>
                <w:lang w:val="es-ES_tradnl" w:eastAsia="es-ES"/>
              </w:rPr>
              <w:t> </w:t>
            </w:r>
          </w:p>
        </w:tc>
        <w:tc>
          <w:tcPr>
            <w:tcW w:w="1140" w:type="dxa"/>
            <w:tcBorders>
              <w:top w:val="nil"/>
              <w:left w:val="single" w:sz="4" w:space="0" w:color="0070C0"/>
              <w:bottom w:val="nil"/>
              <w:right w:val="single" w:sz="4" w:space="0" w:color="0070C0"/>
            </w:tcBorders>
            <w:shd w:val="clear" w:color="000000" w:fill="EFECEB"/>
            <w:noWrap/>
            <w:vAlign w:val="center"/>
            <w:hideMark/>
          </w:tcPr>
          <w:p w14:paraId="4FF2A273"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2060"/>
                <w:sz w:val="22"/>
                <w:szCs w:val="22"/>
                <w:lang w:val="es-ES_tradnl" w:eastAsia="es-ES"/>
              </w:rPr>
            </w:pPr>
            <w:r w:rsidRPr="0017221C">
              <w:rPr>
                <w:rFonts w:cs="Calibri"/>
                <w:color w:val="002060"/>
                <w:sz w:val="22"/>
                <w:szCs w:val="22"/>
                <w:lang w:val="es-ES_tradnl" w:eastAsia="es-ES"/>
              </w:rPr>
              <w:t> </w:t>
            </w:r>
          </w:p>
        </w:tc>
      </w:tr>
      <w:tr w:rsidR="00755E39" w:rsidRPr="0017221C" w14:paraId="1D387FF8" w14:textId="77777777" w:rsidTr="00755E39">
        <w:trPr>
          <w:trHeight w:val="330"/>
        </w:trPr>
        <w:tc>
          <w:tcPr>
            <w:tcW w:w="5080" w:type="dxa"/>
            <w:tcBorders>
              <w:top w:val="nil"/>
              <w:left w:val="single" w:sz="4" w:space="0" w:color="000000"/>
              <w:bottom w:val="nil"/>
              <w:right w:val="single" w:sz="4" w:space="0" w:color="0070C0"/>
            </w:tcBorders>
            <w:shd w:val="clear" w:color="000000" w:fill="F5F7F8"/>
            <w:noWrap/>
            <w:vAlign w:val="center"/>
            <w:hideMark/>
          </w:tcPr>
          <w:p w14:paraId="34EEA82B" w14:textId="00BDCD76"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_tradnl" w:eastAsia="es-ES"/>
              </w:rPr>
            </w:pPr>
            <w:r w:rsidRPr="0017221C">
              <w:rPr>
                <w:rFonts w:cs="Calibri"/>
                <w:sz w:val="22"/>
                <w:szCs w:val="22"/>
                <w:lang w:val="es-ES_tradnl" w:eastAsia="es-ES"/>
              </w:rPr>
              <w:t>1</w:t>
            </w:r>
            <w:r w:rsidR="0027619E" w:rsidRPr="0017221C">
              <w:rPr>
                <w:rFonts w:cs="Calibri"/>
                <w:sz w:val="22"/>
                <w:szCs w:val="22"/>
                <w:lang w:val="es-ES_tradnl" w:eastAsia="es-ES"/>
              </w:rPr>
              <w:t xml:space="preserve"> </w:t>
            </w:r>
            <w:r w:rsidRPr="0017221C">
              <w:rPr>
                <w:rFonts w:cs="Calibri"/>
                <w:sz w:val="22"/>
                <w:szCs w:val="22"/>
                <w:lang w:val="es-ES_tradnl" w:eastAsia="es-ES"/>
              </w:rPr>
              <w:t>- Secretaría General</w:t>
            </w:r>
          </w:p>
        </w:tc>
        <w:tc>
          <w:tcPr>
            <w:tcW w:w="1260" w:type="dxa"/>
            <w:tcBorders>
              <w:top w:val="nil"/>
              <w:left w:val="nil"/>
              <w:bottom w:val="nil"/>
              <w:right w:val="single" w:sz="4" w:space="0" w:color="0070C0"/>
            </w:tcBorders>
            <w:shd w:val="clear" w:color="000000" w:fill="F7EEEF"/>
            <w:noWrap/>
            <w:vAlign w:val="center"/>
            <w:hideMark/>
          </w:tcPr>
          <w:p w14:paraId="42B65A81" w14:textId="3172A3C0"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2060"/>
                <w:sz w:val="22"/>
                <w:szCs w:val="22"/>
                <w:lang w:val="es-ES_tradnl" w:eastAsia="es-ES"/>
              </w:rPr>
            </w:pPr>
            <w:r w:rsidRPr="0017221C">
              <w:rPr>
                <w:rFonts w:cs="Calibri"/>
                <w:color w:val="002060"/>
                <w:sz w:val="22"/>
                <w:szCs w:val="22"/>
                <w:lang w:val="es-ES_tradnl" w:eastAsia="es-ES"/>
              </w:rPr>
              <w:t>[90</w:t>
            </w:r>
            <w:r w:rsidR="0027619E" w:rsidRPr="0017221C">
              <w:rPr>
                <w:rFonts w:cs="Calibri"/>
                <w:color w:val="002060"/>
                <w:sz w:val="22"/>
                <w:szCs w:val="22"/>
                <w:lang w:val="es-ES_tradnl" w:eastAsia="es-ES"/>
              </w:rPr>
              <w:t> </w:t>
            </w:r>
            <w:r w:rsidRPr="0017221C">
              <w:rPr>
                <w:rFonts w:cs="Calibri"/>
                <w:color w:val="002060"/>
                <w:sz w:val="22"/>
                <w:szCs w:val="22"/>
                <w:lang w:val="es-ES_tradnl" w:eastAsia="es-ES"/>
              </w:rPr>
              <w:t>789]</w:t>
            </w:r>
          </w:p>
        </w:tc>
        <w:tc>
          <w:tcPr>
            <w:tcW w:w="1260" w:type="dxa"/>
            <w:tcBorders>
              <w:top w:val="nil"/>
              <w:left w:val="nil"/>
              <w:bottom w:val="nil"/>
              <w:right w:val="nil"/>
            </w:tcBorders>
            <w:shd w:val="clear" w:color="000000" w:fill="FAF5EF"/>
            <w:noWrap/>
            <w:vAlign w:val="center"/>
            <w:hideMark/>
          </w:tcPr>
          <w:p w14:paraId="68BADB61" w14:textId="7E21FED4"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2060"/>
                <w:sz w:val="22"/>
                <w:szCs w:val="22"/>
                <w:lang w:val="es-ES_tradnl" w:eastAsia="es-ES"/>
              </w:rPr>
            </w:pPr>
            <w:r w:rsidRPr="0017221C">
              <w:rPr>
                <w:rFonts w:cs="Calibri"/>
                <w:color w:val="002060"/>
                <w:sz w:val="22"/>
                <w:szCs w:val="22"/>
                <w:lang w:val="es-ES_tradnl" w:eastAsia="es-ES"/>
              </w:rPr>
              <w:t>[90</w:t>
            </w:r>
            <w:r w:rsidR="0027619E" w:rsidRPr="0017221C">
              <w:rPr>
                <w:rFonts w:cs="Calibri"/>
                <w:color w:val="002060"/>
                <w:sz w:val="22"/>
                <w:szCs w:val="22"/>
                <w:lang w:val="es-ES_tradnl" w:eastAsia="es-ES"/>
              </w:rPr>
              <w:t> </w:t>
            </w:r>
            <w:r w:rsidRPr="0017221C">
              <w:rPr>
                <w:rFonts w:cs="Calibri"/>
                <w:color w:val="002060"/>
                <w:sz w:val="22"/>
                <w:szCs w:val="22"/>
                <w:lang w:val="es-ES_tradnl" w:eastAsia="es-ES"/>
              </w:rPr>
              <w:t>006]</w:t>
            </w:r>
          </w:p>
        </w:tc>
        <w:tc>
          <w:tcPr>
            <w:tcW w:w="1140" w:type="dxa"/>
            <w:tcBorders>
              <w:top w:val="nil"/>
              <w:left w:val="single" w:sz="4" w:space="0" w:color="0070C0"/>
              <w:bottom w:val="nil"/>
              <w:right w:val="single" w:sz="4" w:space="0" w:color="0070C0"/>
            </w:tcBorders>
            <w:shd w:val="clear" w:color="000000" w:fill="EFECEB"/>
            <w:noWrap/>
            <w:vAlign w:val="center"/>
            <w:hideMark/>
          </w:tcPr>
          <w:p w14:paraId="637F143E" w14:textId="0F1336FB"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2060"/>
                <w:sz w:val="22"/>
                <w:szCs w:val="22"/>
                <w:lang w:val="es-ES_tradnl" w:eastAsia="es-ES"/>
              </w:rPr>
            </w:pPr>
            <w:r w:rsidRPr="0017221C">
              <w:rPr>
                <w:rFonts w:cs="Calibri"/>
                <w:b/>
                <w:bCs/>
                <w:color w:val="002060"/>
                <w:sz w:val="22"/>
                <w:szCs w:val="22"/>
                <w:lang w:val="es-ES_tradnl" w:eastAsia="es-ES"/>
              </w:rPr>
              <w:t>[180</w:t>
            </w:r>
            <w:r w:rsidR="0027619E" w:rsidRPr="0017221C">
              <w:rPr>
                <w:rFonts w:cs="Calibri"/>
                <w:b/>
                <w:bCs/>
                <w:color w:val="002060"/>
                <w:sz w:val="22"/>
                <w:szCs w:val="22"/>
                <w:lang w:val="es-ES_tradnl" w:eastAsia="es-ES"/>
              </w:rPr>
              <w:t> </w:t>
            </w:r>
            <w:r w:rsidRPr="0017221C">
              <w:rPr>
                <w:rFonts w:cs="Calibri"/>
                <w:b/>
                <w:bCs/>
                <w:color w:val="002060"/>
                <w:sz w:val="22"/>
                <w:szCs w:val="22"/>
                <w:lang w:val="es-ES_tradnl" w:eastAsia="es-ES"/>
              </w:rPr>
              <w:t>795]</w:t>
            </w:r>
          </w:p>
        </w:tc>
      </w:tr>
      <w:tr w:rsidR="00755E39" w:rsidRPr="0017221C" w14:paraId="794332A1" w14:textId="77777777" w:rsidTr="00755E39">
        <w:trPr>
          <w:trHeight w:val="330"/>
        </w:trPr>
        <w:tc>
          <w:tcPr>
            <w:tcW w:w="5080" w:type="dxa"/>
            <w:tcBorders>
              <w:top w:val="nil"/>
              <w:left w:val="single" w:sz="4" w:space="0" w:color="000000"/>
              <w:bottom w:val="nil"/>
              <w:right w:val="single" w:sz="4" w:space="0" w:color="0070C0"/>
            </w:tcBorders>
            <w:shd w:val="clear" w:color="000000" w:fill="F5F7F8"/>
            <w:noWrap/>
            <w:vAlign w:val="center"/>
            <w:hideMark/>
          </w:tcPr>
          <w:p w14:paraId="1B9200B9"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_tradnl" w:eastAsia="es-ES"/>
              </w:rPr>
            </w:pPr>
            <w:r w:rsidRPr="0017221C">
              <w:rPr>
                <w:rFonts w:cs="Calibri"/>
                <w:sz w:val="22"/>
                <w:szCs w:val="22"/>
                <w:lang w:val="es-ES_tradnl" w:eastAsia="es-ES"/>
              </w:rPr>
              <w:t>2 - Sector de Radiocomunicaciones</w:t>
            </w:r>
          </w:p>
        </w:tc>
        <w:tc>
          <w:tcPr>
            <w:tcW w:w="1260" w:type="dxa"/>
            <w:tcBorders>
              <w:top w:val="nil"/>
              <w:left w:val="nil"/>
              <w:bottom w:val="nil"/>
              <w:right w:val="single" w:sz="4" w:space="0" w:color="0070C0"/>
            </w:tcBorders>
            <w:shd w:val="clear" w:color="000000" w:fill="F7EEEF"/>
            <w:noWrap/>
            <w:vAlign w:val="center"/>
            <w:hideMark/>
          </w:tcPr>
          <w:p w14:paraId="4B327274" w14:textId="372FC7CF"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2060"/>
                <w:sz w:val="22"/>
                <w:szCs w:val="22"/>
                <w:lang w:val="es-ES_tradnl" w:eastAsia="es-ES"/>
              </w:rPr>
            </w:pPr>
            <w:bookmarkStart w:id="6" w:name="RANGE!B10:D15"/>
            <w:r w:rsidRPr="0017221C">
              <w:rPr>
                <w:rFonts w:cs="Calibri"/>
                <w:color w:val="002060"/>
                <w:sz w:val="22"/>
                <w:szCs w:val="22"/>
                <w:lang w:val="es-ES_tradnl" w:eastAsia="es-ES"/>
              </w:rPr>
              <w:t>[30</w:t>
            </w:r>
            <w:r w:rsidR="0027619E" w:rsidRPr="0017221C">
              <w:rPr>
                <w:rFonts w:cs="Calibri"/>
                <w:color w:val="002060"/>
                <w:sz w:val="22"/>
                <w:szCs w:val="22"/>
                <w:lang w:val="es-ES_tradnl" w:eastAsia="es-ES"/>
              </w:rPr>
              <w:t> </w:t>
            </w:r>
            <w:r w:rsidRPr="0017221C">
              <w:rPr>
                <w:rFonts w:cs="Calibri"/>
                <w:color w:val="002060"/>
                <w:sz w:val="22"/>
                <w:szCs w:val="22"/>
                <w:lang w:val="es-ES_tradnl" w:eastAsia="es-ES"/>
              </w:rPr>
              <w:t>222]</w:t>
            </w:r>
            <w:bookmarkEnd w:id="6"/>
          </w:p>
        </w:tc>
        <w:tc>
          <w:tcPr>
            <w:tcW w:w="1260" w:type="dxa"/>
            <w:tcBorders>
              <w:top w:val="nil"/>
              <w:left w:val="nil"/>
              <w:bottom w:val="nil"/>
              <w:right w:val="nil"/>
            </w:tcBorders>
            <w:shd w:val="clear" w:color="000000" w:fill="FAF5EF"/>
            <w:noWrap/>
            <w:vAlign w:val="center"/>
            <w:hideMark/>
          </w:tcPr>
          <w:p w14:paraId="695D9D49" w14:textId="43516F24"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2060"/>
                <w:sz w:val="22"/>
                <w:szCs w:val="22"/>
                <w:lang w:val="es-ES_tradnl" w:eastAsia="es-ES"/>
              </w:rPr>
            </w:pPr>
            <w:r w:rsidRPr="0017221C">
              <w:rPr>
                <w:rFonts w:cs="Calibri"/>
                <w:color w:val="002060"/>
                <w:sz w:val="22"/>
                <w:szCs w:val="22"/>
                <w:lang w:val="es-ES_tradnl" w:eastAsia="es-ES"/>
              </w:rPr>
              <w:t>[30</w:t>
            </w:r>
            <w:r w:rsidR="0027619E" w:rsidRPr="0017221C">
              <w:rPr>
                <w:rFonts w:cs="Calibri"/>
                <w:color w:val="002060"/>
                <w:sz w:val="22"/>
                <w:szCs w:val="22"/>
                <w:lang w:val="es-ES_tradnl" w:eastAsia="es-ES"/>
              </w:rPr>
              <w:t> </w:t>
            </w:r>
            <w:r w:rsidRPr="0017221C">
              <w:rPr>
                <w:rFonts w:cs="Calibri"/>
                <w:color w:val="002060"/>
                <w:sz w:val="22"/>
                <w:szCs w:val="22"/>
                <w:lang w:val="es-ES_tradnl" w:eastAsia="es-ES"/>
              </w:rPr>
              <w:t>145]</w:t>
            </w:r>
          </w:p>
        </w:tc>
        <w:tc>
          <w:tcPr>
            <w:tcW w:w="1140" w:type="dxa"/>
            <w:tcBorders>
              <w:top w:val="nil"/>
              <w:left w:val="single" w:sz="4" w:space="0" w:color="0070C0"/>
              <w:bottom w:val="nil"/>
              <w:right w:val="single" w:sz="4" w:space="0" w:color="0070C0"/>
            </w:tcBorders>
            <w:shd w:val="clear" w:color="000000" w:fill="EFECEB"/>
            <w:noWrap/>
            <w:vAlign w:val="center"/>
            <w:hideMark/>
          </w:tcPr>
          <w:p w14:paraId="4767EEDB" w14:textId="45E6FC8C"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2060"/>
                <w:sz w:val="22"/>
                <w:szCs w:val="22"/>
                <w:lang w:val="es-ES_tradnl" w:eastAsia="es-ES"/>
              </w:rPr>
            </w:pPr>
            <w:r w:rsidRPr="0017221C">
              <w:rPr>
                <w:rFonts w:cs="Calibri"/>
                <w:b/>
                <w:bCs/>
                <w:color w:val="002060"/>
                <w:sz w:val="22"/>
                <w:szCs w:val="22"/>
                <w:lang w:val="es-ES_tradnl" w:eastAsia="es-ES"/>
              </w:rPr>
              <w:t>[60</w:t>
            </w:r>
            <w:r w:rsidR="0027619E" w:rsidRPr="0017221C">
              <w:rPr>
                <w:rFonts w:cs="Calibri"/>
                <w:b/>
                <w:bCs/>
                <w:color w:val="002060"/>
                <w:sz w:val="22"/>
                <w:szCs w:val="22"/>
                <w:lang w:val="es-ES_tradnl" w:eastAsia="es-ES"/>
              </w:rPr>
              <w:t> </w:t>
            </w:r>
            <w:r w:rsidRPr="0017221C">
              <w:rPr>
                <w:rFonts w:cs="Calibri"/>
                <w:b/>
                <w:bCs/>
                <w:color w:val="002060"/>
                <w:sz w:val="22"/>
                <w:szCs w:val="22"/>
                <w:lang w:val="es-ES_tradnl" w:eastAsia="es-ES"/>
              </w:rPr>
              <w:t>367]</w:t>
            </w:r>
          </w:p>
        </w:tc>
      </w:tr>
      <w:tr w:rsidR="00755E39" w:rsidRPr="0017221C" w14:paraId="123CE4FE" w14:textId="77777777" w:rsidTr="00755E39">
        <w:trPr>
          <w:trHeight w:val="330"/>
        </w:trPr>
        <w:tc>
          <w:tcPr>
            <w:tcW w:w="5080" w:type="dxa"/>
            <w:tcBorders>
              <w:top w:val="nil"/>
              <w:left w:val="single" w:sz="4" w:space="0" w:color="000000"/>
              <w:bottom w:val="nil"/>
              <w:right w:val="single" w:sz="4" w:space="0" w:color="0070C0"/>
            </w:tcBorders>
            <w:shd w:val="clear" w:color="000000" w:fill="F5F7F8"/>
            <w:noWrap/>
            <w:vAlign w:val="center"/>
            <w:hideMark/>
          </w:tcPr>
          <w:p w14:paraId="21FA39FC"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_tradnl" w:eastAsia="es-ES"/>
              </w:rPr>
            </w:pPr>
            <w:r w:rsidRPr="0017221C">
              <w:rPr>
                <w:rFonts w:cs="Calibri"/>
                <w:sz w:val="22"/>
                <w:szCs w:val="22"/>
                <w:lang w:val="es-ES_tradnl" w:eastAsia="es-ES"/>
              </w:rPr>
              <w:t>3 - Sector de Normalización de las Telecomunicaciones</w:t>
            </w:r>
          </w:p>
        </w:tc>
        <w:tc>
          <w:tcPr>
            <w:tcW w:w="1260" w:type="dxa"/>
            <w:tcBorders>
              <w:top w:val="nil"/>
              <w:left w:val="nil"/>
              <w:bottom w:val="nil"/>
              <w:right w:val="single" w:sz="4" w:space="0" w:color="0070C0"/>
            </w:tcBorders>
            <w:shd w:val="clear" w:color="000000" w:fill="F7EEEF"/>
            <w:noWrap/>
            <w:vAlign w:val="center"/>
            <w:hideMark/>
          </w:tcPr>
          <w:p w14:paraId="178F36D1" w14:textId="0CA4000E"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2060"/>
                <w:sz w:val="22"/>
                <w:szCs w:val="22"/>
                <w:lang w:val="es-ES_tradnl" w:eastAsia="es-ES"/>
              </w:rPr>
            </w:pPr>
            <w:r w:rsidRPr="0017221C">
              <w:rPr>
                <w:rFonts w:cs="Calibri"/>
                <w:color w:val="002060"/>
                <w:sz w:val="22"/>
                <w:szCs w:val="22"/>
                <w:lang w:val="es-ES_tradnl" w:eastAsia="es-ES"/>
              </w:rPr>
              <w:t>[14</w:t>
            </w:r>
            <w:r w:rsidR="0027619E" w:rsidRPr="0017221C">
              <w:rPr>
                <w:rFonts w:cs="Calibri"/>
                <w:color w:val="002060"/>
                <w:sz w:val="22"/>
                <w:szCs w:val="22"/>
                <w:lang w:val="es-ES_tradnl" w:eastAsia="es-ES"/>
              </w:rPr>
              <w:t> </w:t>
            </w:r>
            <w:r w:rsidRPr="0017221C">
              <w:rPr>
                <w:rFonts w:cs="Calibri"/>
                <w:color w:val="002060"/>
                <w:sz w:val="22"/>
                <w:szCs w:val="22"/>
                <w:lang w:val="es-ES_tradnl" w:eastAsia="es-ES"/>
              </w:rPr>
              <w:t>705]</w:t>
            </w:r>
          </w:p>
        </w:tc>
        <w:tc>
          <w:tcPr>
            <w:tcW w:w="1260" w:type="dxa"/>
            <w:tcBorders>
              <w:top w:val="nil"/>
              <w:left w:val="nil"/>
              <w:bottom w:val="nil"/>
              <w:right w:val="nil"/>
            </w:tcBorders>
            <w:shd w:val="clear" w:color="000000" w:fill="FAF5EF"/>
            <w:noWrap/>
            <w:vAlign w:val="center"/>
            <w:hideMark/>
          </w:tcPr>
          <w:p w14:paraId="6C36A13A" w14:textId="723AE6C8"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2060"/>
                <w:sz w:val="22"/>
                <w:szCs w:val="22"/>
                <w:lang w:val="es-ES_tradnl" w:eastAsia="es-ES"/>
              </w:rPr>
            </w:pPr>
            <w:r w:rsidRPr="0017221C">
              <w:rPr>
                <w:rFonts w:cs="Calibri"/>
                <w:color w:val="002060"/>
                <w:sz w:val="22"/>
                <w:szCs w:val="22"/>
                <w:lang w:val="es-ES_tradnl" w:eastAsia="es-ES"/>
              </w:rPr>
              <w:t>[14</w:t>
            </w:r>
            <w:r w:rsidR="0027619E" w:rsidRPr="0017221C">
              <w:rPr>
                <w:rFonts w:cs="Calibri"/>
                <w:color w:val="002060"/>
                <w:sz w:val="22"/>
                <w:szCs w:val="22"/>
                <w:lang w:val="es-ES_tradnl" w:eastAsia="es-ES"/>
              </w:rPr>
              <w:t> </w:t>
            </w:r>
            <w:r w:rsidRPr="0017221C">
              <w:rPr>
                <w:rFonts w:cs="Calibri"/>
                <w:color w:val="002060"/>
                <w:sz w:val="22"/>
                <w:szCs w:val="22"/>
                <w:lang w:val="es-ES_tradnl" w:eastAsia="es-ES"/>
              </w:rPr>
              <w:t>098]</w:t>
            </w:r>
          </w:p>
        </w:tc>
        <w:tc>
          <w:tcPr>
            <w:tcW w:w="1140" w:type="dxa"/>
            <w:tcBorders>
              <w:top w:val="nil"/>
              <w:left w:val="single" w:sz="4" w:space="0" w:color="0070C0"/>
              <w:bottom w:val="nil"/>
              <w:right w:val="single" w:sz="4" w:space="0" w:color="0070C0"/>
            </w:tcBorders>
            <w:shd w:val="clear" w:color="000000" w:fill="EFECEB"/>
            <w:noWrap/>
            <w:vAlign w:val="center"/>
            <w:hideMark/>
          </w:tcPr>
          <w:p w14:paraId="06D41BD8" w14:textId="68409C7E"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2060"/>
                <w:sz w:val="22"/>
                <w:szCs w:val="22"/>
                <w:lang w:val="es-ES_tradnl" w:eastAsia="es-ES"/>
              </w:rPr>
            </w:pPr>
            <w:r w:rsidRPr="0017221C">
              <w:rPr>
                <w:rFonts w:cs="Calibri"/>
                <w:b/>
                <w:bCs/>
                <w:color w:val="002060"/>
                <w:sz w:val="22"/>
                <w:szCs w:val="22"/>
                <w:lang w:val="es-ES_tradnl" w:eastAsia="es-ES"/>
              </w:rPr>
              <w:t>[28</w:t>
            </w:r>
            <w:r w:rsidR="0027619E" w:rsidRPr="0017221C">
              <w:rPr>
                <w:rFonts w:cs="Calibri"/>
                <w:b/>
                <w:bCs/>
                <w:color w:val="002060"/>
                <w:sz w:val="22"/>
                <w:szCs w:val="22"/>
                <w:lang w:val="es-ES_tradnl" w:eastAsia="es-ES"/>
              </w:rPr>
              <w:t> </w:t>
            </w:r>
            <w:r w:rsidRPr="0017221C">
              <w:rPr>
                <w:rFonts w:cs="Calibri"/>
                <w:b/>
                <w:bCs/>
                <w:color w:val="002060"/>
                <w:sz w:val="22"/>
                <w:szCs w:val="22"/>
                <w:lang w:val="es-ES_tradnl" w:eastAsia="es-ES"/>
              </w:rPr>
              <w:t>803]</w:t>
            </w:r>
          </w:p>
        </w:tc>
      </w:tr>
      <w:tr w:rsidR="00755E39" w:rsidRPr="0017221C" w14:paraId="10FDC9BC" w14:textId="77777777" w:rsidTr="00755E39">
        <w:trPr>
          <w:trHeight w:val="330"/>
        </w:trPr>
        <w:tc>
          <w:tcPr>
            <w:tcW w:w="5080" w:type="dxa"/>
            <w:tcBorders>
              <w:top w:val="nil"/>
              <w:left w:val="single" w:sz="4" w:space="0" w:color="000000"/>
              <w:bottom w:val="nil"/>
              <w:right w:val="single" w:sz="4" w:space="0" w:color="0070C0"/>
            </w:tcBorders>
            <w:shd w:val="clear" w:color="000000" w:fill="F5F7F8"/>
            <w:noWrap/>
            <w:vAlign w:val="center"/>
            <w:hideMark/>
          </w:tcPr>
          <w:p w14:paraId="4529AE9A"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_tradnl" w:eastAsia="es-ES"/>
              </w:rPr>
            </w:pPr>
            <w:r w:rsidRPr="0017221C">
              <w:rPr>
                <w:rFonts w:cs="Calibri"/>
                <w:sz w:val="22"/>
                <w:szCs w:val="22"/>
                <w:lang w:val="es-ES_tradnl" w:eastAsia="es-ES"/>
              </w:rPr>
              <w:t>4 - Sector de Desarrollo de las Telecomunicaciones</w:t>
            </w:r>
          </w:p>
        </w:tc>
        <w:tc>
          <w:tcPr>
            <w:tcW w:w="1260" w:type="dxa"/>
            <w:tcBorders>
              <w:top w:val="nil"/>
              <w:left w:val="nil"/>
              <w:bottom w:val="nil"/>
              <w:right w:val="single" w:sz="4" w:space="0" w:color="0070C0"/>
            </w:tcBorders>
            <w:shd w:val="clear" w:color="000000" w:fill="F7EEEF"/>
            <w:noWrap/>
            <w:vAlign w:val="center"/>
            <w:hideMark/>
          </w:tcPr>
          <w:p w14:paraId="6B1C2AFA" w14:textId="237477A4"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2060"/>
                <w:sz w:val="22"/>
                <w:szCs w:val="22"/>
                <w:lang w:val="es-ES_tradnl" w:eastAsia="es-ES"/>
              </w:rPr>
            </w:pPr>
            <w:r w:rsidRPr="0017221C">
              <w:rPr>
                <w:rFonts w:cs="Calibri"/>
                <w:color w:val="002060"/>
                <w:sz w:val="22"/>
                <w:szCs w:val="22"/>
                <w:lang w:val="es-ES_tradnl" w:eastAsia="es-ES"/>
              </w:rPr>
              <w:t>[29</w:t>
            </w:r>
            <w:r w:rsidR="0027619E" w:rsidRPr="0017221C">
              <w:rPr>
                <w:rFonts w:cs="Calibri"/>
                <w:color w:val="002060"/>
                <w:sz w:val="22"/>
                <w:szCs w:val="22"/>
                <w:lang w:val="es-ES_tradnl" w:eastAsia="es-ES"/>
              </w:rPr>
              <w:t> </w:t>
            </w:r>
            <w:r w:rsidRPr="0017221C">
              <w:rPr>
                <w:rFonts w:cs="Calibri"/>
                <w:color w:val="002060"/>
                <w:sz w:val="22"/>
                <w:szCs w:val="22"/>
                <w:lang w:val="es-ES_tradnl" w:eastAsia="es-ES"/>
              </w:rPr>
              <w:t>217]</w:t>
            </w:r>
          </w:p>
        </w:tc>
        <w:tc>
          <w:tcPr>
            <w:tcW w:w="1260" w:type="dxa"/>
            <w:tcBorders>
              <w:top w:val="nil"/>
              <w:left w:val="nil"/>
              <w:bottom w:val="nil"/>
              <w:right w:val="nil"/>
            </w:tcBorders>
            <w:shd w:val="clear" w:color="000000" w:fill="FAF5EF"/>
            <w:noWrap/>
            <w:vAlign w:val="center"/>
            <w:hideMark/>
          </w:tcPr>
          <w:p w14:paraId="32A99B47" w14:textId="1CB2A532"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2060"/>
                <w:sz w:val="22"/>
                <w:szCs w:val="22"/>
                <w:lang w:val="es-ES_tradnl" w:eastAsia="es-ES"/>
              </w:rPr>
            </w:pPr>
            <w:r w:rsidRPr="0017221C">
              <w:rPr>
                <w:rFonts w:cs="Calibri"/>
                <w:color w:val="002060"/>
                <w:sz w:val="22"/>
                <w:szCs w:val="22"/>
                <w:lang w:val="es-ES_tradnl" w:eastAsia="es-ES"/>
              </w:rPr>
              <w:t>[29</w:t>
            </w:r>
            <w:r w:rsidR="0027619E" w:rsidRPr="0017221C">
              <w:rPr>
                <w:rFonts w:cs="Calibri"/>
                <w:color w:val="002060"/>
                <w:sz w:val="22"/>
                <w:szCs w:val="22"/>
                <w:lang w:val="es-ES_tradnl" w:eastAsia="es-ES"/>
              </w:rPr>
              <w:t> </w:t>
            </w:r>
            <w:r w:rsidRPr="0017221C">
              <w:rPr>
                <w:rFonts w:cs="Calibri"/>
                <w:color w:val="002060"/>
                <w:sz w:val="22"/>
                <w:szCs w:val="22"/>
                <w:lang w:val="es-ES_tradnl" w:eastAsia="es-ES"/>
              </w:rPr>
              <w:t>885]</w:t>
            </w:r>
          </w:p>
        </w:tc>
        <w:tc>
          <w:tcPr>
            <w:tcW w:w="1140" w:type="dxa"/>
            <w:tcBorders>
              <w:top w:val="nil"/>
              <w:left w:val="single" w:sz="4" w:space="0" w:color="0070C0"/>
              <w:bottom w:val="nil"/>
              <w:right w:val="single" w:sz="4" w:space="0" w:color="0070C0"/>
            </w:tcBorders>
            <w:shd w:val="clear" w:color="000000" w:fill="EFECEB"/>
            <w:noWrap/>
            <w:vAlign w:val="center"/>
            <w:hideMark/>
          </w:tcPr>
          <w:p w14:paraId="2FB6C058" w14:textId="21A951CA"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2060"/>
                <w:sz w:val="22"/>
                <w:szCs w:val="22"/>
                <w:lang w:val="es-ES_tradnl" w:eastAsia="es-ES"/>
              </w:rPr>
            </w:pPr>
            <w:r w:rsidRPr="0017221C">
              <w:rPr>
                <w:rFonts w:cs="Calibri"/>
                <w:b/>
                <w:bCs/>
                <w:color w:val="002060"/>
                <w:sz w:val="22"/>
                <w:szCs w:val="22"/>
                <w:lang w:val="es-ES_tradnl" w:eastAsia="es-ES"/>
              </w:rPr>
              <w:t>[59</w:t>
            </w:r>
            <w:r w:rsidR="0027619E" w:rsidRPr="0017221C">
              <w:rPr>
                <w:rFonts w:cs="Calibri"/>
                <w:b/>
                <w:bCs/>
                <w:color w:val="002060"/>
                <w:sz w:val="22"/>
                <w:szCs w:val="22"/>
                <w:lang w:val="es-ES_tradnl" w:eastAsia="es-ES"/>
              </w:rPr>
              <w:t> </w:t>
            </w:r>
            <w:r w:rsidRPr="0017221C">
              <w:rPr>
                <w:rFonts w:cs="Calibri"/>
                <w:b/>
                <w:bCs/>
                <w:color w:val="002060"/>
                <w:sz w:val="22"/>
                <w:szCs w:val="22"/>
                <w:lang w:val="es-ES_tradnl" w:eastAsia="es-ES"/>
              </w:rPr>
              <w:t>102]</w:t>
            </w:r>
          </w:p>
        </w:tc>
      </w:tr>
      <w:tr w:rsidR="00755E39" w:rsidRPr="0017221C" w14:paraId="69CF8AE2" w14:textId="77777777" w:rsidTr="00755E39">
        <w:trPr>
          <w:trHeight w:val="240"/>
        </w:trPr>
        <w:tc>
          <w:tcPr>
            <w:tcW w:w="5080" w:type="dxa"/>
            <w:tcBorders>
              <w:top w:val="nil"/>
              <w:left w:val="single" w:sz="4" w:space="0" w:color="000000"/>
              <w:bottom w:val="nil"/>
              <w:right w:val="single" w:sz="4" w:space="0" w:color="0070C0"/>
            </w:tcBorders>
            <w:shd w:val="clear" w:color="000000" w:fill="F5F7F8"/>
            <w:noWrap/>
            <w:vAlign w:val="center"/>
            <w:hideMark/>
          </w:tcPr>
          <w:p w14:paraId="7330FBFF"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_tradnl" w:eastAsia="es-ES"/>
              </w:rPr>
            </w:pPr>
            <w:r w:rsidRPr="0017221C">
              <w:rPr>
                <w:rFonts w:cs="Calibri"/>
                <w:sz w:val="22"/>
                <w:szCs w:val="22"/>
                <w:lang w:val="es-ES_tradnl" w:eastAsia="es-ES"/>
              </w:rPr>
              <w:t> </w:t>
            </w:r>
          </w:p>
        </w:tc>
        <w:tc>
          <w:tcPr>
            <w:tcW w:w="1260" w:type="dxa"/>
            <w:tcBorders>
              <w:top w:val="nil"/>
              <w:left w:val="nil"/>
              <w:bottom w:val="nil"/>
              <w:right w:val="single" w:sz="4" w:space="0" w:color="0070C0"/>
            </w:tcBorders>
            <w:shd w:val="clear" w:color="000000" w:fill="F7EEEF"/>
            <w:noWrap/>
            <w:vAlign w:val="center"/>
            <w:hideMark/>
          </w:tcPr>
          <w:p w14:paraId="39406983"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2060"/>
                <w:sz w:val="22"/>
                <w:szCs w:val="22"/>
                <w:lang w:val="es-ES_tradnl" w:eastAsia="es-ES"/>
              </w:rPr>
            </w:pPr>
            <w:r w:rsidRPr="0017221C">
              <w:rPr>
                <w:rFonts w:cs="Calibri"/>
                <w:color w:val="002060"/>
                <w:sz w:val="22"/>
                <w:szCs w:val="22"/>
                <w:lang w:val="es-ES_tradnl" w:eastAsia="es-ES"/>
              </w:rPr>
              <w:t> </w:t>
            </w:r>
          </w:p>
        </w:tc>
        <w:tc>
          <w:tcPr>
            <w:tcW w:w="1260" w:type="dxa"/>
            <w:tcBorders>
              <w:top w:val="nil"/>
              <w:left w:val="nil"/>
              <w:bottom w:val="nil"/>
              <w:right w:val="nil"/>
            </w:tcBorders>
            <w:shd w:val="clear" w:color="000000" w:fill="FAF5EF"/>
            <w:noWrap/>
            <w:vAlign w:val="center"/>
            <w:hideMark/>
          </w:tcPr>
          <w:p w14:paraId="771C9470"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2060"/>
                <w:sz w:val="22"/>
                <w:szCs w:val="22"/>
                <w:lang w:val="es-ES_tradnl" w:eastAsia="es-ES"/>
              </w:rPr>
            </w:pPr>
            <w:r w:rsidRPr="0017221C">
              <w:rPr>
                <w:rFonts w:cs="Calibri"/>
                <w:color w:val="002060"/>
                <w:sz w:val="22"/>
                <w:szCs w:val="22"/>
                <w:lang w:val="es-ES_tradnl" w:eastAsia="es-ES"/>
              </w:rPr>
              <w:t> </w:t>
            </w:r>
          </w:p>
        </w:tc>
        <w:tc>
          <w:tcPr>
            <w:tcW w:w="1140" w:type="dxa"/>
            <w:tcBorders>
              <w:top w:val="nil"/>
              <w:left w:val="single" w:sz="4" w:space="0" w:color="0070C0"/>
              <w:bottom w:val="nil"/>
              <w:right w:val="single" w:sz="4" w:space="0" w:color="0070C0"/>
            </w:tcBorders>
            <w:shd w:val="clear" w:color="000000" w:fill="EFECEB"/>
            <w:noWrap/>
            <w:vAlign w:val="center"/>
            <w:hideMark/>
          </w:tcPr>
          <w:p w14:paraId="1E778254"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2060"/>
                <w:sz w:val="22"/>
                <w:szCs w:val="22"/>
                <w:lang w:val="es-ES_tradnl" w:eastAsia="es-ES"/>
              </w:rPr>
            </w:pPr>
            <w:r w:rsidRPr="0017221C">
              <w:rPr>
                <w:rFonts w:cs="Calibri"/>
                <w:b/>
                <w:bCs/>
                <w:color w:val="002060"/>
                <w:sz w:val="22"/>
                <w:szCs w:val="22"/>
                <w:lang w:val="es-ES_tradnl" w:eastAsia="es-ES"/>
              </w:rPr>
              <w:t> </w:t>
            </w:r>
          </w:p>
        </w:tc>
      </w:tr>
      <w:tr w:rsidR="00755E39" w:rsidRPr="0017221C" w14:paraId="70CBBA8B" w14:textId="77777777" w:rsidTr="00755E39">
        <w:trPr>
          <w:trHeight w:val="120"/>
        </w:trPr>
        <w:tc>
          <w:tcPr>
            <w:tcW w:w="5080" w:type="dxa"/>
            <w:tcBorders>
              <w:top w:val="nil"/>
              <w:left w:val="single" w:sz="4" w:space="0" w:color="000000"/>
              <w:bottom w:val="nil"/>
              <w:right w:val="single" w:sz="4" w:space="0" w:color="0070C0"/>
            </w:tcBorders>
            <w:shd w:val="clear" w:color="000000" w:fill="02385E"/>
            <w:noWrap/>
            <w:vAlign w:val="center"/>
            <w:hideMark/>
          </w:tcPr>
          <w:p w14:paraId="5A0FED0C"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FFFF"/>
                <w:sz w:val="22"/>
                <w:szCs w:val="22"/>
                <w:lang w:val="es-ES_tradnl" w:eastAsia="es-ES"/>
              </w:rPr>
            </w:pPr>
            <w:r w:rsidRPr="0017221C">
              <w:rPr>
                <w:rFonts w:cs="Calibri"/>
                <w:b/>
                <w:bCs/>
                <w:color w:val="FFFFFF"/>
                <w:sz w:val="22"/>
                <w:szCs w:val="22"/>
                <w:lang w:val="es-ES_tradnl" w:eastAsia="es-ES"/>
              </w:rPr>
              <w:t> </w:t>
            </w:r>
          </w:p>
        </w:tc>
        <w:tc>
          <w:tcPr>
            <w:tcW w:w="1260" w:type="dxa"/>
            <w:tcBorders>
              <w:top w:val="nil"/>
              <w:left w:val="nil"/>
              <w:bottom w:val="nil"/>
              <w:right w:val="single" w:sz="4" w:space="0" w:color="0070C0"/>
            </w:tcBorders>
            <w:shd w:val="clear" w:color="000000" w:fill="A63950"/>
            <w:noWrap/>
            <w:vAlign w:val="center"/>
            <w:hideMark/>
          </w:tcPr>
          <w:p w14:paraId="3005C33F"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22"/>
                <w:szCs w:val="22"/>
                <w:lang w:val="es-ES_tradnl" w:eastAsia="es-ES"/>
              </w:rPr>
            </w:pPr>
            <w:r w:rsidRPr="0017221C">
              <w:rPr>
                <w:rFonts w:cs="Calibri"/>
                <w:b/>
                <w:bCs/>
                <w:color w:val="FFFFFF"/>
                <w:sz w:val="22"/>
                <w:szCs w:val="22"/>
                <w:lang w:val="es-ES_tradnl" w:eastAsia="es-ES"/>
              </w:rPr>
              <w:t> </w:t>
            </w:r>
          </w:p>
        </w:tc>
        <w:tc>
          <w:tcPr>
            <w:tcW w:w="1260" w:type="dxa"/>
            <w:tcBorders>
              <w:top w:val="nil"/>
              <w:left w:val="nil"/>
              <w:bottom w:val="nil"/>
              <w:right w:val="nil"/>
            </w:tcBorders>
            <w:shd w:val="clear" w:color="000000" w:fill="DAB785"/>
            <w:noWrap/>
            <w:vAlign w:val="center"/>
            <w:hideMark/>
          </w:tcPr>
          <w:p w14:paraId="68201237"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22"/>
                <w:szCs w:val="22"/>
                <w:lang w:val="es-ES_tradnl" w:eastAsia="es-ES"/>
              </w:rPr>
            </w:pPr>
            <w:r w:rsidRPr="0017221C">
              <w:rPr>
                <w:rFonts w:cs="Calibri"/>
                <w:b/>
                <w:bCs/>
                <w:color w:val="FFFFFF"/>
                <w:sz w:val="22"/>
                <w:szCs w:val="22"/>
                <w:lang w:val="es-ES_tradnl" w:eastAsia="es-ES"/>
              </w:rPr>
              <w:t> </w:t>
            </w:r>
          </w:p>
        </w:tc>
        <w:tc>
          <w:tcPr>
            <w:tcW w:w="1140" w:type="dxa"/>
            <w:tcBorders>
              <w:top w:val="nil"/>
              <w:left w:val="single" w:sz="4" w:space="0" w:color="0070C0"/>
              <w:bottom w:val="nil"/>
              <w:right w:val="single" w:sz="4" w:space="0" w:color="0070C0"/>
            </w:tcBorders>
            <w:shd w:val="clear" w:color="000000" w:fill="785C57"/>
            <w:noWrap/>
            <w:vAlign w:val="center"/>
            <w:hideMark/>
          </w:tcPr>
          <w:p w14:paraId="3167A904"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22"/>
                <w:szCs w:val="22"/>
                <w:lang w:val="es-ES_tradnl" w:eastAsia="es-ES"/>
              </w:rPr>
            </w:pPr>
            <w:r w:rsidRPr="0017221C">
              <w:rPr>
                <w:rFonts w:cs="Calibri"/>
                <w:b/>
                <w:bCs/>
                <w:color w:val="FFFFFF"/>
                <w:sz w:val="22"/>
                <w:szCs w:val="22"/>
                <w:lang w:val="es-ES_tradnl" w:eastAsia="es-ES"/>
              </w:rPr>
              <w:t> </w:t>
            </w:r>
          </w:p>
        </w:tc>
      </w:tr>
      <w:tr w:rsidR="00755E39" w:rsidRPr="0017221C" w14:paraId="479AD4DC" w14:textId="77777777" w:rsidTr="00755E39">
        <w:trPr>
          <w:trHeight w:val="240"/>
        </w:trPr>
        <w:tc>
          <w:tcPr>
            <w:tcW w:w="5080" w:type="dxa"/>
            <w:tcBorders>
              <w:top w:val="nil"/>
              <w:left w:val="single" w:sz="4" w:space="0" w:color="000000"/>
              <w:bottom w:val="nil"/>
              <w:right w:val="single" w:sz="4" w:space="0" w:color="0070C0"/>
            </w:tcBorders>
            <w:shd w:val="clear" w:color="000000" w:fill="02385E"/>
            <w:noWrap/>
            <w:vAlign w:val="center"/>
            <w:hideMark/>
          </w:tcPr>
          <w:p w14:paraId="52C05A42"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FFFF"/>
                <w:sz w:val="22"/>
                <w:szCs w:val="22"/>
                <w:lang w:val="es-ES_tradnl" w:eastAsia="es-ES"/>
              </w:rPr>
            </w:pPr>
            <w:r w:rsidRPr="0017221C">
              <w:rPr>
                <w:rFonts w:cs="Calibri"/>
                <w:b/>
                <w:bCs/>
                <w:color w:val="FFFFFF"/>
                <w:sz w:val="22"/>
                <w:szCs w:val="22"/>
                <w:lang w:val="es-ES_tradnl" w:eastAsia="es-ES"/>
              </w:rPr>
              <w:t>TOTAL</w:t>
            </w:r>
          </w:p>
        </w:tc>
        <w:tc>
          <w:tcPr>
            <w:tcW w:w="1260" w:type="dxa"/>
            <w:tcBorders>
              <w:top w:val="nil"/>
              <w:left w:val="nil"/>
              <w:bottom w:val="single" w:sz="4" w:space="0" w:color="auto"/>
              <w:right w:val="single" w:sz="4" w:space="0" w:color="0070C0"/>
            </w:tcBorders>
            <w:shd w:val="clear" w:color="000000" w:fill="A63950"/>
            <w:noWrap/>
            <w:vAlign w:val="center"/>
            <w:hideMark/>
          </w:tcPr>
          <w:p w14:paraId="3853883E" w14:textId="1DB4CAA3"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22"/>
                <w:szCs w:val="22"/>
                <w:lang w:val="es-ES_tradnl" w:eastAsia="es-ES"/>
              </w:rPr>
            </w:pPr>
            <w:r w:rsidRPr="0017221C">
              <w:rPr>
                <w:rFonts w:cs="Calibri"/>
                <w:b/>
                <w:bCs/>
                <w:color w:val="FFFFFF"/>
                <w:sz w:val="22"/>
                <w:szCs w:val="22"/>
                <w:lang w:val="es-ES_tradnl" w:eastAsia="es-ES"/>
              </w:rPr>
              <w:t>[164</w:t>
            </w:r>
            <w:r w:rsidR="0027619E" w:rsidRPr="0017221C">
              <w:rPr>
                <w:rFonts w:cs="Calibri"/>
                <w:b/>
                <w:bCs/>
                <w:color w:val="FFFFFF"/>
                <w:sz w:val="22"/>
                <w:szCs w:val="22"/>
                <w:lang w:val="es-ES_tradnl" w:eastAsia="es-ES"/>
              </w:rPr>
              <w:t> </w:t>
            </w:r>
            <w:r w:rsidRPr="0017221C">
              <w:rPr>
                <w:rFonts w:cs="Calibri"/>
                <w:b/>
                <w:bCs/>
                <w:color w:val="FFFFFF"/>
                <w:sz w:val="22"/>
                <w:szCs w:val="22"/>
                <w:lang w:val="es-ES_tradnl" w:eastAsia="es-ES"/>
              </w:rPr>
              <w:t>933]</w:t>
            </w:r>
          </w:p>
        </w:tc>
        <w:tc>
          <w:tcPr>
            <w:tcW w:w="1260" w:type="dxa"/>
            <w:tcBorders>
              <w:top w:val="nil"/>
              <w:left w:val="nil"/>
              <w:bottom w:val="single" w:sz="4" w:space="0" w:color="auto"/>
              <w:right w:val="nil"/>
            </w:tcBorders>
            <w:shd w:val="clear" w:color="000000" w:fill="DAB785"/>
            <w:noWrap/>
            <w:vAlign w:val="center"/>
            <w:hideMark/>
          </w:tcPr>
          <w:p w14:paraId="779E8C6F" w14:textId="77BBE069"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22"/>
                <w:szCs w:val="22"/>
                <w:lang w:val="es-ES_tradnl" w:eastAsia="es-ES"/>
              </w:rPr>
            </w:pPr>
            <w:r w:rsidRPr="0017221C">
              <w:rPr>
                <w:rFonts w:cs="Calibri"/>
                <w:b/>
                <w:bCs/>
                <w:color w:val="FFFFFF"/>
                <w:sz w:val="22"/>
                <w:szCs w:val="22"/>
                <w:lang w:val="es-ES_tradnl" w:eastAsia="es-ES"/>
              </w:rPr>
              <w:t>[164</w:t>
            </w:r>
            <w:r w:rsidR="0027619E" w:rsidRPr="0017221C">
              <w:rPr>
                <w:rFonts w:cs="Calibri"/>
                <w:b/>
                <w:bCs/>
                <w:color w:val="FFFFFF"/>
                <w:sz w:val="22"/>
                <w:szCs w:val="22"/>
                <w:lang w:val="es-ES_tradnl" w:eastAsia="es-ES"/>
              </w:rPr>
              <w:t> </w:t>
            </w:r>
            <w:r w:rsidRPr="0017221C">
              <w:rPr>
                <w:rFonts w:cs="Calibri"/>
                <w:b/>
                <w:bCs/>
                <w:color w:val="FFFFFF"/>
                <w:sz w:val="22"/>
                <w:szCs w:val="22"/>
                <w:lang w:val="es-ES_tradnl" w:eastAsia="es-ES"/>
              </w:rPr>
              <w:t>134]</w:t>
            </w:r>
          </w:p>
        </w:tc>
        <w:tc>
          <w:tcPr>
            <w:tcW w:w="1140" w:type="dxa"/>
            <w:tcBorders>
              <w:top w:val="nil"/>
              <w:left w:val="single" w:sz="4" w:space="0" w:color="0070C0"/>
              <w:bottom w:val="single" w:sz="4" w:space="0" w:color="0070C0"/>
              <w:right w:val="single" w:sz="4" w:space="0" w:color="0070C0"/>
            </w:tcBorders>
            <w:shd w:val="clear" w:color="000000" w:fill="785C57"/>
            <w:noWrap/>
            <w:vAlign w:val="center"/>
            <w:hideMark/>
          </w:tcPr>
          <w:p w14:paraId="187E7D55" w14:textId="3B59D7EF"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22"/>
                <w:szCs w:val="22"/>
                <w:lang w:val="es-ES_tradnl" w:eastAsia="es-ES"/>
              </w:rPr>
            </w:pPr>
            <w:r w:rsidRPr="0017221C">
              <w:rPr>
                <w:rFonts w:cs="Calibri"/>
                <w:b/>
                <w:bCs/>
                <w:color w:val="FFFFFF"/>
                <w:sz w:val="22"/>
                <w:szCs w:val="22"/>
                <w:lang w:val="es-ES_tradnl" w:eastAsia="es-ES"/>
              </w:rPr>
              <w:t>[329</w:t>
            </w:r>
            <w:r w:rsidR="0027619E" w:rsidRPr="0017221C">
              <w:rPr>
                <w:rFonts w:cs="Calibri"/>
                <w:b/>
                <w:bCs/>
                <w:color w:val="FFFFFF"/>
                <w:sz w:val="22"/>
                <w:szCs w:val="22"/>
                <w:lang w:val="es-ES_tradnl" w:eastAsia="es-ES"/>
              </w:rPr>
              <w:t> </w:t>
            </w:r>
            <w:r w:rsidRPr="0017221C">
              <w:rPr>
                <w:rFonts w:cs="Calibri"/>
                <w:b/>
                <w:bCs/>
                <w:color w:val="FFFFFF"/>
                <w:sz w:val="22"/>
                <w:szCs w:val="22"/>
                <w:lang w:val="es-ES_tradnl" w:eastAsia="es-ES"/>
              </w:rPr>
              <w:t>067]</w:t>
            </w:r>
          </w:p>
        </w:tc>
      </w:tr>
      <w:tr w:rsidR="00755E39" w:rsidRPr="0017221C" w14:paraId="3E3853DD" w14:textId="77777777" w:rsidTr="00755E39">
        <w:trPr>
          <w:trHeight w:val="300"/>
        </w:trPr>
        <w:tc>
          <w:tcPr>
            <w:tcW w:w="5080" w:type="dxa"/>
            <w:tcBorders>
              <w:top w:val="nil"/>
              <w:left w:val="nil"/>
              <w:bottom w:val="nil"/>
              <w:right w:val="nil"/>
            </w:tcBorders>
            <w:shd w:val="clear" w:color="auto" w:fill="auto"/>
            <w:noWrap/>
            <w:vAlign w:val="center"/>
            <w:hideMark/>
          </w:tcPr>
          <w:p w14:paraId="19E4D17E"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textAlignment w:val="auto"/>
              <w:rPr>
                <w:rFonts w:cs="Calibri"/>
                <w:color w:val="0033CC"/>
                <w:sz w:val="18"/>
                <w:szCs w:val="18"/>
                <w:lang w:val="es-ES_tradnl" w:eastAsia="es-ES"/>
              </w:rPr>
            </w:pPr>
          </w:p>
        </w:tc>
        <w:tc>
          <w:tcPr>
            <w:tcW w:w="1260" w:type="dxa"/>
            <w:tcBorders>
              <w:top w:val="nil"/>
              <w:left w:val="nil"/>
              <w:bottom w:val="nil"/>
              <w:right w:val="nil"/>
            </w:tcBorders>
            <w:shd w:val="clear" w:color="auto" w:fill="auto"/>
            <w:noWrap/>
            <w:vAlign w:val="center"/>
            <w:hideMark/>
          </w:tcPr>
          <w:p w14:paraId="7A4592E1"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33CC"/>
                <w:sz w:val="18"/>
                <w:szCs w:val="18"/>
                <w:lang w:val="es-ES_tradnl" w:eastAsia="es-ES"/>
              </w:rPr>
            </w:pPr>
          </w:p>
        </w:tc>
        <w:tc>
          <w:tcPr>
            <w:tcW w:w="1260" w:type="dxa"/>
            <w:tcBorders>
              <w:top w:val="nil"/>
              <w:left w:val="nil"/>
              <w:bottom w:val="nil"/>
              <w:right w:val="nil"/>
            </w:tcBorders>
            <w:shd w:val="clear" w:color="auto" w:fill="auto"/>
            <w:noWrap/>
            <w:vAlign w:val="center"/>
            <w:hideMark/>
          </w:tcPr>
          <w:p w14:paraId="5A20C636"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33CC"/>
                <w:sz w:val="18"/>
                <w:szCs w:val="18"/>
                <w:lang w:val="es-ES_tradnl" w:eastAsia="es-ES"/>
              </w:rPr>
            </w:pPr>
          </w:p>
        </w:tc>
        <w:tc>
          <w:tcPr>
            <w:tcW w:w="1140" w:type="dxa"/>
            <w:tcBorders>
              <w:top w:val="nil"/>
              <w:left w:val="nil"/>
              <w:bottom w:val="nil"/>
              <w:right w:val="nil"/>
            </w:tcBorders>
            <w:shd w:val="clear" w:color="auto" w:fill="auto"/>
            <w:noWrap/>
            <w:vAlign w:val="center"/>
            <w:hideMark/>
          </w:tcPr>
          <w:p w14:paraId="3660E4DA" w14:textId="77777777" w:rsidR="00755E39" w:rsidRPr="0017221C" w:rsidRDefault="00755E39" w:rsidP="00755E3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33CC"/>
                <w:sz w:val="18"/>
                <w:szCs w:val="18"/>
                <w:lang w:val="es-ES_tradnl" w:eastAsia="es-ES"/>
              </w:rPr>
            </w:pPr>
          </w:p>
        </w:tc>
      </w:tr>
    </w:tbl>
    <w:p w14:paraId="3BE05118" w14:textId="77777777" w:rsidR="00ED6DED" w:rsidRPr="0017221C" w:rsidRDefault="00ED6DED" w:rsidP="00ED6DED">
      <w:pPr>
        <w:pStyle w:val="call0"/>
        <w:rPr>
          <w:lang w:val="es-ES_tradnl"/>
        </w:rPr>
      </w:pPr>
      <w:r w:rsidRPr="0017221C">
        <w:rPr>
          <w:iCs/>
          <w:lang w:val="es-ES_tradnl"/>
        </w:rPr>
        <w:t>resuelve además</w:t>
      </w:r>
    </w:p>
    <w:p w14:paraId="2793C855" w14:textId="08E9C338" w:rsidR="00ED6DED" w:rsidRPr="0017221C" w:rsidRDefault="00ED6DED" w:rsidP="00ED6DED">
      <w:pPr>
        <w:rPr>
          <w:lang w:val="es-ES_tradnl"/>
        </w:rPr>
      </w:pPr>
      <w:r w:rsidRPr="0017221C">
        <w:rPr>
          <w:lang w:val="es-ES_tradnl"/>
        </w:rPr>
        <w:t>1</w:t>
      </w:r>
      <w:r w:rsidRPr="0017221C">
        <w:rPr>
          <w:lang w:val="es-ES_tradnl"/>
        </w:rPr>
        <w:tab/>
        <w:t>fijar el importe de la unidad contributiva anual para 2024 y 2025 en 318 000 CHF, basándose en la clase de contribución elegida por los Estados Miembros con arreglo al número 160 de la Constitución de la UIT y al número 468 del Convenio, o sea en base a un total de 355 15/16 unidades;</w:t>
      </w:r>
    </w:p>
    <w:p w14:paraId="22686D0C" w14:textId="76A450C3" w:rsidR="00ED6DED" w:rsidRPr="0017221C" w:rsidRDefault="00ED6DED" w:rsidP="00ED6DED">
      <w:pPr>
        <w:rPr>
          <w:lang w:val="es-ES_tradnl"/>
        </w:rPr>
      </w:pPr>
      <w:r w:rsidRPr="0017221C">
        <w:rPr>
          <w:lang w:val="es-ES_tradnl"/>
        </w:rPr>
        <w:t>2</w:t>
      </w:r>
      <w:r w:rsidRPr="0017221C">
        <w:rPr>
          <w:lang w:val="es-ES_tradnl"/>
        </w:rPr>
        <w:tab/>
        <w:t xml:space="preserve">establecer en 63 600 CHF el valor anual de la unidad contributiva para 2024 y 2025, destinada a sufragar los gastos de las reuniones del Sector de Radiocomunicaciones (UIT-R), </w:t>
      </w:r>
      <w:r w:rsidRPr="0017221C">
        <w:rPr>
          <w:lang w:val="es-ES_tradnl"/>
        </w:rPr>
        <w:lastRenderedPageBreak/>
        <w:t>el Sector de Normalización de las Telecomunicaciones (UIT-T) y el Sector de Desarrollo de las Telecomunicaciones (UIT-D), importe abonable por los Miembros de Sector de conformidad con el número 480 del Convenio;</w:t>
      </w:r>
    </w:p>
    <w:p w14:paraId="1B2C329D" w14:textId="77777777" w:rsidR="00ED6DED" w:rsidRPr="0017221C" w:rsidRDefault="00ED6DED" w:rsidP="00ED6DED">
      <w:pPr>
        <w:overflowPunct/>
        <w:autoSpaceDE/>
        <w:autoSpaceDN/>
        <w:adjustRightInd/>
        <w:snapToGrid w:val="0"/>
        <w:textAlignment w:val="auto"/>
        <w:rPr>
          <w:lang w:val="es-ES_tradnl"/>
        </w:rPr>
      </w:pPr>
      <w:r w:rsidRPr="0017221C">
        <w:rPr>
          <w:lang w:val="es-ES_tradnl"/>
        </w:rPr>
        <w:t>3</w:t>
      </w:r>
      <w:r w:rsidRPr="0017221C">
        <w:rPr>
          <w:lang w:val="es-ES_tradnl"/>
        </w:rPr>
        <w:tab/>
        <w:t>fijar la contribución financiera de los Asociados en las cantidades siguientes:</w:t>
      </w:r>
    </w:p>
    <w:p w14:paraId="099E6EEE" w14:textId="5C09CC46" w:rsidR="00ED6DED" w:rsidRPr="0017221C" w:rsidRDefault="00FB4AA7" w:rsidP="00FB4AA7">
      <w:pPr>
        <w:pStyle w:val="enumlev1"/>
        <w:rPr>
          <w:lang w:val="es-ES_tradnl"/>
        </w:rPr>
      </w:pPr>
      <w:r w:rsidRPr="0017221C">
        <w:rPr>
          <w:lang w:val="es-ES_tradnl"/>
        </w:rPr>
        <w:t>a)</w:t>
      </w:r>
      <w:r w:rsidRPr="0017221C">
        <w:rPr>
          <w:lang w:val="es-ES_tradnl"/>
        </w:rPr>
        <w:tab/>
      </w:r>
      <w:r w:rsidR="00ED6DED" w:rsidRPr="0017221C">
        <w:rPr>
          <w:lang w:val="es-ES_tradnl"/>
        </w:rPr>
        <w:t>10 600 CHF para los Asociados que participen en las actividades del UIT-T y el UIT-R;</w:t>
      </w:r>
    </w:p>
    <w:p w14:paraId="1E12554A" w14:textId="67AE0164" w:rsidR="00ED6DED" w:rsidRPr="0017221C" w:rsidRDefault="00FB4AA7" w:rsidP="00FB4AA7">
      <w:pPr>
        <w:pStyle w:val="enumlev1"/>
        <w:rPr>
          <w:lang w:val="es-ES_tradnl"/>
        </w:rPr>
      </w:pPr>
      <w:r w:rsidRPr="0017221C">
        <w:rPr>
          <w:lang w:val="es-ES_tradnl"/>
        </w:rPr>
        <w:t>b)</w:t>
      </w:r>
      <w:r w:rsidRPr="0017221C">
        <w:rPr>
          <w:lang w:val="es-ES_tradnl"/>
        </w:rPr>
        <w:tab/>
      </w:r>
      <w:r w:rsidR="00ED6DED" w:rsidRPr="0017221C">
        <w:rPr>
          <w:lang w:val="es-ES_tradnl"/>
        </w:rPr>
        <w:t>3 975 CHF para los Asociados que participen en las actividades del UIT-D;</w:t>
      </w:r>
    </w:p>
    <w:p w14:paraId="405EAD88" w14:textId="737E2F4F" w:rsidR="00ED6DED" w:rsidRPr="0017221C" w:rsidRDefault="00FB4AA7" w:rsidP="00FB4AA7">
      <w:pPr>
        <w:pStyle w:val="enumlev1"/>
        <w:rPr>
          <w:lang w:val="es-ES_tradnl"/>
        </w:rPr>
      </w:pPr>
      <w:r w:rsidRPr="0017221C">
        <w:rPr>
          <w:lang w:val="es-ES_tradnl"/>
        </w:rPr>
        <w:t>c)</w:t>
      </w:r>
      <w:r w:rsidRPr="0017221C">
        <w:rPr>
          <w:lang w:val="es-ES_tradnl"/>
        </w:rPr>
        <w:tab/>
      </w:r>
      <w:r w:rsidR="00ED6DED" w:rsidRPr="0017221C">
        <w:rPr>
          <w:lang w:val="es-ES_tradnl"/>
        </w:rPr>
        <w:t>1 987,50 CHF para los Asociados de los países en desarrollo que participen en las actividades del UIT-D;</w:t>
      </w:r>
    </w:p>
    <w:p w14:paraId="0B341659" w14:textId="2E1AE815" w:rsidR="00ED6DED" w:rsidRPr="0017221C" w:rsidRDefault="00ED6DED" w:rsidP="00ED6DED">
      <w:pPr>
        <w:rPr>
          <w:lang w:val="es-ES_tradnl"/>
        </w:rPr>
      </w:pPr>
      <w:r w:rsidRPr="0017221C">
        <w:rPr>
          <w:lang w:val="es-ES_tradnl"/>
        </w:rPr>
        <w:t>4</w:t>
      </w:r>
      <w:r w:rsidRPr="0017221C">
        <w:rPr>
          <w:lang w:val="es-ES_tradnl"/>
        </w:rPr>
        <w:tab/>
        <w:t>fijar el canon anual para las Instituciones Académicas, incluidas las universidades y sus organismos de investigación asociados en las cantidades siguientes:</w:t>
      </w:r>
    </w:p>
    <w:p w14:paraId="684A02EF" w14:textId="6CDBE55A" w:rsidR="00ED6DED" w:rsidRPr="0017221C" w:rsidRDefault="00FB4AA7" w:rsidP="00FB4AA7">
      <w:pPr>
        <w:pStyle w:val="enumlev1"/>
        <w:rPr>
          <w:lang w:val="es-ES_tradnl"/>
        </w:rPr>
      </w:pPr>
      <w:r w:rsidRPr="0017221C">
        <w:rPr>
          <w:lang w:val="es-ES_tradnl"/>
        </w:rPr>
        <w:t>a)</w:t>
      </w:r>
      <w:r w:rsidRPr="0017221C">
        <w:rPr>
          <w:lang w:val="es-ES_tradnl"/>
        </w:rPr>
        <w:tab/>
      </w:r>
      <w:r w:rsidR="00ED6DED" w:rsidRPr="0017221C">
        <w:rPr>
          <w:lang w:val="es-ES_tradnl"/>
        </w:rPr>
        <w:t>3 975 CHF para las Instituciones Académicas de países desarrollados que participan en los trabajos de los tres Sectores;</w:t>
      </w:r>
    </w:p>
    <w:p w14:paraId="7A5F8A46" w14:textId="4CF07542" w:rsidR="00ED6DED" w:rsidRPr="0017221C" w:rsidRDefault="00FB4AA7" w:rsidP="00FB4AA7">
      <w:pPr>
        <w:pStyle w:val="enumlev1"/>
        <w:rPr>
          <w:lang w:val="es-ES_tradnl"/>
        </w:rPr>
      </w:pPr>
      <w:r w:rsidRPr="0017221C">
        <w:rPr>
          <w:lang w:val="es-ES_tradnl"/>
        </w:rPr>
        <w:t>b)</w:t>
      </w:r>
      <w:r w:rsidRPr="0017221C">
        <w:rPr>
          <w:lang w:val="es-ES_tradnl"/>
        </w:rPr>
        <w:tab/>
      </w:r>
      <w:r w:rsidR="00ED6DED" w:rsidRPr="0017221C">
        <w:rPr>
          <w:lang w:val="es-ES_tradnl"/>
        </w:rPr>
        <w:t>1 987,50 CHF para las Instituciones Académicas de países en desarrollo que participan en los trabajos de los tres Sectores;</w:t>
      </w:r>
    </w:p>
    <w:p w14:paraId="0FA66475" w14:textId="77777777" w:rsidR="00175DBD" w:rsidRPr="0017221C" w:rsidRDefault="00ED6DED" w:rsidP="00ED6DED">
      <w:pPr>
        <w:rPr>
          <w:lang w:val="es-ES_tradnl"/>
        </w:rPr>
      </w:pPr>
      <w:r w:rsidRPr="0017221C">
        <w:rPr>
          <w:lang w:val="es-ES_tradnl"/>
        </w:rPr>
        <w:t>5</w:t>
      </w:r>
      <w:r w:rsidRPr="0017221C">
        <w:rPr>
          <w:lang w:val="es-ES_tradnl"/>
        </w:rPr>
        <w:tab/>
        <w:t>autorizar, durante la ejecución del presupuesto para 2024-2025, al Secretario General a ajustar las consignaciones de las partidas de gastos a) y b) siguientes, de conformidad con las modificaciones resultantes de la utilización de la Cuenta de Provisión, y siempre que ésta se mantenga al nivel prescrito en la Decisión 5 (Rev. Bucarest, 2022):</w:t>
      </w:r>
    </w:p>
    <w:p w14:paraId="02F5BD78" w14:textId="462FF606" w:rsidR="00ED6DED" w:rsidRPr="0017221C" w:rsidRDefault="00FB4AA7" w:rsidP="00FB4AA7">
      <w:pPr>
        <w:pStyle w:val="enumlev1"/>
        <w:rPr>
          <w:lang w:val="es-ES_tradnl"/>
        </w:rPr>
      </w:pPr>
      <w:r w:rsidRPr="0017221C">
        <w:rPr>
          <w:lang w:val="es-ES_tradnl"/>
        </w:rPr>
        <w:t>a)</w:t>
      </w:r>
      <w:r w:rsidRPr="0017221C">
        <w:rPr>
          <w:lang w:val="es-ES_tradnl"/>
        </w:rPr>
        <w:tab/>
      </w:r>
      <w:r w:rsidR="00ED6DED" w:rsidRPr="0017221C">
        <w:rPr>
          <w:lang w:val="es-ES_tradnl"/>
        </w:rPr>
        <w:t>aumentos de las escalas de sueldos, las contribuciones para pensiones y subsidios, incluidos los ajustes por lugar de destino, aplicables en Ginebra, establecidos por el régimen común de las Naciones Unidas;</w:t>
      </w:r>
    </w:p>
    <w:p w14:paraId="287248B6" w14:textId="7F1E0FCF" w:rsidR="00ED6DED" w:rsidRPr="0017221C" w:rsidRDefault="00FB4AA7" w:rsidP="00FB4AA7">
      <w:pPr>
        <w:pStyle w:val="enumlev1"/>
        <w:rPr>
          <w:lang w:val="es-ES_tradnl"/>
        </w:rPr>
      </w:pPr>
      <w:r w:rsidRPr="0017221C">
        <w:rPr>
          <w:lang w:val="es-ES_tradnl"/>
        </w:rPr>
        <w:t>b)</w:t>
      </w:r>
      <w:r w:rsidRPr="0017221C">
        <w:rPr>
          <w:lang w:val="es-ES_tradnl"/>
        </w:rPr>
        <w:tab/>
      </w:r>
      <w:r w:rsidR="00ED6DED" w:rsidRPr="0017221C">
        <w:rPr>
          <w:lang w:val="es-ES_tradnl"/>
        </w:rPr>
        <w:t>las fluctuaciones del tipo de cambio entre el franco suizo y el dólar de Estados Unidos en la medida en que dicho tipo afecte a los costes del personal al que se aplican las escalas de sueldos de las Naciones Unidas;</w:t>
      </w:r>
    </w:p>
    <w:p w14:paraId="435C36BA" w14:textId="26CCA49D" w:rsidR="00ED6DED" w:rsidRPr="0017221C" w:rsidRDefault="00ED6DED" w:rsidP="00ED6DED">
      <w:pPr>
        <w:rPr>
          <w:lang w:val="es-ES_tradnl"/>
        </w:rPr>
      </w:pPr>
      <w:r w:rsidRPr="0017221C">
        <w:rPr>
          <w:lang w:val="es-ES_tradnl"/>
        </w:rPr>
        <w:t>6</w:t>
      </w:r>
      <w:r w:rsidRPr="0017221C">
        <w:rPr>
          <w:lang w:val="es-ES_tradnl"/>
        </w:rPr>
        <w:tab/>
        <w:t xml:space="preserve">encargar al Secretario General que someta cada año al Consejo un Informe detallado con toda la documentación que justifique las medidas adoptadas, acompañada de una exposición de las consecuencias financieras del </w:t>
      </w:r>
      <w:r w:rsidRPr="0017221C">
        <w:rPr>
          <w:i/>
          <w:iCs/>
          <w:lang w:val="es-ES_tradnl"/>
        </w:rPr>
        <w:t xml:space="preserve">resuelve además </w:t>
      </w:r>
      <w:r w:rsidRPr="0017221C">
        <w:rPr>
          <w:lang w:val="es-ES_tradnl"/>
        </w:rPr>
        <w:t>5);</w:t>
      </w:r>
    </w:p>
    <w:p w14:paraId="43AC486C" w14:textId="307CEA5D" w:rsidR="00ED6DED" w:rsidRPr="0017221C" w:rsidRDefault="00ED6DED" w:rsidP="00ED6DED">
      <w:pPr>
        <w:rPr>
          <w:lang w:val="es-ES_tradnl"/>
        </w:rPr>
      </w:pPr>
      <w:r w:rsidRPr="0017221C">
        <w:rPr>
          <w:lang w:val="es-ES_tradnl"/>
        </w:rPr>
        <w:t>7</w:t>
      </w:r>
      <w:r w:rsidRPr="0017221C">
        <w:rPr>
          <w:lang w:val="es-ES_tradnl"/>
        </w:rPr>
        <w:tab/>
        <w:t>conceder al Secretario General, para el bienio 2024-2025, con respecto a la</w:t>
      </w:r>
      <w:r w:rsidRPr="0017221C">
        <w:rPr>
          <w:i/>
          <w:iCs/>
          <w:lang w:val="es-ES_tradnl"/>
        </w:rPr>
        <w:t xml:space="preserve"> Regla 6.1</w:t>
      </w:r>
      <w:r w:rsidRPr="0017221C">
        <w:rPr>
          <w:lang w:val="es-ES_tradnl"/>
        </w:rPr>
        <w:t xml:space="preserve"> del Reglamento Financiero y las Reglas Financieras, la flexibilidad necesaria para compensar los excedentes de gastos en las categorías 1 y 2 (gastos de personal) con ahorros efectuados en las categorías 3 a 9 (gastos distintos de los de personal) y efectuar las transferencias necesarias, en su caso;</w:t>
      </w:r>
    </w:p>
    <w:p w14:paraId="436342AF" w14:textId="786CB208" w:rsidR="00ED6DED" w:rsidRPr="0017221C" w:rsidRDefault="00ED6DED" w:rsidP="00ED6DED">
      <w:pPr>
        <w:rPr>
          <w:lang w:val="es-ES_tradnl"/>
        </w:rPr>
      </w:pPr>
      <w:r w:rsidRPr="0017221C">
        <w:rPr>
          <w:lang w:val="es-ES_tradnl"/>
        </w:rPr>
        <w:t>8</w:t>
      </w:r>
      <w:r w:rsidRPr="0017221C">
        <w:rPr>
          <w:lang w:val="es-ES_tradnl"/>
        </w:rPr>
        <w:tab/>
        <w:t>autorizar que, en caso necesario, se equilibren las cuentas de 2024-2025 con el superávit de ingresos;</w:t>
      </w:r>
    </w:p>
    <w:p w14:paraId="1A4F6D55" w14:textId="77777777" w:rsidR="0027619E" w:rsidRPr="0017221C" w:rsidRDefault="00ED6DED" w:rsidP="00755E39">
      <w:pPr>
        <w:rPr>
          <w:lang w:val="es-ES_tradnl"/>
        </w:rPr>
      </w:pPr>
      <w:r w:rsidRPr="0017221C">
        <w:rPr>
          <w:lang w:val="es-ES_tradnl"/>
        </w:rPr>
        <w:t>9</w:t>
      </w:r>
      <w:r w:rsidRPr="0017221C">
        <w:rPr>
          <w:lang w:val="es-ES_tradnl"/>
        </w:rPr>
        <w:tab/>
        <w:t xml:space="preserve">encargar al Secretario General que en enero de 2024 transfiera </w:t>
      </w:r>
      <w:r w:rsidR="0027619E" w:rsidRPr="0017221C">
        <w:rPr>
          <w:lang w:val="es-ES_tradnl"/>
        </w:rPr>
        <w:t>1</w:t>
      </w:r>
      <w:r w:rsidRPr="0017221C">
        <w:rPr>
          <w:lang w:val="es-ES_tradnl"/>
        </w:rPr>
        <w:t xml:space="preserve"> millón </w:t>
      </w:r>
      <w:r w:rsidR="0027619E" w:rsidRPr="0017221C">
        <w:rPr>
          <w:lang w:val="es-ES_tradnl"/>
        </w:rPr>
        <w:t>CHF</w:t>
      </w:r>
      <w:r w:rsidRPr="0017221C">
        <w:rPr>
          <w:lang w:val="es-ES_tradnl"/>
        </w:rPr>
        <w:t xml:space="preserve"> de la Cuenta de Provisión al fondo del seguro médico posterior a la separación del servicio para cubrir el pasivo a largo plazo no financiado.</w:t>
      </w:r>
    </w:p>
    <w:p w14:paraId="5B4EBCE4" w14:textId="77777777" w:rsidR="0027619E" w:rsidRPr="0017221C" w:rsidRDefault="0027619E" w:rsidP="00755E39">
      <w:pPr>
        <w:rPr>
          <w:lang w:val="es-ES_tradnl"/>
        </w:rPr>
      </w:pPr>
    </w:p>
    <w:p w14:paraId="0BA43F78" w14:textId="77777777" w:rsidR="0027619E" w:rsidRPr="0017221C" w:rsidRDefault="0027619E" w:rsidP="00755E39">
      <w:pPr>
        <w:rPr>
          <w:lang w:val="es-ES_tradnl"/>
        </w:rPr>
      </w:pPr>
    </w:p>
    <w:p w14:paraId="28FE3B99" w14:textId="77777777" w:rsidR="0027619E" w:rsidRPr="0017221C" w:rsidRDefault="0027619E" w:rsidP="00755E39">
      <w:pPr>
        <w:rPr>
          <w:b/>
          <w:bCs/>
          <w:i/>
          <w:iCs/>
          <w:lang w:val="es-ES_tradnl"/>
        </w:rPr>
      </w:pPr>
    </w:p>
    <w:p w14:paraId="56CE291F" w14:textId="4D2BEBB4" w:rsidR="00ED6DED" w:rsidRPr="0017221C" w:rsidRDefault="00ED6DED" w:rsidP="00755E39">
      <w:pPr>
        <w:rPr>
          <w:lang w:val="es-ES_tradnl"/>
        </w:rPr>
        <w:sectPr w:rsidR="00ED6DED" w:rsidRPr="0017221C" w:rsidSect="00F00D64">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6" w:h="16838"/>
          <w:pgMar w:top="1134" w:right="1418" w:bottom="1418" w:left="1418" w:header="709" w:footer="709" w:gutter="0"/>
          <w:cols w:space="708"/>
          <w:titlePg/>
          <w:docGrid w:linePitch="360"/>
        </w:sectPr>
      </w:pPr>
      <w:r w:rsidRPr="0017221C">
        <w:rPr>
          <w:b/>
          <w:bCs/>
          <w:i/>
          <w:iCs/>
          <w:lang w:val="es-ES_tradnl"/>
        </w:rPr>
        <w:t>Anexos</w:t>
      </w:r>
      <w:r w:rsidRPr="0017221C">
        <w:rPr>
          <w:lang w:val="es-ES_tradnl"/>
        </w:rPr>
        <w:t>: Cuadros 1-12</w:t>
      </w:r>
    </w:p>
    <w:p w14:paraId="30C15019" w14:textId="77777777" w:rsidR="00ED6DED" w:rsidRPr="0017221C" w:rsidRDefault="00ED6DED" w:rsidP="00ED6DED">
      <w:pPr>
        <w:overflowPunct/>
        <w:autoSpaceDE/>
        <w:autoSpaceDN/>
        <w:adjustRightInd/>
        <w:snapToGrid w:val="0"/>
        <w:spacing w:before="1560"/>
        <w:textAlignment w:val="auto"/>
        <w:rPr>
          <w:lang w:val="es-ES_tradnl"/>
        </w:rPr>
        <w:sectPr w:rsidR="00ED6DED" w:rsidRPr="0017221C" w:rsidSect="00ED6DED">
          <w:footnotePr>
            <w:numRestart w:val="eachPage"/>
          </w:footnotePr>
          <w:type w:val="continuous"/>
          <w:pgSz w:w="11906" w:h="16838"/>
          <w:pgMar w:top="1440" w:right="851" w:bottom="1440" w:left="851" w:header="708" w:footer="708" w:gutter="0"/>
          <w:cols w:space="708"/>
          <w:titlePg/>
          <w:docGrid w:linePitch="360"/>
        </w:sectPr>
      </w:pPr>
    </w:p>
    <w:p w14:paraId="032AA8A0" w14:textId="77777777" w:rsidR="00ED6DED" w:rsidRPr="0017221C" w:rsidRDefault="00ED6DED" w:rsidP="00ED6DED">
      <w:pPr>
        <w:overflowPunct/>
        <w:autoSpaceDE/>
        <w:autoSpaceDN/>
        <w:adjustRightInd/>
        <w:spacing w:before="0"/>
        <w:jc w:val="center"/>
        <w:textAlignment w:val="auto"/>
        <w:rPr>
          <w:rFonts w:ascii="Gill Sans MT" w:hAnsi="Gill Sans MT"/>
          <w:szCs w:val="24"/>
          <w:lang w:val="es-ES_tradnl"/>
        </w:rPr>
      </w:pPr>
    </w:p>
    <w:p w14:paraId="7E09757E" w14:textId="06D4FB05" w:rsidR="00845C6A" w:rsidRPr="0017221C" w:rsidRDefault="00FC0BDD" w:rsidP="00ED6DED">
      <w:pPr>
        <w:overflowPunct/>
        <w:autoSpaceDE/>
        <w:autoSpaceDN/>
        <w:adjustRightInd/>
        <w:spacing w:before="0"/>
        <w:jc w:val="center"/>
        <w:textAlignment w:val="auto"/>
        <w:rPr>
          <w:rFonts w:ascii="Gill Sans MT" w:hAnsi="Gill Sans MT"/>
          <w:szCs w:val="24"/>
          <w:lang w:val="es-ES_tradnl"/>
        </w:rPr>
      </w:pPr>
      <w:r w:rsidRPr="0017221C">
        <w:rPr>
          <w:noProof/>
          <w:lang w:val="es-ES_tradnl"/>
        </w:rPr>
        <w:drawing>
          <wp:inline distT="0" distB="0" distL="0" distR="0" wp14:anchorId="26C82183" wp14:editId="644D5C26">
            <wp:extent cx="7161530" cy="2597150"/>
            <wp:effectExtent l="0" t="0" r="127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61530" cy="2597150"/>
                    </a:xfrm>
                    <a:prstGeom prst="rect">
                      <a:avLst/>
                    </a:prstGeom>
                    <a:noFill/>
                    <a:ln>
                      <a:noFill/>
                    </a:ln>
                  </pic:spPr>
                </pic:pic>
              </a:graphicData>
            </a:graphic>
          </wp:inline>
        </w:drawing>
      </w:r>
    </w:p>
    <w:p w14:paraId="774DBE66" w14:textId="77777777" w:rsidR="00ED6DED" w:rsidRPr="0017221C" w:rsidRDefault="00ED6DED" w:rsidP="00ED6DED">
      <w:pPr>
        <w:overflowPunct/>
        <w:autoSpaceDE/>
        <w:autoSpaceDN/>
        <w:adjustRightInd/>
        <w:spacing w:before="0"/>
        <w:jc w:val="center"/>
        <w:textAlignment w:val="auto"/>
        <w:rPr>
          <w:rFonts w:ascii="Gill Sans MT" w:hAnsi="Gill Sans MT"/>
          <w:szCs w:val="24"/>
          <w:lang w:val="es-ES_tradnl"/>
        </w:rPr>
      </w:pPr>
      <w:r w:rsidRPr="0017221C">
        <w:rPr>
          <w:rFonts w:ascii="Gill Sans MT" w:hAnsi="Gill Sans MT"/>
          <w:szCs w:val="24"/>
          <w:lang w:val="es-ES_tradnl"/>
        </w:rPr>
        <w:br w:type="page"/>
      </w:r>
    </w:p>
    <w:p w14:paraId="429D7DF7" w14:textId="700425F1" w:rsidR="00755E39" w:rsidRPr="0017221C" w:rsidRDefault="00FC0BDD" w:rsidP="00ED6DED">
      <w:pPr>
        <w:overflowPunct/>
        <w:autoSpaceDE/>
        <w:autoSpaceDN/>
        <w:adjustRightInd/>
        <w:spacing w:before="0" w:after="160" w:line="259" w:lineRule="auto"/>
        <w:jc w:val="center"/>
        <w:textAlignment w:val="auto"/>
        <w:rPr>
          <w:lang w:val="es-ES_tradnl"/>
        </w:rPr>
      </w:pPr>
      <w:r w:rsidRPr="0017221C">
        <w:rPr>
          <w:noProof/>
          <w:lang w:val="es-ES_tradnl"/>
        </w:rPr>
        <w:lastRenderedPageBreak/>
        <w:drawing>
          <wp:inline distT="0" distB="0" distL="0" distR="0" wp14:anchorId="1665D8D1" wp14:editId="283417A6">
            <wp:extent cx="6561734" cy="6007482"/>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64463" cy="6009980"/>
                    </a:xfrm>
                    <a:prstGeom prst="rect">
                      <a:avLst/>
                    </a:prstGeom>
                    <a:noFill/>
                    <a:ln>
                      <a:noFill/>
                    </a:ln>
                  </pic:spPr>
                </pic:pic>
              </a:graphicData>
            </a:graphic>
          </wp:inline>
        </w:drawing>
      </w:r>
      <w:r w:rsidR="00ED6DED" w:rsidRPr="0017221C">
        <w:rPr>
          <w:lang w:val="es-ES_tradnl"/>
        </w:rPr>
        <w:br w:type="page"/>
      </w:r>
    </w:p>
    <w:p w14:paraId="7F1034BD" w14:textId="16D21A68" w:rsidR="00ED6DED" w:rsidRPr="0017221C" w:rsidRDefault="00FC0BDD" w:rsidP="00ED6DED">
      <w:pPr>
        <w:overflowPunct/>
        <w:autoSpaceDE/>
        <w:autoSpaceDN/>
        <w:adjustRightInd/>
        <w:spacing w:before="0" w:after="160" w:line="259" w:lineRule="auto"/>
        <w:jc w:val="center"/>
        <w:textAlignment w:val="auto"/>
        <w:rPr>
          <w:lang w:val="es-ES_tradnl"/>
        </w:rPr>
      </w:pPr>
      <w:r w:rsidRPr="0017221C">
        <w:rPr>
          <w:noProof/>
          <w:lang w:val="es-ES_tradnl"/>
        </w:rPr>
        <w:lastRenderedPageBreak/>
        <w:drawing>
          <wp:inline distT="0" distB="0" distL="0" distR="0" wp14:anchorId="601F4FC8" wp14:editId="1DB048F5">
            <wp:extent cx="8514892" cy="6093565"/>
            <wp:effectExtent l="0" t="0" r="635"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520802" cy="6097794"/>
                    </a:xfrm>
                    <a:prstGeom prst="rect">
                      <a:avLst/>
                    </a:prstGeom>
                    <a:noFill/>
                    <a:ln>
                      <a:noFill/>
                    </a:ln>
                  </pic:spPr>
                </pic:pic>
              </a:graphicData>
            </a:graphic>
          </wp:inline>
        </w:drawing>
      </w:r>
      <w:r w:rsidR="00ED6DED" w:rsidRPr="0017221C">
        <w:rPr>
          <w:lang w:val="es-ES_tradnl"/>
        </w:rPr>
        <w:br w:type="page"/>
      </w:r>
    </w:p>
    <w:p w14:paraId="2BC42315" w14:textId="5762B454" w:rsidR="00E741DB" w:rsidRPr="0017221C" w:rsidRDefault="00274794">
      <w:pPr>
        <w:tabs>
          <w:tab w:val="clear" w:pos="567"/>
          <w:tab w:val="clear" w:pos="1134"/>
          <w:tab w:val="clear" w:pos="1701"/>
          <w:tab w:val="clear" w:pos="2268"/>
          <w:tab w:val="clear" w:pos="2835"/>
        </w:tabs>
        <w:overflowPunct/>
        <w:autoSpaceDE/>
        <w:autoSpaceDN/>
        <w:adjustRightInd/>
        <w:spacing w:before="0"/>
        <w:textAlignment w:val="auto"/>
        <w:rPr>
          <w:lang w:val="es-ES_tradnl"/>
        </w:rPr>
      </w:pPr>
      <w:r w:rsidRPr="0017221C">
        <w:rPr>
          <w:noProof/>
          <w:lang w:val="es-ES_tradnl"/>
        </w:rPr>
        <w:lastRenderedPageBreak/>
        <w:drawing>
          <wp:inline distT="0" distB="0" distL="0" distR="0" wp14:anchorId="502BAEE2" wp14:editId="2C97E5CB">
            <wp:extent cx="9068435" cy="60725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68435" cy="6072505"/>
                    </a:xfrm>
                    <a:prstGeom prst="rect">
                      <a:avLst/>
                    </a:prstGeom>
                    <a:noFill/>
                    <a:ln>
                      <a:noFill/>
                    </a:ln>
                  </pic:spPr>
                </pic:pic>
              </a:graphicData>
            </a:graphic>
          </wp:inline>
        </w:drawing>
      </w:r>
      <w:r w:rsidR="00E741DB" w:rsidRPr="0017221C">
        <w:rPr>
          <w:lang w:val="es-ES_tradnl"/>
        </w:rPr>
        <w:br w:type="page"/>
      </w:r>
    </w:p>
    <w:p w14:paraId="1E82B02D" w14:textId="22DCED24" w:rsidR="00ED6DED" w:rsidRPr="0017221C" w:rsidRDefault="00274794" w:rsidP="00ED6DED">
      <w:pPr>
        <w:overflowPunct/>
        <w:autoSpaceDE/>
        <w:autoSpaceDN/>
        <w:adjustRightInd/>
        <w:spacing w:before="0" w:after="160" w:line="259" w:lineRule="auto"/>
        <w:textAlignment w:val="auto"/>
        <w:rPr>
          <w:lang w:val="es-ES_tradnl"/>
        </w:rPr>
      </w:pPr>
      <w:r w:rsidRPr="0017221C">
        <w:rPr>
          <w:noProof/>
          <w:lang w:val="es-ES_tradnl"/>
        </w:rPr>
        <w:lastRenderedPageBreak/>
        <w:drawing>
          <wp:inline distT="0" distB="0" distL="0" distR="0" wp14:anchorId="3BF82491" wp14:editId="74496BEE">
            <wp:extent cx="9068435" cy="61290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068435" cy="6129020"/>
                    </a:xfrm>
                    <a:prstGeom prst="rect">
                      <a:avLst/>
                    </a:prstGeom>
                    <a:noFill/>
                    <a:ln>
                      <a:noFill/>
                    </a:ln>
                  </pic:spPr>
                </pic:pic>
              </a:graphicData>
            </a:graphic>
          </wp:inline>
        </w:drawing>
      </w:r>
      <w:r w:rsidR="00ED6DED" w:rsidRPr="0017221C">
        <w:rPr>
          <w:lang w:val="es-ES_tradnl"/>
        </w:rPr>
        <w:br w:type="page"/>
      </w:r>
    </w:p>
    <w:p w14:paraId="1799AA48" w14:textId="580578FE" w:rsidR="0021039A" w:rsidRPr="0017221C" w:rsidRDefault="00274794">
      <w:pPr>
        <w:tabs>
          <w:tab w:val="clear" w:pos="567"/>
          <w:tab w:val="clear" w:pos="1134"/>
          <w:tab w:val="clear" w:pos="1701"/>
          <w:tab w:val="clear" w:pos="2268"/>
          <w:tab w:val="clear" w:pos="2835"/>
        </w:tabs>
        <w:overflowPunct/>
        <w:autoSpaceDE/>
        <w:autoSpaceDN/>
        <w:adjustRightInd/>
        <w:spacing w:before="0"/>
        <w:textAlignment w:val="auto"/>
        <w:rPr>
          <w:lang w:val="es-ES_tradnl"/>
        </w:rPr>
      </w:pPr>
      <w:r w:rsidRPr="0017221C">
        <w:rPr>
          <w:noProof/>
          <w:lang w:val="es-ES_tradnl"/>
        </w:rPr>
        <w:lastRenderedPageBreak/>
        <w:drawing>
          <wp:inline distT="0" distB="0" distL="0" distR="0" wp14:anchorId="4703528F" wp14:editId="1A7148E8">
            <wp:extent cx="8697772" cy="6093495"/>
            <wp:effectExtent l="0" t="0" r="825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704229" cy="6098019"/>
                    </a:xfrm>
                    <a:prstGeom prst="rect">
                      <a:avLst/>
                    </a:prstGeom>
                    <a:noFill/>
                    <a:ln>
                      <a:noFill/>
                    </a:ln>
                  </pic:spPr>
                </pic:pic>
              </a:graphicData>
            </a:graphic>
          </wp:inline>
        </w:drawing>
      </w:r>
      <w:r w:rsidR="0021039A" w:rsidRPr="0017221C">
        <w:rPr>
          <w:lang w:val="es-ES_tradnl"/>
        </w:rPr>
        <w:br w:type="page"/>
      </w:r>
    </w:p>
    <w:p w14:paraId="64642CDC" w14:textId="78AEBDA4" w:rsidR="00ED6DED" w:rsidRPr="0017221C" w:rsidRDefault="00845C6A" w:rsidP="00845C6A">
      <w:pPr>
        <w:overflowPunct/>
        <w:autoSpaceDE/>
        <w:autoSpaceDN/>
        <w:adjustRightInd/>
        <w:spacing w:before="0" w:after="160" w:line="259" w:lineRule="auto"/>
        <w:jc w:val="center"/>
        <w:textAlignment w:val="auto"/>
        <w:rPr>
          <w:lang w:val="es-ES_tradnl"/>
        </w:rPr>
      </w:pPr>
      <w:r w:rsidRPr="0017221C">
        <w:rPr>
          <w:noProof/>
          <w:lang w:val="es-ES_tradnl"/>
        </w:rPr>
        <w:lastRenderedPageBreak/>
        <w:drawing>
          <wp:inline distT="0" distB="0" distL="0" distR="0" wp14:anchorId="23CC9A47" wp14:editId="59437A8E">
            <wp:extent cx="7944485" cy="47840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944485" cy="4784090"/>
                    </a:xfrm>
                    <a:prstGeom prst="rect">
                      <a:avLst/>
                    </a:prstGeom>
                    <a:noFill/>
                    <a:ln>
                      <a:noFill/>
                    </a:ln>
                  </pic:spPr>
                </pic:pic>
              </a:graphicData>
            </a:graphic>
          </wp:inline>
        </w:drawing>
      </w:r>
      <w:r w:rsidR="00ED6DED" w:rsidRPr="0017221C">
        <w:rPr>
          <w:rFonts w:ascii="Gill Sans MT" w:hAnsi="Gill Sans MT"/>
          <w:szCs w:val="24"/>
          <w:lang w:val="es-ES_tradnl"/>
        </w:rPr>
        <w:br w:type="page"/>
      </w:r>
    </w:p>
    <w:p w14:paraId="5BF26CB4" w14:textId="5EA909D7" w:rsidR="00ED6DED" w:rsidRPr="0017221C" w:rsidRDefault="0021039A" w:rsidP="00845C6A">
      <w:pPr>
        <w:overflowPunct/>
        <w:autoSpaceDE/>
        <w:autoSpaceDN/>
        <w:adjustRightInd/>
        <w:spacing w:before="0" w:after="160" w:line="259" w:lineRule="auto"/>
        <w:jc w:val="center"/>
        <w:textAlignment w:val="auto"/>
        <w:rPr>
          <w:rFonts w:ascii="Gill Sans MT" w:hAnsi="Gill Sans MT"/>
          <w:szCs w:val="24"/>
          <w:lang w:val="es-ES_tradnl"/>
        </w:rPr>
      </w:pPr>
      <w:r w:rsidRPr="0017221C">
        <w:rPr>
          <w:noProof/>
          <w:lang w:val="es-ES_tradnl"/>
        </w:rPr>
        <w:lastRenderedPageBreak/>
        <w:drawing>
          <wp:inline distT="0" distB="0" distL="0" distR="0" wp14:anchorId="25D94ACD" wp14:editId="27BE5DB9">
            <wp:extent cx="9068435" cy="5588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068435" cy="5588000"/>
                    </a:xfrm>
                    <a:prstGeom prst="rect">
                      <a:avLst/>
                    </a:prstGeom>
                    <a:noFill/>
                    <a:ln>
                      <a:noFill/>
                    </a:ln>
                  </pic:spPr>
                </pic:pic>
              </a:graphicData>
            </a:graphic>
          </wp:inline>
        </w:drawing>
      </w:r>
      <w:r w:rsidR="00ED6DED" w:rsidRPr="0017221C">
        <w:rPr>
          <w:lang w:val="es-ES_tradnl"/>
        </w:rPr>
        <w:br w:type="page"/>
      </w:r>
    </w:p>
    <w:p w14:paraId="08A70891" w14:textId="40B05177" w:rsidR="00ED6DED" w:rsidRPr="0017221C" w:rsidRDefault="0021039A" w:rsidP="00845C6A">
      <w:pPr>
        <w:overflowPunct/>
        <w:autoSpaceDE/>
        <w:autoSpaceDN/>
        <w:adjustRightInd/>
        <w:spacing w:before="0" w:after="160" w:line="259" w:lineRule="auto"/>
        <w:textAlignment w:val="auto"/>
        <w:rPr>
          <w:lang w:val="es-ES_tradnl"/>
        </w:rPr>
      </w:pPr>
      <w:r w:rsidRPr="0017221C">
        <w:rPr>
          <w:noProof/>
          <w:lang w:val="es-ES_tradnl"/>
        </w:rPr>
        <w:lastRenderedPageBreak/>
        <w:drawing>
          <wp:inline distT="0" distB="0" distL="0" distR="0" wp14:anchorId="5DE64A6A" wp14:editId="66ECB721">
            <wp:extent cx="9068435" cy="5460365"/>
            <wp:effectExtent l="0" t="0" r="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068435" cy="5460365"/>
                    </a:xfrm>
                    <a:prstGeom prst="rect">
                      <a:avLst/>
                    </a:prstGeom>
                    <a:noFill/>
                    <a:ln>
                      <a:noFill/>
                    </a:ln>
                  </pic:spPr>
                </pic:pic>
              </a:graphicData>
            </a:graphic>
          </wp:inline>
        </w:drawing>
      </w:r>
      <w:r w:rsidR="00ED6DED" w:rsidRPr="0017221C">
        <w:rPr>
          <w:rFonts w:ascii="Gill Sans MT" w:hAnsi="Gill Sans MT"/>
          <w:szCs w:val="24"/>
          <w:lang w:val="es-ES_tradnl"/>
        </w:rPr>
        <w:br w:type="page"/>
      </w:r>
    </w:p>
    <w:p w14:paraId="73CD9F5F" w14:textId="0E746975" w:rsidR="00ED6DED" w:rsidRPr="0017221C" w:rsidRDefault="0021039A" w:rsidP="00ED6DED">
      <w:pPr>
        <w:overflowPunct/>
        <w:autoSpaceDE/>
        <w:autoSpaceDN/>
        <w:adjustRightInd/>
        <w:spacing w:before="0" w:after="160" w:line="259" w:lineRule="auto"/>
        <w:jc w:val="center"/>
        <w:textAlignment w:val="auto"/>
        <w:rPr>
          <w:lang w:val="es-ES_tradnl"/>
        </w:rPr>
      </w:pPr>
      <w:r w:rsidRPr="0017221C">
        <w:rPr>
          <w:noProof/>
          <w:lang w:val="es-ES_tradnl"/>
        </w:rPr>
        <w:lastRenderedPageBreak/>
        <w:drawing>
          <wp:inline distT="0" distB="0" distL="0" distR="0" wp14:anchorId="0E669EF8" wp14:editId="6AC32315">
            <wp:extent cx="9068435" cy="5523865"/>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068435" cy="5523865"/>
                    </a:xfrm>
                    <a:prstGeom prst="rect">
                      <a:avLst/>
                    </a:prstGeom>
                    <a:noFill/>
                    <a:ln>
                      <a:noFill/>
                    </a:ln>
                  </pic:spPr>
                </pic:pic>
              </a:graphicData>
            </a:graphic>
          </wp:inline>
        </w:drawing>
      </w:r>
      <w:r w:rsidR="00ED6DED" w:rsidRPr="0017221C">
        <w:rPr>
          <w:lang w:val="es-ES_tradnl"/>
        </w:rPr>
        <w:br w:type="page"/>
      </w:r>
    </w:p>
    <w:p w14:paraId="65843D79" w14:textId="3714D552" w:rsidR="00845C6A" w:rsidRPr="0017221C" w:rsidRDefault="00567CBC" w:rsidP="00ED6DED">
      <w:pPr>
        <w:overflowPunct/>
        <w:autoSpaceDE/>
        <w:autoSpaceDN/>
        <w:adjustRightInd/>
        <w:spacing w:before="0" w:after="160" w:line="259" w:lineRule="auto"/>
        <w:jc w:val="center"/>
        <w:textAlignment w:val="auto"/>
        <w:rPr>
          <w:lang w:val="es-ES_tradnl"/>
        </w:rPr>
      </w:pPr>
      <w:r w:rsidRPr="0017221C">
        <w:rPr>
          <w:noProof/>
          <w:lang w:val="es-ES_tradnl"/>
        </w:rPr>
        <w:lastRenderedPageBreak/>
        <w:drawing>
          <wp:inline distT="0" distB="0" distL="0" distR="0" wp14:anchorId="43B3D539" wp14:editId="7447B9AC">
            <wp:extent cx="9068435" cy="369379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068435" cy="3693795"/>
                    </a:xfrm>
                    <a:prstGeom prst="rect">
                      <a:avLst/>
                    </a:prstGeom>
                    <a:noFill/>
                    <a:ln>
                      <a:noFill/>
                    </a:ln>
                  </pic:spPr>
                </pic:pic>
              </a:graphicData>
            </a:graphic>
          </wp:inline>
        </w:drawing>
      </w:r>
    </w:p>
    <w:p w14:paraId="5A0949D1" w14:textId="056A9935" w:rsidR="00ED6DED" w:rsidRPr="0017221C" w:rsidRDefault="00ED6DED" w:rsidP="00ED6DED">
      <w:pPr>
        <w:overflowPunct/>
        <w:autoSpaceDE/>
        <w:autoSpaceDN/>
        <w:adjustRightInd/>
        <w:spacing w:before="0" w:after="160" w:line="259" w:lineRule="auto"/>
        <w:jc w:val="center"/>
        <w:textAlignment w:val="auto"/>
        <w:rPr>
          <w:lang w:val="es-ES_tradnl"/>
        </w:rPr>
      </w:pPr>
      <w:r w:rsidRPr="0017221C">
        <w:rPr>
          <w:b/>
          <w:color w:val="000000"/>
          <w:lang w:val="es-ES_tradnl"/>
        </w:rPr>
        <w:br w:type="page"/>
      </w:r>
    </w:p>
    <w:p w14:paraId="3161B7E2" w14:textId="1291A3CC" w:rsidR="006129B9" w:rsidRPr="0017221C" w:rsidRDefault="006129B9">
      <w:pPr>
        <w:tabs>
          <w:tab w:val="clear" w:pos="567"/>
          <w:tab w:val="clear" w:pos="1134"/>
          <w:tab w:val="clear" w:pos="1701"/>
          <w:tab w:val="clear" w:pos="2268"/>
          <w:tab w:val="clear" w:pos="2835"/>
        </w:tabs>
        <w:overflowPunct/>
        <w:autoSpaceDE/>
        <w:autoSpaceDN/>
        <w:adjustRightInd/>
        <w:spacing w:before="0"/>
        <w:textAlignment w:val="auto"/>
        <w:rPr>
          <w:b/>
          <w:color w:val="000000"/>
          <w:lang w:val="es-ES_tradnl"/>
        </w:rPr>
      </w:pPr>
      <w:r w:rsidRPr="0017221C">
        <w:rPr>
          <w:noProof/>
          <w:lang w:val="es-ES_tradnl"/>
        </w:rPr>
        <w:lastRenderedPageBreak/>
        <w:drawing>
          <wp:inline distT="0" distB="0" distL="0" distR="0" wp14:anchorId="1EE7B6E9" wp14:editId="53839B86">
            <wp:extent cx="9068435" cy="6056630"/>
            <wp:effectExtent l="0" t="0" r="0" b="127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068435" cy="6056630"/>
                    </a:xfrm>
                    <a:prstGeom prst="rect">
                      <a:avLst/>
                    </a:prstGeom>
                    <a:noFill/>
                    <a:ln>
                      <a:noFill/>
                    </a:ln>
                  </pic:spPr>
                </pic:pic>
              </a:graphicData>
            </a:graphic>
          </wp:inline>
        </w:drawing>
      </w:r>
      <w:r w:rsidRPr="0017221C">
        <w:rPr>
          <w:b/>
          <w:color w:val="000000"/>
          <w:lang w:val="es-ES_tradnl"/>
        </w:rPr>
        <w:br w:type="page"/>
      </w:r>
    </w:p>
    <w:p w14:paraId="0F6466C5" w14:textId="3C2A9AEF" w:rsidR="00ED6DED" w:rsidRPr="0017221C" w:rsidRDefault="006129B9" w:rsidP="00845C6A">
      <w:pPr>
        <w:tabs>
          <w:tab w:val="clear" w:pos="567"/>
          <w:tab w:val="clear" w:pos="1134"/>
          <w:tab w:val="clear" w:pos="1701"/>
          <w:tab w:val="clear" w:pos="2268"/>
          <w:tab w:val="clear" w:pos="2835"/>
        </w:tabs>
        <w:overflowPunct/>
        <w:autoSpaceDE/>
        <w:autoSpaceDN/>
        <w:adjustRightInd/>
        <w:spacing w:before="0"/>
        <w:textAlignment w:val="auto"/>
        <w:rPr>
          <w:szCs w:val="24"/>
          <w:lang w:val="es-ES_tradnl"/>
        </w:rPr>
      </w:pPr>
      <w:r w:rsidRPr="0017221C">
        <w:rPr>
          <w:noProof/>
          <w:lang w:val="es-ES_tradnl"/>
        </w:rPr>
        <w:lastRenderedPageBreak/>
        <w:drawing>
          <wp:inline distT="0" distB="0" distL="0" distR="0" wp14:anchorId="3844D0B6" wp14:editId="73FD6C4C">
            <wp:extent cx="9068435" cy="58959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068435" cy="5895975"/>
                    </a:xfrm>
                    <a:prstGeom prst="rect">
                      <a:avLst/>
                    </a:prstGeom>
                    <a:noFill/>
                    <a:ln>
                      <a:noFill/>
                    </a:ln>
                  </pic:spPr>
                </pic:pic>
              </a:graphicData>
            </a:graphic>
          </wp:inline>
        </w:drawing>
      </w:r>
      <w:r w:rsidR="00ED6DED" w:rsidRPr="0017221C">
        <w:rPr>
          <w:szCs w:val="24"/>
          <w:lang w:val="es-ES_tradnl"/>
        </w:rPr>
        <w:br w:type="page"/>
      </w:r>
    </w:p>
    <w:p w14:paraId="243D967C" w14:textId="393A56CD" w:rsidR="00ED6DED" w:rsidRPr="0017221C" w:rsidRDefault="00274794" w:rsidP="00ED6DED">
      <w:pPr>
        <w:tabs>
          <w:tab w:val="clear" w:pos="567"/>
          <w:tab w:val="clear" w:pos="1134"/>
          <w:tab w:val="clear" w:pos="1701"/>
          <w:tab w:val="clear" w:pos="2268"/>
          <w:tab w:val="clear" w:pos="2835"/>
        </w:tabs>
        <w:overflowPunct/>
        <w:autoSpaceDE/>
        <w:autoSpaceDN/>
        <w:adjustRightInd/>
        <w:spacing w:before="0"/>
        <w:textAlignment w:val="auto"/>
        <w:rPr>
          <w:szCs w:val="24"/>
          <w:lang w:val="es-ES_tradnl"/>
        </w:rPr>
      </w:pPr>
      <w:r w:rsidRPr="0017221C">
        <w:rPr>
          <w:noProof/>
          <w:lang w:val="es-ES_tradnl"/>
        </w:rPr>
        <w:lastRenderedPageBreak/>
        <w:drawing>
          <wp:inline distT="0" distB="0" distL="0" distR="0" wp14:anchorId="153A49B2" wp14:editId="6D69A0B3">
            <wp:extent cx="8851392" cy="6005881"/>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855127" cy="6008415"/>
                    </a:xfrm>
                    <a:prstGeom prst="rect">
                      <a:avLst/>
                    </a:prstGeom>
                    <a:noFill/>
                    <a:ln>
                      <a:noFill/>
                    </a:ln>
                  </pic:spPr>
                </pic:pic>
              </a:graphicData>
            </a:graphic>
          </wp:inline>
        </w:drawing>
      </w:r>
      <w:r w:rsidR="00ED6DED" w:rsidRPr="0017221C">
        <w:rPr>
          <w:szCs w:val="24"/>
          <w:lang w:val="es-ES_tradnl"/>
        </w:rPr>
        <w:br w:type="page"/>
      </w:r>
    </w:p>
    <w:p w14:paraId="74ECDECF" w14:textId="12F3B4DF" w:rsidR="00ED6DED" w:rsidRPr="0017221C" w:rsidRDefault="00F92825" w:rsidP="00ED6DED">
      <w:pPr>
        <w:tabs>
          <w:tab w:val="clear" w:pos="567"/>
          <w:tab w:val="clear" w:pos="1134"/>
          <w:tab w:val="clear" w:pos="1701"/>
          <w:tab w:val="clear" w:pos="2268"/>
          <w:tab w:val="clear" w:pos="2835"/>
        </w:tabs>
        <w:overflowPunct/>
        <w:autoSpaceDE/>
        <w:autoSpaceDN/>
        <w:adjustRightInd/>
        <w:spacing w:before="0"/>
        <w:textAlignment w:val="auto"/>
        <w:rPr>
          <w:szCs w:val="24"/>
          <w:lang w:val="es-ES_tradnl"/>
        </w:rPr>
      </w:pPr>
      <w:r w:rsidRPr="0017221C">
        <w:rPr>
          <w:noProof/>
          <w:lang w:val="es-ES_tradnl"/>
        </w:rPr>
        <w:lastRenderedPageBreak/>
        <w:drawing>
          <wp:inline distT="0" distB="0" distL="0" distR="0" wp14:anchorId="1D9FFB88" wp14:editId="30B7B6FC">
            <wp:extent cx="8741410" cy="4455160"/>
            <wp:effectExtent l="0" t="0" r="254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741410" cy="4455160"/>
                    </a:xfrm>
                    <a:prstGeom prst="rect">
                      <a:avLst/>
                    </a:prstGeom>
                    <a:noFill/>
                    <a:ln>
                      <a:noFill/>
                    </a:ln>
                  </pic:spPr>
                </pic:pic>
              </a:graphicData>
            </a:graphic>
          </wp:inline>
        </w:drawing>
      </w:r>
    </w:p>
    <w:p w14:paraId="3E2C98D2" w14:textId="0B047AF1" w:rsidR="00845C6A" w:rsidRPr="0017221C" w:rsidRDefault="00845C6A">
      <w:pPr>
        <w:tabs>
          <w:tab w:val="clear" w:pos="567"/>
          <w:tab w:val="clear" w:pos="1134"/>
          <w:tab w:val="clear" w:pos="1701"/>
          <w:tab w:val="clear" w:pos="2268"/>
          <w:tab w:val="clear" w:pos="2835"/>
        </w:tabs>
        <w:overflowPunct/>
        <w:autoSpaceDE/>
        <w:autoSpaceDN/>
        <w:adjustRightInd/>
        <w:spacing w:before="0"/>
        <w:textAlignment w:val="auto"/>
        <w:rPr>
          <w:szCs w:val="24"/>
          <w:lang w:val="es-ES_tradnl"/>
        </w:rPr>
      </w:pPr>
      <w:r w:rsidRPr="0017221C">
        <w:rPr>
          <w:szCs w:val="24"/>
          <w:lang w:val="es-ES_tradnl"/>
        </w:rPr>
        <w:br w:type="page"/>
      </w:r>
    </w:p>
    <w:p w14:paraId="4FEF803D" w14:textId="1F3C6810" w:rsidR="00ED6DED" w:rsidRPr="0017221C" w:rsidRDefault="00F92825" w:rsidP="00ED6DED">
      <w:pPr>
        <w:tabs>
          <w:tab w:val="clear" w:pos="567"/>
          <w:tab w:val="clear" w:pos="1134"/>
          <w:tab w:val="clear" w:pos="1701"/>
          <w:tab w:val="clear" w:pos="2268"/>
          <w:tab w:val="clear" w:pos="2835"/>
        </w:tabs>
        <w:overflowPunct/>
        <w:autoSpaceDE/>
        <w:autoSpaceDN/>
        <w:adjustRightInd/>
        <w:spacing w:before="0"/>
        <w:textAlignment w:val="auto"/>
        <w:rPr>
          <w:szCs w:val="24"/>
          <w:lang w:val="es-ES_tradnl"/>
        </w:rPr>
      </w:pPr>
      <w:r w:rsidRPr="0017221C">
        <w:rPr>
          <w:noProof/>
          <w:lang w:val="es-ES_tradnl"/>
        </w:rPr>
        <w:lastRenderedPageBreak/>
        <w:drawing>
          <wp:inline distT="0" distB="0" distL="0" distR="0" wp14:anchorId="567FAD54" wp14:editId="5EBF34E1">
            <wp:extent cx="9068435" cy="57619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068435" cy="5761990"/>
                    </a:xfrm>
                    <a:prstGeom prst="rect">
                      <a:avLst/>
                    </a:prstGeom>
                    <a:noFill/>
                    <a:ln>
                      <a:noFill/>
                    </a:ln>
                  </pic:spPr>
                </pic:pic>
              </a:graphicData>
            </a:graphic>
          </wp:inline>
        </w:drawing>
      </w:r>
      <w:r w:rsidR="00ED6DED" w:rsidRPr="0017221C">
        <w:rPr>
          <w:szCs w:val="24"/>
          <w:lang w:val="es-ES_tradnl"/>
        </w:rPr>
        <w:br w:type="page"/>
      </w:r>
    </w:p>
    <w:p w14:paraId="45284DEF" w14:textId="2B24AC0A" w:rsidR="00ED6DED" w:rsidRPr="0017221C" w:rsidRDefault="00274794" w:rsidP="00ED6DED">
      <w:pPr>
        <w:tabs>
          <w:tab w:val="clear" w:pos="567"/>
          <w:tab w:val="clear" w:pos="1134"/>
          <w:tab w:val="clear" w:pos="1701"/>
          <w:tab w:val="clear" w:pos="2268"/>
          <w:tab w:val="clear" w:pos="2835"/>
        </w:tabs>
        <w:overflowPunct/>
        <w:autoSpaceDE/>
        <w:autoSpaceDN/>
        <w:adjustRightInd/>
        <w:spacing w:before="0"/>
        <w:textAlignment w:val="auto"/>
        <w:rPr>
          <w:szCs w:val="24"/>
          <w:lang w:val="es-ES_tradnl"/>
        </w:rPr>
      </w:pPr>
      <w:r w:rsidRPr="0017221C">
        <w:rPr>
          <w:noProof/>
          <w:lang w:val="es-ES_tradnl"/>
        </w:rPr>
        <w:lastRenderedPageBreak/>
        <w:drawing>
          <wp:inline distT="0" distB="0" distL="0" distR="0" wp14:anchorId="4E5EF26E" wp14:editId="5552BA61">
            <wp:extent cx="9068435" cy="60496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068435" cy="6049645"/>
                    </a:xfrm>
                    <a:prstGeom prst="rect">
                      <a:avLst/>
                    </a:prstGeom>
                    <a:noFill/>
                    <a:ln>
                      <a:noFill/>
                    </a:ln>
                  </pic:spPr>
                </pic:pic>
              </a:graphicData>
            </a:graphic>
          </wp:inline>
        </w:drawing>
      </w:r>
      <w:r w:rsidR="00ED6DED" w:rsidRPr="0017221C">
        <w:rPr>
          <w:szCs w:val="24"/>
          <w:lang w:val="es-ES_tradnl"/>
        </w:rPr>
        <w:br w:type="page"/>
      </w:r>
    </w:p>
    <w:p w14:paraId="6A080637" w14:textId="7DBE09B9" w:rsidR="006129B9" w:rsidRPr="0017221C" w:rsidRDefault="00D72034">
      <w:pPr>
        <w:tabs>
          <w:tab w:val="clear" w:pos="567"/>
          <w:tab w:val="clear" w:pos="1134"/>
          <w:tab w:val="clear" w:pos="1701"/>
          <w:tab w:val="clear" w:pos="2268"/>
          <w:tab w:val="clear" w:pos="2835"/>
        </w:tabs>
        <w:overflowPunct/>
        <w:autoSpaceDE/>
        <w:autoSpaceDN/>
        <w:adjustRightInd/>
        <w:spacing w:before="0"/>
        <w:textAlignment w:val="auto"/>
        <w:rPr>
          <w:szCs w:val="24"/>
          <w:lang w:val="es-ES_tradnl"/>
        </w:rPr>
      </w:pPr>
      <w:r w:rsidRPr="0017221C">
        <w:rPr>
          <w:noProof/>
          <w:lang w:val="es-ES_tradnl"/>
        </w:rPr>
        <w:lastRenderedPageBreak/>
        <w:drawing>
          <wp:inline distT="0" distB="0" distL="0" distR="0" wp14:anchorId="52B65557" wp14:editId="0E23D9CD">
            <wp:extent cx="9068435" cy="55219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068435" cy="5521960"/>
                    </a:xfrm>
                    <a:prstGeom prst="rect">
                      <a:avLst/>
                    </a:prstGeom>
                    <a:noFill/>
                    <a:ln>
                      <a:noFill/>
                    </a:ln>
                  </pic:spPr>
                </pic:pic>
              </a:graphicData>
            </a:graphic>
          </wp:inline>
        </w:drawing>
      </w:r>
      <w:r w:rsidR="006129B9" w:rsidRPr="0017221C">
        <w:rPr>
          <w:szCs w:val="24"/>
          <w:lang w:val="es-ES_tradnl"/>
        </w:rPr>
        <w:br w:type="page"/>
      </w:r>
    </w:p>
    <w:p w14:paraId="0AE05F11" w14:textId="1C1ABE17" w:rsidR="00DE7C67" w:rsidRPr="0017221C" w:rsidRDefault="00F9434A" w:rsidP="00ED6DED">
      <w:pPr>
        <w:tabs>
          <w:tab w:val="clear" w:pos="567"/>
          <w:tab w:val="clear" w:pos="1134"/>
          <w:tab w:val="clear" w:pos="1701"/>
          <w:tab w:val="clear" w:pos="2268"/>
          <w:tab w:val="clear" w:pos="2835"/>
        </w:tabs>
        <w:overflowPunct/>
        <w:autoSpaceDE/>
        <w:autoSpaceDN/>
        <w:adjustRightInd/>
        <w:spacing w:before="840"/>
        <w:jc w:val="center"/>
        <w:textAlignment w:val="auto"/>
        <w:rPr>
          <w:szCs w:val="24"/>
          <w:lang w:val="es-ES_tradnl"/>
        </w:rPr>
      </w:pPr>
      <w:r w:rsidRPr="0017221C">
        <w:rPr>
          <w:noProof/>
          <w:lang w:val="es-ES_tradnl"/>
        </w:rPr>
        <w:lastRenderedPageBreak/>
        <w:drawing>
          <wp:inline distT="0" distB="0" distL="0" distR="0" wp14:anchorId="3F6E8611" wp14:editId="295F2E91">
            <wp:extent cx="8222285" cy="6017426"/>
            <wp:effectExtent l="0" t="0" r="762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235714" cy="6027254"/>
                    </a:xfrm>
                    <a:prstGeom prst="rect">
                      <a:avLst/>
                    </a:prstGeom>
                    <a:noFill/>
                    <a:ln>
                      <a:noFill/>
                    </a:ln>
                  </pic:spPr>
                </pic:pic>
              </a:graphicData>
            </a:graphic>
          </wp:inline>
        </w:drawing>
      </w:r>
    </w:p>
    <w:p w14:paraId="0FD5FD33" w14:textId="461CD677" w:rsidR="00F9434A" w:rsidRPr="0017221C" w:rsidRDefault="00F9434A" w:rsidP="00ED6DED">
      <w:pPr>
        <w:tabs>
          <w:tab w:val="clear" w:pos="567"/>
          <w:tab w:val="clear" w:pos="1134"/>
          <w:tab w:val="clear" w:pos="1701"/>
          <w:tab w:val="clear" w:pos="2268"/>
          <w:tab w:val="clear" w:pos="2835"/>
        </w:tabs>
        <w:overflowPunct/>
        <w:autoSpaceDE/>
        <w:autoSpaceDN/>
        <w:adjustRightInd/>
        <w:spacing w:before="840"/>
        <w:jc w:val="center"/>
        <w:textAlignment w:val="auto"/>
        <w:rPr>
          <w:szCs w:val="24"/>
          <w:lang w:val="es-ES_tradnl"/>
        </w:rPr>
      </w:pPr>
      <w:r w:rsidRPr="0017221C">
        <w:rPr>
          <w:noProof/>
          <w:lang w:val="es-ES_tradnl"/>
        </w:rPr>
        <w:lastRenderedPageBreak/>
        <w:drawing>
          <wp:inline distT="0" distB="0" distL="0" distR="0" wp14:anchorId="04A16A4D" wp14:editId="14B97FAB">
            <wp:extent cx="8273084" cy="603988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284291" cy="6048070"/>
                    </a:xfrm>
                    <a:prstGeom prst="rect">
                      <a:avLst/>
                    </a:prstGeom>
                    <a:noFill/>
                    <a:ln>
                      <a:noFill/>
                    </a:ln>
                  </pic:spPr>
                </pic:pic>
              </a:graphicData>
            </a:graphic>
          </wp:inline>
        </w:drawing>
      </w:r>
    </w:p>
    <w:p w14:paraId="4C8006B1" w14:textId="69E85CED" w:rsidR="00F9434A" w:rsidRPr="0017221C" w:rsidRDefault="00F9434A">
      <w:pPr>
        <w:tabs>
          <w:tab w:val="clear" w:pos="567"/>
          <w:tab w:val="clear" w:pos="1134"/>
          <w:tab w:val="clear" w:pos="1701"/>
          <w:tab w:val="clear" w:pos="2268"/>
          <w:tab w:val="clear" w:pos="2835"/>
        </w:tabs>
        <w:overflowPunct/>
        <w:autoSpaceDE/>
        <w:autoSpaceDN/>
        <w:adjustRightInd/>
        <w:spacing w:before="0"/>
        <w:textAlignment w:val="auto"/>
        <w:rPr>
          <w:szCs w:val="24"/>
          <w:lang w:val="es-ES_tradnl"/>
        </w:rPr>
      </w:pPr>
      <w:r w:rsidRPr="0017221C">
        <w:rPr>
          <w:noProof/>
          <w:lang w:val="es-ES_tradnl"/>
        </w:rPr>
        <w:lastRenderedPageBreak/>
        <w:drawing>
          <wp:inline distT="0" distB="0" distL="0" distR="0" wp14:anchorId="617EACDE" wp14:editId="3102BA28">
            <wp:extent cx="8287427" cy="6050359"/>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305783" cy="6063760"/>
                    </a:xfrm>
                    <a:prstGeom prst="rect">
                      <a:avLst/>
                    </a:prstGeom>
                    <a:noFill/>
                    <a:ln>
                      <a:noFill/>
                    </a:ln>
                  </pic:spPr>
                </pic:pic>
              </a:graphicData>
            </a:graphic>
          </wp:inline>
        </w:drawing>
      </w:r>
      <w:r w:rsidRPr="0017221C">
        <w:rPr>
          <w:szCs w:val="24"/>
          <w:lang w:val="es-ES_tradnl"/>
        </w:rPr>
        <w:br w:type="page"/>
      </w:r>
    </w:p>
    <w:p w14:paraId="34ED0F34" w14:textId="646CC230" w:rsidR="00DE7C67" w:rsidRPr="0017221C" w:rsidRDefault="00F9434A" w:rsidP="00ED6DED">
      <w:pPr>
        <w:tabs>
          <w:tab w:val="clear" w:pos="567"/>
          <w:tab w:val="clear" w:pos="1134"/>
          <w:tab w:val="clear" w:pos="1701"/>
          <w:tab w:val="clear" w:pos="2268"/>
          <w:tab w:val="clear" w:pos="2835"/>
        </w:tabs>
        <w:overflowPunct/>
        <w:autoSpaceDE/>
        <w:autoSpaceDN/>
        <w:adjustRightInd/>
        <w:spacing w:before="840"/>
        <w:jc w:val="center"/>
        <w:textAlignment w:val="auto"/>
        <w:rPr>
          <w:lang w:val="es-ES_tradnl"/>
        </w:rPr>
      </w:pPr>
      <w:r w:rsidRPr="0017221C">
        <w:rPr>
          <w:noProof/>
          <w:lang w:val="es-ES_tradnl"/>
        </w:rPr>
        <w:lastRenderedPageBreak/>
        <w:drawing>
          <wp:inline distT="0" distB="0" distL="0" distR="0" wp14:anchorId="7F7D3CB2" wp14:editId="3DFE6B72">
            <wp:extent cx="6774180" cy="2911475"/>
            <wp:effectExtent l="0" t="0" r="762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774180" cy="2911475"/>
                    </a:xfrm>
                    <a:prstGeom prst="rect">
                      <a:avLst/>
                    </a:prstGeom>
                    <a:noFill/>
                    <a:ln>
                      <a:noFill/>
                    </a:ln>
                  </pic:spPr>
                </pic:pic>
              </a:graphicData>
            </a:graphic>
          </wp:inline>
        </w:drawing>
      </w:r>
    </w:p>
    <w:p w14:paraId="50BEE283" w14:textId="504E8D25" w:rsidR="00F9434A" w:rsidRPr="0017221C" w:rsidRDefault="00F9434A" w:rsidP="00411C49">
      <w:pPr>
        <w:pStyle w:val="Reasons"/>
        <w:rPr>
          <w:lang w:val="es-ES_tradnl"/>
        </w:rPr>
      </w:pPr>
    </w:p>
    <w:p w14:paraId="46049A39" w14:textId="77777777" w:rsidR="00F9434A" w:rsidRPr="0017221C" w:rsidRDefault="00F9434A">
      <w:pPr>
        <w:jc w:val="center"/>
        <w:rPr>
          <w:lang w:val="es-ES_tradnl"/>
        </w:rPr>
      </w:pPr>
      <w:r w:rsidRPr="0017221C">
        <w:rPr>
          <w:lang w:val="es-ES_tradnl"/>
        </w:rPr>
        <w:t>______________</w:t>
      </w:r>
    </w:p>
    <w:sectPr w:rsidR="00F9434A" w:rsidRPr="0017221C" w:rsidSect="00755E39">
      <w:footerReference w:type="default" r:id="rId56"/>
      <w:headerReference w:type="first" r:id="rId57"/>
      <w:footerReference w:type="first" r:id="rId58"/>
      <w:pgSz w:w="16834" w:h="11907" w:orient="landscape"/>
      <w:pgMar w:top="284" w:right="1135" w:bottom="142"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CEAEC" w14:textId="77777777" w:rsidR="009240D9" w:rsidRDefault="009240D9">
      <w:r>
        <w:separator/>
      </w:r>
    </w:p>
  </w:endnote>
  <w:endnote w:type="continuationSeparator" w:id="0">
    <w:p w14:paraId="0400986D" w14:textId="77777777" w:rsidR="009240D9" w:rsidRDefault="0092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panose1 w:val="00000000000000000000"/>
    <w:charset w:val="00"/>
    <w:family w:val="swiss"/>
    <w:notTrueType/>
    <w:pitch w:val="variable"/>
    <w:sig w:usb0="A00002EF" w:usb1="00000003" w:usb2="00000000" w:usb3="00000000" w:csb0="0000019F" w:csb1="00000000"/>
  </w:font>
  <w:font w:name="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783B" w14:textId="77777777" w:rsidR="00755E39" w:rsidRDefault="00755E39">
    <w:pPr>
      <w:pStyle w:val="Footer"/>
    </w:pPr>
  </w:p>
  <w:p w14:paraId="49D97D55" w14:textId="77777777" w:rsidR="00755E39" w:rsidRDefault="00755E39"/>
  <w:p w14:paraId="69D910D5" w14:textId="77777777" w:rsidR="00755E39" w:rsidRDefault="00755E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55E39" w:rsidRPr="00784011" w14:paraId="3C2EDA0B" w14:textId="77777777" w:rsidTr="005C2C7A">
      <w:trPr>
        <w:jc w:val="center"/>
      </w:trPr>
      <w:tc>
        <w:tcPr>
          <w:tcW w:w="1803" w:type="dxa"/>
          <w:vAlign w:val="center"/>
        </w:tcPr>
        <w:p w14:paraId="3FDA5160" w14:textId="324647E1" w:rsidR="00755E39" w:rsidRDefault="00755E39" w:rsidP="00EE49E8">
          <w:pPr>
            <w:pStyle w:val="Header"/>
            <w:jc w:val="left"/>
            <w:rPr>
              <w:noProof/>
            </w:rPr>
          </w:pPr>
          <w:r>
            <w:rPr>
              <w:lang w:val="es-ES"/>
            </w:rPr>
            <w:t>DPS 521094</w:t>
          </w:r>
        </w:p>
      </w:tc>
      <w:tc>
        <w:tcPr>
          <w:tcW w:w="8261" w:type="dxa"/>
        </w:tcPr>
        <w:p w14:paraId="35709C74" w14:textId="3EEEFDC0" w:rsidR="00755E39" w:rsidRPr="00E06FD5" w:rsidRDefault="00755E39"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60</w:t>
          </w:r>
          <w:r w:rsidRPr="00623AE3">
            <w:rPr>
              <w:bCs/>
            </w:rPr>
            <w:t>-</w:t>
          </w:r>
          <w:r w:rsidR="00EB6628">
            <w:rPr>
              <w:bCs/>
            </w:rPr>
            <w:t>S</w:t>
          </w:r>
          <w:r>
            <w:rPr>
              <w:bCs/>
            </w:rPr>
            <w:tab/>
          </w:r>
          <w:r>
            <w:fldChar w:fldCharType="begin"/>
          </w:r>
          <w:r>
            <w:instrText>PAGE</w:instrText>
          </w:r>
          <w:r>
            <w:fldChar w:fldCharType="separate"/>
          </w:r>
          <w:r w:rsidR="00DE7C67">
            <w:rPr>
              <w:noProof/>
            </w:rPr>
            <w:t>11</w:t>
          </w:r>
          <w:r>
            <w:rPr>
              <w:noProof/>
            </w:rPr>
            <w:fldChar w:fldCharType="end"/>
          </w:r>
        </w:p>
      </w:tc>
    </w:tr>
  </w:tbl>
  <w:p w14:paraId="6C6FB1E8" w14:textId="79E5EAE3" w:rsidR="00755E39" w:rsidRPr="00EB6628" w:rsidRDefault="00EB6628" w:rsidP="00EB6628">
    <w:pPr>
      <w:pStyle w:val="Footer"/>
      <w:spacing w:before="120"/>
      <w:rPr>
        <w:lang w:val="fr-FR"/>
      </w:rPr>
    </w:pPr>
    <w:r w:rsidRPr="00144309">
      <w:rPr>
        <w:color w:val="F2F2F2" w:themeColor="background1" w:themeShade="F2"/>
      </w:rPr>
      <w:fldChar w:fldCharType="begin"/>
    </w:r>
    <w:r w:rsidRPr="00144309">
      <w:rPr>
        <w:color w:val="F2F2F2" w:themeColor="background1" w:themeShade="F2"/>
        <w:lang w:val="fr-FR"/>
      </w:rPr>
      <w:instrText xml:space="preserve"> FILENAME \p  \* MERGEFORMAT </w:instrText>
    </w:r>
    <w:r w:rsidRPr="00144309">
      <w:rPr>
        <w:color w:val="F2F2F2" w:themeColor="background1" w:themeShade="F2"/>
      </w:rPr>
      <w:fldChar w:fldCharType="separate"/>
    </w:r>
    <w:r w:rsidR="00EE7FCC" w:rsidRPr="00144309">
      <w:rPr>
        <w:color w:val="F2F2F2" w:themeColor="background1" w:themeShade="F2"/>
        <w:lang w:val="fr-FR"/>
      </w:rPr>
      <w:t>P:\ESP\SG\CONSEIL\C23\000\060V2S.docx</w:t>
    </w:r>
    <w:r w:rsidRPr="00144309">
      <w:rPr>
        <w:color w:val="F2F2F2" w:themeColor="background1" w:themeShade="F2"/>
      </w:rPr>
      <w:fldChar w:fldCharType="end"/>
    </w:r>
    <w:r w:rsidRPr="00144309">
      <w:rPr>
        <w:color w:val="F2F2F2" w:themeColor="background1" w:themeShade="F2"/>
        <w:lang w:val="fr-FR"/>
      </w:rPr>
      <w:t xml:space="preserve"> (521094)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55E39" w:rsidRPr="00784011" w14:paraId="5B19715E" w14:textId="77777777" w:rsidTr="00EE49E8">
      <w:trPr>
        <w:jc w:val="center"/>
      </w:trPr>
      <w:tc>
        <w:tcPr>
          <w:tcW w:w="1803" w:type="dxa"/>
          <w:vAlign w:val="center"/>
        </w:tcPr>
        <w:p w14:paraId="0BE27363" w14:textId="77777777" w:rsidR="00755E39" w:rsidRDefault="00000000" w:rsidP="00EE49E8">
          <w:pPr>
            <w:pStyle w:val="Header"/>
            <w:jc w:val="left"/>
            <w:rPr>
              <w:noProof/>
            </w:rPr>
          </w:pPr>
          <w:hyperlink r:id="rId1" w:history="1">
            <w:r w:rsidR="00755E39">
              <w:t>www.itu.int/council</w:t>
            </w:r>
          </w:hyperlink>
        </w:p>
      </w:tc>
      <w:tc>
        <w:tcPr>
          <w:tcW w:w="8261" w:type="dxa"/>
        </w:tcPr>
        <w:p w14:paraId="09715012" w14:textId="43EAFECC" w:rsidR="00755E39" w:rsidRPr="00E06FD5" w:rsidRDefault="00755E39"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60</w:t>
          </w:r>
          <w:r w:rsidRPr="00623AE3">
            <w:rPr>
              <w:bCs/>
            </w:rPr>
            <w:t>-</w:t>
          </w:r>
          <w:r w:rsidR="00EB6628">
            <w:rPr>
              <w:bCs/>
            </w:rPr>
            <w:t>S</w:t>
          </w:r>
          <w:r>
            <w:rPr>
              <w:bCs/>
            </w:rPr>
            <w:tab/>
          </w:r>
          <w:r>
            <w:fldChar w:fldCharType="begin"/>
          </w:r>
          <w:r>
            <w:instrText>PAGE</w:instrText>
          </w:r>
          <w:r>
            <w:fldChar w:fldCharType="separate"/>
          </w:r>
          <w:r w:rsidR="00DE7C67">
            <w:rPr>
              <w:noProof/>
            </w:rPr>
            <w:t>1</w:t>
          </w:r>
          <w:r>
            <w:rPr>
              <w:noProof/>
            </w:rPr>
            <w:fldChar w:fldCharType="end"/>
          </w:r>
        </w:p>
      </w:tc>
    </w:tr>
  </w:tbl>
  <w:p w14:paraId="7A1F1124" w14:textId="77777777" w:rsidR="00755E39" w:rsidRPr="00623AE3" w:rsidRDefault="00755E39" w:rsidP="00EE49E8">
    <w:pPr>
      <w:pStyle w:val="Header"/>
      <w:tabs>
        <w:tab w:val="left" w:pos="8080"/>
        <w:tab w:val="right" w:pos="9072"/>
      </w:tabs>
      <w:jc w:val="right"/>
      <w:rPr>
        <w:bCs/>
      </w:rPr>
    </w:pPr>
  </w:p>
  <w:p w14:paraId="19D7808C" w14:textId="52F9FBDC" w:rsidR="00755E39" w:rsidRPr="00EB6628" w:rsidRDefault="00EB6628" w:rsidP="00EB6628">
    <w:pPr>
      <w:pStyle w:val="Footer"/>
      <w:spacing w:before="120"/>
      <w:rPr>
        <w:lang w:val="fr-FR"/>
      </w:rPr>
    </w:pPr>
    <w:r w:rsidRPr="00144309">
      <w:rPr>
        <w:color w:val="F2F2F2" w:themeColor="background1" w:themeShade="F2"/>
      </w:rPr>
      <w:fldChar w:fldCharType="begin"/>
    </w:r>
    <w:r w:rsidRPr="00144309">
      <w:rPr>
        <w:color w:val="F2F2F2" w:themeColor="background1" w:themeShade="F2"/>
        <w:lang w:val="fr-FR"/>
      </w:rPr>
      <w:instrText xml:space="preserve"> FILENAME \p  \* MERGEFORMAT </w:instrText>
    </w:r>
    <w:r w:rsidRPr="00144309">
      <w:rPr>
        <w:color w:val="F2F2F2" w:themeColor="background1" w:themeShade="F2"/>
      </w:rPr>
      <w:fldChar w:fldCharType="separate"/>
    </w:r>
    <w:r w:rsidR="00EE7FCC" w:rsidRPr="00144309">
      <w:rPr>
        <w:color w:val="F2F2F2" w:themeColor="background1" w:themeShade="F2"/>
        <w:lang w:val="fr-FR"/>
      </w:rPr>
      <w:t>P:\ESP\SG\CONSEIL\C23\000\060V2S.docx</w:t>
    </w:r>
    <w:r w:rsidRPr="00144309">
      <w:rPr>
        <w:color w:val="F2F2F2" w:themeColor="background1" w:themeShade="F2"/>
      </w:rPr>
      <w:fldChar w:fldCharType="end"/>
    </w:r>
    <w:r w:rsidRPr="00144309">
      <w:rPr>
        <w:color w:val="F2F2F2" w:themeColor="background1" w:themeShade="F2"/>
        <w:lang w:val="fr-FR"/>
      </w:rPr>
      <w:t xml:space="preserve"> (521094)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8DED" w14:textId="77777777" w:rsidR="00755E39" w:rsidRDefault="00755E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55E39" w:rsidRPr="00784011" w14:paraId="4F938C6F" w14:textId="77777777" w:rsidTr="005C2C7A">
      <w:trPr>
        <w:jc w:val="center"/>
      </w:trPr>
      <w:tc>
        <w:tcPr>
          <w:tcW w:w="1803" w:type="dxa"/>
          <w:vAlign w:val="center"/>
        </w:tcPr>
        <w:p w14:paraId="2DB89933" w14:textId="77777777" w:rsidR="00755E39" w:rsidRDefault="00755E39" w:rsidP="00CC2AC3">
          <w:pPr>
            <w:pStyle w:val="Header"/>
            <w:jc w:val="left"/>
            <w:rPr>
              <w:noProof/>
            </w:rPr>
          </w:pPr>
          <w:r>
            <w:rPr>
              <w:lang w:val="es-ES"/>
            </w:rPr>
            <w:t>DPS 521094</w:t>
          </w:r>
        </w:p>
      </w:tc>
      <w:tc>
        <w:tcPr>
          <w:tcW w:w="8261" w:type="dxa"/>
        </w:tcPr>
        <w:p w14:paraId="1DDA0236" w14:textId="579658D2" w:rsidR="00755E39" w:rsidRPr="00E06FD5" w:rsidRDefault="00755E39" w:rsidP="00CC2AC3">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60</w:t>
          </w:r>
          <w:r w:rsidRPr="00623AE3">
            <w:rPr>
              <w:bCs/>
            </w:rPr>
            <w:t>-</w:t>
          </w:r>
          <w:r w:rsidR="00EB6628">
            <w:rPr>
              <w:bCs/>
            </w:rPr>
            <w:t>S</w:t>
          </w:r>
          <w:r>
            <w:rPr>
              <w:bCs/>
            </w:rPr>
            <w:tab/>
          </w:r>
          <w:r>
            <w:fldChar w:fldCharType="begin"/>
          </w:r>
          <w:r>
            <w:instrText>PAGE</w:instrText>
          </w:r>
          <w:r>
            <w:fldChar w:fldCharType="separate"/>
          </w:r>
          <w:r w:rsidR="00DE7C67">
            <w:rPr>
              <w:noProof/>
            </w:rPr>
            <w:t>13</w:t>
          </w:r>
          <w:r>
            <w:rPr>
              <w:noProof/>
            </w:rPr>
            <w:fldChar w:fldCharType="end"/>
          </w:r>
        </w:p>
      </w:tc>
    </w:tr>
  </w:tbl>
  <w:p w14:paraId="1D6DDC21" w14:textId="1272BD50" w:rsidR="00755E39" w:rsidRPr="00EB6628" w:rsidRDefault="00EB6628" w:rsidP="00EB6628">
    <w:pPr>
      <w:pStyle w:val="Footer"/>
      <w:spacing w:before="120"/>
      <w:rPr>
        <w:lang w:val="fr-FR"/>
      </w:rPr>
    </w:pPr>
    <w:r w:rsidRPr="00144309">
      <w:rPr>
        <w:color w:val="F2F2F2" w:themeColor="background1" w:themeShade="F2"/>
      </w:rPr>
      <w:fldChar w:fldCharType="begin"/>
    </w:r>
    <w:r w:rsidRPr="00144309">
      <w:rPr>
        <w:color w:val="F2F2F2" w:themeColor="background1" w:themeShade="F2"/>
        <w:lang w:val="fr-FR"/>
      </w:rPr>
      <w:instrText xml:space="preserve"> FILENAME \p  \* MERGEFORMAT </w:instrText>
    </w:r>
    <w:r w:rsidRPr="00144309">
      <w:rPr>
        <w:color w:val="F2F2F2" w:themeColor="background1" w:themeShade="F2"/>
      </w:rPr>
      <w:fldChar w:fldCharType="separate"/>
    </w:r>
    <w:r w:rsidR="00EE7FCC" w:rsidRPr="00144309">
      <w:rPr>
        <w:color w:val="F2F2F2" w:themeColor="background1" w:themeShade="F2"/>
        <w:lang w:val="fr-FR"/>
      </w:rPr>
      <w:t>P:\ESP\SG\CONSEIL\C23\000\060V2S.docx</w:t>
    </w:r>
    <w:r w:rsidRPr="00144309">
      <w:rPr>
        <w:color w:val="F2F2F2" w:themeColor="background1" w:themeShade="F2"/>
      </w:rPr>
      <w:fldChar w:fldCharType="end"/>
    </w:r>
    <w:r w:rsidRPr="00144309">
      <w:rPr>
        <w:color w:val="F2F2F2" w:themeColor="background1" w:themeShade="F2"/>
        <w:lang w:val="fr-FR"/>
      </w:rPr>
      <w:t xml:space="preserve"> (521094)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55E39" w:rsidRPr="00784011" w14:paraId="39B82A35" w14:textId="77777777" w:rsidTr="005C2C7A">
      <w:trPr>
        <w:jc w:val="center"/>
      </w:trPr>
      <w:tc>
        <w:tcPr>
          <w:tcW w:w="1803" w:type="dxa"/>
          <w:vAlign w:val="center"/>
        </w:tcPr>
        <w:p w14:paraId="7C509FA1" w14:textId="77777777" w:rsidR="00755E39" w:rsidRDefault="00755E39" w:rsidP="00ED6DED">
          <w:pPr>
            <w:pStyle w:val="Header"/>
            <w:jc w:val="left"/>
            <w:rPr>
              <w:noProof/>
            </w:rPr>
          </w:pPr>
          <w:r>
            <w:rPr>
              <w:lang w:val="es-ES"/>
            </w:rPr>
            <w:t>DPS 521094</w:t>
          </w:r>
        </w:p>
      </w:tc>
      <w:tc>
        <w:tcPr>
          <w:tcW w:w="8261" w:type="dxa"/>
        </w:tcPr>
        <w:p w14:paraId="3C08D3F5" w14:textId="7D6B625A" w:rsidR="00755E39" w:rsidRPr="00E06FD5" w:rsidRDefault="00755E39" w:rsidP="00ED6DED">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60</w:t>
          </w:r>
          <w:r w:rsidRPr="00623AE3">
            <w:rPr>
              <w:bCs/>
            </w:rPr>
            <w:t>-</w:t>
          </w:r>
          <w:r w:rsidR="00EB6628">
            <w:rPr>
              <w:bCs/>
            </w:rPr>
            <w:t>S</w:t>
          </w:r>
          <w:r>
            <w:rPr>
              <w:bCs/>
            </w:rPr>
            <w:tab/>
          </w:r>
          <w:r>
            <w:fldChar w:fldCharType="begin"/>
          </w:r>
          <w:r>
            <w:instrText>PAGE</w:instrText>
          </w:r>
          <w:r>
            <w:fldChar w:fldCharType="separate"/>
          </w:r>
          <w:r w:rsidR="00DE7C67">
            <w:rPr>
              <w:noProof/>
            </w:rPr>
            <w:t>12</w:t>
          </w:r>
          <w:r>
            <w:rPr>
              <w:noProof/>
            </w:rPr>
            <w:fldChar w:fldCharType="end"/>
          </w:r>
        </w:p>
      </w:tc>
    </w:tr>
  </w:tbl>
  <w:p w14:paraId="501BA26D" w14:textId="77A13CBA" w:rsidR="00755E39" w:rsidRPr="00EB6628" w:rsidRDefault="00EB6628" w:rsidP="00EB6628">
    <w:pPr>
      <w:pStyle w:val="Footer"/>
      <w:spacing w:before="120"/>
      <w:rPr>
        <w:lang w:val="fr-FR"/>
      </w:rPr>
    </w:pPr>
    <w:r w:rsidRPr="00144309">
      <w:rPr>
        <w:color w:val="F2F2F2" w:themeColor="background1" w:themeShade="F2"/>
      </w:rPr>
      <w:fldChar w:fldCharType="begin"/>
    </w:r>
    <w:r w:rsidRPr="00144309">
      <w:rPr>
        <w:color w:val="F2F2F2" w:themeColor="background1" w:themeShade="F2"/>
        <w:lang w:val="fr-FR"/>
      </w:rPr>
      <w:instrText xml:space="preserve"> FILENAME \p  \* MERGEFORMAT </w:instrText>
    </w:r>
    <w:r w:rsidRPr="00144309">
      <w:rPr>
        <w:color w:val="F2F2F2" w:themeColor="background1" w:themeShade="F2"/>
      </w:rPr>
      <w:fldChar w:fldCharType="separate"/>
    </w:r>
    <w:r w:rsidR="00EE7FCC" w:rsidRPr="00144309">
      <w:rPr>
        <w:color w:val="F2F2F2" w:themeColor="background1" w:themeShade="F2"/>
        <w:lang w:val="fr-FR"/>
      </w:rPr>
      <w:t>P:\ESP\SG\CONSEIL\C23\000\060V2S.docx</w:t>
    </w:r>
    <w:r w:rsidRPr="00144309">
      <w:rPr>
        <w:color w:val="F2F2F2" w:themeColor="background1" w:themeShade="F2"/>
      </w:rPr>
      <w:fldChar w:fldCharType="end"/>
    </w:r>
    <w:r w:rsidRPr="00144309">
      <w:rPr>
        <w:color w:val="F2F2F2" w:themeColor="background1" w:themeShade="F2"/>
        <w:lang w:val="fr-FR"/>
      </w:rPr>
      <w:t xml:space="preserve"> (521094)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55E39" w:rsidRPr="00784011" w14:paraId="4EC98689" w14:textId="77777777" w:rsidTr="005C2C7A">
      <w:trPr>
        <w:jc w:val="center"/>
      </w:trPr>
      <w:tc>
        <w:tcPr>
          <w:tcW w:w="1803" w:type="dxa"/>
          <w:vAlign w:val="center"/>
        </w:tcPr>
        <w:p w14:paraId="55A9953C" w14:textId="77777777" w:rsidR="00755E39" w:rsidRDefault="00755E39" w:rsidP="00ED6DED">
          <w:pPr>
            <w:pStyle w:val="Header"/>
            <w:jc w:val="left"/>
            <w:rPr>
              <w:noProof/>
            </w:rPr>
          </w:pPr>
          <w:r>
            <w:rPr>
              <w:lang w:val="es-ES"/>
            </w:rPr>
            <w:t>DPS 521094</w:t>
          </w:r>
        </w:p>
      </w:tc>
      <w:tc>
        <w:tcPr>
          <w:tcW w:w="8261" w:type="dxa"/>
        </w:tcPr>
        <w:p w14:paraId="65CEEF91" w14:textId="562E95AD" w:rsidR="00755E39" w:rsidRPr="00E06FD5" w:rsidRDefault="00755E39" w:rsidP="00ED6DED">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60</w:t>
          </w:r>
          <w:r w:rsidRPr="00623AE3">
            <w:rPr>
              <w:bCs/>
            </w:rPr>
            <w:t>-</w:t>
          </w:r>
          <w:r w:rsidR="00EB6628">
            <w:rPr>
              <w:bCs/>
            </w:rPr>
            <w:t>S</w:t>
          </w:r>
          <w:r>
            <w:rPr>
              <w:bCs/>
            </w:rPr>
            <w:tab/>
          </w:r>
          <w:r>
            <w:fldChar w:fldCharType="begin"/>
          </w:r>
          <w:r>
            <w:instrText>PAGE</w:instrText>
          </w:r>
          <w:r>
            <w:fldChar w:fldCharType="separate"/>
          </w:r>
          <w:r w:rsidR="00DE7C67">
            <w:rPr>
              <w:noProof/>
            </w:rPr>
            <w:t>41</w:t>
          </w:r>
          <w:r>
            <w:rPr>
              <w:noProof/>
            </w:rPr>
            <w:fldChar w:fldCharType="end"/>
          </w:r>
        </w:p>
      </w:tc>
    </w:tr>
  </w:tbl>
  <w:p w14:paraId="32933D76" w14:textId="0EC30AF9" w:rsidR="00755E39" w:rsidRPr="00EB6628" w:rsidRDefault="00EB6628" w:rsidP="00EB6628">
    <w:pPr>
      <w:pStyle w:val="Footer"/>
      <w:spacing w:before="120"/>
      <w:rPr>
        <w:lang w:val="fr-FR"/>
      </w:rPr>
    </w:pPr>
    <w:r w:rsidRPr="00144309">
      <w:rPr>
        <w:color w:val="F2F2F2" w:themeColor="background1" w:themeShade="F2"/>
      </w:rPr>
      <w:fldChar w:fldCharType="begin"/>
    </w:r>
    <w:r w:rsidRPr="00144309">
      <w:rPr>
        <w:color w:val="F2F2F2" w:themeColor="background1" w:themeShade="F2"/>
        <w:lang w:val="fr-FR"/>
      </w:rPr>
      <w:instrText xml:space="preserve"> FILENAME \p  \* MERGEFORMAT </w:instrText>
    </w:r>
    <w:r w:rsidRPr="00144309">
      <w:rPr>
        <w:color w:val="F2F2F2" w:themeColor="background1" w:themeShade="F2"/>
      </w:rPr>
      <w:fldChar w:fldCharType="separate"/>
    </w:r>
    <w:r w:rsidR="00EE7FCC" w:rsidRPr="00144309">
      <w:rPr>
        <w:color w:val="F2F2F2" w:themeColor="background1" w:themeShade="F2"/>
        <w:lang w:val="fr-FR"/>
      </w:rPr>
      <w:t>P:\ESP\SG\CONSEIL\C23\000\060V2S.docx</w:t>
    </w:r>
    <w:r w:rsidRPr="00144309">
      <w:rPr>
        <w:color w:val="F2F2F2" w:themeColor="background1" w:themeShade="F2"/>
      </w:rPr>
      <w:fldChar w:fldCharType="end"/>
    </w:r>
    <w:r w:rsidRPr="00144309">
      <w:rPr>
        <w:color w:val="F2F2F2" w:themeColor="background1" w:themeShade="F2"/>
        <w:lang w:val="fr-FR"/>
      </w:rPr>
      <w:t xml:space="preserve"> (521094)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55E39" w:rsidRPr="00784011" w14:paraId="2F86FE2D" w14:textId="77777777" w:rsidTr="00EE49E8">
      <w:trPr>
        <w:jc w:val="center"/>
      </w:trPr>
      <w:tc>
        <w:tcPr>
          <w:tcW w:w="1803" w:type="dxa"/>
          <w:vAlign w:val="center"/>
        </w:tcPr>
        <w:p w14:paraId="651D4FD9" w14:textId="3414CF6D" w:rsidR="00755E39" w:rsidRDefault="00755E39" w:rsidP="00EE49E8">
          <w:pPr>
            <w:pStyle w:val="Header"/>
            <w:jc w:val="left"/>
            <w:rPr>
              <w:noProof/>
            </w:rPr>
          </w:pPr>
          <w:r>
            <w:rPr>
              <w:lang w:val="es-ES"/>
            </w:rPr>
            <w:t>DPS 521094</w:t>
          </w:r>
        </w:p>
      </w:tc>
      <w:tc>
        <w:tcPr>
          <w:tcW w:w="8261" w:type="dxa"/>
        </w:tcPr>
        <w:p w14:paraId="308D15B8" w14:textId="74770E1F" w:rsidR="00755E39" w:rsidRPr="00E06FD5" w:rsidRDefault="00755E39"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60</w:t>
          </w:r>
          <w:r w:rsidRPr="00623AE3">
            <w:rPr>
              <w:bCs/>
            </w:rPr>
            <w:t>-</w:t>
          </w:r>
          <w:r w:rsidR="00EB6628">
            <w:rPr>
              <w:bCs/>
            </w:rPr>
            <w:t>S</w:t>
          </w:r>
          <w:r>
            <w:rPr>
              <w:bCs/>
            </w:rPr>
            <w:tab/>
          </w:r>
          <w:r>
            <w:fldChar w:fldCharType="begin"/>
          </w:r>
          <w:r>
            <w:instrText>PAGE</w:instrText>
          </w:r>
          <w:r>
            <w:fldChar w:fldCharType="separate"/>
          </w:r>
          <w:r w:rsidR="00DE7C67">
            <w:rPr>
              <w:noProof/>
            </w:rPr>
            <w:t>14</w:t>
          </w:r>
          <w:r>
            <w:rPr>
              <w:noProof/>
            </w:rPr>
            <w:fldChar w:fldCharType="end"/>
          </w:r>
        </w:p>
      </w:tc>
    </w:tr>
  </w:tbl>
  <w:p w14:paraId="68D1BF04" w14:textId="77777777" w:rsidR="00755E39" w:rsidRPr="00623AE3" w:rsidRDefault="00755E39" w:rsidP="00EE49E8">
    <w:pPr>
      <w:pStyle w:val="Header"/>
      <w:tabs>
        <w:tab w:val="left" w:pos="8080"/>
        <w:tab w:val="right" w:pos="9072"/>
      </w:tabs>
      <w:jc w:val="right"/>
      <w:rPr>
        <w:bCs/>
      </w:rPr>
    </w:pPr>
  </w:p>
  <w:p w14:paraId="17095E0C" w14:textId="4BDF9E52" w:rsidR="00755E39" w:rsidRPr="00EB6628" w:rsidRDefault="00EB6628" w:rsidP="00EB6628">
    <w:pPr>
      <w:pStyle w:val="Footer"/>
      <w:spacing w:before="120"/>
      <w:rPr>
        <w:lang w:val="fr-FR"/>
      </w:rPr>
    </w:pPr>
    <w:r w:rsidRPr="00144309">
      <w:rPr>
        <w:color w:val="F2F2F2" w:themeColor="background1" w:themeShade="F2"/>
      </w:rPr>
      <w:fldChar w:fldCharType="begin"/>
    </w:r>
    <w:r w:rsidRPr="00144309">
      <w:rPr>
        <w:color w:val="F2F2F2" w:themeColor="background1" w:themeShade="F2"/>
        <w:lang w:val="fr-FR"/>
      </w:rPr>
      <w:instrText xml:space="preserve"> FILENAME \p  \* MERGEFORMAT </w:instrText>
    </w:r>
    <w:r w:rsidRPr="00144309">
      <w:rPr>
        <w:color w:val="F2F2F2" w:themeColor="background1" w:themeShade="F2"/>
      </w:rPr>
      <w:fldChar w:fldCharType="separate"/>
    </w:r>
    <w:r w:rsidR="00EE7FCC" w:rsidRPr="00144309">
      <w:rPr>
        <w:color w:val="F2F2F2" w:themeColor="background1" w:themeShade="F2"/>
        <w:lang w:val="fr-FR"/>
      </w:rPr>
      <w:t>P:\ESP\SG\CONSEIL\C23\000\060V2S.docx</w:t>
    </w:r>
    <w:r w:rsidRPr="00144309">
      <w:rPr>
        <w:color w:val="F2F2F2" w:themeColor="background1" w:themeShade="F2"/>
      </w:rPr>
      <w:fldChar w:fldCharType="end"/>
    </w:r>
    <w:r w:rsidRPr="00144309">
      <w:rPr>
        <w:color w:val="F2F2F2" w:themeColor="background1" w:themeShade="F2"/>
        <w:lang w:val="fr-FR"/>
      </w:rPr>
      <w:t xml:space="preserve"> (521094)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41E10" w14:textId="77777777" w:rsidR="009240D9" w:rsidRDefault="009240D9">
      <w:r>
        <w:t>____________________</w:t>
      </w:r>
    </w:p>
  </w:footnote>
  <w:footnote w:type="continuationSeparator" w:id="0">
    <w:p w14:paraId="62E9F54F" w14:textId="77777777" w:rsidR="009240D9" w:rsidRDefault="0092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2E3C" w14:textId="77777777" w:rsidR="00755E39" w:rsidRDefault="00755E39">
    <w:pPr>
      <w:pStyle w:val="Header"/>
    </w:pPr>
  </w:p>
  <w:p w14:paraId="0A05D6E5" w14:textId="77777777" w:rsidR="00755E39" w:rsidRDefault="00755E39"/>
  <w:p w14:paraId="4707F7E9" w14:textId="77777777" w:rsidR="00755E39" w:rsidRDefault="00755E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B565" w14:textId="77777777" w:rsidR="00E46617" w:rsidRDefault="00E46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55E39" w:rsidRPr="00784011" w14:paraId="711CDDAA" w14:textId="77777777" w:rsidTr="005C2C7A">
      <w:trPr>
        <w:trHeight w:val="1104"/>
        <w:jc w:val="center"/>
      </w:trPr>
      <w:tc>
        <w:tcPr>
          <w:tcW w:w="4390" w:type="dxa"/>
          <w:vAlign w:val="center"/>
        </w:tcPr>
        <w:p w14:paraId="3AC295DD" w14:textId="77777777" w:rsidR="00755E39" w:rsidRPr="009621F8" w:rsidRDefault="00755E39" w:rsidP="00AD3606">
          <w:pPr>
            <w:pStyle w:val="Header"/>
            <w:jc w:val="left"/>
            <w:rPr>
              <w:rFonts w:ascii="Arial" w:hAnsi="Arial" w:cs="Arial"/>
              <w:b/>
              <w:bCs/>
              <w:color w:val="009CD6"/>
              <w:sz w:val="36"/>
              <w:szCs w:val="36"/>
            </w:rPr>
          </w:pPr>
          <w:r>
            <w:rPr>
              <w:noProof/>
              <w:lang w:val="es-ES" w:eastAsia="es-ES"/>
            </w:rPr>
            <w:drawing>
              <wp:inline distT="0" distB="0" distL="0" distR="0" wp14:anchorId="4627FAF5" wp14:editId="06D35C67">
                <wp:extent cx="1906471" cy="534171"/>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755E39" w:rsidRDefault="00755E39" w:rsidP="00AD3606">
          <w:pPr>
            <w:pStyle w:val="Header"/>
            <w:jc w:val="right"/>
            <w:rPr>
              <w:rFonts w:ascii="Arial" w:hAnsi="Arial" w:cs="Arial"/>
              <w:b/>
              <w:bCs/>
              <w:color w:val="009CD6"/>
              <w:szCs w:val="18"/>
            </w:rPr>
          </w:pPr>
        </w:p>
        <w:p w14:paraId="42B8D9AB" w14:textId="77777777" w:rsidR="00755E39" w:rsidRDefault="00755E39" w:rsidP="00AD3606">
          <w:pPr>
            <w:pStyle w:val="Header"/>
            <w:jc w:val="right"/>
            <w:rPr>
              <w:rFonts w:ascii="Arial" w:hAnsi="Arial" w:cs="Arial"/>
              <w:b/>
              <w:bCs/>
              <w:color w:val="009CD6"/>
              <w:szCs w:val="18"/>
            </w:rPr>
          </w:pPr>
        </w:p>
        <w:p w14:paraId="4883533B" w14:textId="77777777" w:rsidR="00755E39" w:rsidRPr="00784011" w:rsidRDefault="00755E39"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755E39" w:rsidRDefault="00755E39">
    <w:pPr>
      <w:pStyle w:val="Header"/>
    </w:pPr>
    <w:r w:rsidRPr="00802C2C">
      <w:rPr>
        <w:rFonts w:ascii="Avenir Nxt2 W1G Medium" w:eastAsia="Avenir Nxt2 W1G Medium" w:hAnsi="Avenir Nxt2 W1G Medium" w:cs="Avenir Nxt2 W1G Medium"/>
        <w:noProof/>
        <w:lang w:val="es-ES" w:eastAsia="es-ES"/>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05AE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EED5" w14:textId="77777777" w:rsidR="00755E39" w:rsidRDefault="00755E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1D32" w14:textId="77777777" w:rsidR="00755E39" w:rsidRDefault="00755E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AF1D" w14:textId="77777777" w:rsidR="00755E39" w:rsidRDefault="00755E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DCB7" w14:textId="1B47DCD3" w:rsidR="00755E39" w:rsidRDefault="00755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25CFF"/>
    <w:multiLevelType w:val="hybridMultilevel"/>
    <w:tmpl w:val="1CB4A968"/>
    <w:lvl w:ilvl="0" w:tplc="304ACEC0">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161AD"/>
    <w:multiLevelType w:val="hybridMultilevel"/>
    <w:tmpl w:val="0A443B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B0BA5"/>
    <w:multiLevelType w:val="hybridMultilevel"/>
    <w:tmpl w:val="BEE83D5A"/>
    <w:lvl w:ilvl="0" w:tplc="22742A50">
      <w:start w:val="1"/>
      <w:numFmt w:val="bullet"/>
      <w:lvlText w:val="•"/>
      <w:lvlJc w:val="left"/>
      <w:pPr>
        <w:tabs>
          <w:tab w:val="num" w:pos="720"/>
        </w:tabs>
        <w:ind w:left="720" w:hanging="360"/>
      </w:pPr>
      <w:rPr>
        <w:rFonts w:ascii="Arial" w:hAnsi="Arial" w:hint="default"/>
      </w:rPr>
    </w:lvl>
    <w:lvl w:ilvl="1" w:tplc="BE069F5A" w:tentative="1">
      <w:start w:val="1"/>
      <w:numFmt w:val="bullet"/>
      <w:lvlText w:val="•"/>
      <w:lvlJc w:val="left"/>
      <w:pPr>
        <w:tabs>
          <w:tab w:val="num" w:pos="1440"/>
        </w:tabs>
        <w:ind w:left="1440" w:hanging="360"/>
      </w:pPr>
      <w:rPr>
        <w:rFonts w:ascii="Arial" w:hAnsi="Arial" w:hint="default"/>
      </w:rPr>
    </w:lvl>
    <w:lvl w:ilvl="2" w:tplc="E27EAB5C" w:tentative="1">
      <w:start w:val="1"/>
      <w:numFmt w:val="bullet"/>
      <w:lvlText w:val="•"/>
      <w:lvlJc w:val="left"/>
      <w:pPr>
        <w:tabs>
          <w:tab w:val="num" w:pos="2160"/>
        </w:tabs>
        <w:ind w:left="2160" w:hanging="360"/>
      </w:pPr>
      <w:rPr>
        <w:rFonts w:ascii="Arial" w:hAnsi="Arial" w:hint="default"/>
      </w:rPr>
    </w:lvl>
    <w:lvl w:ilvl="3" w:tplc="7374B3AE" w:tentative="1">
      <w:start w:val="1"/>
      <w:numFmt w:val="bullet"/>
      <w:lvlText w:val="•"/>
      <w:lvlJc w:val="left"/>
      <w:pPr>
        <w:tabs>
          <w:tab w:val="num" w:pos="2880"/>
        </w:tabs>
        <w:ind w:left="2880" w:hanging="360"/>
      </w:pPr>
      <w:rPr>
        <w:rFonts w:ascii="Arial" w:hAnsi="Arial" w:hint="default"/>
      </w:rPr>
    </w:lvl>
    <w:lvl w:ilvl="4" w:tplc="96C2F446" w:tentative="1">
      <w:start w:val="1"/>
      <w:numFmt w:val="bullet"/>
      <w:lvlText w:val="•"/>
      <w:lvlJc w:val="left"/>
      <w:pPr>
        <w:tabs>
          <w:tab w:val="num" w:pos="3600"/>
        </w:tabs>
        <w:ind w:left="3600" w:hanging="360"/>
      </w:pPr>
      <w:rPr>
        <w:rFonts w:ascii="Arial" w:hAnsi="Arial" w:hint="default"/>
      </w:rPr>
    </w:lvl>
    <w:lvl w:ilvl="5" w:tplc="CD4A3874" w:tentative="1">
      <w:start w:val="1"/>
      <w:numFmt w:val="bullet"/>
      <w:lvlText w:val="•"/>
      <w:lvlJc w:val="left"/>
      <w:pPr>
        <w:tabs>
          <w:tab w:val="num" w:pos="4320"/>
        </w:tabs>
        <w:ind w:left="4320" w:hanging="360"/>
      </w:pPr>
      <w:rPr>
        <w:rFonts w:ascii="Arial" w:hAnsi="Arial" w:hint="default"/>
      </w:rPr>
    </w:lvl>
    <w:lvl w:ilvl="6" w:tplc="4572A288" w:tentative="1">
      <w:start w:val="1"/>
      <w:numFmt w:val="bullet"/>
      <w:lvlText w:val="•"/>
      <w:lvlJc w:val="left"/>
      <w:pPr>
        <w:tabs>
          <w:tab w:val="num" w:pos="5040"/>
        </w:tabs>
        <w:ind w:left="5040" w:hanging="360"/>
      </w:pPr>
      <w:rPr>
        <w:rFonts w:ascii="Arial" w:hAnsi="Arial" w:hint="default"/>
      </w:rPr>
    </w:lvl>
    <w:lvl w:ilvl="7" w:tplc="E1586E04" w:tentative="1">
      <w:start w:val="1"/>
      <w:numFmt w:val="bullet"/>
      <w:lvlText w:val="•"/>
      <w:lvlJc w:val="left"/>
      <w:pPr>
        <w:tabs>
          <w:tab w:val="num" w:pos="5760"/>
        </w:tabs>
        <w:ind w:left="5760" w:hanging="360"/>
      </w:pPr>
      <w:rPr>
        <w:rFonts w:ascii="Arial" w:hAnsi="Arial" w:hint="default"/>
      </w:rPr>
    </w:lvl>
    <w:lvl w:ilvl="8" w:tplc="1FFEDE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5810A5"/>
    <w:multiLevelType w:val="hybridMultilevel"/>
    <w:tmpl w:val="95D22F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B1273"/>
    <w:multiLevelType w:val="hybridMultilevel"/>
    <w:tmpl w:val="129E9D26"/>
    <w:lvl w:ilvl="0" w:tplc="1D3A9D5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51E5F"/>
    <w:multiLevelType w:val="hybridMultilevel"/>
    <w:tmpl w:val="56D48B28"/>
    <w:lvl w:ilvl="0" w:tplc="1D3A9D5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A61D6"/>
    <w:multiLevelType w:val="hybridMultilevel"/>
    <w:tmpl w:val="1BC8245A"/>
    <w:lvl w:ilvl="0" w:tplc="1D3A9D5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02B5E"/>
    <w:multiLevelType w:val="hybridMultilevel"/>
    <w:tmpl w:val="85D6F00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616FA7"/>
    <w:multiLevelType w:val="hybridMultilevel"/>
    <w:tmpl w:val="2FB24D1A"/>
    <w:lvl w:ilvl="0" w:tplc="7E30572E">
      <w:start w:val="1"/>
      <w:numFmt w:val="lowerLetter"/>
      <w:lvlText w:val="%1)"/>
      <w:lvlJc w:val="left"/>
      <w:pPr>
        <w:ind w:left="1069"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3B2D5BB5"/>
    <w:multiLevelType w:val="hybridMultilevel"/>
    <w:tmpl w:val="0D3642C0"/>
    <w:lvl w:ilvl="0" w:tplc="7E30572E">
      <w:start w:val="1"/>
      <w:numFmt w:val="lowerLetter"/>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3DE257EF"/>
    <w:multiLevelType w:val="hybridMultilevel"/>
    <w:tmpl w:val="8376E27A"/>
    <w:lvl w:ilvl="0" w:tplc="1D8E29DA">
      <w:start w:val="1"/>
      <w:numFmt w:val="bullet"/>
      <w:lvlText w:val="•"/>
      <w:lvlJc w:val="left"/>
      <w:pPr>
        <w:tabs>
          <w:tab w:val="num" w:pos="720"/>
        </w:tabs>
        <w:ind w:left="720" w:hanging="360"/>
      </w:pPr>
      <w:rPr>
        <w:rFonts w:ascii="Arial" w:hAnsi="Arial" w:hint="default"/>
      </w:rPr>
    </w:lvl>
    <w:lvl w:ilvl="1" w:tplc="0A42EC56" w:tentative="1">
      <w:start w:val="1"/>
      <w:numFmt w:val="bullet"/>
      <w:lvlText w:val="•"/>
      <w:lvlJc w:val="left"/>
      <w:pPr>
        <w:tabs>
          <w:tab w:val="num" w:pos="1440"/>
        </w:tabs>
        <w:ind w:left="1440" w:hanging="360"/>
      </w:pPr>
      <w:rPr>
        <w:rFonts w:ascii="Arial" w:hAnsi="Arial" w:hint="default"/>
      </w:rPr>
    </w:lvl>
    <w:lvl w:ilvl="2" w:tplc="1FAEB02C" w:tentative="1">
      <w:start w:val="1"/>
      <w:numFmt w:val="bullet"/>
      <w:lvlText w:val="•"/>
      <w:lvlJc w:val="left"/>
      <w:pPr>
        <w:tabs>
          <w:tab w:val="num" w:pos="2160"/>
        </w:tabs>
        <w:ind w:left="2160" w:hanging="360"/>
      </w:pPr>
      <w:rPr>
        <w:rFonts w:ascii="Arial" w:hAnsi="Arial" w:hint="default"/>
      </w:rPr>
    </w:lvl>
    <w:lvl w:ilvl="3" w:tplc="37C62E1C" w:tentative="1">
      <w:start w:val="1"/>
      <w:numFmt w:val="bullet"/>
      <w:lvlText w:val="•"/>
      <w:lvlJc w:val="left"/>
      <w:pPr>
        <w:tabs>
          <w:tab w:val="num" w:pos="2880"/>
        </w:tabs>
        <w:ind w:left="2880" w:hanging="360"/>
      </w:pPr>
      <w:rPr>
        <w:rFonts w:ascii="Arial" w:hAnsi="Arial" w:hint="default"/>
      </w:rPr>
    </w:lvl>
    <w:lvl w:ilvl="4" w:tplc="5C7A3D98" w:tentative="1">
      <w:start w:val="1"/>
      <w:numFmt w:val="bullet"/>
      <w:lvlText w:val="•"/>
      <w:lvlJc w:val="left"/>
      <w:pPr>
        <w:tabs>
          <w:tab w:val="num" w:pos="3600"/>
        </w:tabs>
        <w:ind w:left="3600" w:hanging="360"/>
      </w:pPr>
      <w:rPr>
        <w:rFonts w:ascii="Arial" w:hAnsi="Arial" w:hint="default"/>
      </w:rPr>
    </w:lvl>
    <w:lvl w:ilvl="5" w:tplc="38E618BE" w:tentative="1">
      <w:start w:val="1"/>
      <w:numFmt w:val="bullet"/>
      <w:lvlText w:val="•"/>
      <w:lvlJc w:val="left"/>
      <w:pPr>
        <w:tabs>
          <w:tab w:val="num" w:pos="4320"/>
        </w:tabs>
        <w:ind w:left="4320" w:hanging="360"/>
      </w:pPr>
      <w:rPr>
        <w:rFonts w:ascii="Arial" w:hAnsi="Arial" w:hint="default"/>
      </w:rPr>
    </w:lvl>
    <w:lvl w:ilvl="6" w:tplc="852A2540" w:tentative="1">
      <w:start w:val="1"/>
      <w:numFmt w:val="bullet"/>
      <w:lvlText w:val="•"/>
      <w:lvlJc w:val="left"/>
      <w:pPr>
        <w:tabs>
          <w:tab w:val="num" w:pos="5040"/>
        </w:tabs>
        <w:ind w:left="5040" w:hanging="360"/>
      </w:pPr>
      <w:rPr>
        <w:rFonts w:ascii="Arial" w:hAnsi="Arial" w:hint="default"/>
      </w:rPr>
    </w:lvl>
    <w:lvl w:ilvl="7" w:tplc="71D6ACA0" w:tentative="1">
      <w:start w:val="1"/>
      <w:numFmt w:val="bullet"/>
      <w:lvlText w:val="•"/>
      <w:lvlJc w:val="left"/>
      <w:pPr>
        <w:tabs>
          <w:tab w:val="num" w:pos="5760"/>
        </w:tabs>
        <w:ind w:left="5760" w:hanging="360"/>
      </w:pPr>
      <w:rPr>
        <w:rFonts w:ascii="Arial" w:hAnsi="Arial" w:hint="default"/>
      </w:rPr>
    </w:lvl>
    <w:lvl w:ilvl="8" w:tplc="1BC4B6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CE77E2"/>
    <w:multiLevelType w:val="hybridMultilevel"/>
    <w:tmpl w:val="F0D6DB62"/>
    <w:lvl w:ilvl="0" w:tplc="1D3A9D5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66D26"/>
    <w:multiLevelType w:val="hybridMultilevel"/>
    <w:tmpl w:val="3120F988"/>
    <w:lvl w:ilvl="0" w:tplc="7E30572E">
      <w:start w:val="1"/>
      <w:numFmt w:val="lowerLetter"/>
      <w:lvlText w:val="%1)"/>
      <w:lvlJc w:val="left"/>
      <w:pPr>
        <w:ind w:left="2771" w:hanging="360"/>
      </w:pPr>
      <w:rPr>
        <w:rFonts w:hint="default"/>
      </w:rPr>
    </w:lvl>
    <w:lvl w:ilvl="1" w:tplc="08090019" w:tentative="1">
      <w:start w:val="1"/>
      <w:numFmt w:val="lowerLetter"/>
      <w:lvlText w:val="%2."/>
      <w:lvlJc w:val="left"/>
      <w:pPr>
        <w:ind w:left="3491" w:hanging="360"/>
      </w:pPr>
    </w:lvl>
    <w:lvl w:ilvl="2" w:tplc="0809001B" w:tentative="1">
      <w:start w:val="1"/>
      <w:numFmt w:val="lowerRoman"/>
      <w:lvlText w:val="%3."/>
      <w:lvlJc w:val="right"/>
      <w:pPr>
        <w:ind w:left="4211" w:hanging="180"/>
      </w:pPr>
    </w:lvl>
    <w:lvl w:ilvl="3" w:tplc="0809000F" w:tentative="1">
      <w:start w:val="1"/>
      <w:numFmt w:val="decimal"/>
      <w:lvlText w:val="%4."/>
      <w:lvlJc w:val="left"/>
      <w:pPr>
        <w:ind w:left="4931" w:hanging="360"/>
      </w:pPr>
    </w:lvl>
    <w:lvl w:ilvl="4" w:tplc="08090019" w:tentative="1">
      <w:start w:val="1"/>
      <w:numFmt w:val="lowerLetter"/>
      <w:lvlText w:val="%5."/>
      <w:lvlJc w:val="left"/>
      <w:pPr>
        <w:ind w:left="5651" w:hanging="360"/>
      </w:pPr>
    </w:lvl>
    <w:lvl w:ilvl="5" w:tplc="0809001B" w:tentative="1">
      <w:start w:val="1"/>
      <w:numFmt w:val="lowerRoman"/>
      <w:lvlText w:val="%6."/>
      <w:lvlJc w:val="right"/>
      <w:pPr>
        <w:ind w:left="6371" w:hanging="180"/>
      </w:pPr>
    </w:lvl>
    <w:lvl w:ilvl="6" w:tplc="0809000F" w:tentative="1">
      <w:start w:val="1"/>
      <w:numFmt w:val="decimal"/>
      <w:lvlText w:val="%7."/>
      <w:lvlJc w:val="left"/>
      <w:pPr>
        <w:ind w:left="7091" w:hanging="360"/>
      </w:pPr>
    </w:lvl>
    <w:lvl w:ilvl="7" w:tplc="08090019" w:tentative="1">
      <w:start w:val="1"/>
      <w:numFmt w:val="lowerLetter"/>
      <w:lvlText w:val="%8."/>
      <w:lvlJc w:val="left"/>
      <w:pPr>
        <w:ind w:left="7811" w:hanging="360"/>
      </w:pPr>
    </w:lvl>
    <w:lvl w:ilvl="8" w:tplc="0809001B" w:tentative="1">
      <w:start w:val="1"/>
      <w:numFmt w:val="lowerRoman"/>
      <w:lvlText w:val="%9."/>
      <w:lvlJc w:val="right"/>
      <w:pPr>
        <w:ind w:left="8531" w:hanging="180"/>
      </w:pPr>
    </w:lvl>
  </w:abstractNum>
  <w:abstractNum w:abstractNumId="14" w15:restartNumberingAfterBreak="0">
    <w:nsid w:val="5A651894"/>
    <w:multiLevelType w:val="multilevel"/>
    <w:tmpl w:val="6CFC717C"/>
    <w:lvl w:ilvl="0">
      <w:start w:val="1"/>
      <w:numFmt w:val="decimal"/>
      <w:lvlText w:val="%1"/>
      <w:lvlJc w:val="left"/>
      <w:pPr>
        <w:ind w:left="1848" w:hanging="360"/>
      </w:pPr>
      <w:rPr>
        <w:rFonts w:cs="Times New Roman" w:hint="default"/>
        <w:b/>
        <w:bCs w:val="0"/>
        <w:sz w:val="24"/>
        <w:szCs w:val="24"/>
      </w:rPr>
    </w:lvl>
    <w:lvl w:ilvl="1">
      <w:start w:val="1"/>
      <w:numFmt w:val="decimal"/>
      <w:isLgl/>
      <w:lvlText w:val="%1.%2"/>
      <w:lvlJc w:val="left"/>
      <w:pPr>
        <w:ind w:left="2103" w:hanging="615"/>
      </w:pPr>
      <w:rPr>
        <w:rFonts w:cs="Times New Roman" w:hint="default"/>
        <w:b w:val="0"/>
        <w:bCs w:val="0"/>
      </w:rPr>
    </w:lvl>
    <w:lvl w:ilvl="2">
      <w:start w:val="1"/>
      <w:numFmt w:val="decimal"/>
      <w:isLgl/>
      <w:lvlText w:val="%1.%2.%3"/>
      <w:lvlJc w:val="left"/>
      <w:pPr>
        <w:ind w:left="2208" w:hanging="720"/>
      </w:pPr>
      <w:rPr>
        <w:rFonts w:cs="Times New Roman" w:hint="default"/>
      </w:rPr>
    </w:lvl>
    <w:lvl w:ilvl="3">
      <w:start w:val="1"/>
      <w:numFmt w:val="decimal"/>
      <w:isLgl/>
      <w:lvlText w:val="%1.%2.%3.%4"/>
      <w:lvlJc w:val="left"/>
      <w:pPr>
        <w:ind w:left="2208" w:hanging="72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2568" w:hanging="1080"/>
      </w:pPr>
      <w:rPr>
        <w:rFonts w:cs="Times New Roman" w:hint="default"/>
      </w:rPr>
    </w:lvl>
    <w:lvl w:ilvl="6">
      <w:start w:val="1"/>
      <w:numFmt w:val="decimal"/>
      <w:isLgl/>
      <w:lvlText w:val="%1.%2.%3.%4.%5.%6.%7"/>
      <w:lvlJc w:val="left"/>
      <w:pPr>
        <w:ind w:left="2928" w:hanging="1440"/>
      </w:pPr>
      <w:rPr>
        <w:rFonts w:cs="Times New Roman" w:hint="default"/>
      </w:rPr>
    </w:lvl>
    <w:lvl w:ilvl="7">
      <w:start w:val="1"/>
      <w:numFmt w:val="decimal"/>
      <w:isLgl/>
      <w:lvlText w:val="%1.%2.%3.%4.%5.%6.%7.%8"/>
      <w:lvlJc w:val="left"/>
      <w:pPr>
        <w:ind w:left="2928" w:hanging="1440"/>
      </w:pPr>
      <w:rPr>
        <w:rFonts w:cs="Times New Roman" w:hint="default"/>
      </w:rPr>
    </w:lvl>
    <w:lvl w:ilvl="8">
      <w:start w:val="1"/>
      <w:numFmt w:val="decimal"/>
      <w:isLgl/>
      <w:lvlText w:val="%1.%2.%3.%4.%5.%6.%7.%8.%9"/>
      <w:lvlJc w:val="left"/>
      <w:pPr>
        <w:ind w:left="3288" w:hanging="1800"/>
      </w:pPr>
      <w:rPr>
        <w:rFonts w:cs="Times New Roman" w:hint="default"/>
      </w:rPr>
    </w:lvl>
  </w:abstractNum>
  <w:abstractNum w:abstractNumId="15" w15:restartNumberingAfterBreak="0">
    <w:nsid w:val="64531053"/>
    <w:multiLevelType w:val="hybridMultilevel"/>
    <w:tmpl w:val="FBA23ED0"/>
    <w:lvl w:ilvl="0" w:tplc="1D3A9D5C">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9A36DF"/>
    <w:multiLevelType w:val="hybridMultilevel"/>
    <w:tmpl w:val="7C5EA5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625835">
    <w:abstractNumId w:val="0"/>
  </w:num>
  <w:num w:numId="2" w16cid:durableId="1518042054">
    <w:abstractNumId w:val="14"/>
  </w:num>
  <w:num w:numId="3" w16cid:durableId="917637338">
    <w:abstractNumId w:val="6"/>
  </w:num>
  <w:num w:numId="4" w16cid:durableId="1825470182">
    <w:abstractNumId w:val="1"/>
  </w:num>
  <w:num w:numId="5" w16cid:durableId="435827172">
    <w:abstractNumId w:val="15"/>
  </w:num>
  <w:num w:numId="6" w16cid:durableId="1865290219">
    <w:abstractNumId w:val="5"/>
  </w:num>
  <w:num w:numId="7" w16cid:durableId="1851141213">
    <w:abstractNumId w:val="12"/>
  </w:num>
  <w:num w:numId="8" w16cid:durableId="974145089">
    <w:abstractNumId w:val="7"/>
  </w:num>
  <w:num w:numId="9" w16cid:durableId="126169678">
    <w:abstractNumId w:val="8"/>
  </w:num>
  <w:num w:numId="10" w16cid:durableId="572472343">
    <w:abstractNumId w:val="16"/>
  </w:num>
  <w:num w:numId="11" w16cid:durableId="576597165">
    <w:abstractNumId w:val="4"/>
  </w:num>
  <w:num w:numId="12" w16cid:durableId="168839084">
    <w:abstractNumId w:val="2"/>
  </w:num>
  <w:num w:numId="13" w16cid:durableId="733043240">
    <w:abstractNumId w:val="9"/>
  </w:num>
  <w:num w:numId="14" w16cid:durableId="135756080">
    <w:abstractNumId w:val="13"/>
  </w:num>
  <w:num w:numId="15" w16cid:durableId="993414163">
    <w:abstractNumId w:val="10"/>
  </w:num>
  <w:num w:numId="16" w16cid:durableId="134299248">
    <w:abstractNumId w:val="3"/>
  </w:num>
  <w:num w:numId="17" w16cid:durableId="9015232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259AA"/>
    <w:rsid w:val="0004045F"/>
    <w:rsid w:val="00063016"/>
    <w:rsid w:val="00066795"/>
    <w:rsid w:val="000714B7"/>
    <w:rsid w:val="00073224"/>
    <w:rsid w:val="00076AF6"/>
    <w:rsid w:val="00085CF2"/>
    <w:rsid w:val="000A5365"/>
    <w:rsid w:val="000A5766"/>
    <w:rsid w:val="000B1705"/>
    <w:rsid w:val="000B5F22"/>
    <w:rsid w:val="000C2E36"/>
    <w:rsid w:val="000D42CD"/>
    <w:rsid w:val="000D75B2"/>
    <w:rsid w:val="001011AB"/>
    <w:rsid w:val="001121F5"/>
    <w:rsid w:val="001400DC"/>
    <w:rsid w:val="00140A4D"/>
    <w:rsid w:val="00140CE1"/>
    <w:rsid w:val="00144309"/>
    <w:rsid w:val="0017221C"/>
    <w:rsid w:val="0017539C"/>
    <w:rsid w:val="00175AC2"/>
    <w:rsid w:val="00175DBD"/>
    <w:rsid w:val="0017609F"/>
    <w:rsid w:val="00176143"/>
    <w:rsid w:val="00195FA0"/>
    <w:rsid w:val="00197584"/>
    <w:rsid w:val="001A23EA"/>
    <w:rsid w:val="001A7D1D"/>
    <w:rsid w:val="001B51DD"/>
    <w:rsid w:val="001C628E"/>
    <w:rsid w:val="001E0D3F"/>
    <w:rsid w:val="001E0F7B"/>
    <w:rsid w:val="001E1B87"/>
    <w:rsid w:val="002019EE"/>
    <w:rsid w:val="0021039A"/>
    <w:rsid w:val="002119FD"/>
    <w:rsid w:val="002130E0"/>
    <w:rsid w:val="0021380D"/>
    <w:rsid w:val="00223D0D"/>
    <w:rsid w:val="00250A82"/>
    <w:rsid w:val="00257A74"/>
    <w:rsid w:val="00264425"/>
    <w:rsid w:val="00265875"/>
    <w:rsid w:val="0027303B"/>
    <w:rsid w:val="00274794"/>
    <w:rsid w:val="0027619E"/>
    <w:rsid w:val="0028109B"/>
    <w:rsid w:val="00281D4B"/>
    <w:rsid w:val="002A2188"/>
    <w:rsid w:val="002A3F95"/>
    <w:rsid w:val="002A4BCB"/>
    <w:rsid w:val="002B1F58"/>
    <w:rsid w:val="002C1C7A"/>
    <w:rsid w:val="002C54E2"/>
    <w:rsid w:val="002D6D9E"/>
    <w:rsid w:val="0030160F"/>
    <w:rsid w:val="00310BCF"/>
    <w:rsid w:val="00316BE1"/>
    <w:rsid w:val="00320223"/>
    <w:rsid w:val="00322D0D"/>
    <w:rsid w:val="00332085"/>
    <w:rsid w:val="0033780C"/>
    <w:rsid w:val="00347F3A"/>
    <w:rsid w:val="00352243"/>
    <w:rsid w:val="00354BCE"/>
    <w:rsid w:val="00361465"/>
    <w:rsid w:val="003706F6"/>
    <w:rsid w:val="003748AC"/>
    <w:rsid w:val="003877F5"/>
    <w:rsid w:val="003942D4"/>
    <w:rsid w:val="003958A8"/>
    <w:rsid w:val="00396DA5"/>
    <w:rsid w:val="003A02F6"/>
    <w:rsid w:val="003A7CB8"/>
    <w:rsid w:val="003B05ED"/>
    <w:rsid w:val="003C2533"/>
    <w:rsid w:val="003D5A7F"/>
    <w:rsid w:val="003E1394"/>
    <w:rsid w:val="003F16BA"/>
    <w:rsid w:val="0040435A"/>
    <w:rsid w:val="00416461"/>
    <w:rsid w:val="00416A24"/>
    <w:rsid w:val="00431D9E"/>
    <w:rsid w:val="00433CE8"/>
    <w:rsid w:val="00434A5C"/>
    <w:rsid w:val="00435619"/>
    <w:rsid w:val="0044790D"/>
    <w:rsid w:val="004544D9"/>
    <w:rsid w:val="00461F18"/>
    <w:rsid w:val="004639D5"/>
    <w:rsid w:val="004704D8"/>
    <w:rsid w:val="00472BAD"/>
    <w:rsid w:val="00484009"/>
    <w:rsid w:val="0048625A"/>
    <w:rsid w:val="00490E72"/>
    <w:rsid w:val="00491157"/>
    <w:rsid w:val="004921C8"/>
    <w:rsid w:val="00495B0B"/>
    <w:rsid w:val="004A1B8B"/>
    <w:rsid w:val="004C22A0"/>
    <w:rsid w:val="004D1851"/>
    <w:rsid w:val="004D599D"/>
    <w:rsid w:val="004D7E7C"/>
    <w:rsid w:val="004E2EA5"/>
    <w:rsid w:val="004E3AEB"/>
    <w:rsid w:val="0050223C"/>
    <w:rsid w:val="00503C78"/>
    <w:rsid w:val="0052174A"/>
    <w:rsid w:val="005243FF"/>
    <w:rsid w:val="005274F7"/>
    <w:rsid w:val="00537CF4"/>
    <w:rsid w:val="00554915"/>
    <w:rsid w:val="00564FBC"/>
    <w:rsid w:val="00567CBC"/>
    <w:rsid w:val="005800BC"/>
    <w:rsid w:val="00582442"/>
    <w:rsid w:val="00585D98"/>
    <w:rsid w:val="00590C10"/>
    <w:rsid w:val="0059659B"/>
    <w:rsid w:val="005A43EA"/>
    <w:rsid w:val="005B1D35"/>
    <w:rsid w:val="005C2C7A"/>
    <w:rsid w:val="005D6DE7"/>
    <w:rsid w:val="005F3269"/>
    <w:rsid w:val="005F3FA0"/>
    <w:rsid w:val="0060327B"/>
    <w:rsid w:val="0060621F"/>
    <w:rsid w:val="006104BE"/>
    <w:rsid w:val="006129B9"/>
    <w:rsid w:val="00623AE3"/>
    <w:rsid w:val="006309AA"/>
    <w:rsid w:val="0064737F"/>
    <w:rsid w:val="006535F1"/>
    <w:rsid w:val="0065557D"/>
    <w:rsid w:val="00660D50"/>
    <w:rsid w:val="00662984"/>
    <w:rsid w:val="00665DD3"/>
    <w:rsid w:val="006716BB"/>
    <w:rsid w:val="00672291"/>
    <w:rsid w:val="006909CE"/>
    <w:rsid w:val="006B1859"/>
    <w:rsid w:val="006B1F79"/>
    <w:rsid w:val="006B6680"/>
    <w:rsid w:val="006B6DCC"/>
    <w:rsid w:val="006E75A2"/>
    <w:rsid w:val="00702DEF"/>
    <w:rsid w:val="00706861"/>
    <w:rsid w:val="007123AA"/>
    <w:rsid w:val="00725F06"/>
    <w:rsid w:val="00742D22"/>
    <w:rsid w:val="007459AB"/>
    <w:rsid w:val="007504F1"/>
    <w:rsid w:val="0075051B"/>
    <w:rsid w:val="00755E39"/>
    <w:rsid w:val="00784029"/>
    <w:rsid w:val="0079195E"/>
    <w:rsid w:val="00791C5B"/>
    <w:rsid w:val="00793188"/>
    <w:rsid w:val="00794D34"/>
    <w:rsid w:val="00796882"/>
    <w:rsid w:val="007A03F9"/>
    <w:rsid w:val="007A3335"/>
    <w:rsid w:val="00813E5E"/>
    <w:rsid w:val="0083581B"/>
    <w:rsid w:val="008378A4"/>
    <w:rsid w:val="00845C6A"/>
    <w:rsid w:val="008531B3"/>
    <w:rsid w:val="00863874"/>
    <w:rsid w:val="00864552"/>
    <w:rsid w:val="00864AFF"/>
    <w:rsid w:val="00865925"/>
    <w:rsid w:val="008833D5"/>
    <w:rsid w:val="008841F8"/>
    <w:rsid w:val="00892102"/>
    <w:rsid w:val="008A1D06"/>
    <w:rsid w:val="008B4A6A"/>
    <w:rsid w:val="008C7E27"/>
    <w:rsid w:val="008D3741"/>
    <w:rsid w:val="008F7448"/>
    <w:rsid w:val="0090147A"/>
    <w:rsid w:val="009173EF"/>
    <w:rsid w:val="009240D9"/>
    <w:rsid w:val="00932906"/>
    <w:rsid w:val="00961B0B"/>
    <w:rsid w:val="009750DB"/>
    <w:rsid w:val="009B38C3"/>
    <w:rsid w:val="009C4ABD"/>
    <w:rsid w:val="009D4B81"/>
    <w:rsid w:val="009E17BD"/>
    <w:rsid w:val="009E485A"/>
    <w:rsid w:val="009F5B8C"/>
    <w:rsid w:val="00A04CEC"/>
    <w:rsid w:val="00A274B0"/>
    <w:rsid w:val="00A27F92"/>
    <w:rsid w:val="00A32257"/>
    <w:rsid w:val="00A36D20"/>
    <w:rsid w:val="00A514A4"/>
    <w:rsid w:val="00A54171"/>
    <w:rsid w:val="00A55622"/>
    <w:rsid w:val="00A635BE"/>
    <w:rsid w:val="00A83502"/>
    <w:rsid w:val="00A866B3"/>
    <w:rsid w:val="00A961BE"/>
    <w:rsid w:val="00AC4B7F"/>
    <w:rsid w:val="00AD15B3"/>
    <w:rsid w:val="00AD3606"/>
    <w:rsid w:val="00AD424E"/>
    <w:rsid w:val="00AD4A3D"/>
    <w:rsid w:val="00AD4E38"/>
    <w:rsid w:val="00AE4D2A"/>
    <w:rsid w:val="00AF6E49"/>
    <w:rsid w:val="00B0315D"/>
    <w:rsid w:val="00B036BE"/>
    <w:rsid w:val="00B04A67"/>
    <w:rsid w:val="00B051F3"/>
    <w:rsid w:val="00B0583C"/>
    <w:rsid w:val="00B24838"/>
    <w:rsid w:val="00B33337"/>
    <w:rsid w:val="00B362B8"/>
    <w:rsid w:val="00B40A81"/>
    <w:rsid w:val="00B438B0"/>
    <w:rsid w:val="00B44910"/>
    <w:rsid w:val="00B46E5F"/>
    <w:rsid w:val="00B476FE"/>
    <w:rsid w:val="00B72267"/>
    <w:rsid w:val="00B76EB6"/>
    <w:rsid w:val="00B7737B"/>
    <w:rsid w:val="00B824C8"/>
    <w:rsid w:val="00B84B9D"/>
    <w:rsid w:val="00BB2C9F"/>
    <w:rsid w:val="00BB2FFD"/>
    <w:rsid w:val="00BC251A"/>
    <w:rsid w:val="00BD032B"/>
    <w:rsid w:val="00BD75C3"/>
    <w:rsid w:val="00BE2640"/>
    <w:rsid w:val="00BE30E6"/>
    <w:rsid w:val="00C01189"/>
    <w:rsid w:val="00C05E4C"/>
    <w:rsid w:val="00C234C4"/>
    <w:rsid w:val="00C374DE"/>
    <w:rsid w:val="00C41D73"/>
    <w:rsid w:val="00C47AD4"/>
    <w:rsid w:val="00C52D81"/>
    <w:rsid w:val="00C55198"/>
    <w:rsid w:val="00C83D12"/>
    <w:rsid w:val="00CA6393"/>
    <w:rsid w:val="00CB18FF"/>
    <w:rsid w:val="00CC2798"/>
    <w:rsid w:val="00CC2AC3"/>
    <w:rsid w:val="00CD0C08"/>
    <w:rsid w:val="00CE0265"/>
    <w:rsid w:val="00CE03FB"/>
    <w:rsid w:val="00CE3353"/>
    <w:rsid w:val="00CE370A"/>
    <w:rsid w:val="00CE433C"/>
    <w:rsid w:val="00CE7EC5"/>
    <w:rsid w:val="00CF0161"/>
    <w:rsid w:val="00CF0218"/>
    <w:rsid w:val="00CF33F3"/>
    <w:rsid w:val="00D06183"/>
    <w:rsid w:val="00D21CE0"/>
    <w:rsid w:val="00D22C42"/>
    <w:rsid w:val="00D27864"/>
    <w:rsid w:val="00D33422"/>
    <w:rsid w:val="00D604E1"/>
    <w:rsid w:val="00D65041"/>
    <w:rsid w:val="00D70960"/>
    <w:rsid w:val="00D72034"/>
    <w:rsid w:val="00D75C9C"/>
    <w:rsid w:val="00D767C0"/>
    <w:rsid w:val="00D939BA"/>
    <w:rsid w:val="00D96C08"/>
    <w:rsid w:val="00DB1936"/>
    <w:rsid w:val="00DB384B"/>
    <w:rsid w:val="00DD0FC2"/>
    <w:rsid w:val="00DD54B3"/>
    <w:rsid w:val="00DE7C67"/>
    <w:rsid w:val="00DF0189"/>
    <w:rsid w:val="00DF270E"/>
    <w:rsid w:val="00E00796"/>
    <w:rsid w:val="00E06FD5"/>
    <w:rsid w:val="00E10E80"/>
    <w:rsid w:val="00E124F0"/>
    <w:rsid w:val="00E1742D"/>
    <w:rsid w:val="00E2017A"/>
    <w:rsid w:val="00E36B35"/>
    <w:rsid w:val="00E46617"/>
    <w:rsid w:val="00E5453F"/>
    <w:rsid w:val="00E55124"/>
    <w:rsid w:val="00E60F04"/>
    <w:rsid w:val="00E65B24"/>
    <w:rsid w:val="00E66044"/>
    <w:rsid w:val="00E741DB"/>
    <w:rsid w:val="00E77AB6"/>
    <w:rsid w:val="00E854E4"/>
    <w:rsid w:val="00E86DBF"/>
    <w:rsid w:val="00E87945"/>
    <w:rsid w:val="00EA19F8"/>
    <w:rsid w:val="00EB0D6F"/>
    <w:rsid w:val="00EB2232"/>
    <w:rsid w:val="00EB6628"/>
    <w:rsid w:val="00EB6CE6"/>
    <w:rsid w:val="00EC5337"/>
    <w:rsid w:val="00ED6DED"/>
    <w:rsid w:val="00EE49E8"/>
    <w:rsid w:val="00EE7FCC"/>
    <w:rsid w:val="00EF525F"/>
    <w:rsid w:val="00F00D64"/>
    <w:rsid w:val="00F160B1"/>
    <w:rsid w:val="00F16BAB"/>
    <w:rsid w:val="00F2150A"/>
    <w:rsid w:val="00F22498"/>
    <w:rsid w:val="00F231D8"/>
    <w:rsid w:val="00F34701"/>
    <w:rsid w:val="00F44C00"/>
    <w:rsid w:val="00F46C5F"/>
    <w:rsid w:val="00F632C0"/>
    <w:rsid w:val="00F755C7"/>
    <w:rsid w:val="00F847F8"/>
    <w:rsid w:val="00F92825"/>
    <w:rsid w:val="00F9434A"/>
    <w:rsid w:val="00F94A63"/>
    <w:rsid w:val="00FA180A"/>
    <w:rsid w:val="00FA1C28"/>
    <w:rsid w:val="00FB1279"/>
    <w:rsid w:val="00FB4AA7"/>
    <w:rsid w:val="00FB6B76"/>
    <w:rsid w:val="00FB7596"/>
    <w:rsid w:val="00FC0BDD"/>
    <w:rsid w:val="00FC39BB"/>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E26A7B50-9BE5-4778-80AF-46588C6D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noProof/>
      <w:sz w:val="16"/>
    </w:rPr>
  </w:style>
  <w:style w:type="paragraph" w:styleId="Header">
    <w:name w:val="header"/>
    <w:aliases w:val="encabezado,he,encabezad"/>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aliases w:val="encabezado Char,he Char,encabezad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rPr>
  </w:style>
  <w:style w:type="paragraph" w:customStyle="1" w:styleId="Title3">
    <w:name w:val="Title 3"/>
    <w:basedOn w:val="Title2"/>
    <w:next w:val="Normalaftertitle"/>
    <w:rsid w:val="00813E5E"/>
    <w:pPr>
      <w:framePr w:wrap="around"/>
    </w:p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rPr>
  </w:style>
  <w:style w:type="paragraph" w:customStyle="1" w:styleId="TableNo">
    <w:name w:val="Table_No"/>
    <w:basedOn w:val="Normal"/>
    <w:next w:val="Tabletitle"/>
    <w:rsid w:val="00813E5E"/>
    <w:pPr>
      <w:keepNext/>
      <w:spacing w:before="560" w:after="120"/>
      <w:jc w:val="center"/>
    </w:p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197584"/>
    <w:rPr>
      <w:color w:val="605E5C"/>
      <w:shd w:val="clear" w:color="auto" w:fill="E1DFDD"/>
    </w:rPr>
  </w:style>
  <w:style w:type="paragraph" w:styleId="ListParagraph">
    <w:name w:val="List Paragraph"/>
    <w:basedOn w:val="Normal"/>
    <w:uiPriority w:val="34"/>
    <w:qFormat/>
    <w:rsid w:val="00A961BE"/>
    <w:pPr>
      <w:ind w:left="720"/>
      <w:contextualSpacing/>
    </w:pPr>
  </w:style>
  <w:style w:type="character" w:styleId="CommentReference">
    <w:name w:val="annotation reference"/>
    <w:basedOn w:val="DefaultParagraphFont"/>
    <w:semiHidden/>
    <w:unhideWhenUsed/>
    <w:rsid w:val="00FA180A"/>
    <w:rPr>
      <w:sz w:val="16"/>
      <w:szCs w:val="16"/>
    </w:rPr>
  </w:style>
  <w:style w:type="paragraph" w:styleId="CommentText">
    <w:name w:val="annotation text"/>
    <w:basedOn w:val="Normal"/>
    <w:link w:val="CommentTextChar"/>
    <w:unhideWhenUsed/>
    <w:rsid w:val="00FA180A"/>
    <w:rPr>
      <w:sz w:val="20"/>
    </w:rPr>
  </w:style>
  <w:style w:type="character" w:customStyle="1" w:styleId="CommentTextChar">
    <w:name w:val="Comment Text Char"/>
    <w:basedOn w:val="DefaultParagraphFont"/>
    <w:link w:val="CommentText"/>
    <w:rsid w:val="00FA180A"/>
    <w:rPr>
      <w:rFonts w:ascii="Calibri" w:hAnsi="Calibri"/>
      <w:lang w:val="en-GB" w:eastAsia="en-US"/>
    </w:rPr>
  </w:style>
  <w:style w:type="paragraph" w:styleId="CommentSubject">
    <w:name w:val="annotation subject"/>
    <w:basedOn w:val="CommentText"/>
    <w:next w:val="CommentText"/>
    <w:link w:val="CommentSubjectChar"/>
    <w:semiHidden/>
    <w:unhideWhenUsed/>
    <w:rsid w:val="00FA180A"/>
    <w:rPr>
      <w:b/>
      <w:bCs/>
    </w:rPr>
  </w:style>
  <w:style w:type="character" w:customStyle="1" w:styleId="CommentSubjectChar">
    <w:name w:val="Comment Subject Char"/>
    <w:basedOn w:val="CommentTextChar"/>
    <w:link w:val="CommentSubject"/>
    <w:semiHidden/>
    <w:rsid w:val="00FA180A"/>
    <w:rPr>
      <w:rFonts w:ascii="Calibri" w:hAnsi="Calibri"/>
      <w:b/>
      <w:bCs/>
      <w:lang w:val="en-GB" w:eastAsia="en-US"/>
    </w:rPr>
  </w:style>
  <w:style w:type="paragraph" w:styleId="Revision">
    <w:name w:val="Revision"/>
    <w:hidden/>
    <w:uiPriority w:val="99"/>
    <w:semiHidden/>
    <w:rsid w:val="00FA180A"/>
    <w:rPr>
      <w:rFonts w:ascii="Calibri" w:hAnsi="Calibri"/>
      <w:sz w:val="24"/>
      <w:lang w:val="en-GB" w:eastAsia="en-US"/>
    </w:rPr>
  </w:style>
  <w:style w:type="paragraph" w:customStyle="1" w:styleId="call0">
    <w:name w:val="call"/>
    <w:basedOn w:val="Normal"/>
    <w:next w:val="Normal"/>
    <w:rsid w:val="00ED6DED"/>
    <w:pPr>
      <w:keepNext/>
      <w:keepLines/>
      <w:spacing w:before="160"/>
      <w:ind w:left="794" w:hanging="357"/>
    </w:pPr>
    <w:rPr>
      <w:i/>
    </w:rPr>
  </w:style>
  <w:style w:type="paragraph" w:styleId="BalloonText">
    <w:name w:val="Balloon Text"/>
    <w:basedOn w:val="Normal"/>
    <w:link w:val="BalloonTextChar"/>
    <w:semiHidden/>
    <w:unhideWhenUsed/>
    <w:rsid w:val="005A43E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5A43EA"/>
    <w:rPr>
      <w:rFonts w:ascii="Tahoma" w:hAnsi="Tahoma" w:cs="Tahoma"/>
      <w:sz w:val="16"/>
      <w:szCs w:val="16"/>
      <w:lang w:val="en-GB" w:eastAsia="en-US"/>
    </w:rPr>
  </w:style>
  <w:style w:type="paragraph" w:styleId="NormalWeb">
    <w:name w:val="Normal (Web)"/>
    <w:basedOn w:val="Normal"/>
    <w:uiPriority w:val="99"/>
    <w:semiHidden/>
    <w:unhideWhenUsed/>
    <w:rsid w:val="005C2C7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s-ES" w:eastAsia="es-ES"/>
    </w:rPr>
  </w:style>
  <w:style w:type="character" w:customStyle="1" w:styleId="FooterChar">
    <w:name w:val="Footer Char"/>
    <w:basedOn w:val="DefaultParagraphFont"/>
    <w:link w:val="Footer"/>
    <w:rsid w:val="00EB6628"/>
    <w:rPr>
      <w:rFonts w:ascii="Calibri" w:hAnsi="Calibri"/>
      <w:noProof/>
      <w:sz w:val="16"/>
      <w:lang w:val="en-GB" w:eastAsia="en-US"/>
    </w:rPr>
  </w:style>
  <w:style w:type="paragraph" w:customStyle="1" w:styleId="Chart">
    <w:name w:val="Chart"/>
    <w:basedOn w:val="FigureNo"/>
    <w:rsid w:val="002019EE"/>
    <w:rPr>
      <w:lang w:val="es-ES"/>
    </w:rPr>
  </w:style>
  <w:style w:type="paragraph" w:customStyle="1" w:styleId="Reasons">
    <w:name w:val="Reasons"/>
    <w:basedOn w:val="Normal"/>
    <w:qFormat/>
    <w:rsid w:val="00223D0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215">
      <w:bodyDiv w:val="1"/>
      <w:marLeft w:val="0"/>
      <w:marRight w:val="0"/>
      <w:marTop w:val="0"/>
      <w:marBottom w:val="0"/>
      <w:divBdr>
        <w:top w:val="none" w:sz="0" w:space="0" w:color="auto"/>
        <w:left w:val="none" w:sz="0" w:space="0" w:color="auto"/>
        <w:bottom w:val="none" w:sz="0" w:space="0" w:color="auto"/>
        <w:right w:val="none" w:sz="0" w:space="0" w:color="auto"/>
      </w:divBdr>
    </w:div>
    <w:div w:id="66074795">
      <w:bodyDiv w:val="1"/>
      <w:marLeft w:val="0"/>
      <w:marRight w:val="0"/>
      <w:marTop w:val="0"/>
      <w:marBottom w:val="0"/>
      <w:divBdr>
        <w:top w:val="none" w:sz="0" w:space="0" w:color="auto"/>
        <w:left w:val="none" w:sz="0" w:space="0" w:color="auto"/>
        <w:bottom w:val="none" w:sz="0" w:space="0" w:color="auto"/>
        <w:right w:val="none" w:sz="0" w:space="0" w:color="auto"/>
      </w:divBdr>
    </w:div>
    <w:div w:id="149098378">
      <w:bodyDiv w:val="1"/>
      <w:marLeft w:val="0"/>
      <w:marRight w:val="0"/>
      <w:marTop w:val="0"/>
      <w:marBottom w:val="0"/>
      <w:divBdr>
        <w:top w:val="none" w:sz="0" w:space="0" w:color="auto"/>
        <w:left w:val="none" w:sz="0" w:space="0" w:color="auto"/>
        <w:bottom w:val="none" w:sz="0" w:space="0" w:color="auto"/>
        <w:right w:val="none" w:sz="0" w:space="0" w:color="auto"/>
      </w:divBdr>
    </w:div>
    <w:div w:id="271939043">
      <w:bodyDiv w:val="1"/>
      <w:marLeft w:val="0"/>
      <w:marRight w:val="0"/>
      <w:marTop w:val="0"/>
      <w:marBottom w:val="0"/>
      <w:divBdr>
        <w:top w:val="none" w:sz="0" w:space="0" w:color="auto"/>
        <w:left w:val="none" w:sz="0" w:space="0" w:color="auto"/>
        <w:bottom w:val="none" w:sz="0" w:space="0" w:color="auto"/>
        <w:right w:val="none" w:sz="0" w:space="0" w:color="auto"/>
      </w:divBdr>
    </w:div>
    <w:div w:id="298002628">
      <w:bodyDiv w:val="1"/>
      <w:marLeft w:val="0"/>
      <w:marRight w:val="0"/>
      <w:marTop w:val="0"/>
      <w:marBottom w:val="0"/>
      <w:divBdr>
        <w:top w:val="none" w:sz="0" w:space="0" w:color="auto"/>
        <w:left w:val="none" w:sz="0" w:space="0" w:color="auto"/>
        <w:bottom w:val="none" w:sz="0" w:space="0" w:color="auto"/>
        <w:right w:val="none" w:sz="0" w:space="0" w:color="auto"/>
      </w:divBdr>
    </w:div>
    <w:div w:id="414979533">
      <w:bodyDiv w:val="1"/>
      <w:marLeft w:val="0"/>
      <w:marRight w:val="0"/>
      <w:marTop w:val="0"/>
      <w:marBottom w:val="0"/>
      <w:divBdr>
        <w:top w:val="none" w:sz="0" w:space="0" w:color="auto"/>
        <w:left w:val="none" w:sz="0" w:space="0" w:color="auto"/>
        <w:bottom w:val="none" w:sz="0" w:space="0" w:color="auto"/>
        <w:right w:val="none" w:sz="0" w:space="0" w:color="auto"/>
      </w:divBdr>
    </w:div>
    <w:div w:id="508905547">
      <w:bodyDiv w:val="1"/>
      <w:marLeft w:val="0"/>
      <w:marRight w:val="0"/>
      <w:marTop w:val="0"/>
      <w:marBottom w:val="0"/>
      <w:divBdr>
        <w:top w:val="none" w:sz="0" w:space="0" w:color="auto"/>
        <w:left w:val="none" w:sz="0" w:space="0" w:color="auto"/>
        <w:bottom w:val="none" w:sz="0" w:space="0" w:color="auto"/>
        <w:right w:val="none" w:sz="0" w:space="0" w:color="auto"/>
      </w:divBdr>
    </w:div>
    <w:div w:id="571308188">
      <w:bodyDiv w:val="1"/>
      <w:marLeft w:val="0"/>
      <w:marRight w:val="0"/>
      <w:marTop w:val="0"/>
      <w:marBottom w:val="0"/>
      <w:divBdr>
        <w:top w:val="none" w:sz="0" w:space="0" w:color="auto"/>
        <w:left w:val="none" w:sz="0" w:space="0" w:color="auto"/>
        <w:bottom w:val="none" w:sz="0" w:space="0" w:color="auto"/>
        <w:right w:val="none" w:sz="0" w:space="0" w:color="auto"/>
      </w:divBdr>
    </w:div>
    <w:div w:id="789082467">
      <w:bodyDiv w:val="1"/>
      <w:marLeft w:val="0"/>
      <w:marRight w:val="0"/>
      <w:marTop w:val="0"/>
      <w:marBottom w:val="0"/>
      <w:divBdr>
        <w:top w:val="none" w:sz="0" w:space="0" w:color="auto"/>
        <w:left w:val="none" w:sz="0" w:space="0" w:color="auto"/>
        <w:bottom w:val="none" w:sz="0" w:space="0" w:color="auto"/>
        <w:right w:val="none" w:sz="0" w:space="0" w:color="auto"/>
      </w:divBdr>
    </w:div>
    <w:div w:id="800194797">
      <w:bodyDiv w:val="1"/>
      <w:marLeft w:val="0"/>
      <w:marRight w:val="0"/>
      <w:marTop w:val="0"/>
      <w:marBottom w:val="0"/>
      <w:divBdr>
        <w:top w:val="none" w:sz="0" w:space="0" w:color="auto"/>
        <w:left w:val="none" w:sz="0" w:space="0" w:color="auto"/>
        <w:bottom w:val="none" w:sz="0" w:space="0" w:color="auto"/>
        <w:right w:val="none" w:sz="0" w:space="0" w:color="auto"/>
      </w:divBdr>
    </w:div>
    <w:div w:id="924730483">
      <w:bodyDiv w:val="1"/>
      <w:marLeft w:val="0"/>
      <w:marRight w:val="0"/>
      <w:marTop w:val="0"/>
      <w:marBottom w:val="0"/>
      <w:divBdr>
        <w:top w:val="none" w:sz="0" w:space="0" w:color="auto"/>
        <w:left w:val="none" w:sz="0" w:space="0" w:color="auto"/>
        <w:bottom w:val="none" w:sz="0" w:space="0" w:color="auto"/>
        <w:right w:val="none" w:sz="0" w:space="0" w:color="auto"/>
      </w:divBdr>
    </w:div>
    <w:div w:id="959916657">
      <w:bodyDiv w:val="1"/>
      <w:marLeft w:val="0"/>
      <w:marRight w:val="0"/>
      <w:marTop w:val="0"/>
      <w:marBottom w:val="0"/>
      <w:divBdr>
        <w:top w:val="none" w:sz="0" w:space="0" w:color="auto"/>
        <w:left w:val="none" w:sz="0" w:space="0" w:color="auto"/>
        <w:bottom w:val="none" w:sz="0" w:space="0" w:color="auto"/>
        <w:right w:val="none" w:sz="0" w:space="0" w:color="auto"/>
      </w:divBdr>
    </w:div>
    <w:div w:id="963854010">
      <w:bodyDiv w:val="1"/>
      <w:marLeft w:val="0"/>
      <w:marRight w:val="0"/>
      <w:marTop w:val="0"/>
      <w:marBottom w:val="0"/>
      <w:divBdr>
        <w:top w:val="none" w:sz="0" w:space="0" w:color="auto"/>
        <w:left w:val="none" w:sz="0" w:space="0" w:color="auto"/>
        <w:bottom w:val="none" w:sz="0" w:space="0" w:color="auto"/>
        <w:right w:val="none" w:sz="0" w:space="0" w:color="auto"/>
      </w:divBdr>
    </w:div>
    <w:div w:id="1147281429">
      <w:bodyDiv w:val="1"/>
      <w:marLeft w:val="0"/>
      <w:marRight w:val="0"/>
      <w:marTop w:val="0"/>
      <w:marBottom w:val="0"/>
      <w:divBdr>
        <w:top w:val="none" w:sz="0" w:space="0" w:color="auto"/>
        <w:left w:val="none" w:sz="0" w:space="0" w:color="auto"/>
        <w:bottom w:val="none" w:sz="0" w:space="0" w:color="auto"/>
        <w:right w:val="none" w:sz="0" w:space="0" w:color="auto"/>
      </w:divBdr>
    </w:div>
    <w:div w:id="1606182855">
      <w:bodyDiv w:val="1"/>
      <w:marLeft w:val="0"/>
      <w:marRight w:val="0"/>
      <w:marTop w:val="0"/>
      <w:marBottom w:val="0"/>
      <w:divBdr>
        <w:top w:val="none" w:sz="0" w:space="0" w:color="auto"/>
        <w:left w:val="none" w:sz="0" w:space="0" w:color="auto"/>
        <w:bottom w:val="none" w:sz="0" w:space="0" w:color="auto"/>
        <w:right w:val="none" w:sz="0" w:space="0" w:color="auto"/>
      </w:divBdr>
    </w:div>
    <w:div w:id="1606963526">
      <w:bodyDiv w:val="1"/>
      <w:marLeft w:val="0"/>
      <w:marRight w:val="0"/>
      <w:marTop w:val="0"/>
      <w:marBottom w:val="0"/>
      <w:divBdr>
        <w:top w:val="none" w:sz="0" w:space="0" w:color="auto"/>
        <w:left w:val="none" w:sz="0" w:space="0" w:color="auto"/>
        <w:bottom w:val="none" w:sz="0" w:space="0" w:color="auto"/>
        <w:right w:val="none" w:sz="0" w:space="0" w:color="auto"/>
      </w:divBdr>
    </w:div>
    <w:div w:id="1662999838">
      <w:bodyDiv w:val="1"/>
      <w:marLeft w:val="0"/>
      <w:marRight w:val="0"/>
      <w:marTop w:val="0"/>
      <w:marBottom w:val="0"/>
      <w:divBdr>
        <w:top w:val="none" w:sz="0" w:space="0" w:color="auto"/>
        <w:left w:val="none" w:sz="0" w:space="0" w:color="auto"/>
        <w:bottom w:val="none" w:sz="0" w:space="0" w:color="auto"/>
        <w:right w:val="none" w:sz="0" w:space="0" w:color="auto"/>
      </w:divBdr>
    </w:div>
    <w:div w:id="1672636620">
      <w:bodyDiv w:val="1"/>
      <w:marLeft w:val="0"/>
      <w:marRight w:val="0"/>
      <w:marTop w:val="0"/>
      <w:marBottom w:val="0"/>
      <w:divBdr>
        <w:top w:val="none" w:sz="0" w:space="0" w:color="auto"/>
        <w:left w:val="none" w:sz="0" w:space="0" w:color="auto"/>
        <w:bottom w:val="none" w:sz="0" w:space="0" w:color="auto"/>
        <w:right w:val="none" w:sz="0" w:space="0" w:color="auto"/>
      </w:divBdr>
    </w:div>
    <w:div w:id="1726416452">
      <w:bodyDiv w:val="1"/>
      <w:marLeft w:val="0"/>
      <w:marRight w:val="0"/>
      <w:marTop w:val="0"/>
      <w:marBottom w:val="0"/>
      <w:divBdr>
        <w:top w:val="none" w:sz="0" w:space="0" w:color="auto"/>
        <w:left w:val="none" w:sz="0" w:space="0" w:color="auto"/>
        <w:bottom w:val="none" w:sz="0" w:space="0" w:color="auto"/>
        <w:right w:val="none" w:sz="0" w:space="0" w:color="auto"/>
      </w:divBdr>
    </w:div>
    <w:div w:id="1750498202">
      <w:bodyDiv w:val="1"/>
      <w:marLeft w:val="0"/>
      <w:marRight w:val="0"/>
      <w:marTop w:val="0"/>
      <w:marBottom w:val="0"/>
      <w:divBdr>
        <w:top w:val="none" w:sz="0" w:space="0" w:color="auto"/>
        <w:left w:val="none" w:sz="0" w:space="0" w:color="auto"/>
        <w:bottom w:val="none" w:sz="0" w:space="0" w:color="auto"/>
        <w:right w:val="none" w:sz="0" w:space="0" w:color="auto"/>
      </w:divBdr>
    </w:div>
    <w:div w:id="1884295104">
      <w:bodyDiv w:val="1"/>
      <w:marLeft w:val="0"/>
      <w:marRight w:val="0"/>
      <w:marTop w:val="0"/>
      <w:marBottom w:val="0"/>
      <w:divBdr>
        <w:top w:val="none" w:sz="0" w:space="0" w:color="auto"/>
        <w:left w:val="none" w:sz="0" w:space="0" w:color="auto"/>
        <w:bottom w:val="none" w:sz="0" w:space="0" w:color="auto"/>
        <w:right w:val="none" w:sz="0" w:space="0" w:color="auto"/>
      </w:divBdr>
    </w:div>
    <w:div w:id="1953243541">
      <w:bodyDiv w:val="1"/>
      <w:marLeft w:val="0"/>
      <w:marRight w:val="0"/>
      <w:marTop w:val="0"/>
      <w:marBottom w:val="0"/>
      <w:divBdr>
        <w:top w:val="none" w:sz="0" w:space="0" w:color="auto"/>
        <w:left w:val="none" w:sz="0" w:space="0" w:color="auto"/>
        <w:bottom w:val="none" w:sz="0" w:space="0" w:color="auto"/>
        <w:right w:val="none" w:sz="0" w:space="0" w:color="auto"/>
      </w:divBdr>
    </w:div>
    <w:div w:id="2130390341">
      <w:bodyDiv w:val="1"/>
      <w:marLeft w:val="0"/>
      <w:marRight w:val="0"/>
      <w:marTop w:val="0"/>
      <w:marBottom w:val="0"/>
      <w:divBdr>
        <w:top w:val="none" w:sz="0" w:space="0" w:color="auto"/>
        <w:left w:val="none" w:sz="0" w:space="0" w:color="auto"/>
        <w:bottom w:val="none" w:sz="0" w:space="0" w:color="auto"/>
        <w:right w:val="none" w:sz="0" w:space="0" w:color="auto"/>
      </w:divBdr>
    </w:div>
    <w:div w:id="213400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emf"/><Relationship Id="rId26" Type="http://schemas.openxmlformats.org/officeDocument/2006/relationships/header" Target="header3.xml"/><Relationship Id="rId39" Type="http://schemas.openxmlformats.org/officeDocument/2006/relationships/image" Target="media/image14.emf"/><Relationship Id="rId21" Type="http://schemas.openxmlformats.org/officeDocument/2006/relationships/chart" Target="charts/chart2.xml"/><Relationship Id="rId34" Type="http://schemas.openxmlformats.org/officeDocument/2006/relationships/image" Target="media/image9.emf"/><Relationship Id="rId42" Type="http://schemas.openxmlformats.org/officeDocument/2006/relationships/image" Target="media/image17.emf"/><Relationship Id="rId47" Type="http://schemas.openxmlformats.org/officeDocument/2006/relationships/image" Target="media/image22.emf"/><Relationship Id="rId50" Type="http://schemas.openxmlformats.org/officeDocument/2006/relationships/image" Target="media/image25.emf"/><Relationship Id="rId55" Type="http://schemas.openxmlformats.org/officeDocument/2006/relationships/image" Target="media/image30.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header" Target="header5.xml"/><Relationship Id="rId11" Type="http://schemas.openxmlformats.org/officeDocument/2006/relationships/hyperlink" Target="https://www.itu.int/en/council/Documents/basic-texts-2023/RES-071-S.pdf" TargetMode="External"/><Relationship Id="rId24" Type="http://schemas.openxmlformats.org/officeDocument/2006/relationships/footer" Target="footer1.xml"/><Relationship Id="rId32" Type="http://schemas.openxmlformats.org/officeDocument/2006/relationships/header" Target="header6.xml"/><Relationship Id="rId37" Type="http://schemas.openxmlformats.org/officeDocument/2006/relationships/image" Target="media/image12.emf"/><Relationship Id="rId40" Type="http://schemas.openxmlformats.org/officeDocument/2006/relationships/image" Target="media/image15.emf"/><Relationship Id="rId45" Type="http://schemas.openxmlformats.org/officeDocument/2006/relationships/image" Target="media/image20.emf"/><Relationship Id="rId53" Type="http://schemas.openxmlformats.org/officeDocument/2006/relationships/image" Target="media/image28.emf"/><Relationship Id="rId58" Type="http://schemas.openxmlformats.org/officeDocument/2006/relationships/footer" Target="footer8.xml"/><Relationship Id="rId5"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itu.int/en/council/Documents/basic-texts-2023/Convention-S.pdf" TargetMode="Externa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image" Target="media/image10.emf"/><Relationship Id="rId43" Type="http://schemas.openxmlformats.org/officeDocument/2006/relationships/image" Target="media/image18.emf"/><Relationship Id="rId48" Type="http://schemas.openxmlformats.org/officeDocument/2006/relationships/image" Target="media/image23.emf"/><Relationship Id="rId56" Type="http://schemas.openxmlformats.org/officeDocument/2006/relationships/footer" Target="footer7.xml"/><Relationship Id="rId8" Type="http://schemas.openxmlformats.org/officeDocument/2006/relationships/hyperlink" Target="https://www.itu.int/en/council/Documents/basic-texts-2023/Constitution-S.pdf" TargetMode="External"/><Relationship Id="rId51" Type="http://schemas.openxmlformats.org/officeDocument/2006/relationships/image" Target="media/image26.emf"/><Relationship Id="rId3" Type="http://schemas.openxmlformats.org/officeDocument/2006/relationships/styles" Target="styles.xml"/><Relationship Id="rId12" Type="http://schemas.openxmlformats.org/officeDocument/2006/relationships/hyperlink" Target="https://www.itu.int/en/council/Documents/basic-texts-2023/RES-151-S.pdf" TargetMode="External"/><Relationship Id="rId17" Type="http://schemas.openxmlformats.org/officeDocument/2006/relationships/chart" Target="charts/chart1.xm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image" Target="media/image13.emf"/><Relationship Id="rId46" Type="http://schemas.openxmlformats.org/officeDocument/2006/relationships/image" Target="media/image21.emf"/><Relationship Id="rId59" Type="http://schemas.openxmlformats.org/officeDocument/2006/relationships/fontTable" Target="fontTable.xml"/><Relationship Id="rId20" Type="http://schemas.openxmlformats.org/officeDocument/2006/relationships/image" Target="media/image7.emf"/><Relationship Id="rId41" Type="http://schemas.openxmlformats.org/officeDocument/2006/relationships/image" Target="media/image16.emf"/><Relationship Id="rId54"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image" Target="media/image11.emf"/><Relationship Id="rId49" Type="http://schemas.openxmlformats.org/officeDocument/2006/relationships/image" Target="media/image24.emf"/><Relationship Id="rId57" Type="http://schemas.openxmlformats.org/officeDocument/2006/relationships/header" Target="header7.xml"/><Relationship Id="rId10" Type="http://schemas.openxmlformats.org/officeDocument/2006/relationships/hyperlink" Target="https://www.itu.int/en/council/Documents/basic-texts-2023/DEC-005-S.pdf" TargetMode="External"/><Relationship Id="rId31" Type="http://schemas.openxmlformats.org/officeDocument/2006/relationships/footer" Target="footer5.xml"/><Relationship Id="rId44" Type="http://schemas.openxmlformats.org/officeDocument/2006/relationships/image" Target="media/image19.emf"/><Relationship Id="rId52" Type="http://schemas.openxmlformats.org/officeDocument/2006/relationships/image" Target="media/image27.emf"/><Relationship Id="rId6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conta\Documents\EMPRESA\Clients\ITU\OFFSITE%20MAYO-JULIO%202023%20UIT\521094\060e-Charts%20and%20tables%20budget%202024-2025%20document%20TRA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onta\Documents\EMPRESA\Clients\ITU\OFFSITE%20MAYO-JULIO%202023%20UIT\521094\060e-Charts%20and%20tables%20budget%202024-2025%20document%20TRA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1860454749468387E-3"/>
          <c:y val="0.20986837002478942"/>
          <c:w val="0.83003662579235316"/>
          <c:h val="0.78968152422784266"/>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CA-3647-A6CE-4824145C7FB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ADCA-3647-A6CE-4824145C7FB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CA-3647-A6CE-4824145C7FBE}"/>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ADCA-3647-A6CE-4824145C7FBE}"/>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DCA-3647-A6CE-4824145C7FBE}"/>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ADCA-3647-A6CE-4824145C7FBE}"/>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DCA-3647-A6CE-4824145C7FBE}"/>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ADCA-3647-A6CE-4824145C7FBE}"/>
              </c:ext>
            </c:extLst>
          </c:dPt>
          <c:dLbls>
            <c:dLbl>
              <c:idx val="0"/>
              <c:layout>
                <c:manualLayout>
                  <c:x val="-0.11666669116360978"/>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CA-3647-A6CE-4824145C7FBE}"/>
                </c:ext>
              </c:extLst>
            </c:dLbl>
            <c:dLbl>
              <c:idx val="2"/>
              <c:layout>
                <c:manualLayout>
                  <c:x val="2.8000005879266328E-2"/>
                  <c:y val="4.65373920616492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CA-3647-A6CE-4824145C7FBE}"/>
                </c:ext>
              </c:extLst>
            </c:dLbl>
            <c:dLbl>
              <c:idx val="5"/>
              <c:layout>
                <c:manualLayout>
                  <c:x val="-4.4096571491566124E-3"/>
                  <c:y val="-0.1783060921248142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ADCA-3647-A6CE-4824145C7FBE}"/>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 3 - cost components'!$B$3:$B$10</c:f>
              <c:strCache>
                <c:ptCount val="8"/>
                <c:pt idx="0">
                  <c:v>GASTOS PREVISTOS</c:v>
                </c:pt>
                <c:pt idx="1">
                  <c:v>COSTES DE DOCUMENTACIÓN</c:v>
                </c:pt>
                <c:pt idx="2">
                  <c:v>COSTES REASIGNADOS DE LA SG</c:v>
                </c:pt>
                <c:pt idx="3">
                  <c:v>COSTES REASIGNADOS DE LA BR</c:v>
                </c:pt>
                <c:pt idx="4">
                  <c:v>COSTES REASIGNADOS DE LA TSB</c:v>
                </c:pt>
                <c:pt idx="5">
                  <c:v>COSTES REASIGNADOS DE LA BDT</c:v>
                </c:pt>
                <c:pt idx="6">
                  <c:v>SERVICIOS ADMINISTRATIVOS CENTRALIZADOS</c:v>
                </c:pt>
                <c:pt idx="7">
                  <c:v>SERVICIOS DE APOYO CENTRALIZADOS</c:v>
                </c:pt>
              </c:strCache>
            </c:strRef>
          </c:cat>
          <c:val>
            <c:numRef>
              <c:f>'Chart 3 - cost components'!$C$3:$C$10</c:f>
              <c:numCache>
                <c:formatCode>General</c:formatCode>
                <c:ptCount val="8"/>
                <c:pt idx="0">
                  <c:v>19437000</c:v>
                </c:pt>
                <c:pt idx="1">
                  <c:v>20062832.280000001</c:v>
                </c:pt>
                <c:pt idx="2">
                  <c:v>18906617.480000004</c:v>
                </c:pt>
                <c:pt idx="3">
                  <c:v>57214999.999999993</c:v>
                </c:pt>
                <c:pt idx="4">
                  <c:v>24917000</c:v>
                </c:pt>
                <c:pt idx="5">
                  <c:v>48900999.999999993</c:v>
                </c:pt>
                <c:pt idx="6">
                  <c:v>41340861.879999995</c:v>
                </c:pt>
                <c:pt idx="7">
                  <c:v>98286688.76000002</c:v>
                </c:pt>
              </c:numCache>
            </c:numRef>
          </c:val>
          <c:extLst>
            <c:ext xmlns:c16="http://schemas.microsoft.com/office/drawing/2014/chart" uri="{C3380CC4-5D6E-409C-BE32-E72D297353CC}">
              <c16:uniqueId val="{00000000-ADCA-3647-A6CE-4824145C7FBE}"/>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'Table 6 - Chart 6 Posts'!$A$28:$N$28</c:f>
              <c:numCache>
                <c:formatCode>General</c:formatCode>
                <c:ptCount val="14"/>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numCache>
            </c:numRef>
          </c:cat>
          <c:val>
            <c:numRef>
              <c:f>'Table 6 - Chart 6 Posts'!$A$29:$N$29</c:f>
              <c:numCache>
                <c:formatCode>General</c:formatCode>
                <c:ptCount val="14"/>
                <c:pt idx="0">
                  <c:v>817</c:v>
                </c:pt>
                <c:pt idx="1">
                  <c:v>809</c:v>
                </c:pt>
                <c:pt idx="2">
                  <c:v>812</c:v>
                </c:pt>
                <c:pt idx="3">
                  <c:v>811</c:v>
                </c:pt>
                <c:pt idx="4">
                  <c:v>766</c:v>
                </c:pt>
                <c:pt idx="5">
                  <c:v>766</c:v>
                </c:pt>
                <c:pt idx="6">
                  <c:v>748</c:v>
                </c:pt>
                <c:pt idx="7">
                  <c:v>748</c:v>
                </c:pt>
                <c:pt idx="8">
                  <c:v>773</c:v>
                </c:pt>
                <c:pt idx="9">
                  <c:v>773</c:v>
                </c:pt>
                <c:pt idx="10">
                  <c:v>773</c:v>
                </c:pt>
                <c:pt idx="11">
                  <c:v>773</c:v>
                </c:pt>
                <c:pt idx="12">
                  <c:v>761</c:v>
                </c:pt>
                <c:pt idx="13">
                  <c:v>761</c:v>
                </c:pt>
              </c:numCache>
            </c:numRef>
          </c:val>
          <c:extLst>
            <c:ext xmlns:c16="http://schemas.microsoft.com/office/drawing/2014/chart" uri="{C3380CC4-5D6E-409C-BE32-E72D297353CC}">
              <c16:uniqueId val="{00000000-CCE8-9E4F-A04E-B80B5E7C2CFB}"/>
            </c:ext>
          </c:extLst>
        </c:ser>
        <c:dLbls>
          <c:dLblPos val="outEnd"/>
          <c:showLegendKey val="0"/>
          <c:showVal val="1"/>
          <c:showCatName val="0"/>
          <c:showSerName val="0"/>
          <c:showPercent val="0"/>
          <c:showBubbleSize val="0"/>
        </c:dLbls>
        <c:gapWidth val="100"/>
        <c:overlap val="-24"/>
        <c:axId val="388741632"/>
        <c:axId val="399256960"/>
      </c:barChart>
      <c:catAx>
        <c:axId val="3887416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99256960"/>
        <c:crosses val="autoZero"/>
        <c:auto val="1"/>
        <c:lblAlgn val="ctr"/>
        <c:lblOffset val="100"/>
        <c:noMultiLvlLbl val="0"/>
      </c:catAx>
      <c:valAx>
        <c:axId val="3992569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88741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9DDF6-71B1-426A-8BE5-6E8FA93D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2159</Words>
  <Characters>12308</Characters>
  <Application>Microsoft Office Word</Application>
  <DocSecurity>0</DocSecurity>
  <Lines>102</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biennial budget of the ITU for 2024-2025</vt:lpstr>
      <vt:lpstr>Draft biennial budget of the ITU for 2024-2025</vt:lpstr>
    </vt:vector>
  </TitlesOfParts>
  <Manager>General Secretariat - Pool</Manager>
  <Company>International Telecommunication Union (ITU)</Company>
  <LinksUpToDate>false</LinksUpToDate>
  <CharactersWithSpaces>14439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biennial budget of the ITU for 2024-2025</dc:title>
  <dc:subject>Council 2023</dc:subject>
  <dc:creator>Pluchon, Beatrice</dc:creator>
  <cp:keywords>C2023, C23, Council-23</cp:keywords>
  <cp:lastModifiedBy>Xue, Kun</cp:lastModifiedBy>
  <cp:revision>3</cp:revision>
  <cp:lastPrinted>2023-06-20T12:26:00Z</cp:lastPrinted>
  <dcterms:created xsi:type="dcterms:W3CDTF">2023-07-07T09:26:00Z</dcterms:created>
  <dcterms:modified xsi:type="dcterms:W3CDTF">2023-07-07T09:27:00Z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TranslatedWith">
    <vt:lpwstr>Mercury</vt:lpwstr>
  </property>
  <property fmtid="{D5CDD505-2E9C-101B-9397-08002B2CF9AE}" pid="9" name="GeneratedBy">
    <vt:lpwstr>Patricia.Huertos2</vt:lpwstr>
  </property>
  <property fmtid="{D5CDD505-2E9C-101B-9397-08002B2CF9AE}" pid="10" name="GeneratedDate">
    <vt:lpwstr>06/06/2023 12:22:50</vt:lpwstr>
  </property>
  <property fmtid="{D5CDD505-2E9C-101B-9397-08002B2CF9AE}" pid="11" name="OriginalDocID">
    <vt:lpwstr>0db1fdf4-aa0e-4112-8a23-a0feaf2fceba</vt:lpwstr>
  </property>
</Properties>
</file>