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1" w:rightFromText="181" w:vertAnchor="page" w:horzAnchor="page" w:tblpX="1821" w:tblpY="2314"/>
        <w:tblW w:w="9214" w:type="dxa"/>
        <w:tblLayout w:type="fixed"/>
        <w:tblLook w:val="0000" w:firstRow="0" w:lastRow="0" w:firstColumn="0" w:lastColumn="0" w:noHBand="0" w:noVBand="0"/>
      </w:tblPr>
      <w:tblGrid>
        <w:gridCol w:w="3969"/>
        <w:gridCol w:w="5245"/>
      </w:tblGrid>
      <w:tr w:rsidR="00D72F49" w:rsidRPr="00DD2C08" w14:paraId="2592CC74" w14:textId="77777777" w:rsidTr="00D72F49">
        <w:trPr>
          <w:cantSplit/>
          <w:trHeight w:val="23"/>
        </w:trPr>
        <w:tc>
          <w:tcPr>
            <w:tcW w:w="3969" w:type="dxa"/>
            <w:vMerge w:val="restart"/>
            <w:tcMar>
              <w:left w:w="0" w:type="dxa"/>
            </w:tcMar>
          </w:tcPr>
          <w:p w14:paraId="27E56DEB" w14:textId="3604F5EF" w:rsidR="00D72F49" w:rsidRPr="00DD2C08" w:rsidRDefault="00D72F49" w:rsidP="001467DB">
            <w:pPr>
              <w:tabs>
                <w:tab w:val="left" w:pos="851"/>
              </w:tabs>
              <w:spacing w:before="0"/>
              <w:rPr>
                <w:b/>
              </w:rPr>
            </w:pPr>
            <w:r w:rsidRPr="00DD2C08">
              <w:rPr>
                <w:b/>
              </w:rPr>
              <w:t xml:space="preserve">Point de l'ordre du </w:t>
            </w:r>
            <w:proofErr w:type="gramStart"/>
            <w:r w:rsidRPr="00DD2C08">
              <w:rPr>
                <w:b/>
              </w:rPr>
              <w:t>jour:</w:t>
            </w:r>
            <w:proofErr w:type="gramEnd"/>
            <w:r w:rsidRPr="00DD2C08">
              <w:rPr>
                <w:b/>
              </w:rPr>
              <w:t xml:space="preserve"> </w:t>
            </w:r>
            <w:r w:rsidR="00936012" w:rsidRPr="00DD2C08">
              <w:rPr>
                <w:b/>
              </w:rPr>
              <w:t>ADM 1</w:t>
            </w:r>
          </w:p>
        </w:tc>
        <w:tc>
          <w:tcPr>
            <w:tcW w:w="5245" w:type="dxa"/>
          </w:tcPr>
          <w:p w14:paraId="27B6A98A" w14:textId="2DFBBF9E" w:rsidR="00D72F49" w:rsidRPr="00DD2C08" w:rsidRDefault="00D72F49" w:rsidP="001467DB">
            <w:pPr>
              <w:tabs>
                <w:tab w:val="left" w:pos="851"/>
              </w:tabs>
              <w:spacing w:before="0"/>
              <w:jc w:val="right"/>
              <w:rPr>
                <w:b/>
              </w:rPr>
            </w:pPr>
            <w:r w:rsidRPr="00DD2C08">
              <w:rPr>
                <w:b/>
              </w:rPr>
              <w:t>Document C23/</w:t>
            </w:r>
            <w:r w:rsidR="00CB51E4" w:rsidRPr="00DD2C08">
              <w:rPr>
                <w:b/>
              </w:rPr>
              <w:t>60</w:t>
            </w:r>
            <w:r w:rsidRPr="00DD2C08">
              <w:rPr>
                <w:b/>
              </w:rPr>
              <w:t>-F</w:t>
            </w:r>
          </w:p>
        </w:tc>
      </w:tr>
      <w:tr w:rsidR="00D72F49" w:rsidRPr="00DD2C08" w14:paraId="41096C77" w14:textId="77777777" w:rsidTr="00D72F49">
        <w:trPr>
          <w:cantSplit/>
        </w:trPr>
        <w:tc>
          <w:tcPr>
            <w:tcW w:w="3969" w:type="dxa"/>
            <w:vMerge/>
          </w:tcPr>
          <w:p w14:paraId="0BBA5643" w14:textId="77777777" w:rsidR="00D72F49" w:rsidRPr="00DD2C08" w:rsidRDefault="00D72F49" w:rsidP="001467DB">
            <w:pPr>
              <w:tabs>
                <w:tab w:val="left" w:pos="851"/>
              </w:tabs>
              <w:rPr>
                <w:b/>
              </w:rPr>
            </w:pPr>
          </w:p>
        </w:tc>
        <w:tc>
          <w:tcPr>
            <w:tcW w:w="5245" w:type="dxa"/>
          </w:tcPr>
          <w:p w14:paraId="068BECD5" w14:textId="039D928F" w:rsidR="00D72F49" w:rsidRPr="00DD2C08" w:rsidRDefault="00936012" w:rsidP="001467DB">
            <w:pPr>
              <w:tabs>
                <w:tab w:val="left" w:pos="851"/>
              </w:tabs>
              <w:spacing w:before="0"/>
              <w:jc w:val="right"/>
              <w:rPr>
                <w:b/>
              </w:rPr>
            </w:pPr>
            <w:r w:rsidRPr="00DD2C08">
              <w:rPr>
                <w:b/>
              </w:rPr>
              <w:t>23 mai</w:t>
            </w:r>
            <w:r w:rsidR="00D72F49" w:rsidRPr="00DD2C08">
              <w:rPr>
                <w:b/>
              </w:rPr>
              <w:t xml:space="preserve"> 2023</w:t>
            </w:r>
          </w:p>
        </w:tc>
      </w:tr>
      <w:tr w:rsidR="00D72F49" w:rsidRPr="00DD2C08" w14:paraId="17E5B988" w14:textId="77777777" w:rsidTr="00D72F49">
        <w:trPr>
          <w:cantSplit/>
          <w:trHeight w:val="23"/>
        </w:trPr>
        <w:tc>
          <w:tcPr>
            <w:tcW w:w="3969" w:type="dxa"/>
            <w:vMerge/>
          </w:tcPr>
          <w:p w14:paraId="2192D6D7" w14:textId="77777777" w:rsidR="00D72F49" w:rsidRPr="00DD2C08" w:rsidRDefault="00D72F49" w:rsidP="001467DB">
            <w:pPr>
              <w:tabs>
                <w:tab w:val="left" w:pos="851"/>
              </w:tabs>
              <w:rPr>
                <w:b/>
              </w:rPr>
            </w:pPr>
          </w:p>
        </w:tc>
        <w:tc>
          <w:tcPr>
            <w:tcW w:w="5245" w:type="dxa"/>
          </w:tcPr>
          <w:p w14:paraId="1948C622" w14:textId="77777777" w:rsidR="00D72F49" w:rsidRPr="00DD2C08" w:rsidRDefault="00D72F49" w:rsidP="001467DB">
            <w:pPr>
              <w:tabs>
                <w:tab w:val="left" w:pos="851"/>
              </w:tabs>
              <w:spacing w:before="0"/>
              <w:jc w:val="right"/>
              <w:rPr>
                <w:b/>
              </w:rPr>
            </w:pPr>
            <w:r w:rsidRPr="00DD2C08">
              <w:rPr>
                <w:b/>
              </w:rPr>
              <w:t>Original: anglais</w:t>
            </w:r>
          </w:p>
        </w:tc>
      </w:tr>
      <w:tr w:rsidR="00D72F49" w:rsidRPr="00DD2C08" w14:paraId="53623BEE" w14:textId="77777777" w:rsidTr="00D72F49">
        <w:trPr>
          <w:cantSplit/>
          <w:trHeight w:val="23"/>
        </w:trPr>
        <w:tc>
          <w:tcPr>
            <w:tcW w:w="3969" w:type="dxa"/>
          </w:tcPr>
          <w:p w14:paraId="630B4C34" w14:textId="77777777" w:rsidR="00D72F49" w:rsidRPr="00DD2C08" w:rsidRDefault="00D72F49" w:rsidP="001467DB">
            <w:pPr>
              <w:tabs>
                <w:tab w:val="left" w:pos="851"/>
              </w:tabs>
              <w:rPr>
                <w:b/>
              </w:rPr>
            </w:pPr>
          </w:p>
        </w:tc>
        <w:tc>
          <w:tcPr>
            <w:tcW w:w="5245" w:type="dxa"/>
          </w:tcPr>
          <w:p w14:paraId="437750C4" w14:textId="77777777" w:rsidR="00D72F49" w:rsidRPr="00DD2C08" w:rsidRDefault="00D72F49" w:rsidP="001467DB">
            <w:pPr>
              <w:tabs>
                <w:tab w:val="left" w:pos="851"/>
              </w:tabs>
              <w:spacing w:before="0"/>
              <w:jc w:val="right"/>
              <w:rPr>
                <w:b/>
              </w:rPr>
            </w:pPr>
          </w:p>
        </w:tc>
      </w:tr>
      <w:tr w:rsidR="00D72F49" w:rsidRPr="00DD2C08" w14:paraId="31FFA2A5" w14:textId="77777777" w:rsidTr="00D72F49">
        <w:trPr>
          <w:cantSplit/>
        </w:trPr>
        <w:tc>
          <w:tcPr>
            <w:tcW w:w="9214" w:type="dxa"/>
            <w:gridSpan w:val="2"/>
            <w:tcMar>
              <w:left w:w="0" w:type="dxa"/>
            </w:tcMar>
          </w:tcPr>
          <w:p w14:paraId="7AA1F34C" w14:textId="4F0C1E29" w:rsidR="00D72F49" w:rsidRPr="00DD2C08" w:rsidRDefault="00D72F49" w:rsidP="001467DB">
            <w:pPr>
              <w:pStyle w:val="Source"/>
              <w:jc w:val="left"/>
              <w:rPr>
                <w:sz w:val="34"/>
                <w:szCs w:val="34"/>
              </w:rPr>
            </w:pPr>
            <w:r w:rsidRPr="00DD2C08">
              <w:rPr>
                <w:rFonts w:cstheme="minorHAnsi"/>
                <w:color w:val="000000"/>
                <w:sz w:val="34"/>
                <w:szCs w:val="34"/>
              </w:rPr>
              <w:t xml:space="preserve">Rapport </w:t>
            </w:r>
            <w:r w:rsidR="00E95647" w:rsidRPr="00DD2C08">
              <w:rPr>
                <w:rFonts w:cstheme="minorHAnsi"/>
                <w:color w:val="000000"/>
                <w:sz w:val="34"/>
                <w:szCs w:val="34"/>
              </w:rPr>
              <w:t xml:space="preserve">de la </w:t>
            </w:r>
            <w:r w:rsidRPr="00DD2C08">
              <w:rPr>
                <w:rFonts w:cstheme="minorHAnsi"/>
                <w:color w:val="000000"/>
                <w:sz w:val="34"/>
                <w:szCs w:val="34"/>
              </w:rPr>
              <w:t>Secrétaire général</w:t>
            </w:r>
            <w:r w:rsidR="00E95647" w:rsidRPr="00DD2C08">
              <w:rPr>
                <w:rFonts w:cstheme="minorHAnsi"/>
                <w:color w:val="000000"/>
                <w:sz w:val="34"/>
                <w:szCs w:val="34"/>
              </w:rPr>
              <w:t>e</w:t>
            </w:r>
          </w:p>
        </w:tc>
      </w:tr>
      <w:tr w:rsidR="00D72F49" w:rsidRPr="00DD2C08" w14:paraId="65E7E3D8" w14:textId="77777777" w:rsidTr="00D72F49">
        <w:trPr>
          <w:cantSplit/>
        </w:trPr>
        <w:tc>
          <w:tcPr>
            <w:tcW w:w="9214" w:type="dxa"/>
            <w:gridSpan w:val="2"/>
            <w:tcMar>
              <w:left w:w="0" w:type="dxa"/>
            </w:tcMar>
          </w:tcPr>
          <w:p w14:paraId="370F6D7B" w14:textId="29D6281A" w:rsidR="00D72F49" w:rsidRPr="00DD2C08" w:rsidRDefault="007B707E" w:rsidP="001467DB">
            <w:pPr>
              <w:pStyle w:val="Subtitle"/>
              <w:framePr w:hSpace="0" w:wrap="auto" w:hAnchor="text" w:xAlign="left" w:yAlign="inline"/>
              <w:rPr>
                <w:lang w:val="fr-FR"/>
              </w:rPr>
            </w:pPr>
            <w:r w:rsidRPr="00DD2C08">
              <w:rPr>
                <w:rFonts w:cstheme="minorHAnsi"/>
                <w:lang w:val="fr-FR"/>
              </w:rPr>
              <w:t>PROJET DE BUDGET BIENNAL DE L'UNION INTERNATIONALE</w:t>
            </w:r>
            <w:r w:rsidR="001467DB" w:rsidRPr="00DD2C08">
              <w:rPr>
                <w:rFonts w:cstheme="minorHAnsi"/>
                <w:lang w:val="fr-FR"/>
              </w:rPr>
              <w:br/>
            </w:r>
            <w:r w:rsidRPr="00DD2C08">
              <w:rPr>
                <w:rFonts w:cstheme="minorHAnsi"/>
                <w:lang w:val="fr-FR"/>
              </w:rPr>
              <w:t>DES T</w:t>
            </w:r>
            <w:r w:rsidR="001011CC" w:rsidRPr="00DD2C08">
              <w:rPr>
                <w:rFonts w:cstheme="minorHAnsi"/>
                <w:lang w:val="fr-FR"/>
              </w:rPr>
              <w:t>É</w:t>
            </w:r>
            <w:r w:rsidRPr="00DD2C08">
              <w:rPr>
                <w:rFonts w:cstheme="minorHAnsi"/>
                <w:lang w:val="fr-FR"/>
              </w:rPr>
              <w:t>L</w:t>
            </w:r>
            <w:r w:rsidR="001011CC" w:rsidRPr="00DD2C08">
              <w:rPr>
                <w:rFonts w:cstheme="minorHAnsi"/>
                <w:lang w:val="fr-FR"/>
              </w:rPr>
              <w:t>É</w:t>
            </w:r>
            <w:r w:rsidRPr="00DD2C08">
              <w:rPr>
                <w:rFonts w:cstheme="minorHAnsi"/>
                <w:lang w:val="fr-FR"/>
              </w:rPr>
              <w:t>COMMUNICATIONS POUR 2024-2025</w:t>
            </w:r>
          </w:p>
        </w:tc>
      </w:tr>
      <w:tr w:rsidR="00D72F49" w:rsidRPr="00DD2C08" w14:paraId="2C09D976" w14:textId="77777777" w:rsidTr="00D72F49">
        <w:trPr>
          <w:cantSplit/>
        </w:trPr>
        <w:tc>
          <w:tcPr>
            <w:tcW w:w="9214" w:type="dxa"/>
            <w:gridSpan w:val="2"/>
            <w:tcBorders>
              <w:top w:val="single" w:sz="4" w:space="0" w:color="auto"/>
              <w:bottom w:val="single" w:sz="4" w:space="0" w:color="auto"/>
            </w:tcBorders>
            <w:tcMar>
              <w:left w:w="0" w:type="dxa"/>
            </w:tcMar>
          </w:tcPr>
          <w:p w14:paraId="0C1CBF59" w14:textId="07963A24" w:rsidR="00D72F49" w:rsidRPr="00DD2C08" w:rsidRDefault="00F37FE5" w:rsidP="001467DB">
            <w:pPr>
              <w:spacing w:before="160"/>
              <w:rPr>
                <w:b/>
                <w:bCs/>
                <w:sz w:val="26"/>
                <w:szCs w:val="26"/>
              </w:rPr>
            </w:pPr>
            <w:r w:rsidRPr="00DD2C08">
              <w:rPr>
                <w:b/>
                <w:bCs/>
                <w:sz w:val="26"/>
                <w:szCs w:val="26"/>
              </w:rPr>
              <w:t>Objet</w:t>
            </w:r>
          </w:p>
          <w:p w14:paraId="45E55FB2" w14:textId="24431D09" w:rsidR="00D72F49" w:rsidRPr="00DD2C08" w:rsidRDefault="007B707E" w:rsidP="001467DB">
            <w:r w:rsidRPr="00DD2C08">
              <w:t>On trouvera dans le présent document l</w:t>
            </w:r>
            <w:r w:rsidR="00B71416" w:rsidRPr="00DD2C08">
              <w:t>e projet de budget</w:t>
            </w:r>
            <w:r w:rsidRPr="00DD2C08">
              <w:t xml:space="preserve"> biennal de l'Union</w:t>
            </w:r>
            <w:r w:rsidR="00B71416" w:rsidRPr="00DD2C08">
              <w:t xml:space="preserve"> pour</w:t>
            </w:r>
            <w:r w:rsidR="001467DB" w:rsidRPr="00DD2C08">
              <w:t> </w:t>
            </w:r>
            <w:r w:rsidR="00B71416" w:rsidRPr="00DD2C08">
              <w:t>2024</w:t>
            </w:r>
            <w:r w:rsidR="001467DB" w:rsidRPr="00DD2C08">
              <w:noBreakHyphen/>
            </w:r>
            <w:r w:rsidR="00B71416" w:rsidRPr="00DD2C08">
              <w:t>2025</w:t>
            </w:r>
            <w:r w:rsidRPr="00DD2C08">
              <w:t xml:space="preserve">. Il est fondé sur </w:t>
            </w:r>
            <w:r w:rsidR="00B71416" w:rsidRPr="00DD2C08">
              <w:t xml:space="preserve">le Plan stratégique de l'Union pour cette période et </w:t>
            </w:r>
            <w:r w:rsidRPr="00DD2C08">
              <w:t>tient compte d</w:t>
            </w:r>
            <w:r w:rsidR="00B71416" w:rsidRPr="00DD2C08">
              <w:t xml:space="preserve">es incidences financières de la mise en œuvre des décisions et résolutions adoptées par la Conférence de plénipotentiaires (Bucarest, 2022) et par le Conseil </w:t>
            </w:r>
            <w:r w:rsidRPr="00DD2C08">
              <w:t xml:space="preserve">de l'UIT </w:t>
            </w:r>
            <w:r w:rsidR="00B71416" w:rsidRPr="00DD2C08">
              <w:t>à ses sessions précédentes.</w:t>
            </w:r>
          </w:p>
          <w:p w14:paraId="0B950982" w14:textId="77777777" w:rsidR="00D72F49" w:rsidRPr="00DD2C08" w:rsidRDefault="00D72F49" w:rsidP="001467DB">
            <w:pPr>
              <w:spacing w:before="160"/>
              <w:rPr>
                <w:b/>
                <w:bCs/>
                <w:sz w:val="26"/>
                <w:szCs w:val="26"/>
              </w:rPr>
            </w:pPr>
            <w:r w:rsidRPr="00DD2C08">
              <w:rPr>
                <w:b/>
                <w:bCs/>
                <w:sz w:val="26"/>
                <w:szCs w:val="26"/>
              </w:rPr>
              <w:t>Suite à donner par le Conseil</w:t>
            </w:r>
          </w:p>
          <w:p w14:paraId="6F9A6B88" w14:textId="558E626B" w:rsidR="00D72F49" w:rsidRPr="00DD2C08" w:rsidRDefault="00B71416" w:rsidP="001467DB">
            <w:r w:rsidRPr="00DD2C08">
              <w:t>Le Conseil est prié d'</w:t>
            </w:r>
            <w:r w:rsidRPr="00DD2C08">
              <w:rPr>
                <w:b/>
                <w:bCs/>
              </w:rPr>
              <w:t>examiner</w:t>
            </w:r>
            <w:r w:rsidRPr="00DD2C08">
              <w:t xml:space="preserve"> le projet de budget </w:t>
            </w:r>
            <w:r w:rsidR="00DD20C3" w:rsidRPr="00DD2C08">
              <w:t xml:space="preserve">biennal </w:t>
            </w:r>
            <w:r w:rsidRPr="00DD2C08">
              <w:t>de l'Union pour 2024-2025 et d'</w:t>
            </w:r>
            <w:r w:rsidRPr="00DD2C08">
              <w:rPr>
                <w:b/>
                <w:bCs/>
              </w:rPr>
              <w:t>approuver</w:t>
            </w:r>
            <w:r w:rsidRPr="00DD2C08">
              <w:t xml:space="preserve"> le projet de Résolution figurant </w:t>
            </w:r>
            <w:r w:rsidR="00DD20C3" w:rsidRPr="00DD2C08">
              <w:t>en annexe</w:t>
            </w:r>
            <w:r w:rsidRPr="00DD2C08">
              <w:t>.</w:t>
            </w:r>
          </w:p>
          <w:p w14:paraId="121C402A" w14:textId="4FDE1FF1" w:rsidR="00D72F49" w:rsidRPr="00DD2C08" w:rsidRDefault="00D72F49" w:rsidP="001467DB">
            <w:pPr>
              <w:spacing w:before="160"/>
              <w:rPr>
                <w:b/>
                <w:bCs/>
                <w:sz w:val="26"/>
                <w:szCs w:val="26"/>
              </w:rPr>
            </w:pPr>
            <w:r w:rsidRPr="00DD2C08">
              <w:rPr>
                <w:b/>
                <w:bCs/>
                <w:sz w:val="26"/>
                <w:szCs w:val="26"/>
              </w:rPr>
              <w:t xml:space="preserve">Lien(s) pertinent(s) avec le </w:t>
            </w:r>
            <w:r w:rsidR="00F37FE5" w:rsidRPr="00DD2C08">
              <w:rPr>
                <w:b/>
                <w:bCs/>
                <w:sz w:val="26"/>
                <w:szCs w:val="26"/>
              </w:rPr>
              <w:t>p</w:t>
            </w:r>
            <w:r w:rsidRPr="00DD2C08">
              <w:rPr>
                <w:b/>
                <w:bCs/>
                <w:sz w:val="26"/>
                <w:szCs w:val="26"/>
              </w:rPr>
              <w:t>lan stratégique</w:t>
            </w:r>
          </w:p>
          <w:p w14:paraId="60D63331" w14:textId="5FF6EDDE" w:rsidR="00D72F49" w:rsidRPr="00DD2C08" w:rsidRDefault="00DD20C3" w:rsidP="001467DB">
            <w:r w:rsidRPr="00DD2C08">
              <w:t xml:space="preserve">Le projet de budget biennal de l'Union vise à financer les deux buts et les cinq priorités thématiques qui figurent dans le </w:t>
            </w:r>
            <w:r w:rsidR="007166E6" w:rsidRPr="00DD2C08">
              <w:t>p</w:t>
            </w:r>
            <w:r w:rsidRPr="00DD2C08">
              <w:t>lan stratégique de l'Union</w:t>
            </w:r>
            <w:r w:rsidR="00B71416" w:rsidRPr="00DD2C08">
              <w:t>.</w:t>
            </w:r>
          </w:p>
          <w:p w14:paraId="11FAADC9" w14:textId="31B2BDAF" w:rsidR="00E95647" w:rsidRPr="00DD2C08" w:rsidRDefault="00D72F49" w:rsidP="001467DB">
            <w:pPr>
              <w:spacing w:before="160"/>
              <w:rPr>
                <w:b/>
                <w:bCs/>
                <w:sz w:val="26"/>
                <w:szCs w:val="26"/>
              </w:rPr>
            </w:pPr>
            <w:r w:rsidRPr="00DD2C08">
              <w:rPr>
                <w:b/>
                <w:bCs/>
                <w:sz w:val="26"/>
                <w:szCs w:val="26"/>
              </w:rPr>
              <w:t>Incidences financières</w:t>
            </w:r>
          </w:p>
          <w:p w14:paraId="2099F1ED" w14:textId="4BCEAC59" w:rsidR="00DD20C3" w:rsidRPr="00DD2C08" w:rsidRDefault="00DD20C3" w:rsidP="001467DB">
            <w:pPr>
              <w:spacing w:before="160"/>
            </w:pPr>
            <w:r w:rsidRPr="00DD2C08">
              <w:t xml:space="preserve">Le projet de budget biennal de l'Union pour </w:t>
            </w:r>
            <w:r w:rsidR="00B71416" w:rsidRPr="00DD2C08">
              <w:t xml:space="preserve">2024-2025 </w:t>
            </w:r>
            <w:r w:rsidRPr="00DD2C08">
              <w:t xml:space="preserve">est équilibré, le montant des produits et des charges étant identique, et demeure dans les limites établies par le </w:t>
            </w:r>
            <w:r w:rsidR="007166E6" w:rsidRPr="00DD2C08">
              <w:t>p</w:t>
            </w:r>
            <w:r w:rsidRPr="00DD2C08">
              <w:t>lan financier pour</w:t>
            </w:r>
            <w:r w:rsidR="001467DB" w:rsidRPr="00DD2C08">
              <w:t> </w:t>
            </w:r>
            <w:r w:rsidRPr="00DD2C08">
              <w:t>2024-2025. Dans le cadre de la mise en œuvre du budget, la direction de l'UIT appliquera des mesures d'optimisation des ressources et d'efficacité, afin de financer de nouvelles demandes non prévues dans le plan financier pour 2024-2027.</w:t>
            </w:r>
          </w:p>
          <w:p w14:paraId="2E44E753" w14:textId="77777777" w:rsidR="00D72F49" w:rsidRPr="00DD2C08" w:rsidRDefault="00D72F49" w:rsidP="001467DB">
            <w:pPr>
              <w:spacing w:before="160"/>
              <w:rPr>
                <w:caps/>
                <w:sz w:val="22"/>
              </w:rPr>
            </w:pPr>
            <w:r w:rsidRPr="00DD2C08">
              <w:rPr>
                <w:sz w:val="22"/>
              </w:rPr>
              <w:t>__________________</w:t>
            </w:r>
          </w:p>
          <w:p w14:paraId="246B160C" w14:textId="77777777" w:rsidR="00D72F49" w:rsidRPr="00DD2C08" w:rsidRDefault="00D72F49" w:rsidP="001467DB">
            <w:pPr>
              <w:spacing w:before="160"/>
              <w:rPr>
                <w:b/>
                <w:bCs/>
                <w:sz w:val="26"/>
                <w:szCs w:val="26"/>
              </w:rPr>
            </w:pPr>
            <w:r w:rsidRPr="00DD2C08">
              <w:rPr>
                <w:b/>
                <w:bCs/>
                <w:sz w:val="26"/>
                <w:szCs w:val="26"/>
              </w:rPr>
              <w:t>Références</w:t>
            </w:r>
          </w:p>
          <w:p w14:paraId="5887CEA6" w14:textId="0FB98B6B" w:rsidR="00B71416" w:rsidRPr="00DD2C08" w:rsidRDefault="002C5751" w:rsidP="001467DB">
            <w:pPr>
              <w:rPr>
                <w:i/>
                <w:iCs/>
              </w:rPr>
            </w:pPr>
            <w:hyperlink r:id="rId6" w:history="1">
              <w:r w:rsidR="00B71416" w:rsidRPr="00DD2C08">
                <w:rPr>
                  <w:rStyle w:val="Hyperlink"/>
                  <w:i/>
                  <w:iCs/>
                </w:rPr>
                <w:t>Article 28 de la Constitution</w:t>
              </w:r>
            </w:hyperlink>
            <w:r w:rsidR="00B71416" w:rsidRPr="00DD2C08">
              <w:t xml:space="preserve">, </w:t>
            </w:r>
            <w:hyperlink r:id="rId7" w:history="1">
              <w:r w:rsidR="00B71416" w:rsidRPr="00DD2C08">
                <w:rPr>
                  <w:rStyle w:val="Hyperlink"/>
                  <w:i/>
                  <w:iCs/>
                </w:rPr>
                <w:t>Article 4 de la Convention, numéro 73</w:t>
              </w:r>
            </w:hyperlink>
            <w:r w:rsidR="00B71416" w:rsidRPr="00DD2C08">
              <w:t xml:space="preserve">, </w:t>
            </w:r>
            <w:hyperlink r:id="rId8" w:history="1">
              <w:r w:rsidR="00B71416" w:rsidRPr="00DD2C08">
                <w:rPr>
                  <w:rStyle w:val="Hyperlink"/>
                  <w:i/>
                  <w:iCs/>
                </w:rPr>
                <w:t>Article 33 de la Convention</w:t>
              </w:r>
            </w:hyperlink>
          </w:p>
          <w:p w14:paraId="6D0F995C" w14:textId="4700580D" w:rsidR="00B71416" w:rsidRPr="00DD2C08" w:rsidRDefault="002C5751" w:rsidP="001467DB">
            <w:pPr>
              <w:spacing w:before="0"/>
              <w:rPr>
                <w:i/>
                <w:iCs/>
              </w:rPr>
            </w:pPr>
            <w:hyperlink r:id="rId9" w:history="1">
              <w:r w:rsidR="00B71416" w:rsidRPr="00DD2C08">
                <w:rPr>
                  <w:rStyle w:val="Hyperlink"/>
                  <w:i/>
                  <w:iCs/>
                </w:rPr>
                <w:t>Décision 5</w:t>
              </w:r>
            </w:hyperlink>
            <w:r w:rsidR="00B71416" w:rsidRPr="00DD2C08">
              <w:t xml:space="preserve"> </w:t>
            </w:r>
            <w:r w:rsidR="00B71416" w:rsidRPr="00DD2C08">
              <w:rPr>
                <w:i/>
                <w:iCs/>
              </w:rPr>
              <w:t>(Rév. Bucarest, 2022) de la Conférence de plénipotentiaires</w:t>
            </w:r>
          </w:p>
          <w:p w14:paraId="0A7B3D36" w14:textId="733ECA7A" w:rsidR="00B71416" w:rsidRPr="00DD2C08" w:rsidRDefault="002C5751" w:rsidP="001467DB">
            <w:pPr>
              <w:spacing w:before="0"/>
              <w:rPr>
                <w:i/>
                <w:iCs/>
                <w:u w:val="single"/>
              </w:rPr>
            </w:pPr>
            <w:hyperlink r:id="rId10" w:history="1">
              <w:r w:rsidR="00B71416" w:rsidRPr="00DD2C08">
                <w:rPr>
                  <w:rStyle w:val="Hyperlink"/>
                  <w:i/>
                  <w:iCs/>
                </w:rPr>
                <w:t>Résolution 71</w:t>
              </w:r>
            </w:hyperlink>
            <w:r w:rsidR="00B71416" w:rsidRPr="00DD2C08">
              <w:rPr>
                <w:i/>
                <w:iCs/>
              </w:rPr>
              <w:t xml:space="preserve"> (Rév. Bucarest, 2022) de la Conférence de plénipotentiaires</w:t>
            </w:r>
          </w:p>
          <w:p w14:paraId="3B399B5C" w14:textId="4AEAAFC4" w:rsidR="00D72F49" w:rsidRPr="00DD2C08" w:rsidRDefault="002C5751" w:rsidP="001467DB">
            <w:pPr>
              <w:spacing w:before="0"/>
            </w:pPr>
            <w:hyperlink r:id="rId11" w:history="1">
              <w:r w:rsidR="00B71416" w:rsidRPr="00DD2C08">
                <w:rPr>
                  <w:rStyle w:val="Hyperlink"/>
                  <w:i/>
                  <w:iCs/>
                </w:rPr>
                <w:t>Résolution 151</w:t>
              </w:r>
            </w:hyperlink>
            <w:r w:rsidR="00B71416" w:rsidRPr="00DD2C08">
              <w:rPr>
                <w:i/>
                <w:iCs/>
              </w:rPr>
              <w:t xml:space="preserve"> (Rév. Bucarest, 2022) de la Conférence de plénipotentiaires</w:t>
            </w:r>
          </w:p>
        </w:tc>
      </w:tr>
    </w:tbl>
    <w:p w14:paraId="3B7150AC" w14:textId="77777777" w:rsidR="00A51849" w:rsidRPr="00DD2C08" w:rsidRDefault="00A51849" w:rsidP="001467DB">
      <w:pPr>
        <w:tabs>
          <w:tab w:val="clear" w:pos="567"/>
          <w:tab w:val="clear" w:pos="1134"/>
          <w:tab w:val="clear" w:pos="1701"/>
          <w:tab w:val="clear" w:pos="2268"/>
          <w:tab w:val="clear" w:pos="2835"/>
        </w:tabs>
        <w:overflowPunct/>
        <w:autoSpaceDE/>
        <w:autoSpaceDN/>
        <w:adjustRightInd/>
        <w:spacing w:before="0"/>
        <w:textAlignment w:val="auto"/>
      </w:pPr>
      <w:r w:rsidRPr="00DD2C08">
        <w:br w:type="page"/>
      </w:r>
    </w:p>
    <w:p w14:paraId="05309BCC" w14:textId="2438FDAF" w:rsidR="00897553" w:rsidRPr="00DD2C08" w:rsidRDefault="00312D29" w:rsidP="001467DB">
      <w:pPr>
        <w:pStyle w:val="Heading1"/>
      </w:pPr>
      <w:r w:rsidRPr="00DD2C08">
        <w:lastRenderedPageBreak/>
        <w:t>1</w:t>
      </w:r>
      <w:r w:rsidRPr="00DD2C08">
        <w:tab/>
      </w:r>
      <w:r w:rsidR="00DC391B" w:rsidRPr="00DD2C08">
        <w:t>Projet de budget biennal de l'Union pour</w:t>
      </w:r>
      <w:r w:rsidRPr="00DD2C08">
        <w:t xml:space="preserve"> 2024-2025</w:t>
      </w:r>
    </w:p>
    <w:p w14:paraId="1D9E4B7F" w14:textId="20CC5395" w:rsidR="00312D29" w:rsidRPr="00DD2C08" w:rsidRDefault="00312D29" w:rsidP="001467DB">
      <w:r w:rsidRPr="00DD2C08">
        <w:t>1.1</w:t>
      </w:r>
      <w:r w:rsidRPr="00DD2C08">
        <w:tab/>
      </w:r>
      <w:r w:rsidR="00DC391B" w:rsidRPr="00DD2C08">
        <w:t xml:space="preserve">Le projet de budget biennal de l'Union pour 2024-2025 est équilibré et </w:t>
      </w:r>
      <w:r w:rsidR="00C52CD8" w:rsidRPr="00DD2C08">
        <w:t xml:space="preserve">s'élève </w:t>
      </w:r>
      <w:r w:rsidR="00DC391B" w:rsidRPr="00DD2C08">
        <w:t>à</w:t>
      </w:r>
      <w:r w:rsidR="009A052C" w:rsidRPr="00DD2C08">
        <w:t> </w:t>
      </w:r>
      <w:r w:rsidRPr="00DD2C08">
        <w:t>329</w:t>
      </w:r>
      <w:r w:rsidR="009A052C" w:rsidRPr="00DD2C08">
        <w:t> </w:t>
      </w:r>
      <w:r w:rsidRPr="00DD2C08">
        <w:t>067</w:t>
      </w:r>
      <w:r w:rsidR="00DC391B" w:rsidRPr="00DD2C08">
        <w:t xml:space="preserve"> 000 </w:t>
      </w:r>
      <w:r w:rsidR="005D3B7A" w:rsidRPr="00DD2C08">
        <w:t>francs suisses (</w:t>
      </w:r>
      <w:r w:rsidR="00DC391B" w:rsidRPr="00DD2C08">
        <w:t>CHF</w:t>
      </w:r>
      <w:r w:rsidR="005D3B7A" w:rsidRPr="00DD2C08">
        <w:t>)</w:t>
      </w:r>
      <w:r w:rsidR="00DC391B" w:rsidRPr="00DD2C08">
        <w:t xml:space="preserve">, soit </w:t>
      </w:r>
      <w:r w:rsidRPr="00DD2C08">
        <w:t xml:space="preserve">164 933 </w:t>
      </w:r>
      <w:r w:rsidR="00DC391B" w:rsidRPr="00DD2C08">
        <w:t xml:space="preserve">000 CHF pour </w:t>
      </w:r>
      <w:r w:rsidRPr="00DD2C08">
        <w:t xml:space="preserve">2024 </w:t>
      </w:r>
      <w:r w:rsidR="00DC391B" w:rsidRPr="00DD2C08">
        <w:t xml:space="preserve">et </w:t>
      </w:r>
      <w:r w:rsidRPr="00DD2C08">
        <w:t xml:space="preserve">164 134 </w:t>
      </w:r>
      <w:r w:rsidR="00DC391B" w:rsidRPr="00DD2C08">
        <w:t>000 CHF pour</w:t>
      </w:r>
      <w:r w:rsidR="009A052C" w:rsidRPr="00DD2C08">
        <w:t> </w:t>
      </w:r>
      <w:r w:rsidRPr="00DD2C08">
        <w:t>2025.</w:t>
      </w:r>
    </w:p>
    <w:p w14:paraId="2663DB78" w14:textId="33D24DA1" w:rsidR="00312D29" w:rsidRPr="00DD2C08" w:rsidRDefault="00312D29" w:rsidP="001467DB">
      <w:pPr>
        <w:pStyle w:val="Heading1"/>
      </w:pPr>
      <w:r w:rsidRPr="00DD2C08">
        <w:t>2</w:t>
      </w:r>
      <w:r w:rsidRPr="00DD2C08">
        <w:tab/>
      </w:r>
      <w:r w:rsidR="00DC391B" w:rsidRPr="00DD2C08">
        <w:t>Budgétisation axée sur les résultats</w:t>
      </w:r>
    </w:p>
    <w:p w14:paraId="1961C987" w14:textId="6A01370C" w:rsidR="00312D29" w:rsidRPr="00DD2C08" w:rsidRDefault="00312D29" w:rsidP="001467DB">
      <w:r w:rsidRPr="00DD2C08">
        <w:t>2.1</w:t>
      </w:r>
      <w:r w:rsidRPr="00DD2C08">
        <w:tab/>
        <w:t>Le projet de budget</w:t>
      </w:r>
      <w:r w:rsidR="00DC391B" w:rsidRPr="00DD2C08">
        <w:t xml:space="preserve"> biennal</w:t>
      </w:r>
      <w:r w:rsidRPr="00DD2C08">
        <w:t xml:space="preserve"> </w:t>
      </w:r>
      <w:r w:rsidR="00DC391B" w:rsidRPr="00DD2C08">
        <w:t xml:space="preserve">de l'Union </w:t>
      </w:r>
      <w:r w:rsidRPr="00DD2C08">
        <w:t xml:space="preserve">pour 2024-2025 comprend les crédits alloués pour la mise en œuvre </w:t>
      </w:r>
      <w:r w:rsidR="00DC391B" w:rsidRPr="00DD2C08">
        <w:t xml:space="preserve">des deux </w:t>
      </w:r>
      <w:r w:rsidRPr="00DD2C08">
        <w:t xml:space="preserve">buts stratégiques, </w:t>
      </w:r>
      <w:r w:rsidR="00DC391B" w:rsidRPr="00DD2C08">
        <w:t xml:space="preserve">cinq priorités thématiques et 43 </w:t>
      </w:r>
      <w:r w:rsidRPr="00DD2C08">
        <w:t>produits</w:t>
      </w:r>
      <w:r w:rsidR="00DC391B" w:rsidRPr="00DD2C08">
        <w:t xml:space="preserve"> du plan stratégique</w:t>
      </w:r>
      <w:r w:rsidRPr="00DD2C08">
        <w:t xml:space="preserve">. Il prévoit en outre l'affectation d'un niveau approprié de ressources </w:t>
      </w:r>
      <w:r w:rsidR="00C52CD8" w:rsidRPr="00DD2C08">
        <w:t>destinées aux</w:t>
      </w:r>
      <w:r w:rsidRPr="00DD2C08">
        <w:t xml:space="preserve"> services administratifs et </w:t>
      </w:r>
      <w:r w:rsidR="00C52CD8" w:rsidRPr="00DD2C08">
        <w:t xml:space="preserve">aux </w:t>
      </w:r>
      <w:r w:rsidRPr="00DD2C08">
        <w:t>services d'appui, au sein des Bureaux et au sein du Secrétariat général.</w:t>
      </w:r>
    </w:p>
    <w:p w14:paraId="521FD7AA" w14:textId="4BA9C098" w:rsidR="00316222" w:rsidRPr="00DD2C08" w:rsidRDefault="00316222" w:rsidP="001467DB">
      <w:r w:rsidRPr="00DD2C08">
        <w:t>2.</w:t>
      </w:r>
      <w:r w:rsidR="00C52CD8" w:rsidRPr="00DD2C08">
        <w:t>2</w:t>
      </w:r>
      <w:r w:rsidRPr="00DD2C08">
        <w:tab/>
        <w:t>Le Tableau 1</w:t>
      </w:r>
      <w:r w:rsidR="00DC391B" w:rsidRPr="00DD2C08">
        <w:t xml:space="preserve"> et le Graphique 1</w:t>
      </w:r>
      <w:r w:rsidRPr="00DD2C08">
        <w:t xml:space="preserve"> ci-dessous </w:t>
      </w:r>
      <w:r w:rsidR="00DC391B" w:rsidRPr="00DD2C08">
        <w:t>montrent la répartition du budget par priorité thématique pour 2024-2025. Le Tableau 1 rend compte, de manière ventilée, de l'utilisation réelle des ressources par priorité thématique,</w:t>
      </w:r>
      <w:r w:rsidRPr="00DD2C08">
        <w:t xml:space="preserve"> après répartition de tous les services administratifs et centralisés, ainsi que de tous les services d'appui des Bureaux entre les </w:t>
      </w:r>
      <w:r w:rsidR="00DC391B" w:rsidRPr="00DD2C08">
        <w:t>différentes priorités thématiques et les différents produits</w:t>
      </w:r>
      <w:r w:rsidRPr="00DD2C08">
        <w:t>.</w:t>
      </w:r>
    </w:p>
    <w:p w14:paraId="41293D7F" w14:textId="0D1A9B0F" w:rsidR="00316222" w:rsidRPr="00DD2C08" w:rsidRDefault="00316222" w:rsidP="004950EE">
      <w:pPr>
        <w:pStyle w:val="Tabletitle"/>
        <w:spacing w:before="240"/>
      </w:pPr>
      <w:r w:rsidRPr="00DD2C08">
        <w:t>Tableau 1</w:t>
      </w:r>
    </w:p>
    <w:p w14:paraId="345EB6A8" w14:textId="73CC9E30" w:rsidR="009A052C" w:rsidRPr="00DD2C08" w:rsidRDefault="009A052C" w:rsidP="009A052C">
      <w:pPr>
        <w:pStyle w:val="Tabletext"/>
        <w:jc w:val="center"/>
      </w:pPr>
      <w:r w:rsidRPr="00DD2C08">
        <w:rPr>
          <w:noProof/>
        </w:rPr>
        <w:drawing>
          <wp:inline distT="0" distB="0" distL="0" distR="0" wp14:anchorId="167DE5CA" wp14:editId="2D084612">
            <wp:extent cx="5760085" cy="1764030"/>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085" cy="1764030"/>
                    </a:xfrm>
                    <a:prstGeom prst="rect">
                      <a:avLst/>
                    </a:prstGeom>
                    <a:noFill/>
                    <a:ln>
                      <a:noFill/>
                    </a:ln>
                  </pic:spPr>
                </pic:pic>
              </a:graphicData>
            </a:graphic>
          </wp:inline>
        </w:drawing>
      </w:r>
    </w:p>
    <w:p w14:paraId="0A57E4AA" w14:textId="048798FF" w:rsidR="00316222" w:rsidRPr="00DD2C08" w:rsidRDefault="00F34BFB" w:rsidP="001467DB">
      <w:pPr>
        <w:pStyle w:val="Figuretitle"/>
      </w:pPr>
      <w:r w:rsidRPr="00DD2C08">
        <w:t>Graphique</w:t>
      </w:r>
      <w:r w:rsidR="00316222" w:rsidRPr="00DD2C08">
        <w:t xml:space="preserve"> 1</w:t>
      </w:r>
    </w:p>
    <w:p w14:paraId="48435A07" w14:textId="7EBD55F4" w:rsidR="00135B9F" w:rsidRPr="00DD2C08" w:rsidRDefault="00177A53" w:rsidP="001467DB">
      <w:r w:rsidRPr="00DD2C08">
        <w:rPr>
          <w:noProof/>
        </w:rPr>
        <w:drawing>
          <wp:inline distT="0" distB="0" distL="0" distR="0" wp14:anchorId="2B6CD9B2" wp14:editId="17838CCD">
            <wp:extent cx="5755640" cy="2589084"/>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78032" cy="2599157"/>
                    </a:xfrm>
                    <a:prstGeom prst="rect">
                      <a:avLst/>
                    </a:prstGeom>
                    <a:noFill/>
                  </pic:spPr>
                </pic:pic>
              </a:graphicData>
            </a:graphic>
          </wp:inline>
        </w:drawing>
      </w:r>
    </w:p>
    <w:p w14:paraId="0B82FDB5" w14:textId="66113DF5" w:rsidR="00316222" w:rsidRPr="00DD2C08" w:rsidRDefault="00316222" w:rsidP="001467DB">
      <w:r w:rsidRPr="00DD2C08">
        <w:lastRenderedPageBreak/>
        <w:t>2.3</w:t>
      </w:r>
      <w:r w:rsidRPr="00DD2C08">
        <w:tab/>
      </w:r>
      <w:r w:rsidR="00AD1AB3" w:rsidRPr="00DD2C08">
        <w:t>Le projet de budget biennal de l'Union pour 2024-2025 comprend les crédits alloués pour la mise en œuvre des 43 produits, répartis comme suit</w:t>
      </w:r>
      <w:r w:rsidRPr="00DD2C08">
        <w:t>:</w:t>
      </w:r>
    </w:p>
    <w:p w14:paraId="3B4BC84B" w14:textId="797699DF" w:rsidR="00316222" w:rsidRPr="00DD2C08" w:rsidRDefault="00904645" w:rsidP="001467DB">
      <w:pPr>
        <w:pStyle w:val="enumlev1"/>
      </w:pPr>
      <w:r w:rsidRPr="00DD2C08">
        <w:t>–</w:t>
      </w:r>
      <w:r w:rsidR="00316222" w:rsidRPr="00DD2C08">
        <w:tab/>
        <w:t xml:space="preserve">9 </w:t>
      </w:r>
      <w:r w:rsidR="00AD1AB3" w:rsidRPr="00DD2C08">
        <w:t>produits intersectoriels</w:t>
      </w:r>
      <w:r w:rsidR="00262D7D" w:rsidRPr="00DD2C08">
        <w:t>;</w:t>
      </w:r>
    </w:p>
    <w:p w14:paraId="654FC048" w14:textId="7BE0C871" w:rsidR="00316222" w:rsidRPr="00DD2C08" w:rsidRDefault="00904645" w:rsidP="001467DB">
      <w:pPr>
        <w:pStyle w:val="enumlev1"/>
      </w:pPr>
      <w:r w:rsidRPr="00DD2C08">
        <w:t>–</w:t>
      </w:r>
      <w:r w:rsidR="00316222" w:rsidRPr="00DD2C08">
        <w:tab/>
        <w:t xml:space="preserve">12 </w:t>
      </w:r>
      <w:r w:rsidR="00AD1AB3" w:rsidRPr="00DD2C08">
        <w:t>produits de l'</w:t>
      </w:r>
      <w:r w:rsidR="00683122" w:rsidRPr="00DD2C08">
        <w:t>UIT</w:t>
      </w:r>
      <w:r w:rsidR="00316222" w:rsidRPr="00DD2C08">
        <w:t>-R</w:t>
      </w:r>
      <w:r w:rsidR="00262D7D" w:rsidRPr="00DD2C08">
        <w:t>;</w:t>
      </w:r>
    </w:p>
    <w:p w14:paraId="3F907E98" w14:textId="5EA1AFC4" w:rsidR="00316222" w:rsidRPr="00DD2C08" w:rsidRDefault="00904645" w:rsidP="001467DB">
      <w:pPr>
        <w:pStyle w:val="enumlev1"/>
      </w:pPr>
      <w:r w:rsidRPr="00DD2C08">
        <w:t>–</w:t>
      </w:r>
      <w:r w:rsidR="00316222" w:rsidRPr="00DD2C08">
        <w:tab/>
        <w:t xml:space="preserve">9 </w:t>
      </w:r>
      <w:r w:rsidR="00AD1AB3" w:rsidRPr="00DD2C08">
        <w:t>produits de l'</w:t>
      </w:r>
      <w:r w:rsidR="00683122" w:rsidRPr="00DD2C08">
        <w:t>UIT</w:t>
      </w:r>
      <w:r w:rsidR="00316222" w:rsidRPr="00DD2C08">
        <w:t>-T</w:t>
      </w:r>
      <w:r w:rsidR="00262D7D" w:rsidRPr="00DD2C08">
        <w:t>;</w:t>
      </w:r>
    </w:p>
    <w:p w14:paraId="25557166" w14:textId="6769BDC2" w:rsidR="00316222" w:rsidRPr="00DD2C08" w:rsidRDefault="00904645" w:rsidP="001467DB">
      <w:pPr>
        <w:pStyle w:val="enumlev1"/>
      </w:pPr>
      <w:r w:rsidRPr="00DD2C08">
        <w:t>–</w:t>
      </w:r>
      <w:r w:rsidR="00316222" w:rsidRPr="00DD2C08">
        <w:tab/>
        <w:t xml:space="preserve">13 </w:t>
      </w:r>
      <w:r w:rsidR="00AD1AB3" w:rsidRPr="00DD2C08">
        <w:t>produits de l'</w:t>
      </w:r>
      <w:r w:rsidR="00683122" w:rsidRPr="00DD2C08">
        <w:t>UIT</w:t>
      </w:r>
      <w:r w:rsidR="00316222" w:rsidRPr="00DD2C08">
        <w:t>-D</w:t>
      </w:r>
      <w:r w:rsidR="00262D7D" w:rsidRPr="00DD2C08">
        <w:t>.</w:t>
      </w:r>
    </w:p>
    <w:p w14:paraId="59EC2A46" w14:textId="2B905152" w:rsidR="00316222" w:rsidRPr="00DD2C08" w:rsidRDefault="00316222" w:rsidP="001467DB">
      <w:r w:rsidRPr="00DD2C08">
        <w:t>2.4</w:t>
      </w:r>
      <w:r w:rsidRPr="00DD2C08">
        <w:tab/>
      </w:r>
      <w:r w:rsidR="00AD1AB3" w:rsidRPr="00DD2C08">
        <w:t>L'imputation intégrale des coûts à chaque élément du budget axé sur les résultats, c'est-à-dire aux priorités thématiques et aux produits, repose sur la méthode d'imputation des coûts décrite dans la Décision 535 du Conseil (2005, modifiée pour la dernière fois en</w:t>
      </w:r>
      <w:r w:rsidR="00177A53" w:rsidRPr="00DD2C08">
        <w:t> </w:t>
      </w:r>
      <w:r w:rsidR="00AD1AB3" w:rsidRPr="00DD2C08">
        <w:t>2014</w:t>
      </w:r>
      <w:r w:rsidRPr="00DD2C08">
        <w:t>).</w:t>
      </w:r>
    </w:p>
    <w:p w14:paraId="087612BF" w14:textId="1C18443B" w:rsidR="00316222" w:rsidRPr="00DD2C08" w:rsidRDefault="00316222" w:rsidP="001467DB">
      <w:r w:rsidRPr="00DD2C08">
        <w:t>2.5</w:t>
      </w:r>
      <w:r w:rsidRPr="00DD2C08">
        <w:tab/>
      </w:r>
      <w:r w:rsidR="00AD1AB3" w:rsidRPr="00DD2C08">
        <w:t>La structure des coûts intégraux est la suivante</w:t>
      </w:r>
      <w:r w:rsidRPr="00DD2C08">
        <w:t>:</w:t>
      </w:r>
    </w:p>
    <w:p w14:paraId="6995D363" w14:textId="427D2205" w:rsidR="007A0C99" w:rsidRPr="00DD2C08" w:rsidRDefault="00262D7D" w:rsidP="001467DB">
      <w:pPr>
        <w:pStyle w:val="Figure"/>
      </w:pPr>
      <w:r w:rsidRPr="00DD2C08">
        <w:rPr>
          <w:noProof/>
        </w:rPr>
        <w:drawing>
          <wp:inline distT="0" distB="0" distL="0" distR="0" wp14:anchorId="17C793CC" wp14:editId="66459D6A">
            <wp:extent cx="3855720" cy="2855595"/>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855720" cy="2855595"/>
                    </a:xfrm>
                    <a:prstGeom prst="rect">
                      <a:avLst/>
                    </a:prstGeom>
                    <a:noFill/>
                    <a:ln>
                      <a:noFill/>
                    </a:ln>
                  </pic:spPr>
                </pic:pic>
              </a:graphicData>
            </a:graphic>
          </wp:inline>
        </w:drawing>
      </w:r>
    </w:p>
    <w:p w14:paraId="43FD76EB" w14:textId="6DC7DFC6" w:rsidR="00177A53" w:rsidRPr="00DD2C08" w:rsidRDefault="00177A53">
      <w:pPr>
        <w:tabs>
          <w:tab w:val="clear" w:pos="567"/>
          <w:tab w:val="clear" w:pos="1134"/>
          <w:tab w:val="clear" w:pos="1701"/>
          <w:tab w:val="clear" w:pos="2268"/>
          <w:tab w:val="clear" w:pos="2835"/>
        </w:tabs>
        <w:overflowPunct/>
        <w:autoSpaceDE/>
        <w:autoSpaceDN/>
        <w:adjustRightInd/>
        <w:spacing w:before="0"/>
        <w:textAlignment w:val="auto"/>
        <w:rPr>
          <w:b/>
        </w:rPr>
      </w:pPr>
      <w:r w:rsidRPr="00DD2C08">
        <w:br w:type="page"/>
      </w:r>
    </w:p>
    <w:p w14:paraId="1A216FBA" w14:textId="3453EFF8" w:rsidR="00683122" w:rsidRPr="00DD2C08" w:rsidRDefault="00683122" w:rsidP="001467DB">
      <w:r w:rsidRPr="00DD2C08">
        <w:lastRenderedPageBreak/>
        <w:t>2.6</w:t>
      </w:r>
      <w:r w:rsidRPr="00DD2C08">
        <w:tab/>
      </w:r>
      <w:r w:rsidR="005D3B7A" w:rsidRPr="00DD2C08">
        <w:t>Le Tableau 2 et le Graphique 2 indiquent la répartition des coûts prévue par produit pour 2024-2025, en milliers de francs suisses</w:t>
      </w:r>
      <w:r w:rsidRPr="00DD2C08">
        <w:t>.</w:t>
      </w:r>
    </w:p>
    <w:p w14:paraId="468387DE" w14:textId="2C4A7E84" w:rsidR="005D3B7A" w:rsidRPr="00DD2C08" w:rsidRDefault="005D3B7A" w:rsidP="004950EE">
      <w:pPr>
        <w:spacing w:before="240"/>
        <w:jc w:val="center"/>
        <w:rPr>
          <w:b/>
          <w:bCs/>
        </w:rPr>
      </w:pPr>
      <w:r w:rsidRPr="00DD2C08">
        <w:rPr>
          <w:b/>
          <w:bCs/>
        </w:rPr>
        <w:t>Tableau 2</w:t>
      </w:r>
    </w:p>
    <w:p w14:paraId="4C8048B8" w14:textId="0E9FFA06" w:rsidR="00804C8C" w:rsidRPr="00DD2C08" w:rsidRDefault="00804C8C" w:rsidP="00804C8C">
      <w:pPr>
        <w:pStyle w:val="Figure"/>
      </w:pPr>
      <w:r w:rsidRPr="00DD2C08">
        <w:rPr>
          <w:noProof/>
        </w:rPr>
        <w:drawing>
          <wp:inline distT="0" distB="0" distL="0" distR="0" wp14:anchorId="7D841F6D" wp14:editId="3A3875A8">
            <wp:extent cx="5760085" cy="598868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0085" cy="5988685"/>
                    </a:xfrm>
                    <a:prstGeom prst="rect">
                      <a:avLst/>
                    </a:prstGeom>
                    <a:noFill/>
                    <a:ln>
                      <a:noFill/>
                    </a:ln>
                  </pic:spPr>
                </pic:pic>
              </a:graphicData>
            </a:graphic>
          </wp:inline>
        </w:drawing>
      </w:r>
    </w:p>
    <w:p w14:paraId="1A9F7311" w14:textId="4B29B995" w:rsidR="002B6933" w:rsidRPr="00DD2C08" w:rsidRDefault="002B6933">
      <w:pPr>
        <w:tabs>
          <w:tab w:val="clear" w:pos="567"/>
          <w:tab w:val="clear" w:pos="1134"/>
          <w:tab w:val="clear" w:pos="1701"/>
          <w:tab w:val="clear" w:pos="2268"/>
          <w:tab w:val="clear" w:pos="2835"/>
        </w:tabs>
        <w:overflowPunct/>
        <w:autoSpaceDE/>
        <w:autoSpaceDN/>
        <w:adjustRightInd/>
        <w:spacing w:before="0"/>
        <w:textAlignment w:val="auto"/>
      </w:pPr>
      <w:r w:rsidRPr="00DD2C08">
        <w:br w:type="page"/>
      </w:r>
    </w:p>
    <w:p w14:paraId="118794AE" w14:textId="5BBB787B" w:rsidR="00683122" w:rsidRPr="00DD2C08" w:rsidRDefault="00F34BFB" w:rsidP="001467DB">
      <w:pPr>
        <w:pStyle w:val="Figuretitle"/>
      </w:pPr>
      <w:r w:rsidRPr="00DD2C08">
        <w:lastRenderedPageBreak/>
        <w:t>Graphique</w:t>
      </w:r>
      <w:r w:rsidR="00683122" w:rsidRPr="00DD2C08">
        <w:t xml:space="preserve"> 2</w:t>
      </w:r>
      <w:r w:rsidR="002B6933" w:rsidRPr="00DD2C08">
        <w:t xml:space="preserve"> – </w:t>
      </w:r>
      <w:r w:rsidRPr="00DD2C08">
        <w:t>Répartition des coûts prévue par produit pour</w:t>
      </w:r>
      <w:r w:rsidR="00683122" w:rsidRPr="00DD2C08">
        <w:t xml:space="preserve"> 2024-2025</w:t>
      </w:r>
    </w:p>
    <w:p w14:paraId="671BC030" w14:textId="09861831" w:rsidR="00683122" w:rsidRPr="00DD2C08" w:rsidRDefault="00683122" w:rsidP="001467DB">
      <w:pPr>
        <w:pStyle w:val="Figure"/>
      </w:pPr>
      <w:r w:rsidRPr="00DD2C08">
        <w:rPr>
          <w:noProof/>
        </w:rPr>
        <w:drawing>
          <wp:inline distT="0" distB="0" distL="0" distR="0" wp14:anchorId="785ACC6A" wp14:editId="785E1A8D">
            <wp:extent cx="5760085" cy="5068570"/>
            <wp:effectExtent l="0" t="0" r="0" b="0"/>
            <wp:docPr id="1977522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752284" name=""/>
                    <pic:cNvPicPr/>
                  </pic:nvPicPr>
                  <pic:blipFill>
                    <a:blip r:embed="rId16"/>
                    <a:stretch>
                      <a:fillRect/>
                    </a:stretch>
                  </pic:blipFill>
                  <pic:spPr>
                    <a:xfrm>
                      <a:off x="0" y="0"/>
                      <a:ext cx="5760085" cy="5068570"/>
                    </a:xfrm>
                    <a:prstGeom prst="rect">
                      <a:avLst/>
                    </a:prstGeom>
                  </pic:spPr>
                </pic:pic>
              </a:graphicData>
            </a:graphic>
          </wp:inline>
        </w:drawing>
      </w:r>
    </w:p>
    <w:p w14:paraId="43394294" w14:textId="06BBEF7A" w:rsidR="002B6933" w:rsidRPr="00DD2C08" w:rsidRDefault="002B6933">
      <w:pPr>
        <w:tabs>
          <w:tab w:val="clear" w:pos="567"/>
          <w:tab w:val="clear" w:pos="1134"/>
          <w:tab w:val="clear" w:pos="1701"/>
          <w:tab w:val="clear" w:pos="2268"/>
          <w:tab w:val="clear" w:pos="2835"/>
        </w:tabs>
        <w:overflowPunct/>
        <w:autoSpaceDE/>
        <w:autoSpaceDN/>
        <w:adjustRightInd/>
        <w:spacing w:before="0"/>
        <w:textAlignment w:val="auto"/>
      </w:pPr>
      <w:r w:rsidRPr="00DD2C08">
        <w:br w:type="page"/>
      </w:r>
    </w:p>
    <w:p w14:paraId="68247247" w14:textId="593E39B9" w:rsidR="00683122" w:rsidRPr="00DD2C08" w:rsidRDefault="00683122" w:rsidP="001467DB">
      <w:r w:rsidRPr="00DD2C08">
        <w:lastRenderedPageBreak/>
        <w:t>2.7</w:t>
      </w:r>
      <w:r w:rsidRPr="00DD2C08">
        <w:tab/>
      </w:r>
      <w:r w:rsidR="00F34BFB" w:rsidRPr="00DD2C08">
        <w:t>Le graphique</w:t>
      </w:r>
      <w:r w:rsidRPr="00DD2C08">
        <w:t xml:space="preserve"> 3 </w:t>
      </w:r>
      <w:r w:rsidR="00F34BFB" w:rsidRPr="00DD2C08">
        <w:t xml:space="preserve">montre </w:t>
      </w:r>
      <w:r w:rsidR="00097F30" w:rsidRPr="00DD2C08">
        <w:t xml:space="preserve">l'affectation </w:t>
      </w:r>
      <w:r w:rsidR="00F34BFB" w:rsidRPr="00DD2C08">
        <w:t>des ressources à l'UIT par élément de coût, conformément à la budgétisation axée sur les résultats, pour</w:t>
      </w:r>
      <w:r w:rsidRPr="00DD2C08">
        <w:t xml:space="preserve"> 2024-2025.</w:t>
      </w:r>
    </w:p>
    <w:p w14:paraId="5DF3A77B" w14:textId="1CD21E2F" w:rsidR="00683122" w:rsidRPr="00DD2C08" w:rsidRDefault="007D389E" w:rsidP="001467DB">
      <w:pPr>
        <w:pStyle w:val="Figuretitle"/>
      </w:pPr>
      <w:r w:rsidRPr="00DD2C08">
        <w:t>Graphique</w:t>
      </w:r>
      <w:r w:rsidR="00683122" w:rsidRPr="00DD2C08">
        <w:t xml:space="preserve"> 3</w:t>
      </w:r>
    </w:p>
    <w:p w14:paraId="6B9BC6C9" w14:textId="3E300001" w:rsidR="007A0C99" w:rsidRPr="00DD2C08" w:rsidRDefault="0000050B" w:rsidP="001467DB">
      <w:pPr>
        <w:pStyle w:val="Figure"/>
      </w:pPr>
      <w:r w:rsidRPr="00DD2C08">
        <w:rPr>
          <w:noProof/>
        </w:rPr>
        <w:drawing>
          <wp:inline distT="0" distB="0" distL="0" distR="0" wp14:anchorId="3FE5196F" wp14:editId="21E9EB33">
            <wp:extent cx="5760085" cy="3713480"/>
            <wp:effectExtent l="0" t="0" r="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60085" cy="3713480"/>
                    </a:xfrm>
                    <a:prstGeom prst="rect">
                      <a:avLst/>
                    </a:prstGeom>
                    <a:noFill/>
                    <a:ln>
                      <a:noFill/>
                    </a:ln>
                  </pic:spPr>
                </pic:pic>
              </a:graphicData>
            </a:graphic>
          </wp:inline>
        </w:drawing>
      </w:r>
    </w:p>
    <w:p w14:paraId="5B815D46" w14:textId="782A744F" w:rsidR="00683122" w:rsidRPr="00DD2C08" w:rsidRDefault="00683122" w:rsidP="001467DB">
      <w:pPr>
        <w:pStyle w:val="Heading1"/>
      </w:pPr>
      <w:r w:rsidRPr="00DD2C08">
        <w:t>3</w:t>
      </w:r>
      <w:r w:rsidRPr="00DD2C08">
        <w:tab/>
        <w:t>Grandes lignes du budget</w:t>
      </w:r>
    </w:p>
    <w:p w14:paraId="0CE43F71" w14:textId="6CDB031E" w:rsidR="00683122" w:rsidRPr="00DD2C08" w:rsidRDefault="00683122" w:rsidP="001467DB">
      <w:r w:rsidRPr="00DD2C08">
        <w:t>3.1</w:t>
      </w:r>
      <w:r w:rsidRPr="00DD2C08">
        <w:tab/>
        <w:t xml:space="preserve">Le projet de budget </w:t>
      </w:r>
      <w:r w:rsidR="007D389E" w:rsidRPr="00DD2C08">
        <w:t xml:space="preserve">biennal de l'Union </w:t>
      </w:r>
      <w:r w:rsidRPr="00DD2C08">
        <w:t>pour 202</w:t>
      </w:r>
      <w:r w:rsidR="007D389E" w:rsidRPr="00DD2C08">
        <w:t xml:space="preserve">4-2025 </w:t>
      </w:r>
      <w:r w:rsidRPr="00DD2C08">
        <w:t>a été établi sur la base de la Décision 5 (Rév. Bucarest, 2022) de la Conférence de plénipotentiaires.</w:t>
      </w:r>
    </w:p>
    <w:p w14:paraId="2B6292F1" w14:textId="0C06E0FF" w:rsidR="00683122" w:rsidRPr="00DD2C08" w:rsidRDefault="00683122" w:rsidP="001467DB">
      <w:r w:rsidRPr="00DD2C08">
        <w:t>3.2</w:t>
      </w:r>
      <w:r w:rsidRPr="00DD2C08">
        <w:tab/>
        <w:t xml:space="preserve">Le </w:t>
      </w:r>
      <w:r w:rsidR="007D389E" w:rsidRPr="00DD2C08">
        <w:t xml:space="preserve">projet de budget biennal de l'Union pour 2024-2025 </w:t>
      </w:r>
      <w:r w:rsidRPr="00DD2C08">
        <w:t xml:space="preserve">est équilibré, </w:t>
      </w:r>
      <w:r w:rsidR="007D389E" w:rsidRPr="00DD2C08">
        <w:t>le montant des produits et des charges étant identique</w:t>
      </w:r>
      <w:r w:rsidRPr="00DD2C08">
        <w:t xml:space="preserve">, à savoir </w:t>
      </w:r>
      <w:r w:rsidR="007D389E" w:rsidRPr="00DD2C08">
        <w:t>329 067 000 CHF</w:t>
      </w:r>
      <w:r w:rsidRPr="00DD2C08">
        <w:t xml:space="preserve">, ce qui représente une </w:t>
      </w:r>
      <w:r w:rsidR="007D389E" w:rsidRPr="00DD2C08">
        <w:t xml:space="preserve">hausse </w:t>
      </w:r>
      <w:r w:rsidRPr="00DD2C08">
        <w:t xml:space="preserve">de </w:t>
      </w:r>
      <w:r w:rsidR="007D389E" w:rsidRPr="00DD2C08">
        <w:t>1 605 000</w:t>
      </w:r>
      <w:r w:rsidRPr="00DD2C08">
        <w:t xml:space="preserve"> CHF par rapport au budget </w:t>
      </w:r>
      <w:r w:rsidR="007D389E" w:rsidRPr="00DD2C08">
        <w:t xml:space="preserve">de l'Union </w:t>
      </w:r>
      <w:r w:rsidRPr="00DD2C08">
        <w:t>pour 2022-2023</w:t>
      </w:r>
      <w:r w:rsidR="007D389E" w:rsidRPr="00DD2C08">
        <w:t xml:space="preserve">. </w:t>
      </w:r>
      <w:r w:rsidRPr="00DD2C08">
        <w:t xml:space="preserve">Des informations détaillées sur les variations des produits et des charges sont données </w:t>
      </w:r>
      <w:r w:rsidR="007D389E" w:rsidRPr="00DD2C08">
        <w:t>ci-après</w:t>
      </w:r>
      <w:r w:rsidRPr="00DD2C08">
        <w:t xml:space="preserve">. On trouvera dans </w:t>
      </w:r>
      <w:r w:rsidR="006A4BD2" w:rsidRPr="00DD2C08">
        <w:t xml:space="preserve">l'annexe </w:t>
      </w:r>
      <w:r w:rsidRPr="00DD2C08">
        <w:t xml:space="preserve">du présent document </w:t>
      </w:r>
      <w:r w:rsidR="006A4BD2" w:rsidRPr="00DD2C08">
        <w:t>un</w:t>
      </w:r>
      <w:r w:rsidRPr="00DD2C08">
        <w:t xml:space="preserve"> projet de résolution relative au projet de budget </w:t>
      </w:r>
      <w:r w:rsidR="006A4BD2" w:rsidRPr="00DD2C08">
        <w:t xml:space="preserve">biennal de l'Union pour </w:t>
      </w:r>
      <w:r w:rsidRPr="00DD2C08">
        <w:t>2024-2025</w:t>
      </w:r>
      <w:r w:rsidR="006A4BD2" w:rsidRPr="00DD2C08">
        <w:t>,</w:t>
      </w:r>
      <w:r w:rsidRPr="00DD2C08">
        <w:t xml:space="preserve"> ainsi que les tableaux donnant des chiffres détaillés pour les produits et les charges.</w:t>
      </w:r>
    </w:p>
    <w:p w14:paraId="7F5FC44C" w14:textId="0304004A" w:rsidR="00683122" w:rsidRPr="00DD2C08" w:rsidRDefault="00683122" w:rsidP="001467DB">
      <w:r w:rsidRPr="00DD2C08">
        <w:t>3.3</w:t>
      </w:r>
      <w:r w:rsidRPr="00DD2C08">
        <w:tab/>
        <w:t xml:space="preserve">Le Tableau </w:t>
      </w:r>
      <w:r w:rsidR="006A4BD2" w:rsidRPr="00DD2C08">
        <w:t>3</w:t>
      </w:r>
      <w:r w:rsidRPr="00DD2C08">
        <w:t xml:space="preserve"> ci-dessous donne une comparaison entre le </w:t>
      </w:r>
      <w:r w:rsidR="006A4BD2" w:rsidRPr="00DD2C08">
        <w:t xml:space="preserve">projet de budget biennal de l'Union </w:t>
      </w:r>
      <w:r w:rsidRPr="00DD2C08">
        <w:t xml:space="preserve">pour </w:t>
      </w:r>
      <w:r w:rsidR="006A37DE" w:rsidRPr="00DD2C08">
        <w:t>2024-2025</w:t>
      </w:r>
      <w:r w:rsidRPr="00DD2C08">
        <w:t xml:space="preserve"> et le budget </w:t>
      </w:r>
      <w:r w:rsidR="006A4BD2" w:rsidRPr="00DD2C08">
        <w:t xml:space="preserve">de l'Union </w:t>
      </w:r>
      <w:r w:rsidRPr="00DD2C08">
        <w:t>pour 2022-2023.</w:t>
      </w:r>
    </w:p>
    <w:p w14:paraId="6D10D09B" w14:textId="391FC857" w:rsidR="00CA1557" w:rsidRPr="00DD2C08" w:rsidRDefault="00CA1557">
      <w:pPr>
        <w:tabs>
          <w:tab w:val="clear" w:pos="567"/>
          <w:tab w:val="clear" w:pos="1134"/>
          <w:tab w:val="clear" w:pos="1701"/>
          <w:tab w:val="clear" w:pos="2268"/>
          <w:tab w:val="clear" w:pos="2835"/>
        </w:tabs>
        <w:overflowPunct/>
        <w:autoSpaceDE/>
        <w:autoSpaceDN/>
        <w:adjustRightInd/>
        <w:spacing w:before="0"/>
        <w:textAlignment w:val="auto"/>
      </w:pPr>
      <w:r w:rsidRPr="00DD2C08">
        <w:br w:type="page"/>
      </w:r>
    </w:p>
    <w:p w14:paraId="38D9AD2C" w14:textId="460BFA85" w:rsidR="006A37DE" w:rsidRPr="00DD2C08" w:rsidRDefault="006A37DE" w:rsidP="00CA1557">
      <w:pPr>
        <w:pStyle w:val="Tabletitle"/>
      </w:pPr>
      <w:r w:rsidRPr="00DD2C08">
        <w:lastRenderedPageBreak/>
        <w:t>Tableau 3</w:t>
      </w:r>
    </w:p>
    <w:p w14:paraId="3ACD042C" w14:textId="7680BA51" w:rsidR="002223E1" w:rsidRPr="00DD2C08" w:rsidRDefault="00AB795F" w:rsidP="00CA1557">
      <w:pPr>
        <w:pStyle w:val="Tabletext"/>
      </w:pPr>
      <w:r w:rsidRPr="00DD2C08">
        <w:rPr>
          <w:noProof/>
        </w:rPr>
        <w:drawing>
          <wp:inline distT="0" distB="0" distL="0" distR="0" wp14:anchorId="67AC6C0E" wp14:editId="72FA6A99">
            <wp:extent cx="5760085" cy="189547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60085" cy="1895475"/>
                    </a:xfrm>
                    <a:prstGeom prst="rect">
                      <a:avLst/>
                    </a:prstGeom>
                    <a:noFill/>
                    <a:ln>
                      <a:noFill/>
                    </a:ln>
                  </pic:spPr>
                </pic:pic>
              </a:graphicData>
            </a:graphic>
          </wp:inline>
        </w:drawing>
      </w:r>
    </w:p>
    <w:p w14:paraId="79E2B539" w14:textId="7E34E367" w:rsidR="00B44F99" w:rsidRPr="00DD2C08" w:rsidRDefault="00B44F99" w:rsidP="001467DB">
      <w:r w:rsidRPr="00DD2C08">
        <w:t>3.4</w:t>
      </w:r>
      <w:r w:rsidRPr="00DD2C08">
        <w:tab/>
      </w:r>
      <w:r w:rsidR="0079383A" w:rsidRPr="00DD2C08">
        <w:t xml:space="preserve">Les principaux écarts par </w:t>
      </w:r>
      <w:r w:rsidR="002435D6" w:rsidRPr="00DD2C08">
        <w:t>S</w:t>
      </w:r>
      <w:r w:rsidR="0079383A" w:rsidRPr="00DD2C08">
        <w:t>ecteur sont les suivants</w:t>
      </w:r>
      <w:r w:rsidRPr="00DD2C08">
        <w:t>:</w:t>
      </w:r>
    </w:p>
    <w:p w14:paraId="652BAA6E" w14:textId="2C8B7597" w:rsidR="00B44F99" w:rsidRPr="00DD2C08" w:rsidRDefault="0079383A" w:rsidP="001467DB">
      <w:pPr>
        <w:pStyle w:val="Headingi"/>
        <w:rPr>
          <w:u w:val="single"/>
        </w:rPr>
      </w:pPr>
      <w:r w:rsidRPr="00DD2C08">
        <w:rPr>
          <w:u w:val="single"/>
        </w:rPr>
        <w:t>Secrétariat général</w:t>
      </w:r>
    </w:p>
    <w:p w14:paraId="57361D7E" w14:textId="095B00EA" w:rsidR="00B44F99" w:rsidRPr="00DD2C08" w:rsidRDefault="00B44F99" w:rsidP="00CA1557">
      <w:pPr>
        <w:pStyle w:val="enumlev2"/>
      </w:pPr>
      <w:r w:rsidRPr="00DD2C08">
        <w:t>•</w:t>
      </w:r>
      <w:r w:rsidRPr="00DD2C08">
        <w:tab/>
      </w:r>
      <w:r w:rsidR="0079383A" w:rsidRPr="00DD2C08">
        <w:t>Pas de Conférence de plénipotentiaires en</w:t>
      </w:r>
      <w:r w:rsidRPr="00DD2C08">
        <w:t xml:space="preserve"> 2024-2025, </w:t>
      </w:r>
      <w:r w:rsidR="0079383A" w:rsidRPr="00DD2C08">
        <w:t>contrairement à</w:t>
      </w:r>
      <w:r w:rsidR="00CA1557" w:rsidRPr="00DD2C08">
        <w:t> </w:t>
      </w:r>
      <w:r w:rsidRPr="00DD2C08">
        <w:t>2022</w:t>
      </w:r>
      <w:r w:rsidR="00CA1557" w:rsidRPr="00DD2C08">
        <w:noBreakHyphen/>
      </w:r>
      <w:r w:rsidRPr="00DD2C08">
        <w:t>2023</w:t>
      </w:r>
      <w:r w:rsidR="00CA1557" w:rsidRPr="00DD2C08">
        <w:t>.</w:t>
      </w:r>
    </w:p>
    <w:p w14:paraId="52165B51" w14:textId="4257BA36" w:rsidR="00B44F99" w:rsidRPr="00DD2C08" w:rsidRDefault="00B44F99" w:rsidP="00CA1557">
      <w:pPr>
        <w:pStyle w:val="enumlev2"/>
      </w:pPr>
      <w:r w:rsidRPr="00DD2C08">
        <w:t>•</w:t>
      </w:r>
      <w:r w:rsidRPr="00DD2C08">
        <w:tab/>
      </w:r>
      <w:r w:rsidR="0079383A" w:rsidRPr="00DD2C08">
        <w:t>Réduction du coût et du volume de la documentation</w:t>
      </w:r>
      <w:r w:rsidR="00CA1557" w:rsidRPr="00DD2C08">
        <w:t>.</w:t>
      </w:r>
    </w:p>
    <w:p w14:paraId="3EBA0586" w14:textId="7D5D7E8D" w:rsidR="00B44F99" w:rsidRPr="00DD2C08" w:rsidRDefault="00B44F99" w:rsidP="00CA1557">
      <w:pPr>
        <w:pStyle w:val="enumlev2"/>
      </w:pPr>
      <w:r w:rsidRPr="00DD2C08">
        <w:t>•</w:t>
      </w:r>
      <w:r w:rsidRPr="00DD2C08">
        <w:tab/>
      </w:r>
      <w:r w:rsidR="0079383A" w:rsidRPr="00DD2C08">
        <w:t>Suppression du taux d'emploi</w:t>
      </w:r>
      <w:r w:rsidR="00885531" w:rsidRPr="00DD2C08">
        <w:t>s vacants</w:t>
      </w:r>
      <w:r w:rsidR="0079383A" w:rsidRPr="00DD2C08">
        <w:t xml:space="preserve"> de 5%</w:t>
      </w:r>
      <w:r w:rsidRPr="00DD2C08">
        <w:t>.</w:t>
      </w:r>
    </w:p>
    <w:p w14:paraId="0172AA05" w14:textId="5E4D8336" w:rsidR="00B44F99" w:rsidRPr="00DD2C08" w:rsidRDefault="0079383A" w:rsidP="001467DB">
      <w:pPr>
        <w:pStyle w:val="Headingi"/>
        <w:rPr>
          <w:u w:val="single"/>
        </w:rPr>
      </w:pPr>
      <w:r w:rsidRPr="00DD2C08">
        <w:rPr>
          <w:u w:val="single"/>
        </w:rPr>
        <w:t>Secteur des r</w:t>
      </w:r>
      <w:r w:rsidR="00B44F99" w:rsidRPr="00DD2C08">
        <w:rPr>
          <w:u w:val="single"/>
        </w:rPr>
        <w:t>adiocommunication</w:t>
      </w:r>
      <w:r w:rsidRPr="00DD2C08">
        <w:rPr>
          <w:u w:val="single"/>
        </w:rPr>
        <w:t>s</w:t>
      </w:r>
    </w:p>
    <w:p w14:paraId="0C9C66AF" w14:textId="3F1BEF1A" w:rsidR="00B44F99" w:rsidRPr="00DD2C08" w:rsidRDefault="00B44F99" w:rsidP="00CA1557">
      <w:pPr>
        <w:pStyle w:val="enumlev2"/>
      </w:pPr>
      <w:r w:rsidRPr="00DD2C08">
        <w:t>•</w:t>
      </w:r>
      <w:r w:rsidRPr="00DD2C08">
        <w:tab/>
      </w:r>
      <w:r w:rsidR="0079383A" w:rsidRPr="00DD2C08">
        <w:t xml:space="preserve">Pas de conférence mondiale des radiocommunications ou d'assemblée des radiocommunications en </w:t>
      </w:r>
      <w:r w:rsidRPr="00DD2C08">
        <w:t xml:space="preserve">2024-2025, </w:t>
      </w:r>
      <w:r w:rsidR="0079383A" w:rsidRPr="00DD2C08">
        <w:t xml:space="preserve">contrairement à </w:t>
      </w:r>
      <w:r w:rsidRPr="00DD2C08">
        <w:t>2022-2023</w:t>
      </w:r>
      <w:r w:rsidR="00CA1557" w:rsidRPr="00DD2C08">
        <w:t>.</w:t>
      </w:r>
    </w:p>
    <w:p w14:paraId="671C0281" w14:textId="2C6B6B6E" w:rsidR="00B44F99" w:rsidRPr="00DD2C08" w:rsidRDefault="00B44F99" w:rsidP="00CA1557">
      <w:pPr>
        <w:pStyle w:val="enumlev2"/>
      </w:pPr>
      <w:r w:rsidRPr="00DD2C08">
        <w:t>•</w:t>
      </w:r>
      <w:r w:rsidRPr="00DD2C08">
        <w:tab/>
      </w:r>
      <w:r w:rsidR="0079383A" w:rsidRPr="00DD2C08">
        <w:t>Mise à jour des applications existantes du logiciel du Bureau des radiocommunications</w:t>
      </w:r>
      <w:r w:rsidR="00CA1557" w:rsidRPr="00DD2C08">
        <w:t>.</w:t>
      </w:r>
    </w:p>
    <w:p w14:paraId="3898F687" w14:textId="06CCEDF3" w:rsidR="00B44F99" w:rsidRPr="00DD2C08" w:rsidRDefault="00B44F99" w:rsidP="00CA1557">
      <w:pPr>
        <w:pStyle w:val="enumlev2"/>
      </w:pPr>
      <w:r w:rsidRPr="00DD2C08">
        <w:t>•</w:t>
      </w:r>
      <w:r w:rsidRPr="00DD2C08">
        <w:tab/>
      </w:r>
      <w:r w:rsidR="0079383A" w:rsidRPr="00DD2C08">
        <w:t>Suppression du taux d'emploi</w:t>
      </w:r>
      <w:r w:rsidR="00885531" w:rsidRPr="00DD2C08">
        <w:t>s vacants</w:t>
      </w:r>
      <w:r w:rsidR="0079383A" w:rsidRPr="00DD2C08">
        <w:t xml:space="preserve"> de 5%</w:t>
      </w:r>
      <w:r w:rsidRPr="00DD2C08">
        <w:t>.</w:t>
      </w:r>
    </w:p>
    <w:p w14:paraId="5F366B2A" w14:textId="57AF0940" w:rsidR="00B44F99" w:rsidRPr="00DD2C08" w:rsidRDefault="0079383A" w:rsidP="001467DB">
      <w:pPr>
        <w:pStyle w:val="Headingi"/>
        <w:rPr>
          <w:u w:val="single"/>
        </w:rPr>
      </w:pPr>
      <w:r w:rsidRPr="00DD2C08">
        <w:rPr>
          <w:u w:val="single"/>
        </w:rPr>
        <w:t>Secteur de la normalisation des télécommunications</w:t>
      </w:r>
    </w:p>
    <w:p w14:paraId="45BA0718" w14:textId="51999BB9" w:rsidR="00B44F99" w:rsidRPr="00DD2C08" w:rsidRDefault="00B44F99" w:rsidP="00CA1557">
      <w:pPr>
        <w:pStyle w:val="enumlev2"/>
      </w:pPr>
      <w:r w:rsidRPr="00DD2C08">
        <w:t>•</w:t>
      </w:r>
      <w:r w:rsidRPr="00DD2C08">
        <w:tab/>
      </w:r>
      <w:r w:rsidR="0079383A" w:rsidRPr="00DD2C08">
        <w:t>Intelligence artificielle</w:t>
      </w:r>
      <w:r w:rsidR="00CA1557" w:rsidRPr="00DD2C08">
        <w:t>.</w:t>
      </w:r>
    </w:p>
    <w:p w14:paraId="0CAEFF96" w14:textId="7ED1272A" w:rsidR="00B44F99" w:rsidRPr="00DD2C08" w:rsidRDefault="00B44F99" w:rsidP="00CA1557">
      <w:pPr>
        <w:pStyle w:val="enumlev2"/>
      </w:pPr>
      <w:r w:rsidRPr="00DD2C08">
        <w:t>•</w:t>
      </w:r>
      <w:r w:rsidRPr="00DD2C08">
        <w:tab/>
      </w:r>
      <w:r w:rsidR="0079383A" w:rsidRPr="00DD2C08">
        <w:t>Suppression du taux d'emploi</w:t>
      </w:r>
      <w:r w:rsidR="00885531" w:rsidRPr="00DD2C08">
        <w:t>s vacants</w:t>
      </w:r>
      <w:r w:rsidR="0079383A" w:rsidRPr="00DD2C08">
        <w:t xml:space="preserve"> de 5%</w:t>
      </w:r>
      <w:r w:rsidRPr="00DD2C08">
        <w:t>.</w:t>
      </w:r>
    </w:p>
    <w:p w14:paraId="308FC521" w14:textId="2CCE63F8" w:rsidR="00B44F99" w:rsidRPr="00DD2C08" w:rsidRDefault="0079383A" w:rsidP="001467DB">
      <w:pPr>
        <w:pStyle w:val="Headingi"/>
        <w:rPr>
          <w:u w:val="single"/>
        </w:rPr>
      </w:pPr>
      <w:r w:rsidRPr="00DD2C08">
        <w:rPr>
          <w:u w:val="single"/>
        </w:rPr>
        <w:t>Secteur du développement des télécommunications</w:t>
      </w:r>
    </w:p>
    <w:p w14:paraId="168A6034" w14:textId="1E318651" w:rsidR="00B44F99" w:rsidRPr="00DD2C08" w:rsidRDefault="00B44F99" w:rsidP="00CA1557">
      <w:pPr>
        <w:pStyle w:val="enumlev2"/>
      </w:pPr>
      <w:r w:rsidRPr="00DD2C08">
        <w:t>•</w:t>
      </w:r>
      <w:r w:rsidRPr="00DD2C08">
        <w:tab/>
      </w:r>
      <w:r w:rsidR="0079383A" w:rsidRPr="00DD2C08">
        <w:t xml:space="preserve">Nouveau bureau de zone en Inde </w:t>
      </w:r>
      <w:r w:rsidRPr="00DD2C08">
        <w:t>(</w:t>
      </w:r>
      <w:r w:rsidR="0079383A" w:rsidRPr="00DD2C08">
        <w:t>financé par l'Inde</w:t>
      </w:r>
      <w:r w:rsidRPr="00DD2C08">
        <w:t>)</w:t>
      </w:r>
      <w:r w:rsidR="00CA1557" w:rsidRPr="00DD2C08">
        <w:t>.</w:t>
      </w:r>
    </w:p>
    <w:p w14:paraId="77D76377" w14:textId="38D876B0" w:rsidR="00B44F99" w:rsidRPr="00DD2C08" w:rsidRDefault="00B44F99" w:rsidP="00CA1557">
      <w:pPr>
        <w:pStyle w:val="enumlev2"/>
      </w:pPr>
      <w:r w:rsidRPr="00DD2C08">
        <w:t>•</w:t>
      </w:r>
      <w:r w:rsidRPr="00DD2C08">
        <w:tab/>
      </w:r>
      <w:r w:rsidR="0079383A" w:rsidRPr="00DD2C08">
        <w:t>Suppression du taux d'emploi</w:t>
      </w:r>
      <w:r w:rsidR="00885531" w:rsidRPr="00DD2C08">
        <w:t>s vacants</w:t>
      </w:r>
      <w:r w:rsidR="0079383A" w:rsidRPr="00DD2C08">
        <w:t xml:space="preserve"> de 5%</w:t>
      </w:r>
      <w:r w:rsidRPr="00DD2C08">
        <w:t>.</w:t>
      </w:r>
    </w:p>
    <w:p w14:paraId="57BDB82A" w14:textId="244F1A79" w:rsidR="00CA1557" w:rsidRPr="00DD2C08" w:rsidRDefault="00CA1557">
      <w:pPr>
        <w:tabs>
          <w:tab w:val="clear" w:pos="567"/>
          <w:tab w:val="clear" w:pos="1134"/>
          <w:tab w:val="clear" w:pos="1701"/>
          <w:tab w:val="clear" w:pos="2268"/>
          <w:tab w:val="clear" w:pos="2835"/>
        </w:tabs>
        <w:overflowPunct/>
        <w:autoSpaceDE/>
        <w:autoSpaceDN/>
        <w:adjustRightInd/>
        <w:spacing w:before="0"/>
        <w:textAlignment w:val="auto"/>
      </w:pPr>
      <w:r w:rsidRPr="00DD2C08">
        <w:br w:type="page"/>
      </w:r>
    </w:p>
    <w:p w14:paraId="477C07BC" w14:textId="6358F19D" w:rsidR="00B44F99" w:rsidRPr="00DD2C08" w:rsidRDefault="00B44F99" w:rsidP="001467DB">
      <w:r w:rsidRPr="00DD2C08">
        <w:lastRenderedPageBreak/>
        <w:t>3.5</w:t>
      </w:r>
      <w:r w:rsidRPr="00DD2C08">
        <w:tab/>
      </w:r>
      <w:r w:rsidR="0079383A" w:rsidRPr="00DD2C08">
        <w:t>Le Graphique</w:t>
      </w:r>
      <w:r w:rsidRPr="00DD2C08">
        <w:t xml:space="preserve"> 5</w:t>
      </w:r>
      <w:r w:rsidR="0079383A" w:rsidRPr="00DD2C08">
        <w:t xml:space="preserve"> montre la répartition du projet de budget biennal de l'Union pour</w:t>
      </w:r>
      <w:r w:rsidR="00CA1557" w:rsidRPr="00DD2C08">
        <w:t> </w:t>
      </w:r>
      <w:r w:rsidRPr="00DD2C08">
        <w:t xml:space="preserve">2024-2025 </w:t>
      </w:r>
      <w:r w:rsidR="0079383A" w:rsidRPr="00DD2C08">
        <w:t xml:space="preserve">par </w:t>
      </w:r>
      <w:r w:rsidR="002435D6" w:rsidRPr="00DD2C08">
        <w:t>S</w:t>
      </w:r>
      <w:r w:rsidR="0079383A" w:rsidRPr="00DD2C08">
        <w:t>ecteur</w:t>
      </w:r>
      <w:r w:rsidRPr="00DD2C08">
        <w:t>.</w:t>
      </w:r>
    </w:p>
    <w:p w14:paraId="54C66F74" w14:textId="01AF17AF" w:rsidR="00B44F99" w:rsidRPr="00DD2C08" w:rsidRDefault="0079383A" w:rsidP="001467DB">
      <w:pPr>
        <w:pStyle w:val="Figuretitle"/>
      </w:pPr>
      <w:r w:rsidRPr="00DD2C08">
        <w:t>Graphique</w:t>
      </w:r>
      <w:r w:rsidR="00B44F99" w:rsidRPr="00DD2C08">
        <w:t xml:space="preserve"> 5</w:t>
      </w:r>
    </w:p>
    <w:p w14:paraId="105A23CD" w14:textId="384F11C1" w:rsidR="00B44F99" w:rsidRPr="00DD2C08" w:rsidRDefault="00CA1557" w:rsidP="001467DB">
      <w:pPr>
        <w:pStyle w:val="Figure"/>
      </w:pPr>
      <w:r w:rsidRPr="00DD2C08">
        <w:rPr>
          <w:noProof/>
        </w:rPr>
        <w:drawing>
          <wp:inline distT="0" distB="0" distL="0" distR="0" wp14:anchorId="623D3AE7" wp14:editId="5A605E0E">
            <wp:extent cx="5697239" cy="2684337"/>
            <wp:effectExtent l="0" t="0" r="0" b="190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03902" cy="2687476"/>
                    </a:xfrm>
                    <a:prstGeom prst="rect">
                      <a:avLst/>
                    </a:prstGeom>
                    <a:noFill/>
                  </pic:spPr>
                </pic:pic>
              </a:graphicData>
            </a:graphic>
          </wp:inline>
        </w:drawing>
      </w:r>
    </w:p>
    <w:p w14:paraId="65E8FBF4" w14:textId="028D958C" w:rsidR="00B44F99" w:rsidRPr="00DD2C08" w:rsidRDefault="00B44F99" w:rsidP="001467DB">
      <w:pPr>
        <w:pStyle w:val="Heading1"/>
      </w:pPr>
      <w:r w:rsidRPr="00DD2C08">
        <w:t>4</w:t>
      </w:r>
      <w:r w:rsidRPr="00DD2C08">
        <w:tab/>
        <w:t>Bases et indicateurs</w:t>
      </w:r>
    </w:p>
    <w:p w14:paraId="3616BDD2" w14:textId="6DA3B9B0" w:rsidR="00B44F99" w:rsidRPr="00DD2C08" w:rsidRDefault="00D2372C" w:rsidP="00CA1557">
      <w:r w:rsidRPr="00DD2C08">
        <w:t>4</w:t>
      </w:r>
      <w:r w:rsidR="00B44F99" w:rsidRPr="00DD2C08">
        <w:t>.1</w:t>
      </w:r>
      <w:r w:rsidR="00B44F99" w:rsidRPr="00DD2C08">
        <w:tab/>
        <w:t>Le projet de budget</w:t>
      </w:r>
      <w:r w:rsidR="0079383A" w:rsidRPr="00DD2C08">
        <w:t xml:space="preserve"> biennal de l'Union</w:t>
      </w:r>
      <w:r w:rsidR="00B44F99" w:rsidRPr="00DD2C08">
        <w:t xml:space="preserve"> pour </w:t>
      </w:r>
      <w:r w:rsidRPr="00DD2C08">
        <w:t>2024-2025</w:t>
      </w:r>
      <w:r w:rsidR="00B44F99" w:rsidRPr="00DD2C08">
        <w:t xml:space="preserve"> est établi sur les bases suivantes:</w:t>
      </w:r>
    </w:p>
    <w:p w14:paraId="217CF6A2" w14:textId="6A9AD97C" w:rsidR="00B44F99" w:rsidRPr="00DD2C08" w:rsidRDefault="00B44F99" w:rsidP="001467DB">
      <w:pPr>
        <w:pStyle w:val="enumlev1"/>
      </w:pPr>
      <w:r w:rsidRPr="00DD2C08">
        <w:t>–</w:t>
      </w:r>
      <w:r w:rsidRPr="00DD2C08">
        <w:tab/>
        <w:t>Un taux de change de 1,0 USD = 0,</w:t>
      </w:r>
      <w:r w:rsidR="00D2372C" w:rsidRPr="00DD2C08">
        <w:t>929</w:t>
      </w:r>
      <w:r w:rsidRPr="00DD2C08">
        <w:t xml:space="preserve"> CHF, soit le taux en vigueur en janvier 202</w:t>
      </w:r>
      <w:r w:rsidR="00D2372C" w:rsidRPr="00DD2C08">
        <w:t>3</w:t>
      </w:r>
      <w:r w:rsidRPr="00DD2C08">
        <w:t>.</w:t>
      </w:r>
    </w:p>
    <w:p w14:paraId="4D116EE6" w14:textId="181BF0B5" w:rsidR="00B44F99" w:rsidRPr="00DD2C08" w:rsidRDefault="00B44F99" w:rsidP="001467DB">
      <w:pPr>
        <w:pStyle w:val="enumlev1"/>
      </w:pPr>
      <w:r w:rsidRPr="00DD2C08">
        <w:t>–</w:t>
      </w:r>
      <w:r w:rsidRPr="00DD2C08">
        <w:tab/>
        <w:t>Les conditions d'emploi appliquées dans le cadre du régime commun des Nations</w:t>
      </w:r>
      <w:r w:rsidR="00CA1557" w:rsidRPr="00DD2C08">
        <w:t> </w:t>
      </w:r>
      <w:r w:rsidRPr="00DD2C08">
        <w:t>Unies au 1er janvier 202</w:t>
      </w:r>
      <w:r w:rsidR="00D2372C" w:rsidRPr="00DD2C08">
        <w:t>3</w:t>
      </w:r>
      <w:r w:rsidRPr="00DD2C08">
        <w:t>.</w:t>
      </w:r>
    </w:p>
    <w:p w14:paraId="38D1435F" w14:textId="4F224A10" w:rsidR="00D2372C" w:rsidRPr="00DD2C08" w:rsidRDefault="00D2372C" w:rsidP="001467DB">
      <w:r w:rsidRPr="00DD2C08">
        <w:t>4.2</w:t>
      </w:r>
      <w:r w:rsidRPr="00DD2C08">
        <w:tab/>
      </w:r>
      <w:r w:rsidR="00804404" w:rsidRPr="00DD2C08">
        <w:t>Le projet de budget biennal de l'Union pour 2024-2025 ne comprend a</w:t>
      </w:r>
      <w:r w:rsidRPr="00DD2C08">
        <w:t>ucune provision pour absorber l'augmentation prévisible des coûts pendant la période allant du</w:t>
      </w:r>
      <w:r w:rsidR="00CA1557" w:rsidRPr="00DD2C08">
        <w:t> </w:t>
      </w:r>
      <w:r w:rsidRPr="00DD2C08">
        <w:t>1er</w:t>
      </w:r>
      <w:r w:rsidR="00CA1557" w:rsidRPr="00DD2C08">
        <w:t> </w:t>
      </w:r>
      <w:r w:rsidRPr="00DD2C08">
        <w:t>janvier</w:t>
      </w:r>
      <w:r w:rsidR="00CA1557" w:rsidRPr="00DD2C08">
        <w:t> </w:t>
      </w:r>
      <w:r w:rsidRPr="00DD2C08">
        <w:t>2023 au 31 décembre 2025.</w:t>
      </w:r>
    </w:p>
    <w:p w14:paraId="25683B83" w14:textId="0D13A19B" w:rsidR="00D2372C" w:rsidRPr="00DD2C08" w:rsidRDefault="00D2372C" w:rsidP="001467DB">
      <w:r w:rsidRPr="00DD2C08">
        <w:t>4.3</w:t>
      </w:r>
      <w:r w:rsidRPr="00DD2C08">
        <w:tab/>
        <w:t xml:space="preserve">Les charges sont subdivisées, dans les </w:t>
      </w:r>
      <w:r w:rsidR="00DA039E" w:rsidRPr="00DD2C08">
        <w:t>t</w:t>
      </w:r>
      <w:r w:rsidRPr="00DD2C08">
        <w:t xml:space="preserve">ableaux associés au projet de Résolution figurant </w:t>
      </w:r>
      <w:r w:rsidR="00804404" w:rsidRPr="00DD2C08">
        <w:t>dans l'annexe</w:t>
      </w:r>
      <w:r w:rsidRPr="00DD2C08">
        <w:t xml:space="preserve"> au présent document, en charges opérationnelles et en charges d'investissement. Les charges d'investissement correspondent à l'acquisition de matériel et d'équipement dont la durée de vie est de plus d'un an et dont la valeur estimée est supérieure à 5 000 CHF. Au total, les charges d'investissement sont estimées à </w:t>
      </w:r>
      <w:r w:rsidR="00804404" w:rsidRPr="00DD2C08">
        <w:t xml:space="preserve">796 000 </w:t>
      </w:r>
      <w:r w:rsidRPr="00DD2C08">
        <w:t>CHF dans le projet de budget</w:t>
      </w:r>
      <w:r w:rsidR="00804404" w:rsidRPr="00DD2C08">
        <w:t xml:space="preserve"> biennal de l'Union</w:t>
      </w:r>
      <w:r w:rsidRPr="00DD2C08">
        <w:t xml:space="preserve"> pour 2024-2025</w:t>
      </w:r>
      <w:r w:rsidR="00804404" w:rsidRPr="00DD2C08">
        <w:t xml:space="preserve"> </w:t>
      </w:r>
      <w:r w:rsidRPr="00DD2C08">
        <w:t>(</w:t>
      </w:r>
      <w:r w:rsidR="00804404" w:rsidRPr="00DD2C08">
        <w:t>voir le</w:t>
      </w:r>
      <w:r w:rsidRPr="00DD2C08">
        <w:t xml:space="preserve"> Table</w:t>
      </w:r>
      <w:r w:rsidR="00804404" w:rsidRPr="00DD2C08">
        <w:t>au</w:t>
      </w:r>
      <w:r w:rsidRPr="00DD2C08">
        <w:t xml:space="preserve"> 12 </w:t>
      </w:r>
      <w:r w:rsidR="00804404" w:rsidRPr="00DD2C08">
        <w:t>figurant dans l'annexe du présent document)</w:t>
      </w:r>
      <w:r w:rsidRPr="00DD2C08">
        <w:t>.</w:t>
      </w:r>
      <w:r w:rsidR="00627662" w:rsidRPr="00DD2C08">
        <w:t xml:space="preserve"> –</w:t>
      </w:r>
    </w:p>
    <w:p w14:paraId="442F496E" w14:textId="3162196A" w:rsidR="00804404" w:rsidRPr="00DD2C08" w:rsidRDefault="00804404" w:rsidP="001467DB">
      <w:pPr>
        <w:pStyle w:val="Heading1"/>
      </w:pPr>
      <w:r w:rsidRPr="00DD2C08">
        <w:t>5</w:t>
      </w:r>
      <w:r w:rsidRPr="00DD2C08">
        <w:tab/>
        <w:t>Bourses</w:t>
      </w:r>
    </w:p>
    <w:p w14:paraId="33193C8D" w14:textId="3E2740A8" w:rsidR="00804404" w:rsidRPr="00DD2C08" w:rsidRDefault="00804404" w:rsidP="001467DB">
      <w:r w:rsidRPr="00DD2C08">
        <w:t>5.1</w:t>
      </w:r>
      <w:r w:rsidRPr="00DD2C08">
        <w:tab/>
        <w:t>Les charges prévues en ce qui concerne les bourses s'élèvent à 2 361 000 CHF dans le projet de budget biennal de l'Union pour 2024-2025, contre 2 065 000 dans le budget de l'Union pour 2022</w:t>
      </w:r>
      <w:r w:rsidR="00634313" w:rsidRPr="00DD2C08">
        <w:t>-</w:t>
      </w:r>
      <w:r w:rsidRPr="00DD2C08">
        <w:t>2023, la répartition par Secteur étant indiquée dans le Tableau 4.</w:t>
      </w:r>
    </w:p>
    <w:p w14:paraId="016EC68F" w14:textId="11C40F81" w:rsidR="00CA1557" w:rsidRPr="00DD2C08" w:rsidRDefault="00CA1557">
      <w:pPr>
        <w:tabs>
          <w:tab w:val="clear" w:pos="567"/>
          <w:tab w:val="clear" w:pos="1134"/>
          <w:tab w:val="clear" w:pos="1701"/>
          <w:tab w:val="clear" w:pos="2268"/>
          <w:tab w:val="clear" w:pos="2835"/>
        </w:tabs>
        <w:overflowPunct/>
        <w:autoSpaceDE/>
        <w:autoSpaceDN/>
        <w:adjustRightInd/>
        <w:spacing w:before="0"/>
        <w:textAlignment w:val="auto"/>
      </w:pPr>
      <w:r w:rsidRPr="00DD2C08">
        <w:br w:type="page"/>
      </w:r>
    </w:p>
    <w:p w14:paraId="5F855BD2" w14:textId="2DF266C7" w:rsidR="00D2372C" w:rsidRPr="00DD2C08" w:rsidRDefault="00D2372C" w:rsidP="001467DB">
      <w:pPr>
        <w:pStyle w:val="Tabletitle"/>
      </w:pPr>
      <w:r w:rsidRPr="00DD2C08">
        <w:lastRenderedPageBreak/>
        <w:t>Tableau 4</w:t>
      </w:r>
    </w:p>
    <w:p w14:paraId="7144A153" w14:textId="5FA54873" w:rsidR="00D2372C" w:rsidRPr="00DD2C08" w:rsidRDefault="00CA1557" w:rsidP="001467DB">
      <w:pPr>
        <w:jc w:val="center"/>
      </w:pPr>
      <w:r w:rsidRPr="00DD2C08">
        <w:rPr>
          <w:noProof/>
        </w:rPr>
        <w:drawing>
          <wp:inline distT="0" distB="0" distL="0" distR="0" wp14:anchorId="2A8BD759" wp14:editId="7CB8FBEA">
            <wp:extent cx="4020185" cy="181165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020185" cy="1811655"/>
                    </a:xfrm>
                    <a:prstGeom prst="rect">
                      <a:avLst/>
                    </a:prstGeom>
                    <a:noFill/>
                    <a:ln>
                      <a:noFill/>
                    </a:ln>
                  </pic:spPr>
                </pic:pic>
              </a:graphicData>
            </a:graphic>
          </wp:inline>
        </w:drawing>
      </w:r>
    </w:p>
    <w:p w14:paraId="452E4F66" w14:textId="38E561ED" w:rsidR="006C2E31" w:rsidRPr="00DD2C08" w:rsidRDefault="006C2E31" w:rsidP="001467DB">
      <w:pPr>
        <w:pStyle w:val="Heading1"/>
      </w:pPr>
      <w:r w:rsidRPr="00DD2C08">
        <w:t>6</w:t>
      </w:r>
      <w:r w:rsidRPr="00DD2C08">
        <w:tab/>
      </w:r>
      <w:r w:rsidR="00804404" w:rsidRPr="00DD2C08">
        <w:t>Services linguistiques</w:t>
      </w:r>
    </w:p>
    <w:p w14:paraId="1CA8D05A" w14:textId="10E2820D" w:rsidR="006C2E31" w:rsidRPr="00DD2C08" w:rsidRDefault="006C2E31" w:rsidP="001467DB">
      <w:r w:rsidRPr="00DD2C08">
        <w:t>6.1</w:t>
      </w:r>
      <w:r w:rsidRPr="00DD2C08">
        <w:tab/>
        <w:t xml:space="preserve">Conformément au point 1.2 du </w:t>
      </w:r>
      <w:r w:rsidRPr="00DD2C08">
        <w:rPr>
          <w:i/>
          <w:iCs/>
        </w:rPr>
        <w:t>décide</w:t>
      </w:r>
      <w:r w:rsidRPr="00DD2C08">
        <w:t xml:space="preserve"> de la Décision 5 (Rév. Bucarest, 2022) de la Conférence de plénipotentiaires, les dépenses d'interprétation, de traduction et de traitement de texte afférentes aux langues officielles de l'Union ne dépasseront pas</w:t>
      </w:r>
      <w:r w:rsidR="00634313" w:rsidRPr="00DD2C08">
        <w:t> </w:t>
      </w:r>
      <w:r w:rsidRPr="00DD2C08">
        <w:t>85</w:t>
      </w:r>
      <w:r w:rsidR="00634313" w:rsidRPr="00DD2C08">
        <w:t> </w:t>
      </w:r>
      <w:r w:rsidRPr="00DD2C08">
        <w:t>millions CHF pour la période 2020-2023.</w:t>
      </w:r>
    </w:p>
    <w:p w14:paraId="3A8545E9" w14:textId="6E89DF6E" w:rsidR="00804404" w:rsidRPr="00DD2C08" w:rsidRDefault="006C2E31" w:rsidP="001467DB">
      <w:r w:rsidRPr="00DD2C08">
        <w:t>6.2</w:t>
      </w:r>
      <w:r w:rsidRPr="00DD2C08">
        <w:tab/>
        <w:t xml:space="preserve">Le Tableau 5 ci-après donne une estimation des charges des services linguistiques pour la période 2024-2025 par rapport au budget 2022-2023. </w:t>
      </w:r>
      <w:r w:rsidR="00804404" w:rsidRPr="00DD2C08">
        <w:t>La baisse des coûts liés au traitement de texte est principalement due à un ajustement apporté en vue de la répartition optimale des capacités fixes/variables dans les activités de traitement de texte.</w:t>
      </w:r>
    </w:p>
    <w:p w14:paraId="290903DC" w14:textId="42C915D7" w:rsidR="006C2E31" w:rsidRPr="00DD2C08" w:rsidRDefault="006C2E31" w:rsidP="00CA1557">
      <w:pPr>
        <w:pStyle w:val="Tabletitle"/>
        <w:spacing w:before="240"/>
      </w:pPr>
      <w:r w:rsidRPr="00DD2C08">
        <w:t>Tableau 5</w:t>
      </w:r>
    </w:p>
    <w:p w14:paraId="36E2EA77" w14:textId="062EA78C" w:rsidR="006C2E31" w:rsidRPr="00DD2C08" w:rsidRDefault="00CA1557" w:rsidP="003F6B0B">
      <w:pPr>
        <w:jc w:val="center"/>
      </w:pPr>
      <w:r w:rsidRPr="00DD2C08">
        <w:rPr>
          <w:noProof/>
        </w:rPr>
        <w:drawing>
          <wp:inline distT="0" distB="0" distL="0" distR="0" wp14:anchorId="7EE1DBAB" wp14:editId="36FC3FF7">
            <wp:extent cx="4020185" cy="181165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020185" cy="1811655"/>
                    </a:xfrm>
                    <a:prstGeom prst="rect">
                      <a:avLst/>
                    </a:prstGeom>
                    <a:noFill/>
                    <a:ln>
                      <a:noFill/>
                    </a:ln>
                  </pic:spPr>
                </pic:pic>
              </a:graphicData>
            </a:graphic>
          </wp:inline>
        </w:drawing>
      </w:r>
    </w:p>
    <w:p w14:paraId="0E7CE1C3" w14:textId="634DFE4D" w:rsidR="00345E68" w:rsidRPr="00DD2C08" w:rsidRDefault="00345E68" w:rsidP="001467DB">
      <w:pPr>
        <w:pStyle w:val="Heading1"/>
      </w:pPr>
      <w:r w:rsidRPr="00DD2C08">
        <w:t>7</w:t>
      </w:r>
      <w:r w:rsidRPr="00DD2C08">
        <w:tab/>
        <w:t xml:space="preserve">Postes </w:t>
      </w:r>
      <w:r w:rsidR="001B219E" w:rsidRPr="00DD2C08">
        <w:t xml:space="preserve">inscrits au </w:t>
      </w:r>
      <w:r w:rsidRPr="00DD2C08">
        <w:t>budg</w:t>
      </w:r>
      <w:r w:rsidR="001B219E" w:rsidRPr="00DD2C08">
        <w:t>et</w:t>
      </w:r>
    </w:p>
    <w:p w14:paraId="661E9610" w14:textId="18682018" w:rsidR="006C2E31" w:rsidRPr="00DD2C08" w:rsidRDefault="00345E68" w:rsidP="001467DB">
      <w:r w:rsidRPr="00DD2C08">
        <w:t>7.1</w:t>
      </w:r>
      <w:r w:rsidRPr="00DD2C08">
        <w:tab/>
        <w:t xml:space="preserve">Le nombre total de postes </w:t>
      </w:r>
      <w:r w:rsidR="001B219E" w:rsidRPr="00DD2C08">
        <w:t xml:space="preserve">inscrits au budget </w:t>
      </w:r>
      <w:r w:rsidRPr="00DD2C08">
        <w:t xml:space="preserve">pour la période </w:t>
      </w:r>
      <w:r w:rsidR="00624340" w:rsidRPr="00DD2C08">
        <w:t>2024-2025</w:t>
      </w:r>
      <w:r w:rsidRPr="00DD2C08">
        <w:t xml:space="preserve"> est de </w:t>
      </w:r>
      <w:r w:rsidR="00624340" w:rsidRPr="00DD2C08">
        <w:t>761</w:t>
      </w:r>
      <w:r w:rsidRPr="00DD2C08">
        <w:t xml:space="preserve">, soit </w:t>
      </w:r>
      <w:r w:rsidR="00DA5A2D" w:rsidRPr="00DD2C08">
        <w:t>18 postes de moins que dans le budget mis à jour pour 2022-2023.</w:t>
      </w:r>
      <w:r w:rsidRPr="00DD2C08">
        <w:t xml:space="preserve"> Le Tableau </w:t>
      </w:r>
      <w:r w:rsidR="00624340" w:rsidRPr="00DD2C08">
        <w:t>6</w:t>
      </w:r>
      <w:r w:rsidRPr="00DD2C08">
        <w:t xml:space="preserve"> ci</w:t>
      </w:r>
      <w:r w:rsidR="00242E81" w:rsidRPr="00DD2C08">
        <w:noBreakHyphen/>
      </w:r>
      <w:r w:rsidRPr="00DD2C08">
        <w:t xml:space="preserve">dessous montre la répartition </w:t>
      </w:r>
      <w:r w:rsidR="00DA5A2D" w:rsidRPr="00DD2C08">
        <w:t xml:space="preserve">des postes </w:t>
      </w:r>
      <w:r w:rsidR="001B219E" w:rsidRPr="00DD2C08">
        <w:t xml:space="preserve">prévus au budget </w:t>
      </w:r>
      <w:r w:rsidRPr="00DD2C08">
        <w:t>par Département du Secrétariat général et par Bureau, ainsi qu'une comparaison entre le</w:t>
      </w:r>
      <w:r w:rsidR="00DA5A2D" w:rsidRPr="00DD2C08">
        <w:t xml:space="preserve"> nombre de</w:t>
      </w:r>
      <w:r w:rsidRPr="00DD2C08">
        <w:t xml:space="preserve"> postes </w:t>
      </w:r>
      <w:r w:rsidR="001B219E" w:rsidRPr="00DD2C08">
        <w:t xml:space="preserve">inscrits au budget </w:t>
      </w:r>
      <w:r w:rsidRPr="00DD2C08">
        <w:t>pour 202</w:t>
      </w:r>
      <w:r w:rsidR="00DA5A2D" w:rsidRPr="00DD2C08">
        <w:t>4</w:t>
      </w:r>
      <w:r w:rsidRPr="00DD2C08">
        <w:t>-202</w:t>
      </w:r>
      <w:r w:rsidR="00DA5A2D" w:rsidRPr="00DD2C08">
        <w:t>5</w:t>
      </w:r>
      <w:r w:rsidRPr="00DD2C08">
        <w:t xml:space="preserve"> et ceux </w:t>
      </w:r>
      <w:r w:rsidR="001B219E" w:rsidRPr="00DD2C08">
        <w:t xml:space="preserve">inscrits </w:t>
      </w:r>
      <w:r w:rsidR="00C50E56" w:rsidRPr="00DD2C08">
        <w:t xml:space="preserve">au budget </w:t>
      </w:r>
      <w:r w:rsidRPr="00DD2C08">
        <w:t>pour 202</w:t>
      </w:r>
      <w:r w:rsidR="00DA5A2D" w:rsidRPr="00DD2C08">
        <w:t>2-2023</w:t>
      </w:r>
      <w:r w:rsidRPr="00DD2C08">
        <w:t>.</w:t>
      </w:r>
    </w:p>
    <w:p w14:paraId="42220089" w14:textId="2D7B4E81" w:rsidR="00242E81" w:rsidRPr="00DD2C08" w:rsidRDefault="00242E81">
      <w:pPr>
        <w:tabs>
          <w:tab w:val="clear" w:pos="567"/>
          <w:tab w:val="clear" w:pos="1134"/>
          <w:tab w:val="clear" w:pos="1701"/>
          <w:tab w:val="clear" w:pos="2268"/>
          <w:tab w:val="clear" w:pos="2835"/>
        </w:tabs>
        <w:overflowPunct/>
        <w:autoSpaceDE/>
        <w:autoSpaceDN/>
        <w:adjustRightInd/>
        <w:spacing w:before="0"/>
        <w:textAlignment w:val="auto"/>
      </w:pPr>
      <w:r w:rsidRPr="00DD2C08">
        <w:br w:type="page"/>
      </w:r>
    </w:p>
    <w:p w14:paraId="3ECCCF27" w14:textId="65AA7C79" w:rsidR="009248B4" w:rsidRPr="00DD2C08" w:rsidRDefault="009248B4" w:rsidP="001467DB">
      <w:pPr>
        <w:pStyle w:val="Tabletitle"/>
      </w:pPr>
      <w:r w:rsidRPr="00DD2C08">
        <w:lastRenderedPageBreak/>
        <w:t>Tableau 6</w:t>
      </w:r>
    </w:p>
    <w:p w14:paraId="338C3B6F" w14:textId="4C0198AE" w:rsidR="00627662" w:rsidRPr="00DD2C08" w:rsidRDefault="003F6B0B" w:rsidP="003F6B0B">
      <w:pPr>
        <w:jc w:val="center"/>
      </w:pPr>
      <w:r w:rsidRPr="00DD2C08">
        <w:rPr>
          <w:noProof/>
        </w:rPr>
        <w:drawing>
          <wp:inline distT="0" distB="0" distL="0" distR="0" wp14:anchorId="08A0BF1F" wp14:editId="5770281D">
            <wp:extent cx="5760085" cy="27495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60085" cy="2749550"/>
                    </a:xfrm>
                    <a:prstGeom prst="rect">
                      <a:avLst/>
                    </a:prstGeom>
                    <a:noFill/>
                    <a:ln>
                      <a:noFill/>
                    </a:ln>
                  </pic:spPr>
                </pic:pic>
              </a:graphicData>
            </a:graphic>
          </wp:inline>
        </w:drawing>
      </w:r>
    </w:p>
    <w:p w14:paraId="7CDD0A38" w14:textId="2E8F400C" w:rsidR="009248B4" w:rsidRPr="00DD2C08" w:rsidRDefault="009248B4" w:rsidP="001467DB">
      <w:r w:rsidRPr="00DD2C08">
        <w:t>7.2</w:t>
      </w:r>
      <w:r w:rsidRPr="00DD2C08">
        <w:tab/>
        <w:t xml:space="preserve">Le Diagramme 6 ci-dessous montre l'évolution du nombre de postes </w:t>
      </w:r>
      <w:r w:rsidR="001B219E" w:rsidRPr="00DD2C08">
        <w:t xml:space="preserve">inscrits au budget </w:t>
      </w:r>
      <w:r w:rsidRPr="00DD2C08">
        <w:t>depuis 2012.</w:t>
      </w:r>
    </w:p>
    <w:p w14:paraId="518D0E60" w14:textId="348F865A" w:rsidR="009248B4" w:rsidRPr="00DD2C08" w:rsidRDefault="00804C8C" w:rsidP="001467DB">
      <w:pPr>
        <w:pStyle w:val="Figuretitle"/>
      </w:pPr>
      <w:r w:rsidRPr="00DD2C08">
        <w:t>Graphique</w:t>
      </w:r>
      <w:r w:rsidR="009248B4" w:rsidRPr="00DD2C08">
        <w:t xml:space="preserve"> 6</w:t>
      </w:r>
    </w:p>
    <w:p w14:paraId="4430A676" w14:textId="253C1AE3" w:rsidR="009248B4" w:rsidRPr="00DD2C08" w:rsidRDefault="009248B4" w:rsidP="001467DB">
      <w:pPr>
        <w:pStyle w:val="Figure"/>
      </w:pPr>
      <w:r w:rsidRPr="00DD2C08">
        <w:rPr>
          <w:noProof/>
        </w:rPr>
        <w:drawing>
          <wp:inline distT="0" distB="0" distL="0" distR="0" wp14:anchorId="0DE04BBD" wp14:editId="70C639E5">
            <wp:extent cx="5499100" cy="3098800"/>
            <wp:effectExtent l="0" t="0" r="0" b="0"/>
            <wp:docPr id="3879210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921086" name=""/>
                    <pic:cNvPicPr/>
                  </pic:nvPicPr>
                  <pic:blipFill>
                    <a:blip r:embed="rId23"/>
                    <a:stretch>
                      <a:fillRect/>
                    </a:stretch>
                  </pic:blipFill>
                  <pic:spPr>
                    <a:xfrm>
                      <a:off x="0" y="0"/>
                      <a:ext cx="5499100" cy="3098800"/>
                    </a:xfrm>
                    <a:prstGeom prst="rect">
                      <a:avLst/>
                    </a:prstGeom>
                  </pic:spPr>
                </pic:pic>
              </a:graphicData>
            </a:graphic>
          </wp:inline>
        </w:drawing>
      </w:r>
    </w:p>
    <w:p w14:paraId="7387A9C6" w14:textId="36890B23" w:rsidR="00242E81" w:rsidRPr="00DD2C08" w:rsidRDefault="00242E81">
      <w:pPr>
        <w:tabs>
          <w:tab w:val="clear" w:pos="567"/>
          <w:tab w:val="clear" w:pos="1134"/>
          <w:tab w:val="clear" w:pos="1701"/>
          <w:tab w:val="clear" w:pos="2268"/>
          <w:tab w:val="clear" w:pos="2835"/>
        </w:tabs>
        <w:overflowPunct/>
        <w:autoSpaceDE/>
        <w:autoSpaceDN/>
        <w:adjustRightInd/>
        <w:spacing w:before="0"/>
        <w:textAlignment w:val="auto"/>
        <w:rPr>
          <w:b/>
          <w:sz w:val="28"/>
        </w:rPr>
      </w:pPr>
      <w:r w:rsidRPr="00DD2C08">
        <w:br w:type="page"/>
      </w:r>
    </w:p>
    <w:p w14:paraId="0E39DDDF" w14:textId="40BB7BC2" w:rsidR="009248B4" w:rsidRPr="00DD2C08" w:rsidRDefault="009248B4" w:rsidP="001467DB">
      <w:pPr>
        <w:pStyle w:val="Heading1"/>
      </w:pPr>
      <w:r w:rsidRPr="00DD2C08">
        <w:lastRenderedPageBreak/>
        <w:t>8</w:t>
      </w:r>
      <w:r w:rsidRPr="00DD2C08">
        <w:tab/>
      </w:r>
      <w:r w:rsidR="00D2259A" w:rsidRPr="00DD2C08">
        <w:t>Besoins de financement supplémentaires</w:t>
      </w:r>
    </w:p>
    <w:p w14:paraId="5D017187" w14:textId="4898D62A" w:rsidR="009248B4" w:rsidRPr="00DD2C08" w:rsidRDefault="009248B4" w:rsidP="001467DB">
      <w:r w:rsidRPr="00DD2C08">
        <w:t>8.1</w:t>
      </w:r>
      <w:r w:rsidRPr="00DD2C08">
        <w:tab/>
      </w:r>
      <w:r w:rsidR="00D2259A" w:rsidRPr="00DD2C08">
        <w:t xml:space="preserve">Certains besoins de financement supplémentaires avec un rang de priorité élevé qui n'avaient pas été pris en considération dans le plan financier pour 2024-2027 ont été </w:t>
      </w:r>
      <w:r w:rsidR="001B219E" w:rsidRPr="00DD2C08">
        <w:t xml:space="preserve">inclus </w:t>
      </w:r>
      <w:r w:rsidR="00D2259A" w:rsidRPr="00DD2C08">
        <w:t>dans le présent projet de budget biennal. D'autres besoins seront pris en compte dans le cadre de la mise en œuvre du budget de l'Union pour 2024-2025.</w:t>
      </w:r>
    </w:p>
    <w:p w14:paraId="1B6D26C1" w14:textId="4351A305" w:rsidR="009248B4" w:rsidRPr="00DD2C08" w:rsidRDefault="009248B4" w:rsidP="001467DB">
      <w:r w:rsidRPr="00DD2C08">
        <w:t>8.2</w:t>
      </w:r>
      <w:r w:rsidRPr="00DD2C08">
        <w:tab/>
      </w:r>
      <w:r w:rsidR="00D2259A" w:rsidRPr="00DD2C08">
        <w:t xml:space="preserve">La direction de l'UIT </w:t>
      </w:r>
      <w:r w:rsidR="001B219E" w:rsidRPr="00DD2C08">
        <w:t>s</w:t>
      </w:r>
      <w:r w:rsidR="00242E81" w:rsidRPr="00DD2C08">
        <w:t>'</w:t>
      </w:r>
      <w:r w:rsidR="001B219E" w:rsidRPr="00DD2C08">
        <w:t>efforcera de</w:t>
      </w:r>
      <w:r w:rsidR="00D2259A" w:rsidRPr="00DD2C08">
        <w:t xml:space="preserve"> trouver des financement</w:t>
      </w:r>
      <w:r w:rsidR="00C05D99" w:rsidRPr="00DD2C08">
        <w:t>s</w:t>
      </w:r>
      <w:r w:rsidR="00D2259A" w:rsidRPr="00DD2C08">
        <w:t xml:space="preserve"> pour </w:t>
      </w:r>
      <w:r w:rsidR="001B219E" w:rsidRPr="00DD2C08">
        <w:t xml:space="preserve">couvrir </w:t>
      </w:r>
      <w:r w:rsidR="00D2259A" w:rsidRPr="00DD2C08">
        <w:t xml:space="preserve">les besoins supplémentaires qui pourraient survenir dans la mise en œuvre du budget pour 2024-2025 </w:t>
      </w:r>
      <w:r w:rsidR="00D44FAF" w:rsidRPr="00DD2C08">
        <w:t>grâce à</w:t>
      </w:r>
      <w:r w:rsidR="00D2259A" w:rsidRPr="00DD2C08">
        <w:t>:</w:t>
      </w:r>
    </w:p>
    <w:p w14:paraId="4574845E" w14:textId="33842B74" w:rsidR="009248B4" w:rsidRPr="00DD2C08" w:rsidRDefault="00242E81" w:rsidP="001467DB">
      <w:pPr>
        <w:pStyle w:val="enumlev1"/>
      </w:pPr>
      <w:r w:rsidRPr="00DD2C08">
        <w:t>–</w:t>
      </w:r>
      <w:r w:rsidR="009248B4" w:rsidRPr="00DD2C08">
        <w:tab/>
      </w:r>
      <w:r w:rsidR="00C05D99" w:rsidRPr="00DD2C08">
        <w:t xml:space="preserve">la </w:t>
      </w:r>
      <w:r w:rsidR="009248B4" w:rsidRPr="00DD2C08">
        <w:t>mobili</w:t>
      </w:r>
      <w:r w:rsidR="00C05D99" w:rsidRPr="00DD2C08">
        <w:t>s</w:t>
      </w:r>
      <w:r w:rsidR="009248B4" w:rsidRPr="00DD2C08">
        <w:t xml:space="preserve">ation </w:t>
      </w:r>
      <w:r w:rsidR="00C05D99" w:rsidRPr="00DD2C08">
        <w:t xml:space="preserve">de fonds extrabudgétaires </w:t>
      </w:r>
      <w:r w:rsidR="009248B4" w:rsidRPr="00DD2C08">
        <w:t>(contributions</w:t>
      </w:r>
      <w:r w:rsidR="00C05D99" w:rsidRPr="00DD2C08">
        <w:t xml:space="preserve"> volontaires</w:t>
      </w:r>
      <w:r w:rsidR="009248B4" w:rsidRPr="00DD2C08">
        <w:t>);</w:t>
      </w:r>
    </w:p>
    <w:p w14:paraId="2206E437" w14:textId="3E983629" w:rsidR="009248B4" w:rsidRPr="00DD2C08" w:rsidRDefault="00242E81" w:rsidP="001467DB">
      <w:pPr>
        <w:pStyle w:val="enumlev1"/>
      </w:pPr>
      <w:r w:rsidRPr="00DD2C08">
        <w:t>–</w:t>
      </w:r>
      <w:r w:rsidR="009248B4" w:rsidRPr="00DD2C08">
        <w:tab/>
      </w:r>
      <w:r w:rsidR="00C05D99" w:rsidRPr="00DD2C08">
        <w:t xml:space="preserve">l'utilisation des fonds libérés grâce à la mise en </w:t>
      </w:r>
      <w:r w:rsidR="00933F0F" w:rsidRPr="00DD2C08">
        <w:t>œuvre</w:t>
      </w:r>
      <w:r w:rsidR="00C05D99" w:rsidRPr="00DD2C08">
        <w:t xml:space="preserve"> du programme de départ volontaire</w:t>
      </w:r>
      <w:r w:rsidR="009248B4" w:rsidRPr="00DD2C08">
        <w:t>;</w:t>
      </w:r>
    </w:p>
    <w:p w14:paraId="79259530" w14:textId="10EA5812" w:rsidR="009248B4" w:rsidRPr="00DD2C08" w:rsidRDefault="00242E81" w:rsidP="001467DB">
      <w:pPr>
        <w:pStyle w:val="enumlev1"/>
      </w:pPr>
      <w:r w:rsidRPr="00DD2C08">
        <w:t>–</w:t>
      </w:r>
      <w:r w:rsidR="009248B4" w:rsidRPr="00DD2C08">
        <w:tab/>
      </w:r>
      <w:r w:rsidR="00C05D99" w:rsidRPr="00DD2C08">
        <w:t xml:space="preserve">la mise en place de mesures d'efficacité conformément à l'Annexe 2 de la Décision </w:t>
      </w:r>
      <w:r w:rsidR="009248B4" w:rsidRPr="00DD2C08">
        <w:t>5 (Rév. Bucarest, 2022);</w:t>
      </w:r>
    </w:p>
    <w:p w14:paraId="31D94827" w14:textId="2A05E50B" w:rsidR="009248B4" w:rsidRPr="00DD2C08" w:rsidRDefault="00242E81" w:rsidP="001467DB">
      <w:pPr>
        <w:pStyle w:val="enumlev1"/>
      </w:pPr>
      <w:r w:rsidRPr="00DD2C08">
        <w:t>–</w:t>
      </w:r>
      <w:r w:rsidR="009248B4" w:rsidRPr="00DD2C08">
        <w:tab/>
      </w:r>
      <w:r w:rsidR="00C05D99" w:rsidRPr="00DD2C08">
        <w:t>la hiérarchisation des activités, y compris la clôture d'initiatives</w:t>
      </w:r>
      <w:r w:rsidR="009248B4" w:rsidRPr="00DD2C08">
        <w:t>;</w:t>
      </w:r>
    </w:p>
    <w:p w14:paraId="3473E618" w14:textId="474AF274" w:rsidR="009248B4" w:rsidRPr="00DD2C08" w:rsidRDefault="00242E81" w:rsidP="001467DB">
      <w:pPr>
        <w:pStyle w:val="enumlev1"/>
      </w:pPr>
      <w:r w:rsidRPr="00DD2C08">
        <w:t>–</w:t>
      </w:r>
      <w:r w:rsidR="009248B4" w:rsidRPr="00DD2C08">
        <w:tab/>
      </w:r>
      <w:r w:rsidR="00C05D99" w:rsidRPr="00DD2C08">
        <w:t>l'excellence institutionnelle</w:t>
      </w:r>
      <w:r w:rsidR="009248B4" w:rsidRPr="00DD2C08">
        <w:t>.</w:t>
      </w:r>
    </w:p>
    <w:p w14:paraId="6E7F8BA6" w14:textId="336DC372" w:rsidR="009248B4" w:rsidRPr="00DD2C08" w:rsidRDefault="009248B4" w:rsidP="001467DB">
      <w:pPr>
        <w:pStyle w:val="enumlev1"/>
      </w:pPr>
      <w:r w:rsidRPr="00DD2C08">
        <w:br w:type="page"/>
      </w:r>
    </w:p>
    <w:p w14:paraId="4D97A485" w14:textId="1C073612" w:rsidR="009248B4" w:rsidRPr="00DD2C08" w:rsidRDefault="009248B4" w:rsidP="001467DB">
      <w:pPr>
        <w:pStyle w:val="AnnexNo"/>
      </w:pPr>
      <w:r w:rsidRPr="00DD2C08">
        <w:lastRenderedPageBreak/>
        <w:t>ANNEXE</w:t>
      </w:r>
    </w:p>
    <w:p w14:paraId="4D8F65E5" w14:textId="70DEDE39" w:rsidR="009248B4" w:rsidRPr="00DD2C08" w:rsidRDefault="002216D0" w:rsidP="001467DB">
      <w:pPr>
        <w:pStyle w:val="ResNo"/>
      </w:pPr>
      <w:r w:rsidRPr="00DD2C08">
        <w:t>Projet de</w:t>
      </w:r>
      <w:r w:rsidR="009248B4" w:rsidRPr="00DD2C08">
        <w:t xml:space="preserve"> R</w:t>
      </w:r>
      <w:r w:rsidRPr="00DD2C08">
        <w:t>É</w:t>
      </w:r>
      <w:r w:rsidR="009248B4" w:rsidRPr="00DD2C08">
        <w:t>SOLUTION XXX</w:t>
      </w:r>
    </w:p>
    <w:p w14:paraId="14EFC355" w14:textId="2D30DEDA" w:rsidR="009248B4" w:rsidRPr="00DD2C08" w:rsidRDefault="002216D0" w:rsidP="001467DB">
      <w:pPr>
        <w:pStyle w:val="Restitle"/>
      </w:pPr>
      <w:r w:rsidRPr="00DD2C08">
        <w:t>Budget biennal de l'Union</w:t>
      </w:r>
      <w:r w:rsidR="00242E81" w:rsidRPr="00DD2C08">
        <w:t xml:space="preserve"> </w:t>
      </w:r>
      <w:r w:rsidRPr="00DD2C08">
        <w:t>pour 2024-2025</w:t>
      </w:r>
    </w:p>
    <w:p w14:paraId="34A32FE1" w14:textId="2EB5017F" w:rsidR="002216D0" w:rsidRPr="00DD2C08" w:rsidRDefault="002216D0" w:rsidP="001467DB">
      <w:pPr>
        <w:pStyle w:val="Normalaftertitle"/>
      </w:pPr>
      <w:r w:rsidRPr="00DD2C08">
        <w:t>Le Conseil,</w:t>
      </w:r>
    </w:p>
    <w:p w14:paraId="73708A80" w14:textId="77777777" w:rsidR="002216D0" w:rsidRPr="00DD2C08" w:rsidRDefault="002216D0" w:rsidP="001467DB">
      <w:pPr>
        <w:pStyle w:val="Call"/>
      </w:pPr>
      <w:r w:rsidRPr="00DD2C08">
        <w:t>au vu</w:t>
      </w:r>
    </w:p>
    <w:p w14:paraId="3F7E4071" w14:textId="46E21993" w:rsidR="002216D0" w:rsidRPr="00DD2C08" w:rsidRDefault="002216D0" w:rsidP="001467DB">
      <w:r w:rsidRPr="00DD2C08">
        <w:t>des dispositions de la Convention de l'Union internationale des télécommunications,</w:t>
      </w:r>
    </w:p>
    <w:p w14:paraId="697B1746" w14:textId="77777777" w:rsidR="002216D0" w:rsidRPr="00DD2C08" w:rsidRDefault="002216D0" w:rsidP="001467DB">
      <w:pPr>
        <w:pStyle w:val="Call"/>
      </w:pPr>
      <w:r w:rsidRPr="00DD2C08">
        <w:t>compte tenu</w:t>
      </w:r>
    </w:p>
    <w:p w14:paraId="3238CBAC" w14:textId="1A011910" w:rsidR="002216D0" w:rsidRPr="00DD2C08" w:rsidRDefault="002216D0" w:rsidP="001467DB">
      <w:r w:rsidRPr="00DD2C08">
        <w:rPr>
          <w:i/>
          <w:iCs/>
        </w:rPr>
        <w:t>a)</w:t>
      </w:r>
      <w:r w:rsidRPr="00DD2C08">
        <w:rPr>
          <w:i/>
          <w:iCs/>
        </w:rPr>
        <w:tab/>
      </w:r>
      <w:r w:rsidRPr="00DD2C08">
        <w:t>des dispositions de la Décision 5 (Rév. Bucarest, 2022) de la Conférence de plénipotentiaires relatives aux produits et charges de l'Union pour la période 2024-202</w:t>
      </w:r>
      <w:r w:rsidR="00C05D99" w:rsidRPr="00DD2C08">
        <w:t>7</w:t>
      </w:r>
      <w:r w:rsidRPr="00DD2C08">
        <w:t>, qui précisent que le montant de l'unité contributive des États Membres pour l'exercice</w:t>
      </w:r>
      <w:r w:rsidR="00242E81" w:rsidRPr="00DD2C08">
        <w:t> </w:t>
      </w:r>
      <w:r w:rsidRPr="00DD2C08">
        <w:t>2024</w:t>
      </w:r>
      <w:r w:rsidR="00242E81" w:rsidRPr="00DD2C08">
        <w:noBreakHyphen/>
      </w:r>
      <w:r w:rsidRPr="00DD2C08">
        <w:t xml:space="preserve">2025 </w:t>
      </w:r>
      <w:r w:rsidR="00D44FAF" w:rsidRPr="00DD2C08">
        <w:t>s</w:t>
      </w:r>
      <w:r w:rsidR="00242E81" w:rsidRPr="00DD2C08">
        <w:t>'</w:t>
      </w:r>
      <w:r w:rsidR="00D44FAF" w:rsidRPr="00DD2C08">
        <w:t>élèvera à</w:t>
      </w:r>
      <w:r w:rsidRPr="00DD2C08">
        <w:t xml:space="preserve"> 318 000 CHF;</w:t>
      </w:r>
    </w:p>
    <w:p w14:paraId="47EA46E6" w14:textId="77777777" w:rsidR="002216D0" w:rsidRPr="00DD2C08" w:rsidRDefault="002216D0" w:rsidP="001467DB">
      <w:r w:rsidRPr="00DD2C08">
        <w:rPr>
          <w:i/>
          <w:iCs/>
        </w:rPr>
        <w:t>b)</w:t>
      </w:r>
      <w:r w:rsidRPr="00DD2C08">
        <w:tab/>
        <w:t>des dispositions de l'Article 11 du Règlement financier et des Règles financières de l'Union relatives aux transferts de crédits budgétaires,</w:t>
      </w:r>
    </w:p>
    <w:p w14:paraId="01AEAEFD" w14:textId="77777777" w:rsidR="002216D0" w:rsidRPr="00DD2C08" w:rsidRDefault="002216D0" w:rsidP="001467DB">
      <w:pPr>
        <w:pStyle w:val="Call"/>
      </w:pPr>
      <w:r w:rsidRPr="00DD2C08">
        <w:t>décide d'approuver</w:t>
      </w:r>
    </w:p>
    <w:p w14:paraId="2E3A102F" w14:textId="76AF76D8" w:rsidR="009248B4" w:rsidRPr="00DD2C08" w:rsidRDefault="002216D0" w:rsidP="001467DB">
      <w:pPr>
        <w:pStyle w:val="Normalaftertitle"/>
      </w:pPr>
      <w:r w:rsidRPr="00DD2C08">
        <w:t xml:space="preserve">le budget biennal de l'Union pour 2024-2025, d'un montant de 164 933 000 CHF pour 2024 et de </w:t>
      </w:r>
      <w:r w:rsidR="00EC22DD" w:rsidRPr="00DD2C08">
        <w:t>164 134</w:t>
      </w:r>
      <w:r w:rsidR="00D44FAF" w:rsidRPr="00DD2C08">
        <w:t> 000</w:t>
      </w:r>
      <w:r w:rsidRPr="00DD2C08">
        <w:t xml:space="preserve"> CHF pour </w:t>
      </w:r>
      <w:r w:rsidR="00EC22DD" w:rsidRPr="00DD2C08">
        <w:t>2025</w:t>
      </w:r>
      <w:r w:rsidRPr="00DD2C08">
        <w:t>, soit un total de 329 067 000 CHF pour l'exercice biennal</w:t>
      </w:r>
      <w:r w:rsidR="00242E81" w:rsidRPr="00DD2C08">
        <w:t> </w:t>
      </w:r>
      <w:r w:rsidRPr="00DD2C08">
        <w:t>2024-2025 répartis comme suit:</w:t>
      </w:r>
    </w:p>
    <w:p w14:paraId="2BF53141" w14:textId="447935C4" w:rsidR="00EC22DD" w:rsidRPr="00DD2C08" w:rsidRDefault="00AB795F" w:rsidP="00AB795F">
      <w:pPr>
        <w:pStyle w:val="Figure"/>
      </w:pPr>
      <w:r w:rsidRPr="00DD2C08">
        <w:rPr>
          <w:noProof/>
        </w:rPr>
        <w:drawing>
          <wp:inline distT="0" distB="0" distL="0" distR="0" wp14:anchorId="1F3AB1FE" wp14:editId="572D9D1D">
            <wp:extent cx="5760085" cy="1819910"/>
            <wp:effectExtent l="0" t="0" r="0" b="889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60085" cy="1819910"/>
                    </a:xfrm>
                    <a:prstGeom prst="rect">
                      <a:avLst/>
                    </a:prstGeom>
                    <a:noFill/>
                    <a:ln>
                      <a:noFill/>
                    </a:ln>
                  </pic:spPr>
                </pic:pic>
              </a:graphicData>
            </a:graphic>
          </wp:inline>
        </w:drawing>
      </w:r>
    </w:p>
    <w:p w14:paraId="181A73DD" w14:textId="77777777" w:rsidR="00EC22DD" w:rsidRPr="00DD2C08" w:rsidRDefault="00EC22DD" w:rsidP="00AB795F">
      <w:pPr>
        <w:pStyle w:val="Call"/>
        <w:spacing w:before="240"/>
      </w:pPr>
      <w:r w:rsidRPr="00DD2C08">
        <w:t>décide en outre</w:t>
      </w:r>
    </w:p>
    <w:p w14:paraId="49DB9264" w14:textId="4E1135A6" w:rsidR="00EC22DD" w:rsidRPr="00DD2C08" w:rsidRDefault="00EC22DD" w:rsidP="001467DB">
      <w:pPr>
        <w:rPr>
          <w:rFonts w:cs="Calibri"/>
        </w:rPr>
      </w:pPr>
      <w:r w:rsidRPr="00DD2C08">
        <w:rPr>
          <w:rFonts w:cs="Calibri"/>
        </w:rPr>
        <w:t>1</w:t>
      </w:r>
      <w:r w:rsidRPr="00DD2C08">
        <w:rPr>
          <w:rFonts w:cs="Calibri"/>
        </w:rPr>
        <w:tab/>
        <w:t xml:space="preserve">de fixer à 318 000 CHF le montant annuel de l'unité contributive pour 2024 et 2025, sur la base de la classe de contribution choisie par les États Membres conformément au numéro 160 de la Constitution </w:t>
      </w:r>
      <w:r w:rsidR="00742381" w:rsidRPr="00DD2C08">
        <w:rPr>
          <w:rFonts w:cs="Calibri"/>
        </w:rPr>
        <w:t xml:space="preserve">de l'UIT </w:t>
      </w:r>
      <w:r w:rsidRPr="00DD2C08">
        <w:rPr>
          <w:rFonts w:cs="Calibri"/>
        </w:rPr>
        <w:t>et au numéro 468 de la Convention</w:t>
      </w:r>
      <w:r w:rsidR="00742381" w:rsidRPr="00DD2C08">
        <w:rPr>
          <w:rFonts w:cs="Calibri"/>
        </w:rPr>
        <w:t xml:space="preserve">, </w:t>
      </w:r>
      <w:r w:rsidRPr="00DD2C08">
        <w:rPr>
          <w:rFonts w:cs="Calibri"/>
        </w:rPr>
        <w:t xml:space="preserve">autrement dit sur la base d'un total de </w:t>
      </w:r>
      <w:r w:rsidR="00846B53" w:rsidRPr="00DD2C08">
        <w:rPr>
          <w:rFonts w:cs="Calibri"/>
        </w:rPr>
        <w:t>355 15</w:t>
      </w:r>
      <w:r w:rsidRPr="00DD2C08">
        <w:rPr>
          <w:rFonts w:cs="Calibri"/>
        </w:rPr>
        <w:t>/16 unités;</w:t>
      </w:r>
    </w:p>
    <w:p w14:paraId="7B1373FA" w14:textId="00ACA9A6" w:rsidR="00846B53" w:rsidRPr="00DD2C08" w:rsidRDefault="00846B53" w:rsidP="001467DB">
      <w:pPr>
        <w:rPr>
          <w:rFonts w:cs="Calibri"/>
        </w:rPr>
      </w:pPr>
      <w:r w:rsidRPr="00DD2C08">
        <w:rPr>
          <w:rFonts w:cs="Calibri"/>
        </w:rPr>
        <w:t>2</w:t>
      </w:r>
      <w:r w:rsidRPr="00DD2C08">
        <w:rPr>
          <w:rFonts w:cs="Calibri"/>
        </w:rPr>
        <w:tab/>
        <w:t>de fixer à 63 600 CHF le montant annuel de l'unité contributive pour 2024 et 2025 que doivent acquitter les Membres des Secteurs pour le financement des charges des réunions du Secteur des radiocommunications (UIT</w:t>
      </w:r>
      <w:r w:rsidRPr="00DD2C08">
        <w:rPr>
          <w:rFonts w:cs="Calibri"/>
        </w:rPr>
        <w:noBreakHyphen/>
        <w:t>R), du Secteur de la normalisation des télécommunications (UIT</w:t>
      </w:r>
      <w:r w:rsidRPr="00DD2C08">
        <w:rPr>
          <w:rFonts w:cs="Calibri"/>
        </w:rPr>
        <w:noBreakHyphen/>
        <w:t>T) et du Secteur du développement des télécommunications (UIT</w:t>
      </w:r>
      <w:r w:rsidRPr="00DD2C08">
        <w:rPr>
          <w:rFonts w:cs="Calibri"/>
        </w:rPr>
        <w:noBreakHyphen/>
        <w:t>D), conformément au numéro 480 de la Convention</w:t>
      </w:r>
      <w:r w:rsidR="00742381" w:rsidRPr="00DD2C08">
        <w:rPr>
          <w:rFonts w:cs="Calibri"/>
        </w:rPr>
        <w:t>;</w:t>
      </w:r>
    </w:p>
    <w:p w14:paraId="34553C73" w14:textId="77777777" w:rsidR="00846B53" w:rsidRPr="00DD2C08" w:rsidRDefault="00846B53" w:rsidP="001467DB">
      <w:r w:rsidRPr="00DD2C08">
        <w:lastRenderedPageBreak/>
        <w:t>3</w:t>
      </w:r>
      <w:r w:rsidRPr="00DD2C08">
        <w:tab/>
        <w:t>de fixer le montant de la contribution financière des Associés comme suit:</w:t>
      </w:r>
    </w:p>
    <w:p w14:paraId="44FCE0B8" w14:textId="1B56110E" w:rsidR="00846B53" w:rsidRPr="00DD2C08" w:rsidRDefault="00846B53" w:rsidP="00263F16">
      <w:pPr>
        <w:pStyle w:val="enumlev1"/>
      </w:pPr>
      <w:r w:rsidRPr="00DD2C08">
        <w:t>a)</w:t>
      </w:r>
      <w:r w:rsidRPr="00DD2C08">
        <w:tab/>
        <w:t>10 600 CHF pour les Associés participant aux travaux de l'UIT</w:t>
      </w:r>
      <w:r w:rsidRPr="00DD2C08">
        <w:noBreakHyphen/>
        <w:t>T et de l'UIT</w:t>
      </w:r>
      <w:r w:rsidRPr="00DD2C08">
        <w:noBreakHyphen/>
        <w:t>R;</w:t>
      </w:r>
    </w:p>
    <w:p w14:paraId="3445BDA0" w14:textId="5201D9F3" w:rsidR="00846B53" w:rsidRPr="00DD2C08" w:rsidRDefault="00846B53" w:rsidP="00263F16">
      <w:pPr>
        <w:pStyle w:val="enumlev1"/>
      </w:pPr>
      <w:r w:rsidRPr="00DD2C08">
        <w:t>b)</w:t>
      </w:r>
      <w:r w:rsidRPr="00DD2C08">
        <w:tab/>
        <w:t>3 975 CHF pour les Associés participant aux travaux de l'UIT</w:t>
      </w:r>
      <w:r w:rsidRPr="00DD2C08">
        <w:noBreakHyphen/>
        <w:t>D;</w:t>
      </w:r>
    </w:p>
    <w:p w14:paraId="7288613D" w14:textId="74751D08" w:rsidR="00846B53" w:rsidRPr="00DD2C08" w:rsidRDefault="00846B53" w:rsidP="00263F16">
      <w:pPr>
        <w:pStyle w:val="enumlev1"/>
      </w:pPr>
      <w:r w:rsidRPr="00DD2C08">
        <w:t>c)</w:t>
      </w:r>
      <w:r w:rsidRPr="00DD2C08">
        <w:tab/>
        <w:t>1 987,50 CHF pour les Associés des pays en développement participant aux travaux de l'UIT</w:t>
      </w:r>
      <w:r w:rsidRPr="00DD2C08">
        <w:noBreakHyphen/>
        <w:t>D;</w:t>
      </w:r>
    </w:p>
    <w:p w14:paraId="75075140" w14:textId="6F91C08A" w:rsidR="00846B53" w:rsidRPr="00DD2C08" w:rsidRDefault="00846B53" w:rsidP="001467DB">
      <w:r w:rsidRPr="00DD2C08">
        <w:t>4</w:t>
      </w:r>
      <w:r w:rsidRPr="00DD2C08">
        <w:tab/>
        <w:t>de fixer le montant annuel de la contribution des établissements universitaires,</w:t>
      </w:r>
      <w:r w:rsidR="00742381" w:rsidRPr="00DD2C08">
        <w:t xml:space="preserve"> y</w:t>
      </w:r>
      <w:r w:rsidR="00AB795F" w:rsidRPr="00DD2C08">
        <w:t> </w:t>
      </w:r>
      <w:r w:rsidR="00742381" w:rsidRPr="00DD2C08">
        <w:t>compris</w:t>
      </w:r>
      <w:r w:rsidRPr="00DD2C08">
        <w:t xml:space="preserve"> des universités et de leurs instituts de recherche associés</w:t>
      </w:r>
      <w:r w:rsidR="00742381" w:rsidRPr="00DD2C08">
        <w:t>,</w:t>
      </w:r>
      <w:r w:rsidRPr="00DD2C08">
        <w:t xml:space="preserve"> comme suit:</w:t>
      </w:r>
    </w:p>
    <w:p w14:paraId="34C4FA43" w14:textId="134B21A7" w:rsidR="00846B53" w:rsidRPr="00DD2C08" w:rsidRDefault="00846B53" w:rsidP="00263F16">
      <w:pPr>
        <w:pStyle w:val="enumlev1"/>
        <w:rPr>
          <w:rFonts w:cs="Calibri"/>
        </w:rPr>
      </w:pPr>
      <w:r w:rsidRPr="00DD2C08">
        <w:rPr>
          <w:rFonts w:cs="Calibri"/>
        </w:rPr>
        <w:t>a)</w:t>
      </w:r>
      <w:r w:rsidRPr="00DD2C08">
        <w:rPr>
          <w:rFonts w:cs="Calibri"/>
        </w:rPr>
        <w:tab/>
      </w:r>
      <w:r w:rsidRPr="00DD2C08">
        <w:t xml:space="preserve">3 975 CHF pour les </w:t>
      </w:r>
      <w:r w:rsidR="00742381" w:rsidRPr="00DD2C08">
        <w:t>établissements universitaires</w:t>
      </w:r>
      <w:r w:rsidRPr="00DD2C08">
        <w:t xml:space="preserve"> venant de pays développés qui participent aux travaux des trois Secteurs;</w:t>
      </w:r>
    </w:p>
    <w:p w14:paraId="03C1B97B" w14:textId="20E71C6E" w:rsidR="00846B53" w:rsidRPr="00DD2C08" w:rsidRDefault="00846B53" w:rsidP="00263F16">
      <w:pPr>
        <w:pStyle w:val="enumlev1"/>
        <w:rPr>
          <w:rFonts w:cs="Calibri"/>
        </w:rPr>
      </w:pPr>
      <w:r w:rsidRPr="00DD2C08">
        <w:rPr>
          <w:rFonts w:cs="Calibri"/>
        </w:rPr>
        <w:t>b)</w:t>
      </w:r>
      <w:r w:rsidRPr="00DD2C08">
        <w:rPr>
          <w:rFonts w:cs="Calibri"/>
        </w:rPr>
        <w:tab/>
      </w:r>
      <w:r w:rsidRPr="00DD2C08">
        <w:t xml:space="preserve">1 987,50 CHF pour les </w:t>
      </w:r>
      <w:r w:rsidR="00742381" w:rsidRPr="00DD2C08">
        <w:t>établissements universitaires</w:t>
      </w:r>
      <w:r w:rsidRPr="00DD2C08">
        <w:t xml:space="preserve"> venant de pays en développement qui participent aux travaux des trois Secteurs;</w:t>
      </w:r>
    </w:p>
    <w:p w14:paraId="39F54EB1" w14:textId="5737A38E" w:rsidR="00846B53" w:rsidRPr="00DD2C08" w:rsidRDefault="00846B53" w:rsidP="001467DB">
      <w:pPr>
        <w:rPr>
          <w:rFonts w:cs="Calibri"/>
          <w:szCs w:val="24"/>
        </w:rPr>
      </w:pPr>
      <w:r w:rsidRPr="00DD2C08">
        <w:rPr>
          <w:rFonts w:cs="Calibri"/>
          <w:szCs w:val="24"/>
        </w:rPr>
        <w:t>5</w:t>
      </w:r>
      <w:r w:rsidRPr="00DD2C08">
        <w:rPr>
          <w:rFonts w:cs="Calibri"/>
          <w:szCs w:val="24"/>
        </w:rPr>
        <w:tab/>
        <w:t xml:space="preserve">d'autoriser le </w:t>
      </w:r>
      <w:r w:rsidRPr="00DD2C08">
        <w:rPr>
          <w:rFonts w:cs="Calibri"/>
          <w:bCs/>
          <w:szCs w:val="24"/>
        </w:rPr>
        <w:t>Secrétaire général</w:t>
      </w:r>
      <w:r w:rsidR="00742381" w:rsidRPr="00DD2C08">
        <w:rPr>
          <w:rFonts w:cs="Calibri"/>
          <w:bCs/>
          <w:szCs w:val="24"/>
        </w:rPr>
        <w:t>, dans le cadre de la mise en œuvre du budget pour</w:t>
      </w:r>
      <w:r w:rsidR="001959E9" w:rsidRPr="00DD2C08">
        <w:rPr>
          <w:rFonts w:cs="Calibri"/>
          <w:bCs/>
          <w:szCs w:val="24"/>
        </w:rPr>
        <w:t> </w:t>
      </w:r>
      <w:r w:rsidR="00742381" w:rsidRPr="00DD2C08">
        <w:rPr>
          <w:rFonts w:cs="Calibri"/>
          <w:bCs/>
          <w:szCs w:val="24"/>
        </w:rPr>
        <w:t>2024-2025,</w:t>
      </w:r>
      <w:r w:rsidRPr="00DD2C08">
        <w:rPr>
          <w:rFonts w:cs="Calibri"/>
          <w:szCs w:val="24"/>
        </w:rPr>
        <w:t xml:space="preserve"> à ajuster les crédits budgétaires en rapport avec les postes de dépenses indiqués aux points a) et b) ci-après</w:t>
      </w:r>
      <w:r w:rsidR="005A3CAB" w:rsidRPr="00DD2C08">
        <w:rPr>
          <w:rFonts w:cs="Calibri"/>
          <w:szCs w:val="24"/>
        </w:rPr>
        <w:t>,</w:t>
      </w:r>
      <w:r w:rsidRPr="00DD2C08">
        <w:rPr>
          <w:rFonts w:cs="Calibri"/>
          <w:szCs w:val="24"/>
        </w:rPr>
        <w:t xml:space="preserve"> conformément aux modifications effectives par le biais de l'utilisation du Fonds de réserve et à condition que le niveau de ce Fonds reste le même que celui qui est prescrit dans la Décision 5 (Rév. Bucarest, 2022) de la Conférence de plénipotentiaires:</w:t>
      </w:r>
    </w:p>
    <w:p w14:paraId="12D8C02F" w14:textId="22B59A6B" w:rsidR="00846B53" w:rsidRPr="00DD2C08" w:rsidRDefault="00846B53" w:rsidP="00263F16">
      <w:pPr>
        <w:pStyle w:val="enumlev1"/>
      </w:pPr>
      <w:r w:rsidRPr="00DD2C08">
        <w:t>a)</w:t>
      </w:r>
      <w:r w:rsidRPr="00DD2C08">
        <w:tab/>
        <w:t>augmentation des barèmes de traitement</w:t>
      </w:r>
      <w:r w:rsidR="00933F0F" w:rsidRPr="00DD2C08">
        <w:t>,</w:t>
      </w:r>
      <w:r w:rsidRPr="00DD2C08">
        <w:t xml:space="preserve"> contributions au titre des pensions et indemnités</w:t>
      </w:r>
      <w:r w:rsidR="005A3CAB" w:rsidRPr="00DD2C08">
        <w:t>,</w:t>
      </w:r>
      <w:r w:rsidRPr="00DD2C08">
        <w:t xml:space="preserve"> y compris les indemnités de poste applicables à Genève, telles qu'établies par le régime commun des Nations Unies;</w:t>
      </w:r>
    </w:p>
    <w:p w14:paraId="2051836C" w14:textId="77777777" w:rsidR="00846B53" w:rsidRPr="00DD2C08" w:rsidRDefault="00846B53" w:rsidP="00263F16">
      <w:pPr>
        <w:pStyle w:val="enumlev1"/>
      </w:pPr>
      <w:r w:rsidRPr="00DD2C08">
        <w:t>b)</w:t>
      </w:r>
      <w:r w:rsidRPr="00DD2C08">
        <w:tab/>
        <w:t>fluctuations du taux de change entre le franc suisse et le dollar des États-Unis, dans la mesure où elles influent sur les dépenses afférentes au personnel payé selon le barème des Nations Unies;</w:t>
      </w:r>
    </w:p>
    <w:p w14:paraId="30F17616" w14:textId="17BADB4F" w:rsidR="00846B53" w:rsidRPr="00DD2C08" w:rsidRDefault="00846B53" w:rsidP="001467DB">
      <w:pPr>
        <w:rPr>
          <w:rFonts w:cs="Calibri"/>
          <w:szCs w:val="24"/>
        </w:rPr>
      </w:pPr>
      <w:r w:rsidRPr="00DD2C08">
        <w:rPr>
          <w:rFonts w:cs="Calibri"/>
          <w:szCs w:val="24"/>
        </w:rPr>
        <w:t>6</w:t>
      </w:r>
      <w:r w:rsidRPr="00DD2C08">
        <w:rPr>
          <w:rFonts w:cs="Calibri"/>
          <w:szCs w:val="24"/>
        </w:rPr>
        <w:tab/>
      </w:r>
      <w:r w:rsidR="00742381" w:rsidRPr="00DD2C08">
        <w:rPr>
          <w:rFonts w:cs="Calibri"/>
          <w:szCs w:val="24"/>
        </w:rPr>
        <w:t xml:space="preserve">de charger le Secrétaire général de soumettre chaque année au Conseil un rapport complet avec toute documentation utile justifiant les mesures prises, ainsi qu'un état des incidences financières du point 5 du </w:t>
      </w:r>
      <w:r w:rsidR="00742381" w:rsidRPr="00DD2C08">
        <w:rPr>
          <w:rFonts w:cs="Calibri"/>
          <w:i/>
          <w:iCs/>
          <w:szCs w:val="24"/>
        </w:rPr>
        <w:t>décide en outre</w:t>
      </w:r>
      <w:r w:rsidR="00742381" w:rsidRPr="00DD2C08">
        <w:rPr>
          <w:rFonts w:cs="Calibri"/>
          <w:szCs w:val="24"/>
        </w:rPr>
        <w:t xml:space="preserve"> ci-dessus;</w:t>
      </w:r>
    </w:p>
    <w:p w14:paraId="3ECBEB77" w14:textId="257455B1" w:rsidR="00846B53" w:rsidRPr="00DD2C08" w:rsidRDefault="00846B53" w:rsidP="001467DB">
      <w:pPr>
        <w:rPr>
          <w:rFonts w:cs="Calibri"/>
          <w:szCs w:val="24"/>
        </w:rPr>
      </w:pPr>
      <w:r w:rsidRPr="00DD2C08">
        <w:t>7</w:t>
      </w:r>
      <w:r w:rsidRPr="00DD2C08">
        <w:tab/>
        <w:t xml:space="preserve">d'accorder au Secrétaire général, pour l'exercice biennal 2024-2025, relativement à la </w:t>
      </w:r>
      <w:r w:rsidRPr="00DD2C08">
        <w:rPr>
          <w:i/>
          <w:iCs/>
        </w:rPr>
        <w:t>Règle 6.1</w:t>
      </w:r>
      <w:r w:rsidRPr="00DD2C08">
        <w:t xml:space="preserve"> du Règlement financier et des Règles financières, la souplesse nécessaire pour compenser les excédents de dépenses pour les catégories 1 et 2 (charges de personnel) par des économies réalisées pour les catégories 3 à 9 (charges autres que les charges de personnel) et de procéder</w:t>
      </w:r>
      <w:r w:rsidR="002D0FA7" w:rsidRPr="00DD2C08">
        <w:t>,</w:t>
      </w:r>
      <w:r w:rsidRPr="00DD2C08">
        <w:t xml:space="preserve"> au besoin</w:t>
      </w:r>
      <w:r w:rsidR="002D0FA7" w:rsidRPr="00DD2C08">
        <w:t>,</w:t>
      </w:r>
      <w:r w:rsidRPr="00DD2C08">
        <w:t xml:space="preserve"> aux transferts nécessaires.</w:t>
      </w:r>
    </w:p>
    <w:p w14:paraId="0C52E57A" w14:textId="56F1522C" w:rsidR="00846B53" w:rsidRPr="00DD2C08" w:rsidRDefault="00247AC8" w:rsidP="001467DB">
      <w:pPr>
        <w:rPr>
          <w:rFonts w:cs="Calibri"/>
          <w:szCs w:val="24"/>
        </w:rPr>
      </w:pPr>
      <w:r w:rsidRPr="00DD2C08">
        <w:rPr>
          <w:rFonts w:cs="Calibri"/>
          <w:szCs w:val="24"/>
        </w:rPr>
        <w:t>8</w:t>
      </w:r>
      <w:r w:rsidR="00846B53" w:rsidRPr="00DD2C08">
        <w:rPr>
          <w:rFonts w:cs="Calibri"/>
          <w:szCs w:val="24"/>
        </w:rPr>
        <w:tab/>
        <w:t xml:space="preserve">d'autoriser le Secrétariat général à équilibrer les comptes pour 2024-2025, au besoin en utilisant les excédents de </w:t>
      </w:r>
      <w:r w:rsidR="002D0FA7" w:rsidRPr="00DD2C08">
        <w:rPr>
          <w:rFonts w:cs="Calibri"/>
          <w:szCs w:val="24"/>
        </w:rPr>
        <w:t>produits</w:t>
      </w:r>
      <w:r w:rsidR="00846B53" w:rsidRPr="00DD2C08">
        <w:rPr>
          <w:rFonts w:cs="Calibri"/>
          <w:szCs w:val="24"/>
        </w:rPr>
        <w:t>;</w:t>
      </w:r>
    </w:p>
    <w:p w14:paraId="633A39AF" w14:textId="57B88A91" w:rsidR="00846B53" w:rsidRPr="00DD2C08" w:rsidRDefault="00247AC8" w:rsidP="001467DB">
      <w:pPr>
        <w:rPr>
          <w:rFonts w:cs="Calibri"/>
          <w:szCs w:val="24"/>
        </w:rPr>
      </w:pPr>
      <w:r w:rsidRPr="00DD2C08">
        <w:rPr>
          <w:rFonts w:cs="Calibri"/>
          <w:szCs w:val="24"/>
        </w:rPr>
        <w:t>9</w:t>
      </w:r>
      <w:r w:rsidR="00846B53" w:rsidRPr="00DD2C08">
        <w:rPr>
          <w:rFonts w:cs="Calibri"/>
          <w:szCs w:val="24"/>
        </w:rPr>
        <w:tab/>
        <w:t>de charger le Secrétaire général de prélever un montant de 1 </w:t>
      </w:r>
      <w:r w:rsidR="00742381" w:rsidRPr="00DD2C08">
        <w:rPr>
          <w:rFonts w:cs="Calibri"/>
          <w:szCs w:val="24"/>
        </w:rPr>
        <w:t>million CHF</w:t>
      </w:r>
      <w:r w:rsidR="00846B53" w:rsidRPr="00DD2C08">
        <w:rPr>
          <w:rFonts w:cs="Calibri"/>
          <w:szCs w:val="24"/>
        </w:rPr>
        <w:t xml:space="preserve"> sur le Fonds de réserve en janvier 202</w:t>
      </w:r>
      <w:r w:rsidRPr="00DD2C08">
        <w:rPr>
          <w:rFonts w:cs="Calibri"/>
          <w:szCs w:val="24"/>
        </w:rPr>
        <w:t>4</w:t>
      </w:r>
      <w:r w:rsidR="00846B53" w:rsidRPr="00DD2C08">
        <w:rPr>
          <w:rFonts w:cs="Calibri"/>
          <w:szCs w:val="24"/>
        </w:rPr>
        <w:t xml:space="preserve"> et de le transférer au Fonds ASHI</w:t>
      </w:r>
      <w:r w:rsidR="00742381" w:rsidRPr="00DD2C08">
        <w:rPr>
          <w:rFonts w:cs="Calibri"/>
          <w:szCs w:val="24"/>
        </w:rPr>
        <w:t xml:space="preserve"> (Assurance maladie après la cessation de service)</w:t>
      </w:r>
      <w:r w:rsidR="00846B53" w:rsidRPr="00DD2C08">
        <w:rPr>
          <w:rFonts w:cs="Calibri"/>
          <w:szCs w:val="24"/>
        </w:rPr>
        <w:t xml:space="preserve"> pour régler les engagements à long terme non financés.</w:t>
      </w:r>
    </w:p>
    <w:p w14:paraId="2F12393C" w14:textId="33A5D5AA" w:rsidR="001959E9" w:rsidRPr="00DD2C08" w:rsidRDefault="00247AC8" w:rsidP="001959E9">
      <w:pPr>
        <w:spacing w:before="1440"/>
        <w:rPr>
          <w:rFonts w:cs="Calibri"/>
          <w:szCs w:val="24"/>
        </w:rPr>
      </w:pPr>
      <w:r w:rsidRPr="00DD2C08">
        <w:rPr>
          <w:rFonts w:cs="Calibri"/>
          <w:b/>
          <w:bCs/>
          <w:i/>
          <w:szCs w:val="24"/>
        </w:rPr>
        <w:t>Annexes</w:t>
      </w:r>
      <w:r w:rsidRPr="00DD2C08">
        <w:rPr>
          <w:rFonts w:cs="Calibri"/>
          <w:szCs w:val="24"/>
        </w:rPr>
        <w:t>: Tableaux 1-12</w:t>
      </w:r>
    </w:p>
    <w:p w14:paraId="2279BF1F" w14:textId="6214F36C" w:rsidR="00247AC8" w:rsidRPr="00DD2C08" w:rsidRDefault="001959E9" w:rsidP="001959E9">
      <w:pPr>
        <w:tabs>
          <w:tab w:val="clear" w:pos="567"/>
          <w:tab w:val="clear" w:pos="1134"/>
          <w:tab w:val="clear" w:pos="1701"/>
          <w:tab w:val="clear" w:pos="2268"/>
          <w:tab w:val="clear" w:pos="2835"/>
        </w:tabs>
        <w:overflowPunct/>
        <w:autoSpaceDE/>
        <w:autoSpaceDN/>
        <w:adjustRightInd/>
        <w:spacing w:before="0"/>
        <w:textAlignment w:val="auto"/>
      </w:pPr>
      <w:r w:rsidRPr="00DD2C08">
        <w:rPr>
          <w:rFonts w:cs="Calibri"/>
          <w:szCs w:val="24"/>
        </w:rPr>
        <w:br w:type="page"/>
      </w:r>
    </w:p>
    <w:p w14:paraId="14143034" w14:textId="58CB558B" w:rsidR="00742381" w:rsidRPr="00DD2C08" w:rsidRDefault="00742381" w:rsidP="001467DB">
      <w:pPr>
        <w:sectPr w:rsidR="00742381" w:rsidRPr="00DD2C08" w:rsidSect="001959E9">
          <w:headerReference w:type="even" r:id="rId25"/>
          <w:footerReference w:type="even" r:id="rId26"/>
          <w:footerReference w:type="default" r:id="rId27"/>
          <w:headerReference w:type="first" r:id="rId28"/>
          <w:footerReference w:type="first" r:id="rId29"/>
          <w:type w:val="continuous"/>
          <w:pgSz w:w="11907" w:h="16840" w:code="9"/>
          <w:pgMar w:top="1418" w:right="1418" w:bottom="1418" w:left="1418" w:header="720" w:footer="720" w:gutter="0"/>
          <w:paperSrc w:first="286" w:other="286"/>
          <w:cols w:space="720"/>
          <w:titlePg/>
        </w:sectPr>
      </w:pPr>
    </w:p>
    <w:p w14:paraId="02F5A64D" w14:textId="0F5C3A16" w:rsidR="00247AC8" w:rsidRPr="00DD2C08" w:rsidRDefault="00303B6D" w:rsidP="001467DB">
      <w:pPr>
        <w:jc w:val="center"/>
      </w:pPr>
      <w:r w:rsidRPr="00DD2C08">
        <w:rPr>
          <w:noProof/>
        </w:rPr>
        <w:lastRenderedPageBreak/>
        <w:drawing>
          <wp:inline distT="0" distB="0" distL="0" distR="0" wp14:anchorId="7710D029" wp14:editId="502CC5F5">
            <wp:extent cx="8892540" cy="2472690"/>
            <wp:effectExtent l="0" t="0" r="3810" b="381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8892540" cy="2472690"/>
                    </a:xfrm>
                    <a:prstGeom prst="rect">
                      <a:avLst/>
                    </a:prstGeom>
                    <a:noFill/>
                    <a:ln>
                      <a:noFill/>
                    </a:ln>
                  </pic:spPr>
                </pic:pic>
              </a:graphicData>
            </a:graphic>
          </wp:inline>
        </w:drawing>
      </w:r>
    </w:p>
    <w:p w14:paraId="61B8BB8F" w14:textId="5398D95C" w:rsidR="001959E9" w:rsidRPr="00DD2C08" w:rsidRDefault="001959E9">
      <w:pPr>
        <w:tabs>
          <w:tab w:val="clear" w:pos="567"/>
          <w:tab w:val="clear" w:pos="1134"/>
          <w:tab w:val="clear" w:pos="1701"/>
          <w:tab w:val="clear" w:pos="2268"/>
          <w:tab w:val="clear" w:pos="2835"/>
        </w:tabs>
        <w:overflowPunct/>
        <w:autoSpaceDE/>
        <w:autoSpaceDN/>
        <w:adjustRightInd/>
        <w:spacing w:before="0"/>
        <w:textAlignment w:val="auto"/>
      </w:pPr>
      <w:r w:rsidRPr="00DD2C08">
        <w:br w:type="page"/>
      </w:r>
    </w:p>
    <w:p w14:paraId="765C1926" w14:textId="792ADDB2" w:rsidR="004977EA" w:rsidRPr="00DD2C08" w:rsidRDefault="00804C8C" w:rsidP="001467DB">
      <w:pPr>
        <w:jc w:val="center"/>
      </w:pPr>
      <w:r w:rsidRPr="00DD2C08">
        <w:rPr>
          <w:noProof/>
        </w:rPr>
        <w:lastRenderedPageBreak/>
        <w:drawing>
          <wp:inline distT="0" distB="0" distL="0" distR="0" wp14:anchorId="2EC7A73D" wp14:editId="20B5CA9E">
            <wp:extent cx="7938135" cy="5760085"/>
            <wp:effectExtent l="0" t="0" r="571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7938135" cy="5760085"/>
                    </a:xfrm>
                    <a:prstGeom prst="rect">
                      <a:avLst/>
                    </a:prstGeom>
                    <a:noFill/>
                    <a:ln>
                      <a:noFill/>
                    </a:ln>
                  </pic:spPr>
                </pic:pic>
              </a:graphicData>
            </a:graphic>
          </wp:inline>
        </w:drawing>
      </w:r>
    </w:p>
    <w:p w14:paraId="0398EA5E" w14:textId="6E4A6B4E" w:rsidR="001F68FE" w:rsidRPr="00DD2C08" w:rsidRDefault="0026008D" w:rsidP="001467DB">
      <w:pPr>
        <w:jc w:val="center"/>
      </w:pPr>
      <w:r w:rsidRPr="00DD2C08">
        <w:rPr>
          <w:noProof/>
        </w:rPr>
        <w:lastRenderedPageBreak/>
        <w:drawing>
          <wp:inline distT="0" distB="0" distL="0" distR="0" wp14:anchorId="3547A879" wp14:editId="084F03B5">
            <wp:extent cx="8892540" cy="5744210"/>
            <wp:effectExtent l="0" t="0" r="3810" b="889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8892540" cy="5744210"/>
                    </a:xfrm>
                    <a:prstGeom prst="rect">
                      <a:avLst/>
                    </a:prstGeom>
                    <a:noFill/>
                    <a:ln>
                      <a:noFill/>
                    </a:ln>
                  </pic:spPr>
                </pic:pic>
              </a:graphicData>
            </a:graphic>
          </wp:inline>
        </w:drawing>
      </w:r>
    </w:p>
    <w:p w14:paraId="50958481" w14:textId="03A4DDBF" w:rsidR="001F68FE" w:rsidRPr="00DD2C08" w:rsidRDefault="00B335E5" w:rsidP="001467DB">
      <w:pPr>
        <w:jc w:val="center"/>
      </w:pPr>
      <w:r w:rsidRPr="00DD2C08">
        <w:rPr>
          <w:noProof/>
        </w:rPr>
        <w:lastRenderedPageBreak/>
        <w:drawing>
          <wp:inline distT="0" distB="0" distL="0" distR="0" wp14:anchorId="0741D89F" wp14:editId="5B683703">
            <wp:extent cx="8892540" cy="5388610"/>
            <wp:effectExtent l="0" t="0" r="3810" b="254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8892540" cy="5388610"/>
                    </a:xfrm>
                    <a:prstGeom prst="rect">
                      <a:avLst/>
                    </a:prstGeom>
                    <a:noFill/>
                    <a:ln>
                      <a:noFill/>
                    </a:ln>
                  </pic:spPr>
                </pic:pic>
              </a:graphicData>
            </a:graphic>
          </wp:inline>
        </w:drawing>
      </w:r>
    </w:p>
    <w:p w14:paraId="530EBCCB" w14:textId="5F72F04C" w:rsidR="00B06696" w:rsidRPr="00DD2C08" w:rsidRDefault="00B335E5" w:rsidP="001467DB">
      <w:pPr>
        <w:jc w:val="center"/>
      </w:pPr>
      <w:r w:rsidRPr="00DD2C08">
        <w:rPr>
          <w:noProof/>
        </w:rPr>
        <w:lastRenderedPageBreak/>
        <w:drawing>
          <wp:inline distT="0" distB="0" distL="0" distR="0" wp14:anchorId="3529A842" wp14:editId="5E232D95">
            <wp:extent cx="8892540" cy="5568315"/>
            <wp:effectExtent l="0" t="0" r="381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8892540" cy="5568315"/>
                    </a:xfrm>
                    <a:prstGeom prst="rect">
                      <a:avLst/>
                    </a:prstGeom>
                    <a:noFill/>
                    <a:ln>
                      <a:noFill/>
                    </a:ln>
                  </pic:spPr>
                </pic:pic>
              </a:graphicData>
            </a:graphic>
          </wp:inline>
        </w:drawing>
      </w:r>
    </w:p>
    <w:p w14:paraId="4C2822A5" w14:textId="0E4196CA" w:rsidR="00B06696" w:rsidRPr="00DD2C08" w:rsidRDefault="00B335E5" w:rsidP="001467DB">
      <w:pPr>
        <w:jc w:val="center"/>
      </w:pPr>
      <w:r w:rsidRPr="00DD2C08">
        <w:rPr>
          <w:noProof/>
        </w:rPr>
        <w:lastRenderedPageBreak/>
        <w:drawing>
          <wp:inline distT="0" distB="0" distL="0" distR="0" wp14:anchorId="47218C37" wp14:editId="7D52BC85">
            <wp:extent cx="8892540" cy="5716905"/>
            <wp:effectExtent l="0" t="0" r="381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8892540" cy="5716905"/>
                    </a:xfrm>
                    <a:prstGeom prst="rect">
                      <a:avLst/>
                    </a:prstGeom>
                    <a:noFill/>
                    <a:ln>
                      <a:noFill/>
                    </a:ln>
                  </pic:spPr>
                </pic:pic>
              </a:graphicData>
            </a:graphic>
          </wp:inline>
        </w:drawing>
      </w:r>
    </w:p>
    <w:p w14:paraId="57091A46" w14:textId="24BF5CF1" w:rsidR="00B06696" w:rsidRPr="00DD2C08" w:rsidRDefault="00162FDE" w:rsidP="001467DB">
      <w:pPr>
        <w:jc w:val="center"/>
      </w:pPr>
      <w:r w:rsidRPr="00DD2C08">
        <w:rPr>
          <w:noProof/>
        </w:rPr>
        <w:lastRenderedPageBreak/>
        <w:drawing>
          <wp:inline distT="0" distB="0" distL="0" distR="0" wp14:anchorId="6932753E" wp14:editId="5DDA8F7B">
            <wp:extent cx="8756015" cy="4652645"/>
            <wp:effectExtent l="0" t="0" r="698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8756015" cy="4652645"/>
                    </a:xfrm>
                    <a:prstGeom prst="rect">
                      <a:avLst/>
                    </a:prstGeom>
                    <a:noFill/>
                    <a:ln>
                      <a:noFill/>
                    </a:ln>
                  </pic:spPr>
                </pic:pic>
              </a:graphicData>
            </a:graphic>
          </wp:inline>
        </w:drawing>
      </w:r>
    </w:p>
    <w:p w14:paraId="12AB663A" w14:textId="69CA7392" w:rsidR="00813987" w:rsidRPr="00DD2C08" w:rsidRDefault="00B06696" w:rsidP="001467DB">
      <w:pPr>
        <w:jc w:val="center"/>
      </w:pPr>
      <w:r w:rsidRPr="00DD2C08">
        <w:rPr>
          <w:noProof/>
        </w:rPr>
        <w:lastRenderedPageBreak/>
        <w:drawing>
          <wp:inline distT="0" distB="0" distL="0" distR="0" wp14:anchorId="54327034" wp14:editId="27A38652">
            <wp:extent cx="8892540" cy="5750560"/>
            <wp:effectExtent l="0" t="0" r="3810" b="254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8892540" cy="5750560"/>
                    </a:xfrm>
                    <a:prstGeom prst="rect">
                      <a:avLst/>
                    </a:prstGeom>
                    <a:noFill/>
                    <a:ln>
                      <a:noFill/>
                    </a:ln>
                  </pic:spPr>
                </pic:pic>
              </a:graphicData>
            </a:graphic>
          </wp:inline>
        </w:drawing>
      </w:r>
    </w:p>
    <w:p w14:paraId="735A99C8" w14:textId="029D3FBC" w:rsidR="00813987" w:rsidRPr="00DD2C08" w:rsidRDefault="00B06696" w:rsidP="001467DB">
      <w:pPr>
        <w:jc w:val="center"/>
      </w:pPr>
      <w:r w:rsidRPr="00DD2C08">
        <w:rPr>
          <w:noProof/>
        </w:rPr>
        <w:lastRenderedPageBreak/>
        <w:drawing>
          <wp:inline distT="0" distB="0" distL="0" distR="0" wp14:anchorId="759FD7A9" wp14:editId="7A7D157C">
            <wp:extent cx="8892540" cy="5414010"/>
            <wp:effectExtent l="0" t="0" r="381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8892540" cy="5414010"/>
                    </a:xfrm>
                    <a:prstGeom prst="rect">
                      <a:avLst/>
                    </a:prstGeom>
                    <a:noFill/>
                    <a:ln>
                      <a:noFill/>
                    </a:ln>
                  </pic:spPr>
                </pic:pic>
              </a:graphicData>
            </a:graphic>
          </wp:inline>
        </w:drawing>
      </w:r>
    </w:p>
    <w:p w14:paraId="64343FA1" w14:textId="5F8D4936" w:rsidR="00D70E42" w:rsidRPr="00DD2C08" w:rsidRDefault="00040027" w:rsidP="001467DB">
      <w:pPr>
        <w:jc w:val="center"/>
      </w:pPr>
      <w:r w:rsidRPr="00DD2C08">
        <w:rPr>
          <w:noProof/>
        </w:rPr>
        <w:lastRenderedPageBreak/>
        <w:drawing>
          <wp:inline distT="0" distB="0" distL="0" distR="0" wp14:anchorId="4C027835" wp14:editId="701B62E2">
            <wp:extent cx="8892540" cy="5077460"/>
            <wp:effectExtent l="0" t="0" r="3810" b="889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8892540" cy="5077460"/>
                    </a:xfrm>
                    <a:prstGeom prst="rect">
                      <a:avLst/>
                    </a:prstGeom>
                    <a:noFill/>
                    <a:ln>
                      <a:noFill/>
                    </a:ln>
                  </pic:spPr>
                </pic:pic>
              </a:graphicData>
            </a:graphic>
          </wp:inline>
        </w:drawing>
      </w:r>
    </w:p>
    <w:p w14:paraId="267FD53A" w14:textId="70FEF3AE" w:rsidR="004977EA" w:rsidRPr="00DD2C08" w:rsidRDefault="00040027" w:rsidP="001467DB">
      <w:r w:rsidRPr="00DD2C08">
        <w:rPr>
          <w:noProof/>
        </w:rPr>
        <w:lastRenderedPageBreak/>
        <w:drawing>
          <wp:inline distT="0" distB="0" distL="0" distR="0" wp14:anchorId="5D2BF3D8" wp14:editId="2E50E8C7">
            <wp:extent cx="8892540" cy="3286760"/>
            <wp:effectExtent l="0" t="0" r="3810" b="889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8892540" cy="3286760"/>
                    </a:xfrm>
                    <a:prstGeom prst="rect">
                      <a:avLst/>
                    </a:prstGeom>
                    <a:noFill/>
                    <a:ln>
                      <a:noFill/>
                    </a:ln>
                  </pic:spPr>
                </pic:pic>
              </a:graphicData>
            </a:graphic>
          </wp:inline>
        </w:drawing>
      </w:r>
    </w:p>
    <w:p w14:paraId="30593B6A" w14:textId="711E43B7" w:rsidR="00AB27F7" w:rsidRPr="00DD2C08" w:rsidRDefault="00AB27F7">
      <w:pPr>
        <w:tabs>
          <w:tab w:val="clear" w:pos="567"/>
          <w:tab w:val="clear" w:pos="1134"/>
          <w:tab w:val="clear" w:pos="1701"/>
          <w:tab w:val="clear" w:pos="2268"/>
          <w:tab w:val="clear" w:pos="2835"/>
        </w:tabs>
        <w:overflowPunct/>
        <w:autoSpaceDE/>
        <w:autoSpaceDN/>
        <w:adjustRightInd/>
        <w:spacing w:before="0"/>
        <w:textAlignment w:val="auto"/>
      </w:pPr>
      <w:r w:rsidRPr="00DD2C08">
        <w:br w:type="page"/>
      </w:r>
    </w:p>
    <w:p w14:paraId="10F48AD5" w14:textId="034CC70F" w:rsidR="00D70E42" w:rsidRPr="00DD2C08" w:rsidRDefault="00A8148B" w:rsidP="001467DB">
      <w:pPr>
        <w:jc w:val="center"/>
      </w:pPr>
      <w:r w:rsidRPr="00DD2C08">
        <w:rPr>
          <w:noProof/>
        </w:rPr>
        <w:lastRenderedPageBreak/>
        <w:drawing>
          <wp:inline distT="0" distB="0" distL="0" distR="0" wp14:anchorId="4E7701FA" wp14:editId="75957F97">
            <wp:extent cx="8867140" cy="576008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8867140" cy="5760085"/>
                    </a:xfrm>
                    <a:prstGeom prst="rect">
                      <a:avLst/>
                    </a:prstGeom>
                    <a:noFill/>
                    <a:ln>
                      <a:noFill/>
                    </a:ln>
                  </pic:spPr>
                </pic:pic>
              </a:graphicData>
            </a:graphic>
          </wp:inline>
        </w:drawing>
      </w:r>
    </w:p>
    <w:p w14:paraId="4C67EF6B" w14:textId="512A93F8" w:rsidR="00563277" w:rsidRPr="00DD2C08" w:rsidRDefault="00AB27F7" w:rsidP="001467DB">
      <w:pPr>
        <w:jc w:val="center"/>
      </w:pPr>
      <w:r w:rsidRPr="00DD2C08">
        <w:rPr>
          <w:noProof/>
        </w:rPr>
        <w:lastRenderedPageBreak/>
        <w:drawing>
          <wp:inline distT="0" distB="0" distL="0" distR="0" wp14:anchorId="41E8FB62" wp14:editId="7BB10570">
            <wp:extent cx="7999730" cy="5760085"/>
            <wp:effectExtent l="0" t="0" r="127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7999730" cy="5760085"/>
                    </a:xfrm>
                    <a:prstGeom prst="rect">
                      <a:avLst/>
                    </a:prstGeom>
                    <a:noFill/>
                    <a:ln>
                      <a:noFill/>
                    </a:ln>
                  </pic:spPr>
                </pic:pic>
              </a:graphicData>
            </a:graphic>
          </wp:inline>
        </w:drawing>
      </w:r>
    </w:p>
    <w:p w14:paraId="4CF15A31" w14:textId="51A9D771" w:rsidR="00563277" w:rsidRPr="00DD2C08" w:rsidRDefault="00AB27F7" w:rsidP="001467DB">
      <w:pPr>
        <w:jc w:val="center"/>
      </w:pPr>
      <w:r w:rsidRPr="00DD2C08">
        <w:rPr>
          <w:noProof/>
        </w:rPr>
        <w:lastRenderedPageBreak/>
        <w:drawing>
          <wp:inline distT="0" distB="0" distL="0" distR="0" wp14:anchorId="4C5C56AF" wp14:editId="4777955C">
            <wp:extent cx="7846695" cy="5760085"/>
            <wp:effectExtent l="0" t="0" r="190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7846695" cy="5760085"/>
                    </a:xfrm>
                    <a:prstGeom prst="rect">
                      <a:avLst/>
                    </a:prstGeom>
                    <a:noFill/>
                    <a:ln>
                      <a:noFill/>
                    </a:ln>
                  </pic:spPr>
                </pic:pic>
              </a:graphicData>
            </a:graphic>
          </wp:inline>
        </w:drawing>
      </w:r>
    </w:p>
    <w:p w14:paraId="5D0F68AB" w14:textId="1D4AD44B" w:rsidR="003E0E36" w:rsidRPr="00DD2C08" w:rsidRDefault="00A8148B" w:rsidP="001467DB">
      <w:pPr>
        <w:jc w:val="center"/>
      </w:pPr>
      <w:r w:rsidRPr="00DD2C08">
        <w:rPr>
          <w:noProof/>
        </w:rPr>
        <w:lastRenderedPageBreak/>
        <w:drawing>
          <wp:inline distT="0" distB="0" distL="0" distR="0" wp14:anchorId="0E4554BF" wp14:editId="0595EE96">
            <wp:extent cx="8892540" cy="4009390"/>
            <wp:effectExtent l="0" t="0" r="381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8892540" cy="4009390"/>
                    </a:xfrm>
                    <a:prstGeom prst="rect">
                      <a:avLst/>
                    </a:prstGeom>
                    <a:noFill/>
                    <a:ln>
                      <a:noFill/>
                    </a:ln>
                  </pic:spPr>
                </pic:pic>
              </a:graphicData>
            </a:graphic>
          </wp:inline>
        </w:drawing>
      </w:r>
    </w:p>
    <w:p w14:paraId="056CD49E" w14:textId="31C5388D" w:rsidR="000831E0" w:rsidRPr="00DD2C08" w:rsidRDefault="00DD2C08" w:rsidP="001467DB">
      <w:pPr>
        <w:jc w:val="center"/>
      </w:pPr>
      <w:r w:rsidRPr="00DD2C08">
        <w:rPr>
          <w:noProof/>
        </w:rPr>
        <w:lastRenderedPageBreak/>
        <w:drawing>
          <wp:inline distT="0" distB="0" distL="0" distR="0" wp14:anchorId="40853494" wp14:editId="524B6742">
            <wp:extent cx="8684260" cy="576008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8684260" cy="5760085"/>
                    </a:xfrm>
                    <a:prstGeom prst="rect">
                      <a:avLst/>
                    </a:prstGeom>
                    <a:noFill/>
                    <a:ln>
                      <a:noFill/>
                    </a:ln>
                  </pic:spPr>
                </pic:pic>
              </a:graphicData>
            </a:graphic>
          </wp:inline>
        </w:drawing>
      </w:r>
    </w:p>
    <w:p w14:paraId="573DF9BC" w14:textId="2BB1294A" w:rsidR="003B723F" w:rsidRPr="00DD2C08" w:rsidRDefault="00B42941" w:rsidP="001467DB">
      <w:pPr>
        <w:jc w:val="center"/>
      </w:pPr>
      <w:r w:rsidRPr="00DD2C08">
        <w:rPr>
          <w:noProof/>
        </w:rPr>
        <w:lastRenderedPageBreak/>
        <w:drawing>
          <wp:inline distT="0" distB="0" distL="0" distR="0" wp14:anchorId="45EAB846" wp14:editId="590EE698">
            <wp:extent cx="8592185" cy="576008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8592185" cy="5760085"/>
                    </a:xfrm>
                    <a:prstGeom prst="rect">
                      <a:avLst/>
                    </a:prstGeom>
                    <a:noFill/>
                    <a:ln>
                      <a:noFill/>
                    </a:ln>
                  </pic:spPr>
                </pic:pic>
              </a:graphicData>
            </a:graphic>
          </wp:inline>
        </w:drawing>
      </w:r>
    </w:p>
    <w:p w14:paraId="018B2E52" w14:textId="62193E93" w:rsidR="000831E0" w:rsidRPr="00DD2C08" w:rsidRDefault="00B42941" w:rsidP="001467DB">
      <w:pPr>
        <w:jc w:val="center"/>
      </w:pPr>
      <w:r w:rsidRPr="00DD2C08">
        <w:rPr>
          <w:noProof/>
        </w:rPr>
        <w:lastRenderedPageBreak/>
        <w:drawing>
          <wp:inline distT="0" distB="0" distL="0" distR="0" wp14:anchorId="746E982D" wp14:editId="7C20A4ED">
            <wp:extent cx="8892540" cy="560387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8892540" cy="5603875"/>
                    </a:xfrm>
                    <a:prstGeom prst="rect">
                      <a:avLst/>
                    </a:prstGeom>
                    <a:noFill/>
                    <a:ln>
                      <a:noFill/>
                    </a:ln>
                  </pic:spPr>
                </pic:pic>
              </a:graphicData>
            </a:graphic>
          </wp:inline>
        </w:drawing>
      </w:r>
    </w:p>
    <w:p w14:paraId="4DAC3C1D" w14:textId="3408B40F" w:rsidR="00E048D4" w:rsidRPr="00DD2C08" w:rsidRDefault="00DD2C08" w:rsidP="001467DB">
      <w:pPr>
        <w:jc w:val="center"/>
      </w:pPr>
      <w:r w:rsidRPr="00DD2C08">
        <w:rPr>
          <w:noProof/>
        </w:rPr>
        <w:lastRenderedPageBreak/>
        <w:drawing>
          <wp:inline distT="0" distB="0" distL="0" distR="0" wp14:anchorId="5C1666AE" wp14:editId="46011ED5">
            <wp:extent cx="7744460" cy="5760085"/>
            <wp:effectExtent l="0" t="0" r="889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7744460" cy="5760085"/>
                    </a:xfrm>
                    <a:prstGeom prst="rect">
                      <a:avLst/>
                    </a:prstGeom>
                    <a:noFill/>
                    <a:ln>
                      <a:noFill/>
                    </a:ln>
                  </pic:spPr>
                </pic:pic>
              </a:graphicData>
            </a:graphic>
          </wp:inline>
        </w:drawing>
      </w:r>
    </w:p>
    <w:p w14:paraId="55DB7E2D" w14:textId="7C84D010" w:rsidR="00472ECB" w:rsidRPr="00DD2C08" w:rsidRDefault="00AE5F9A" w:rsidP="001467DB">
      <w:pPr>
        <w:jc w:val="center"/>
      </w:pPr>
      <w:r w:rsidRPr="00DD2C08">
        <w:rPr>
          <w:noProof/>
        </w:rPr>
        <w:lastRenderedPageBreak/>
        <w:drawing>
          <wp:inline distT="0" distB="0" distL="0" distR="0" wp14:anchorId="538380F9" wp14:editId="7A8C8986">
            <wp:extent cx="7672705" cy="5760085"/>
            <wp:effectExtent l="0" t="0" r="444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7672705" cy="5760085"/>
                    </a:xfrm>
                    <a:prstGeom prst="rect">
                      <a:avLst/>
                    </a:prstGeom>
                    <a:noFill/>
                    <a:ln>
                      <a:noFill/>
                    </a:ln>
                  </pic:spPr>
                </pic:pic>
              </a:graphicData>
            </a:graphic>
          </wp:inline>
        </w:drawing>
      </w:r>
    </w:p>
    <w:p w14:paraId="155B69D9" w14:textId="36DA66EE" w:rsidR="00472ECB" w:rsidRPr="00DD2C08" w:rsidRDefault="00AE5F9A" w:rsidP="001467DB">
      <w:pPr>
        <w:jc w:val="center"/>
      </w:pPr>
      <w:r w:rsidRPr="00DD2C08">
        <w:rPr>
          <w:noProof/>
        </w:rPr>
        <w:lastRenderedPageBreak/>
        <w:drawing>
          <wp:inline distT="0" distB="0" distL="0" distR="0" wp14:anchorId="24EFB6B1" wp14:editId="7F388886">
            <wp:extent cx="7656195" cy="5760085"/>
            <wp:effectExtent l="0" t="0" r="190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7656195" cy="5760085"/>
                    </a:xfrm>
                    <a:prstGeom prst="rect">
                      <a:avLst/>
                    </a:prstGeom>
                    <a:noFill/>
                    <a:ln>
                      <a:noFill/>
                    </a:ln>
                  </pic:spPr>
                </pic:pic>
              </a:graphicData>
            </a:graphic>
          </wp:inline>
        </w:drawing>
      </w:r>
    </w:p>
    <w:p w14:paraId="4EED2DA9" w14:textId="5B98F491" w:rsidR="00472ECB" w:rsidRPr="00DD2C08" w:rsidRDefault="00AE5F9A" w:rsidP="001467DB">
      <w:pPr>
        <w:jc w:val="center"/>
      </w:pPr>
      <w:r w:rsidRPr="00DD2C08">
        <w:rPr>
          <w:noProof/>
        </w:rPr>
        <w:lastRenderedPageBreak/>
        <w:drawing>
          <wp:inline distT="0" distB="0" distL="0" distR="0" wp14:anchorId="7EBB123C" wp14:editId="29C813D7">
            <wp:extent cx="7110095" cy="294068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7110095" cy="2940685"/>
                    </a:xfrm>
                    <a:prstGeom prst="rect">
                      <a:avLst/>
                    </a:prstGeom>
                    <a:noFill/>
                    <a:ln>
                      <a:noFill/>
                    </a:ln>
                  </pic:spPr>
                </pic:pic>
              </a:graphicData>
            </a:graphic>
          </wp:inline>
        </w:drawing>
      </w:r>
    </w:p>
    <w:p w14:paraId="0C1A4D8E" w14:textId="542C90DC" w:rsidR="00161529" w:rsidRPr="00DD2C08" w:rsidRDefault="00161529" w:rsidP="001467DB">
      <w:pPr>
        <w:jc w:val="center"/>
      </w:pPr>
      <w:r w:rsidRPr="00DD2C08">
        <w:t>______________</w:t>
      </w:r>
    </w:p>
    <w:sectPr w:rsidR="00161529" w:rsidRPr="00DD2C08" w:rsidSect="00C35D21">
      <w:pgSz w:w="16840" w:h="11907" w:orient="landscape" w:code="9"/>
      <w:pgMar w:top="1418" w:right="1418" w:bottom="1418" w:left="1418" w:header="720" w:footer="720" w:gutter="0"/>
      <w:paperSrc w:first="286" w:other="286"/>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B8E9E6" w14:textId="77777777" w:rsidR="00566679" w:rsidRDefault="00566679">
      <w:r>
        <w:separator/>
      </w:r>
    </w:p>
  </w:endnote>
  <w:endnote w:type="continuationSeparator" w:id="0">
    <w:p w14:paraId="3D4797BD" w14:textId="77777777" w:rsidR="00566679" w:rsidRDefault="005666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G Times">
    <w:altName w:val="Times New Roman"/>
    <w:charset w:val="00"/>
    <w:family w:val="roman"/>
    <w:pitch w:val="variable"/>
    <w:sig w:usb0="00000007" w:usb1="00000000" w:usb2="00000000" w:usb3="00000000" w:csb0="00000093"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Avenir Nxt2 W1G Medium">
    <w:altName w:val="Calibri"/>
    <w:panose1 w:val="00000000000000000000"/>
    <w:charset w:val="00"/>
    <w:family w:val="swiss"/>
    <w:notTrueType/>
    <w:pitch w:val="variable"/>
    <w:sig w:usb0="A00002EF"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FF0A98" w14:textId="2E76C228" w:rsidR="00732045" w:rsidRDefault="002C5751">
    <w:pPr>
      <w:pStyle w:val="Footer"/>
    </w:pPr>
    <w:r>
      <w:fldChar w:fldCharType="begin"/>
    </w:r>
    <w:r>
      <w:instrText xml:space="preserve"> FILENAME \p \* MERGEFORMAT </w:instrText>
    </w:r>
    <w:r>
      <w:fldChar w:fldCharType="separate"/>
    </w:r>
    <w:r w:rsidR="00262D7D">
      <w:t>P:\FRA\SG\CONSEIL\C23\000\060F.docx</w:t>
    </w:r>
    <w:r>
      <w:fldChar w:fldCharType="end"/>
    </w:r>
    <w:r w:rsidR="00732045">
      <w:tab/>
    </w:r>
    <w:r w:rsidR="002F1B76">
      <w:fldChar w:fldCharType="begin"/>
    </w:r>
    <w:r w:rsidR="00732045">
      <w:instrText xml:space="preserve"> savedate \@ dd.MM.yy </w:instrText>
    </w:r>
    <w:r w:rsidR="002F1B76">
      <w:fldChar w:fldCharType="separate"/>
    </w:r>
    <w:r w:rsidR="00DF13FD">
      <w:t>15.06.23</w:t>
    </w:r>
    <w:r w:rsidR="002F1B76">
      <w:fldChar w:fldCharType="end"/>
    </w:r>
    <w:r w:rsidR="00732045">
      <w:tab/>
    </w:r>
    <w:r w:rsidR="002F1B76">
      <w:fldChar w:fldCharType="begin"/>
    </w:r>
    <w:r w:rsidR="00732045">
      <w:instrText xml:space="preserve"> printdate \@ dd.MM.yy </w:instrText>
    </w:r>
    <w:r w:rsidR="002F1B76">
      <w:fldChar w:fldCharType="separate"/>
    </w:r>
    <w:r w:rsidR="00262D7D">
      <w:t>18.07.00</w:t>
    </w:r>
    <w:r w:rsidR="002F1B76">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006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3"/>
      <w:gridCol w:w="8261"/>
    </w:tblGrid>
    <w:tr w:rsidR="00A51849" w:rsidRPr="00784011" w14:paraId="4C87AA90" w14:textId="77777777" w:rsidTr="00E31DCE">
      <w:trPr>
        <w:jc w:val="center"/>
      </w:trPr>
      <w:tc>
        <w:tcPr>
          <w:tcW w:w="1803" w:type="dxa"/>
          <w:vAlign w:val="center"/>
        </w:tcPr>
        <w:p w14:paraId="2C2E77A4" w14:textId="6FABEFC4" w:rsidR="00A51849" w:rsidRDefault="00A51849" w:rsidP="00A51849">
          <w:pPr>
            <w:pStyle w:val="Header"/>
            <w:jc w:val="left"/>
            <w:rPr>
              <w:noProof/>
            </w:rPr>
          </w:pPr>
          <w:r>
            <w:rPr>
              <w:noProof/>
            </w:rPr>
            <w:t xml:space="preserve">DPS </w:t>
          </w:r>
          <w:r w:rsidR="00CB51E4" w:rsidRPr="00CB51E4">
            <w:rPr>
              <w:noProof/>
            </w:rPr>
            <w:t>521094</w:t>
          </w:r>
        </w:p>
      </w:tc>
      <w:tc>
        <w:tcPr>
          <w:tcW w:w="8261" w:type="dxa"/>
        </w:tcPr>
        <w:p w14:paraId="0DB0A3C6" w14:textId="32E65EA4" w:rsidR="00A51849" w:rsidRPr="00E06FD5" w:rsidRDefault="00A51849" w:rsidP="00A51849">
          <w:pPr>
            <w:pStyle w:val="Header"/>
            <w:tabs>
              <w:tab w:val="left" w:pos="7070"/>
              <w:tab w:val="right" w:pos="8505"/>
              <w:tab w:val="right" w:pos="9639"/>
            </w:tabs>
            <w:jc w:val="left"/>
            <w:rPr>
              <w:rFonts w:ascii="Arial" w:hAnsi="Arial" w:cs="Arial"/>
              <w:b/>
              <w:bCs/>
              <w:szCs w:val="18"/>
            </w:rPr>
          </w:pPr>
          <w:r>
            <w:rPr>
              <w:bCs/>
            </w:rPr>
            <w:tab/>
          </w:r>
          <w:r w:rsidRPr="00623AE3">
            <w:rPr>
              <w:bCs/>
            </w:rPr>
            <w:t>C</w:t>
          </w:r>
          <w:r>
            <w:rPr>
              <w:bCs/>
            </w:rPr>
            <w:t>23</w:t>
          </w:r>
          <w:r w:rsidRPr="00623AE3">
            <w:rPr>
              <w:bCs/>
            </w:rPr>
            <w:t>/</w:t>
          </w:r>
          <w:r w:rsidR="00CB51E4">
            <w:rPr>
              <w:bCs/>
            </w:rPr>
            <w:t>60</w:t>
          </w:r>
          <w:r w:rsidRPr="00623AE3">
            <w:rPr>
              <w:bCs/>
            </w:rPr>
            <w:t>-</w:t>
          </w:r>
          <w:r w:rsidR="00973F53">
            <w:rPr>
              <w:bCs/>
            </w:rPr>
            <w:t>F</w:t>
          </w:r>
          <w:r>
            <w:rPr>
              <w:bCs/>
            </w:rPr>
            <w:tab/>
          </w:r>
          <w:r>
            <w:fldChar w:fldCharType="begin"/>
          </w:r>
          <w:r>
            <w:instrText>PAGE</w:instrText>
          </w:r>
          <w:r>
            <w:fldChar w:fldCharType="separate"/>
          </w:r>
          <w:r>
            <w:t>1</w:t>
          </w:r>
          <w:r>
            <w:rPr>
              <w:noProof/>
            </w:rPr>
            <w:fldChar w:fldCharType="end"/>
          </w:r>
        </w:p>
      </w:tc>
    </w:tr>
  </w:tbl>
  <w:p w14:paraId="0BA722AB" w14:textId="1C8A0B8C" w:rsidR="00732045" w:rsidRPr="00A51849" w:rsidRDefault="002C5751" w:rsidP="00CB51E4">
    <w:pPr>
      <w:pStyle w:val="Footer"/>
    </w:pPr>
    <w:r w:rsidRPr="00FA16E6">
      <w:rPr>
        <w:color w:val="F2F2F2" w:themeColor="background1" w:themeShade="F2"/>
      </w:rPr>
      <w:fldChar w:fldCharType="begin"/>
    </w:r>
    <w:r w:rsidRPr="00FA16E6">
      <w:rPr>
        <w:color w:val="F2F2F2" w:themeColor="background1" w:themeShade="F2"/>
      </w:rPr>
      <w:instrText xml:space="preserve"> FILENAME \p  \* MERGEFORMAT </w:instrText>
    </w:r>
    <w:r w:rsidRPr="00FA16E6">
      <w:rPr>
        <w:color w:val="F2F2F2" w:themeColor="background1" w:themeShade="F2"/>
      </w:rPr>
      <w:fldChar w:fldCharType="separate"/>
    </w:r>
    <w:r w:rsidR="00262D7D" w:rsidRPr="00FA16E6">
      <w:rPr>
        <w:color w:val="F2F2F2" w:themeColor="background1" w:themeShade="F2"/>
      </w:rPr>
      <w:t>P:\FRA\SG\CONSEIL\C23\000\060F.docx</w:t>
    </w:r>
    <w:r w:rsidRPr="00FA16E6">
      <w:rPr>
        <w:color w:val="F2F2F2" w:themeColor="background1" w:themeShade="F2"/>
      </w:rPr>
      <w:fldChar w:fldCharType="end"/>
    </w:r>
    <w:r w:rsidR="00CB51E4" w:rsidRPr="00FA16E6">
      <w:rPr>
        <w:color w:val="F2F2F2" w:themeColor="background1" w:themeShade="F2"/>
      </w:rPr>
      <w:t xml:space="preserve"> (521094)</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006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3"/>
      <w:gridCol w:w="8261"/>
    </w:tblGrid>
    <w:tr w:rsidR="00A51849" w:rsidRPr="00784011" w14:paraId="5C9C0095" w14:textId="77777777" w:rsidTr="00E31DCE">
      <w:trPr>
        <w:jc w:val="center"/>
      </w:trPr>
      <w:tc>
        <w:tcPr>
          <w:tcW w:w="1803" w:type="dxa"/>
          <w:vAlign w:val="center"/>
        </w:tcPr>
        <w:p w14:paraId="5151DAA0" w14:textId="77777777" w:rsidR="00A51849" w:rsidRDefault="002C5751" w:rsidP="00A51849">
          <w:pPr>
            <w:pStyle w:val="Header"/>
            <w:jc w:val="left"/>
            <w:rPr>
              <w:noProof/>
            </w:rPr>
          </w:pPr>
          <w:hyperlink r:id="rId1" w:history="1">
            <w:r w:rsidR="00A51849" w:rsidRPr="00A514A4">
              <w:rPr>
                <w:rStyle w:val="Hyperlink"/>
                <w:szCs w:val="14"/>
              </w:rPr>
              <w:t>www.itu.int/council</w:t>
            </w:r>
          </w:hyperlink>
        </w:p>
      </w:tc>
      <w:tc>
        <w:tcPr>
          <w:tcW w:w="8261" w:type="dxa"/>
        </w:tcPr>
        <w:p w14:paraId="4C3D0956" w14:textId="2FACD014" w:rsidR="00A51849" w:rsidRPr="00E06FD5" w:rsidRDefault="00A51849" w:rsidP="00A51849">
          <w:pPr>
            <w:pStyle w:val="Header"/>
            <w:tabs>
              <w:tab w:val="left" w:pos="7070"/>
              <w:tab w:val="right" w:pos="8505"/>
              <w:tab w:val="right" w:pos="9639"/>
            </w:tabs>
            <w:jc w:val="left"/>
            <w:rPr>
              <w:rFonts w:ascii="Arial" w:hAnsi="Arial" w:cs="Arial"/>
              <w:b/>
              <w:bCs/>
              <w:szCs w:val="18"/>
            </w:rPr>
          </w:pPr>
          <w:r>
            <w:rPr>
              <w:bCs/>
            </w:rPr>
            <w:tab/>
          </w:r>
          <w:r w:rsidRPr="00623AE3">
            <w:rPr>
              <w:bCs/>
            </w:rPr>
            <w:t>C</w:t>
          </w:r>
          <w:r>
            <w:rPr>
              <w:bCs/>
            </w:rPr>
            <w:t>23</w:t>
          </w:r>
          <w:r w:rsidRPr="00623AE3">
            <w:rPr>
              <w:bCs/>
            </w:rPr>
            <w:t>/</w:t>
          </w:r>
          <w:r w:rsidR="00CB51E4">
            <w:rPr>
              <w:bCs/>
            </w:rPr>
            <w:t>60</w:t>
          </w:r>
          <w:r w:rsidRPr="00623AE3">
            <w:rPr>
              <w:bCs/>
            </w:rPr>
            <w:t>-</w:t>
          </w:r>
          <w:r w:rsidR="00D72F49">
            <w:rPr>
              <w:bCs/>
            </w:rPr>
            <w:t>F</w:t>
          </w:r>
          <w:r>
            <w:rPr>
              <w:bCs/>
            </w:rPr>
            <w:tab/>
          </w:r>
          <w:r>
            <w:fldChar w:fldCharType="begin"/>
          </w:r>
          <w:r>
            <w:instrText>PAGE</w:instrText>
          </w:r>
          <w:r>
            <w:fldChar w:fldCharType="separate"/>
          </w:r>
          <w:r>
            <w:t>1</w:t>
          </w:r>
          <w:r>
            <w:rPr>
              <w:noProof/>
            </w:rPr>
            <w:fldChar w:fldCharType="end"/>
          </w:r>
        </w:p>
      </w:tc>
    </w:tr>
  </w:tbl>
  <w:p w14:paraId="67CF33E3" w14:textId="7DA8AE0A" w:rsidR="00732045" w:rsidRPr="00A51849" w:rsidRDefault="002C5751" w:rsidP="00CB51E4">
    <w:pPr>
      <w:pStyle w:val="Footer"/>
    </w:pPr>
    <w:r w:rsidRPr="0035725C">
      <w:rPr>
        <w:color w:val="F2F2F2" w:themeColor="background1" w:themeShade="F2"/>
      </w:rPr>
      <w:fldChar w:fldCharType="begin"/>
    </w:r>
    <w:r w:rsidRPr="0035725C">
      <w:rPr>
        <w:color w:val="F2F2F2" w:themeColor="background1" w:themeShade="F2"/>
      </w:rPr>
      <w:instrText xml:space="preserve"> FILENAME \p  \* MERGEFORMAT </w:instrText>
    </w:r>
    <w:r w:rsidRPr="0035725C">
      <w:rPr>
        <w:color w:val="F2F2F2" w:themeColor="background1" w:themeShade="F2"/>
      </w:rPr>
      <w:fldChar w:fldCharType="separate"/>
    </w:r>
    <w:r w:rsidR="00262D7D" w:rsidRPr="0035725C">
      <w:rPr>
        <w:color w:val="F2F2F2" w:themeColor="background1" w:themeShade="F2"/>
      </w:rPr>
      <w:t>P:\FRA\SG\CONSEIL\C23\000\060F.docx</w:t>
    </w:r>
    <w:r w:rsidRPr="0035725C">
      <w:rPr>
        <w:color w:val="F2F2F2" w:themeColor="background1" w:themeShade="F2"/>
      </w:rPr>
      <w:fldChar w:fldCharType="end"/>
    </w:r>
    <w:r w:rsidR="00CB51E4" w:rsidRPr="0035725C">
      <w:rPr>
        <w:color w:val="F2F2F2" w:themeColor="background1" w:themeShade="F2"/>
      </w:rPr>
      <w:t xml:space="preserve"> (521094)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C12B46" w14:textId="77777777" w:rsidR="00566679" w:rsidRDefault="00566679">
      <w:r>
        <w:t>____________________</w:t>
      </w:r>
    </w:p>
  </w:footnote>
  <w:footnote w:type="continuationSeparator" w:id="0">
    <w:p w14:paraId="073173F3" w14:textId="77777777" w:rsidR="00566679" w:rsidRDefault="0056667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4DD4A7" w14:textId="77777777" w:rsidR="00732045" w:rsidRDefault="00732045">
    <w:pPr>
      <w:pStyle w:val="Header"/>
    </w:pPr>
    <w:r>
      <w:t xml:space="preserve">- </w:t>
    </w:r>
    <w:r w:rsidR="00C27A7C">
      <w:fldChar w:fldCharType="begin"/>
    </w:r>
    <w:r w:rsidR="00C27A7C">
      <w:instrText>PAGE</w:instrText>
    </w:r>
    <w:r w:rsidR="00C27A7C">
      <w:fldChar w:fldCharType="separate"/>
    </w:r>
    <w:r>
      <w:rPr>
        <w:noProof/>
      </w:rPr>
      <w:t>2</w:t>
    </w:r>
    <w:r w:rsidR="00C27A7C">
      <w:rPr>
        <w:noProof/>
      </w:rPr>
      <w:fldChar w:fldCharType="end"/>
    </w:r>
    <w:r>
      <w:t xml:space="preserve"> -</w:t>
    </w:r>
  </w:p>
  <w:p w14:paraId="40E3D5AC" w14:textId="77777777" w:rsidR="00732045" w:rsidRDefault="00732045">
    <w:pPr>
      <w:pStyle w:val="Header"/>
    </w:pPr>
    <w:r>
      <w:t>C2001/#-F</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002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0"/>
      <w:gridCol w:w="5630"/>
    </w:tblGrid>
    <w:tr w:rsidR="00A51849" w:rsidRPr="00784011" w14:paraId="33F25067" w14:textId="77777777" w:rsidTr="00E31DCE">
      <w:trPr>
        <w:trHeight w:val="1104"/>
        <w:jc w:val="center"/>
      </w:trPr>
      <w:tc>
        <w:tcPr>
          <w:tcW w:w="4390" w:type="dxa"/>
          <w:vAlign w:val="center"/>
        </w:tcPr>
        <w:p w14:paraId="113CB22E" w14:textId="77777777" w:rsidR="00A51849" w:rsidRPr="009621F8" w:rsidRDefault="00A51849" w:rsidP="00A51849">
          <w:pPr>
            <w:pStyle w:val="Header"/>
            <w:jc w:val="left"/>
            <w:rPr>
              <w:rFonts w:ascii="Arial" w:hAnsi="Arial" w:cs="Arial"/>
              <w:b/>
              <w:bCs/>
              <w:color w:val="009CD6"/>
              <w:sz w:val="36"/>
              <w:szCs w:val="36"/>
            </w:rPr>
          </w:pPr>
          <w:r>
            <w:rPr>
              <w:noProof/>
            </w:rPr>
            <w:drawing>
              <wp:inline distT="0" distB="0" distL="0" distR="0" wp14:anchorId="4117A176" wp14:editId="429A1464">
                <wp:extent cx="1874258" cy="526695"/>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12753" cy="537513"/>
                        </a:xfrm>
                        <a:prstGeom prst="rect">
                          <a:avLst/>
                        </a:prstGeom>
                        <a:noFill/>
                        <a:ln>
                          <a:noFill/>
                        </a:ln>
                      </pic:spPr>
                    </pic:pic>
                  </a:graphicData>
                </a:graphic>
              </wp:inline>
            </w:drawing>
          </w:r>
        </w:p>
      </w:tc>
      <w:tc>
        <w:tcPr>
          <w:tcW w:w="5630" w:type="dxa"/>
        </w:tcPr>
        <w:p w14:paraId="608C3FDD" w14:textId="77777777" w:rsidR="00A51849" w:rsidRDefault="00A51849" w:rsidP="00A51849">
          <w:pPr>
            <w:pStyle w:val="Header"/>
            <w:jc w:val="right"/>
            <w:rPr>
              <w:rFonts w:ascii="Arial" w:hAnsi="Arial" w:cs="Arial"/>
              <w:b/>
              <w:bCs/>
              <w:color w:val="009CD6"/>
              <w:szCs w:val="18"/>
            </w:rPr>
          </w:pPr>
        </w:p>
        <w:p w14:paraId="7F7AE11D" w14:textId="77777777" w:rsidR="00A51849" w:rsidRDefault="00A51849" w:rsidP="00A51849">
          <w:pPr>
            <w:pStyle w:val="Header"/>
            <w:jc w:val="right"/>
            <w:rPr>
              <w:rFonts w:ascii="Arial" w:hAnsi="Arial" w:cs="Arial"/>
              <w:b/>
              <w:bCs/>
              <w:color w:val="009CD6"/>
              <w:szCs w:val="18"/>
            </w:rPr>
          </w:pPr>
        </w:p>
        <w:p w14:paraId="281B21F4" w14:textId="77777777" w:rsidR="00A51849" w:rsidRPr="00784011" w:rsidRDefault="00A51849" w:rsidP="00A51849">
          <w:pPr>
            <w:pStyle w:val="Header"/>
            <w:jc w:val="right"/>
            <w:rPr>
              <w:rFonts w:ascii="Arial" w:hAnsi="Arial" w:cs="Arial"/>
              <w:color w:val="009CD6"/>
              <w:szCs w:val="18"/>
            </w:rPr>
          </w:pPr>
          <w:r w:rsidRPr="00BC6276">
            <w:rPr>
              <w:rFonts w:ascii="Arial" w:hAnsi="Arial" w:cs="Arial"/>
              <w:b/>
              <w:bCs/>
              <w:color w:val="009CD6"/>
              <w:szCs w:val="18"/>
            </w:rPr>
            <w:t xml:space="preserve"> </w:t>
          </w:r>
        </w:p>
      </w:tc>
    </w:tr>
  </w:tbl>
  <w:p w14:paraId="7203532F" w14:textId="77777777" w:rsidR="00A51849" w:rsidRDefault="00A51849">
    <w:pPr>
      <w:pStyle w:val="Header"/>
    </w:pPr>
    <w:r w:rsidRPr="00802C2C">
      <w:rPr>
        <w:rFonts w:ascii="Avenir Nxt2 W1G Medium" w:eastAsia="Avenir Nxt2 W1G Medium" w:hAnsi="Avenir Nxt2 W1G Medium" w:cs="Avenir Nxt2 W1G Medium"/>
        <w:noProof/>
      </w:rPr>
      <mc:AlternateContent>
        <mc:Choice Requires="wps">
          <w:drawing>
            <wp:anchor distT="0" distB="0" distL="114300" distR="114300" simplePos="0" relativeHeight="251659264" behindDoc="0" locked="0" layoutInCell="1" allowOverlap="1" wp14:anchorId="2C0D2914" wp14:editId="0FEDBB8F">
              <wp:simplePos x="0" y="0"/>
              <wp:positionH relativeFrom="page">
                <wp:posOffset>12065</wp:posOffset>
              </wp:positionH>
              <wp:positionV relativeFrom="topMargin">
                <wp:posOffset>652450</wp:posOffset>
              </wp:positionV>
              <wp:extent cx="92075" cy="360680"/>
              <wp:effectExtent l="0" t="0" r="3175" b="1270"/>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075" cy="360680"/>
                      </a:xfrm>
                      <a:prstGeom prst="rect">
                        <a:avLst/>
                      </a:prstGeom>
                      <a:solidFill>
                        <a:srgbClr val="009CD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3407AF" id="Rectangle 5" o:spid="_x0000_s1026" style="position:absolute;margin-left:.95pt;margin-top:51.35pt;width:7.25pt;height:28.4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" fillcolor="#009cd5" stroked="f">
              <w10:wrap anchorx="page" anchory="margin"/>
            </v:rect>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2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428F"/>
    <w:rsid w:val="0000050B"/>
    <w:rsid w:val="00040027"/>
    <w:rsid w:val="0004302A"/>
    <w:rsid w:val="00050833"/>
    <w:rsid w:val="00076A2C"/>
    <w:rsid w:val="000831E0"/>
    <w:rsid w:val="00097F30"/>
    <w:rsid w:val="000D0D0A"/>
    <w:rsid w:val="000F7D40"/>
    <w:rsid w:val="001011CC"/>
    <w:rsid w:val="00103163"/>
    <w:rsid w:val="00106B19"/>
    <w:rsid w:val="00115D93"/>
    <w:rsid w:val="001247A8"/>
    <w:rsid w:val="00125200"/>
    <w:rsid w:val="001340FD"/>
    <w:rsid w:val="00135B9F"/>
    <w:rsid w:val="001378C0"/>
    <w:rsid w:val="001467DB"/>
    <w:rsid w:val="00161529"/>
    <w:rsid w:val="00162FDE"/>
    <w:rsid w:val="00177A53"/>
    <w:rsid w:val="0018694A"/>
    <w:rsid w:val="001959E9"/>
    <w:rsid w:val="001A3287"/>
    <w:rsid w:val="001A4DEA"/>
    <w:rsid w:val="001A6508"/>
    <w:rsid w:val="001B219E"/>
    <w:rsid w:val="001D4C31"/>
    <w:rsid w:val="001E4D21"/>
    <w:rsid w:val="001F68FE"/>
    <w:rsid w:val="00207CD1"/>
    <w:rsid w:val="002216D0"/>
    <w:rsid w:val="002223E1"/>
    <w:rsid w:val="00226657"/>
    <w:rsid w:val="00242E81"/>
    <w:rsid w:val="002435D6"/>
    <w:rsid w:val="002477A2"/>
    <w:rsid w:val="00247AC8"/>
    <w:rsid w:val="0026008D"/>
    <w:rsid w:val="00262D7D"/>
    <w:rsid w:val="00263A51"/>
    <w:rsid w:val="00263F16"/>
    <w:rsid w:val="00267E02"/>
    <w:rsid w:val="002A5D44"/>
    <w:rsid w:val="002B6933"/>
    <w:rsid w:val="002C3A15"/>
    <w:rsid w:val="002C5751"/>
    <w:rsid w:val="002D0FA7"/>
    <w:rsid w:val="002E0BC4"/>
    <w:rsid w:val="002F1B76"/>
    <w:rsid w:val="00303B6D"/>
    <w:rsid w:val="00312D29"/>
    <w:rsid w:val="00316222"/>
    <w:rsid w:val="0033568E"/>
    <w:rsid w:val="00337EAE"/>
    <w:rsid w:val="00345E68"/>
    <w:rsid w:val="00355FF5"/>
    <w:rsid w:val="0035725C"/>
    <w:rsid w:val="00361350"/>
    <w:rsid w:val="003B723F"/>
    <w:rsid w:val="003C3FAE"/>
    <w:rsid w:val="003E0E36"/>
    <w:rsid w:val="003F6B0B"/>
    <w:rsid w:val="004038CB"/>
    <w:rsid w:val="0040546F"/>
    <w:rsid w:val="0042404A"/>
    <w:rsid w:val="0044618F"/>
    <w:rsid w:val="0046769A"/>
    <w:rsid w:val="00472ECB"/>
    <w:rsid w:val="00475FB3"/>
    <w:rsid w:val="004950EE"/>
    <w:rsid w:val="004977EA"/>
    <w:rsid w:val="004A4C38"/>
    <w:rsid w:val="004C37A9"/>
    <w:rsid w:val="004D1D50"/>
    <w:rsid w:val="004F1B75"/>
    <w:rsid w:val="004F259E"/>
    <w:rsid w:val="00511F1D"/>
    <w:rsid w:val="00520F36"/>
    <w:rsid w:val="00522DBE"/>
    <w:rsid w:val="00534E13"/>
    <w:rsid w:val="00540615"/>
    <w:rsid w:val="00540A6D"/>
    <w:rsid w:val="00563277"/>
    <w:rsid w:val="00566679"/>
    <w:rsid w:val="00571EEA"/>
    <w:rsid w:val="00575417"/>
    <w:rsid w:val="005768E1"/>
    <w:rsid w:val="0059485A"/>
    <w:rsid w:val="005A3CAB"/>
    <w:rsid w:val="005B1938"/>
    <w:rsid w:val="005C3890"/>
    <w:rsid w:val="005D3B7A"/>
    <w:rsid w:val="005F7BFE"/>
    <w:rsid w:val="00600017"/>
    <w:rsid w:val="006235CA"/>
    <w:rsid w:val="00624340"/>
    <w:rsid w:val="00627662"/>
    <w:rsid w:val="00634313"/>
    <w:rsid w:val="006643AB"/>
    <w:rsid w:val="00683122"/>
    <w:rsid w:val="006A37DE"/>
    <w:rsid w:val="006A4BD2"/>
    <w:rsid w:val="006C2E31"/>
    <w:rsid w:val="006D4E46"/>
    <w:rsid w:val="006F0660"/>
    <w:rsid w:val="006F0A53"/>
    <w:rsid w:val="007166E6"/>
    <w:rsid w:val="007210CD"/>
    <w:rsid w:val="00732045"/>
    <w:rsid w:val="007369DB"/>
    <w:rsid w:val="00742381"/>
    <w:rsid w:val="00746AD7"/>
    <w:rsid w:val="0079383A"/>
    <w:rsid w:val="007956C2"/>
    <w:rsid w:val="007A0C99"/>
    <w:rsid w:val="007A187E"/>
    <w:rsid w:val="007B707E"/>
    <w:rsid w:val="007C72C2"/>
    <w:rsid w:val="007D389E"/>
    <w:rsid w:val="007D4436"/>
    <w:rsid w:val="007F257A"/>
    <w:rsid w:val="007F3665"/>
    <w:rsid w:val="00800037"/>
    <w:rsid w:val="00804404"/>
    <w:rsid w:val="00804C8C"/>
    <w:rsid w:val="00813987"/>
    <w:rsid w:val="0083391C"/>
    <w:rsid w:val="00846B53"/>
    <w:rsid w:val="00861D73"/>
    <w:rsid w:val="00885531"/>
    <w:rsid w:val="00897553"/>
    <w:rsid w:val="008A4E87"/>
    <w:rsid w:val="008D76E6"/>
    <w:rsid w:val="00904645"/>
    <w:rsid w:val="0092392D"/>
    <w:rsid w:val="009248B4"/>
    <w:rsid w:val="00927432"/>
    <w:rsid w:val="0093234A"/>
    <w:rsid w:val="00933F0F"/>
    <w:rsid w:val="00936012"/>
    <w:rsid w:val="00956A78"/>
    <w:rsid w:val="0097363B"/>
    <w:rsid w:val="00973F53"/>
    <w:rsid w:val="009832CD"/>
    <w:rsid w:val="009A052C"/>
    <w:rsid w:val="009C307F"/>
    <w:rsid w:val="009C353C"/>
    <w:rsid w:val="00A2113E"/>
    <w:rsid w:val="00A23A51"/>
    <w:rsid w:val="00A24607"/>
    <w:rsid w:val="00A25CD3"/>
    <w:rsid w:val="00A51849"/>
    <w:rsid w:val="00A709FE"/>
    <w:rsid w:val="00A73C60"/>
    <w:rsid w:val="00A759F2"/>
    <w:rsid w:val="00A8148B"/>
    <w:rsid w:val="00A82767"/>
    <w:rsid w:val="00A854C8"/>
    <w:rsid w:val="00A9309D"/>
    <w:rsid w:val="00A9683D"/>
    <w:rsid w:val="00AA332F"/>
    <w:rsid w:val="00AA7BBB"/>
    <w:rsid w:val="00AB27F7"/>
    <w:rsid w:val="00AB64A8"/>
    <w:rsid w:val="00AB795F"/>
    <w:rsid w:val="00AC0266"/>
    <w:rsid w:val="00AD1AB3"/>
    <w:rsid w:val="00AD24EC"/>
    <w:rsid w:val="00AD311F"/>
    <w:rsid w:val="00AE5F9A"/>
    <w:rsid w:val="00B06696"/>
    <w:rsid w:val="00B309F9"/>
    <w:rsid w:val="00B32B60"/>
    <w:rsid w:val="00B335E5"/>
    <w:rsid w:val="00B42941"/>
    <w:rsid w:val="00B44F99"/>
    <w:rsid w:val="00B61619"/>
    <w:rsid w:val="00B71416"/>
    <w:rsid w:val="00BB4545"/>
    <w:rsid w:val="00BD5873"/>
    <w:rsid w:val="00C04BE3"/>
    <w:rsid w:val="00C05D99"/>
    <w:rsid w:val="00C25D29"/>
    <w:rsid w:val="00C27A7C"/>
    <w:rsid w:val="00C35D21"/>
    <w:rsid w:val="00C42437"/>
    <w:rsid w:val="00C50E56"/>
    <w:rsid w:val="00C52CD8"/>
    <w:rsid w:val="00CA08ED"/>
    <w:rsid w:val="00CA1557"/>
    <w:rsid w:val="00CA5604"/>
    <w:rsid w:val="00CB51E4"/>
    <w:rsid w:val="00CF183B"/>
    <w:rsid w:val="00D2259A"/>
    <w:rsid w:val="00D2372C"/>
    <w:rsid w:val="00D375CD"/>
    <w:rsid w:val="00D44FAF"/>
    <w:rsid w:val="00D553A2"/>
    <w:rsid w:val="00D70E42"/>
    <w:rsid w:val="00D72F49"/>
    <w:rsid w:val="00D774D3"/>
    <w:rsid w:val="00D904E8"/>
    <w:rsid w:val="00DA039E"/>
    <w:rsid w:val="00DA08C3"/>
    <w:rsid w:val="00DA5A2D"/>
    <w:rsid w:val="00DB5A3E"/>
    <w:rsid w:val="00DC22AA"/>
    <w:rsid w:val="00DC391B"/>
    <w:rsid w:val="00DD20C3"/>
    <w:rsid w:val="00DD2C08"/>
    <w:rsid w:val="00DF13FD"/>
    <w:rsid w:val="00DF74DD"/>
    <w:rsid w:val="00E048D4"/>
    <w:rsid w:val="00E25AD0"/>
    <w:rsid w:val="00E4428F"/>
    <w:rsid w:val="00E93668"/>
    <w:rsid w:val="00E945A4"/>
    <w:rsid w:val="00E95647"/>
    <w:rsid w:val="00EB6350"/>
    <w:rsid w:val="00EB6F68"/>
    <w:rsid w:val="00EC22DD"/>
    <w:rsid w:val="00EF1887"/>
    <w:rsid w:val="00F15B57"/>
    <w:rsid w:val="00F34A1C"/>
    <w:rsid w:val="00F34BFB"/>
    <w:rsid w:val="00F35EF4"/>
    <w:rsid w:val="00F37FE5"/>
    <w:rsid w:val="00F427DB"/>
    <w:rsid w:val="00F54652"/>
    <w:rsid w:val="00FA16E6"/>
    <w:rsid w:val="00FA5EB1"/>
    <w:rsid w:val="00FA7439"/>
    <w:rsid w:val="00FC4EC0"/>
    <w:rsid w:val="00FF018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4A3AECB"/>
  <w15:docId w15:val="{1E633E98-DEAF-4635-A037-C098BA85F8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32045"/>
    <w:pPr>
      <w:tabs>
        <w:tab w:val="left" w:pos="567"/>
        <w:tab w:val="left" w:pos="1134"/>
        <w:tab w:val="left" w:pos="1701"/>
        <w:tab w:val="left" w:pos="2268"/>
        <w:tab w:val="left" w:pos="2835"/>
      </w:tabs>
      <w:overflowPunct w:val="0"/>
      <w:autoSpaceDE w:val="0"/>
      <w:autoSpaceDN w:val="0"/>
      <w:adjustRightInd w:val="0"/>
      <w:spacing w:before="120"/>
      <w:textAlignment w:val="baseline"/>
    </w:pPr>
    <w:rPr>
      <w:rFonts w:ascii="Calibri" w:hAnsi="Calibri"/>
      <w:sz w:val="24"/>
      <w:lang w:val="fr-FR" w:eastAsia="en-US"/>
    </w:rPr>
  </w:style>
  <w:style w:type="paragraph" w:styleId="Heading1">
    <w:name w:val="heading 1"/>
    <w:basedOn w:val="Normal"/>
    <w:next w:val="Normal"/>
    <w:qFormat/>
    <w:rsid w:val="00732045"/>
    <w:pPr>
      <w:keepNext/>
      <w:keepLines/>
      <w:spacing w:before="480"/>
      <w:ind w:left="567" w:hanging="567"/>
      <w:outlineLvl w:val="0"/>
    </w:pPr>
    <w:rPr>
      <w:b/>
      <w:sz w:val="28"/>
    </w:rPr>
  </w:style>
  <w:style w:type="paragraph" w:styleId="Heading2">
    <w:name w:val="heading 2"/>
    <w:basedOn w:val="Heading1"/>
    <w:next w:val="Normal"/>
    <w:qFormat/>
    <w:rsid w:val="00732045"/>
    <w:pPr>
      <w:spacing w:before="320"/>
      <w:outlineLvl w:val="1"/>
    </w:pPr>
    <w:rPr>
      <w:sz w:val="24"/>
    </w:rPr>
  </w:style>
  <w:style w:type="paragraph" w:styleId="Heading3">
    <w:name w:val="heading 3"/>
    <w:basedOn w:val="Heading1"/>
    <w:next w:val="Normal"/>
    <w:qFormat/>
    <w:rsid w:val="00732045"/>
    <w:pPr>
      <w:spacing w:before="200"/>
      <w:outlineLvl w:val="2"/>
    </w:pPr>
    <w:rPr>
      <w:sz w:val="24"/>
    </w:rPr>
  </w:style>
  <w:style w:type="paragraph" w:styleId="Heading4">
    <w:name w:val="heading 4"/>
    <w:basedOn w:val="Heading3"/>
    <w:next w:val="Normal"/>
    <w:qFormat/>
    <w:rsid w:val="00732045"/>
    <w:pPr>
      <w:ind w:left="1134" w:hanging="1134"/>
      <w:outlineLvl w:val="3"/>
    </w:pPr>
  </w:style>
  <w:style w:type="paragraph" w:styleId="Heading5">
    <w:name w:val="heading 5"/>
    <w:basedOn w:val="Heading4"/>
    <w:next w:val="Normal"/>
    <w:qFormat/>
    <w:rsid w:val="00732045"/>
    <w:pPr>
      <w:outlineLvl w:val="4"/>
    </w:pPr>
  </w:style>
  <w:style w:type="paragraph" w:styleId="Heading6">
    <w:name w:val="heading 6"/>
    <w:basedOn w:val="Heading4"/>
    <w:next w:val="Normal"/>
    <w:qFormat/>
    <w:rsid w:val="00732045"/>
    <w:pPr>
      <w:outlineLvl w:val="5"/>
    </w:pPr>
  </w:style>
  <w:style w:type="paragraph" w:styleId="Heading7">
    <w:name w:val="heading 7"/>
    <w:basedOn w:val="Heading4"/>
    <w:next w:val="Normal"/>
    <w:qFormat/>
    <w:rsid w:val="00732045"/>
    <w:pPr>
      <w:ind w:left="1701" w:hanging="1701"/>
      <w:outlineLvl w:val="6"/>
    </w:pPr>
  </w:style>
  <w:style w:type="paragraph" w:styleId="Heading8">
    <w:name w:val="heading 8"/>
    <w:basedOn w:val="Heading4"/>
    <w:next w:val="Normal"/>
    <w:qFormat/>
    <w:rsid w:val="00732045"/>
    <w:pPr>
      <w:ind w:left="1701" w:hanging="1701"/>
      <w:outlineLvl w:val="7"/>
    </w:pPr>
  </w:style>
  <w:style w:type="paragraph" w:styleId="Heading9">
    <w:name w:val="heading 9"/>
    <w:basedOn w:val="Heading4"/>
    <w:next w:val="Normal"/>
    <w:qFormat/>
    <w:rsid w:val="00732045"/>
    <w:pPr>
      <w:ind w:left="1701" w:hanging="1701"/>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Normal"/>
    <w:next w:val="Normal"/>
    <w:rsid w:val="00732045"/>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3">
    <w:name w:val="toc 3"/>
    <w:basedOn w:val="Normal"/>
    <w:next w:val="Normal"/>
    <w:rsid w:val="00732045"/>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2">
    <w:name w:val="toc 2"/>
    <w:basedOn w:val="Normal"/>
    <w:next w:val="Normal"/>
    <w:rsid w:val="00732045"/>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1">
    <w:name w:val="toc 1"/>
    <w:basedOn w:val="Normal"/>
    <w:rsid w:val="00732045"/>
    <w:pPr>
      <w:tabs>
        <w:tab w:val="clear" w:pos="567"/>
        <w:tab w:val="clear" w:pos="1134"/>
        <w:tab w:val="clear" w:pos="1701"/>
        <w:tab w:val="clear" w:pos="2268"/>
        <w:tab w:val="clear" w:pos="2835"/>
        <w:tab w:val="left" w:pos="964"/>
        <w:tab w:val="left" w:leader="dot" w:pos="8789"/>
        <w:tab w:val="right" w:pos="9639"/>
      </w:tabs>
      <w:spacing w:before="240"/>
      <w:ind w:left="964" w:hanging="964"/>
    </w:pPr>
  </w:style>
  <w:style w:type="paragraph" w:styleId="TOC7">
    <w:name w:val="toc 7"/>
    <w:basedOn w:val="Normal"/>
    <w:next w:val="Normal"/>
    <w:rsid w:val="00732045"/>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6">
    <w:name w:val="toc 6"/>
    <w:basedOn w:val="Normal"/>
    <w:next w:val="Normal"/>
    <w:rsid w:val="00732045"/>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5">
    <w:name w:val="toc 5"/>
    <w:basedOn w:val="Normal"/>
    <w:next w:val="Normal"/>
    <w:rsid w:val="00732045"/>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4">
    <w:name w:val="toc 4"/>
    <w:basedOn w:val="Normal"/>
    <w:next w:val="Normal"/>
    <w:rsid w:val="00732045"/>
    <w:pPr>
      <w:tabs>
        <w:tab w:val="clear" w:pos="567"/>
        <w:tab w:val="clear" w:pos="1134"/>
        <w:tab w:val="clear" w:pos="1701"/>
        <w:tab w:val="clear" w:pos="2268"/>
        <w:tab w:val="clear" w:pos="2835"/>
        <w:tab w:val="left" w:pos="964"/>
        <w:tab w:val="left" w:pos="8789"/>
        <w:tab w:val="right" w:pos="9639"/>
      </w:tabs>
      <w:ind w:left="964" w:hanging="964"/>
    </w:pPr>
  </w:style>
  <w:style w:type="paragraph" w:styleId="Index7">
    <w:name w:val="index 7"/>
    <w:basedOn w:val="Normal"/>
    <w:next w:val="Normal"/>
    <w:rsid w:val="005C3890"/>
    <w:pPr>
      <w:ind w:left="1698"/>
    </w:pPr>
  </w:style>
  <w:style w:type="paragraph" w:styleId="Index6">
    <w:name w:val="index 6"/>
    <w:basedOn w:val="Normal"/>
    <w:next w:val="Normal"/>
    <w:rsid w:val="005C3890"/>
    <w:pPr>
      <w:ind w:left="1415"/>
    </w:pPr>
  </w:style>
  <w:style w:type="paragraph" w:styleId="Index5">
    <w:name w:val="index 5"/>
    <w:basedOn w:val="Normal"/>
    <w:next w:val="Normal"/>
    <w:rsid w:val="005C3890"/>
    <w:pPr>
      <w:ind w:left="1132"/>
    </w:pPr>
  </w:style>
  <w:style w:type="paragraph" w:styleId="Index4">
    <w:name w:val="index 4"/>
    <w:basedOn w:val="Normal"/>
    <w:next w:val="Normal"/>
    <w:rsid w:val="005C3890"/>
    <w:pPr>
      <w:ind w:left="849"/>
    </w:pPr>
  </w:style>
  <w:style w:type="paragraph" w:styleId="Index3">
    <w:name w:val="index 3"/>
    <w:basedOn w:val="Normal"/>
    <w:next w:val="Normal"/>
    <w:rsid w:val="005C3890"/>
    <w:pPr>
      <w:ind w:left="566"/>
    </w:pPr>
  </w:style>
  <w:style w:type="paragraph" w:styleId="Index2">
    <w:name w:val="index 2"/>
    <w:basedOn w:val="Normal"/>
    <w:next w:val="Normal"/>
    <w:rsid w:val="005C3890"/>
    <w:pPr>
      <w:ind w:left="283"/>
    </w:pPr>
  </w:style>
  <w:style w:type="paragraph" w:styleId="Index1">
    <w:name w:val="index 1"/>
    <w:basedOn w:val="Normal"/>
    <w:next w:val="Normal"/>
    <w:rsid w:val="005C3890"/>
  </w:style>
  <w:style w:type="character" w:styleId="LineNumber">
    <w:name w:val="line number"/>
    <w:basedOn w:val="DefaultParagraphFont"/>
    <w:rsid w:val="005C3890"/>
  </w:style>
  <w:style w:type="paragraph" w:styleId="IndexHeading">
    <w:name w:val="index heading"/>
    <w:basedOn w:val="Normal"/>
    <w:next w:val="Index1"/>
    <w:rsid w:val="005C3890"/>
  </w:style>
  <w:style w:type="paragraph" w:styleId="Footer">
    <w:name w:val="footer"/>
    <w:basedOn w:val="Normal"/>
    <w:rsid w:val="00732045"/>
    <w:pPr>
      <w:tabs>
        <w:tab w:val="clear" w:pos="567"/>
        <w:tab w:val="clear" w:pos="1134"/>
        <w:tab w:val="clear" w:pos="1701"/>
        <w:tab w:val="clear" w:pos="2268"/>
        <w:tab w:val="clear" w:pos="2835"/>
        <w:tab w:val="left" w:pos="5954"/>
        <w:tab w:val="right" w:pos="9639"/>
      </w:tabs>
      <w:spacing w:before="0"/>
    </w:pPr>
    <w:rPr>
      <w:caps/>
      <w:noProof/>
      <w:sz w:val="16"/>
    </w:rPr>
  </w:style>
  <w:style w:type="paragraph" w:styleId="Header">
    <w:name w:val="header"/>
    <w:basedOn w:val="Normal"/>
    <w:link w:val="HeaderChar"/>
    <w:uiPriority w:val="99"/>
    <w:rsid w:val="00732045"/>
    <w:pPr>
      <w:tabs>
        <w:tab w:val="clear" w:pos="567"/>
        <w:tab w:val="clear" w:pos="1134"/>
        <w:tab w:val="clear" w:pos="1701"/>
        <w:tab w:val="clear" w:pos="2268"/>
        <w:tab w:val="clear" w:pos="2835"/>
      </w:tabs>
      <w:spacing w:before="0"/>
      <w:jc w:val="center"/>
    </w:pPr>
    <w:rPr>
      <w:sz w:val="18"/>
    </w:rPr>
  </w:style>
  <w:style w:type="character" w:styleId="FootnoteReference">
    <w:name w:val="footnote reference"/>
    <w:basedOn w:val="DefaultParagraphFont"/>
    <w:rsid w:val="00732045"/>
    <w:rPr>
      <w:rFonts w:ascii="Calibri" w:hAnsi="Calibri"/>
      <w:position w:val="6"/>
      <w:sz w:val="16"/>
    </w:rPr>
  </w:style>
  <w:style w:type="paragraph" w:styleId="FootnoteText">
    <w:name w:val="footnote text"/>
    <w:basedOn w:val="Normal"/>
    <w:rsid w:val="00732045"/>
    <w:pPr>
      <w:keepLines/>
      <w:tabs>
        <w:tab w:val="left" w:pos="256"/>
      </w:tabs>
      <w:ind w:left="256" w:hanging="256"/>
    </w:pPr>
  </w:style>
  <w:style w:type="paragraph" w:styleId="NormalIndent">
    <w:name w:val="Normal Indent"/>
    <w:basedOn w:val="Normal"/>
    <w:rsid w:val="00732045"/>
    <w:pPr>
      <w:ind w:left="567"/>
    </w:pPr>
  </w:style>
  <w:style w:type="paragraph" w:customStyle="1" w:styleId="enumlev1">
    <w:name w:val="enumlev1"/>
    <w:basedOn w:val="Normal"/>
    <w:link w:val="enumlev1Char"/>
    <w:rsid w:val="00732045"/>
    <w:pPr>
      <w:spacing w:before="86"/>
      <w:ind w:left="567" w:hanging="567"/>
    </w:pPr>
  </w:style>
  <w:style w:type="paragraph" w:customStyle="1" w:styleId="enumlev2">
    <w:name w:val="enumlev2"/>
    <w:basedOn w:val="enumlev1"/>
    <w:rsid w:val="00732045"/>
    <w:pPr>
      <w:ind w:left="1134"/>
    </w:pPr>
  </w:style>
  <w:style w:type="paragraph" w:customStyle="1" w:styleId="enumlev3">
    <w:name w:val="enumlev3"/>
    <w:basedOn w:val="enumlev2"/>
    <w:rsid w:val="00732045"/>
    <w:pPr>
      <w:ind w:left="1701"/>
    </w:pPr>
  </w:style>
  <w:style w:type="paragraph" w:customStyle="1" w:styleId="Equation">
    <w:name w:val="Equation"/>
    <w:basedOn w:val="Normal"/>
    <w:rsid w:val="005C3890"/>
    <w:pPr>
      <w:tabs>
        <w:tab w:val="center" w:pos="4820"/>
        <w:tab w:val="right" w:pos="9639"/>
      </w:tabs>
    </w:pPr>
  </w:style>
  <w:style w:type="paragraph" w:customStyle="1" w:styleId="Head">
    <w:name w:val="Head"/>
    <w:basedOn w:val="Normal"/>
    <w:rsid w:val="005C3890"/>
    <w:pPr>
      <w:tabs>
        <w:tab w:val="left" w:pos="6663"/>
      </w:tabs>
      <w:overflowPunct/>
      <w:autoSpaceDE/>
      <w:autoSpaceDN/>
      <w:adjustRightInd/>
      <w:spacing w:before="0"/>
      <w:textAlignment w:val="auto"/>
    </w:pPr>
  </w:style>
  <w:style w:type="paragraph" w:customStyle="1" w:styleId="Normalaftertitle">
    <w:name w:val="Normal after title"/>
    <w:basedOn w:val="Normal"/>
    <w:next w:val="Normal"/>
    <w:rsid w:val="00732045"/>
    <w:pPr>
      <w:spacing w:before="240"/>
    </w:pPr>
  </w:style>
  <w:style w:type="paragraph" w:customStyle="1" w:styleId="Call">
    <w:name w:val="Call"/>
    <w:basedOn w:val="Normal"/>
    <w:next w:val="Normal"/>
    <w:rsid w:val="00732045"/>
    <w:pPr>
      <w:keepNext/>
      <w:keepLines/>
      <w:tabs>
        <w:tab w:val="clear" w:pos="1134"/>
        <w:tab w:val="clear" w:pos="1701"/>
        <w:tab w:val="clear" w:pos="2268"/>
        <w:tab w:val="clear" w:pos="2835"/>
      </w:tabs>
      <w:spacing w:before="160"/>
      <w:ind w:left="567"/>
    </w:pPr>
    <w:rPr>
      <w:i/>
    </w:rPr>
  </w:style>
  <w:style w:type="paragraph" w:customStyle="1" w:styleId="toc0">
    <w:name w:val="toc 0"/>
    <w:basedOn w:val="Normal"/>
    <w:next w:val="TOC1"/>
    <w:rsid w:val="00732045"/>
    <w:pPr>
      <w:tabs>
        <w:tab w:val="clear" w:pos="567"/>
        <w:tab w:val="clear" w:pos="1134"/>
        <w:tab w:val="clear" w:pos="1701"/>
        <w:tab w:val="clear" w:pos="2268"/>
        <w:tab w:val="clear" w:pos="2835"/>
        <w:tab w:val="right" w:pos="9781"/>
      </w:tabs>
    </w:pPr>
    <w:rPr>
      <w:b/>
    </w:rPr>
  </w:style>
  <w:style w:type="paragraph" w:styleId="List">
    <w:name w:val="List"/>
    <w:basedOn w:val="Normal"/>
    <w:rsid w:val="005C3890"/>
    <w:pPr>
      <w:tabs>
        <w:tab w:val="left" w:pos="2127"/>
      </w:tabs>
      <w:ind w:left="2127" w:hanging="2127"/>
    </w:pPr>
  </w:style>
  <w:style w:type="paragraph" w:customStyle="1" w:styleId="Part">
    <w:name w:val="Part"/>
    <w:basedOn w:val="Normal"/>
    <w:rsid w:val="005C3890"/>
    <w:pPr>
      <w:tabs>
        <w:tab w:val="left" w:pos="1276"/>
      </w:tabs>
      <w:spacing w:before="199"/>
      <w:ind w:left="1701" w:hanging="1701"/>
    </w:pPr>
    <w:rPr>
      <w:caps/>
    </w:rPr>
  </w:style>
  <w:style w:type="paragraph" w:customStyle="1" w:styleId="Reasons">
    <w:name w:val="Reasons"/>
    <w:basedOn w:val="Normal"/>
    <w:qFormat/>
    <w:rsid w:val="00732045"/>
  </w:style>
  <w:style w:type="paragraph" w:customStyle="1" w:styleId="meeting">
    <w:name w:val="meeting"/>
    <w:basedOn w:val="Head"/>
    <w:next w:val="Head"/>
    <w:rsid w:val="005C3890"/>
    <w:pPr>
      <w:tabs>
        <w:tab w:val="left" w:pos="7371"/>
      </w:tabs>
      <w:spacing w:after="567"/>
    </w:pPr>
  </w:style>
  <w:style w:type="paragraph" w:customStyle="1" w:styleId="Subject">
    <w:name w:val="Subject"/>
    <w:basedOn w:val="Normal"/>
    <w:next w:val="Source"/>
    <w:rsid w:val="005C3890"/>
    <w:pPr>
      <w:tabs>
        <w:tab w:val="left" w:pos="709"/>
      </w:tabs>
      <w:spacing w:before="0"/>
      <w:ind w:left="709" w:hanging="709"/>
    </w:pPr>
  </w:style>
  <w:style w:type="paragraph" w:customStyle="1" w:styleId="Source">
    <w:name w:val="Source"/>
    <w:basedOn w:val="Normal"/>
    <w:next w:val="Title1"/>
    <w:rsid w:val="00732045"/>
    <w:pPr>
      <w:spacing w:before="840"/>
      <w:jc w:val="center"/>
    </w:pPr>
    <w:rPr>
      <w:b/>
      <w:sz w:val="28"/>
    </w:rPr>
  </w:style>
  <w:style w:type="paragraph" w:customStyle="1" w:styleId="Object">
    <w:name w:val="Object"/>
    <w:basedOn w:val="Subject"/>
    <w:next w:val="Subject"/>
    <w:rsid w:val="005C3890"/>
  </w:style>
  <w:style w:type="paragraph" w:customStyle="1" w:styleId="Data">
    <w:name w:val="Data"/>
    <w:basedOn w:val="Subject"/>
    <w:next w:val="Subject"/>
    <w:rsid w:val="005C3890"/>
  </w:style>
  <w:style w:type="paragraph" w:customStyle="1" w:styleId="Headingb">
    <w:name w:val="Heading_b"/>
    <w:basedOn w:val="Heading3"/>
    <w:next w:val="Normal"/>
    <w:rsid w:val="00732045"/>
    <w:pPr>
      <w:spacing w:before="160"/>
      <w:outlineLvl w:val="0"/>
    </w:pPr>
  </w:style>
  <w:style w:type="paragraph" w:customStyle="1" w:styleId="Title1">
    <w:name w:val="Title 1"/>
    <w:basedOn w:val="Source"/>
    <w:next w:val="Title2"/>
    <w:rsid w:val="00732045"/>
    <w:pPr>
      <w:spacing w:before="240"/>
    </w:pPr>
    <w:rPr>
      <w:b w:val="0"/>
      <w:caps/>
    </w:rPr>
  </w:style>
  <w:style w:type="paragraph" w:customStyle="1" w:styleId="dnum">
    <w:name w:val="dnum"/>
    <w:basedOn w:val="Normal"/>
    <w:rsid w:val="005C3890"/>
    <w:pPr>
      <w:framePr w:hSpace="181" w:wrap="notBeside" w:vAnchor="page" w:hAnchor="margin" w:x="1" w:y="852"/>
      <w:shd w:val="solid" w:color="FFFFFF" w:fill="FFFFFF"/>
      <w:tabs>
        <w:tab w:val="left" w:pos="1871"/>
      </w:tabs>
    </w:pPr>
    <w:rPr>
      <w:b/>
      <w:bCs/>
    </w:rPr>
  </w:style>
  <w:style w:type="paragraph" w:customStyle="1" w:styleId="FirstFooter">
    <w:name w:val="FirstFooter"/>
    <w:basedOn w:val="Footer"/>
    <w:rsid w:val="00732045"/>
    <w:rPr>
      <w:caps w:val="0"/>
    </w:rPr>
  </w:style>
  <w:style w:type="paragraph" w:customStyle="1" w:styleId="Note">
    <w:name w:val="Note"/>
    <w:basedOn w:val="Normal"/>
    <w:rsid w:val="005C3890"/>
    <w:pPr>
      <w:spacing w:before="80"/>
    </w:pPr>
  </w:style>
  <w:style w:type="paragraph" w:styleId="TOC9">
    <w:name w:val="toc 9"/>
    <w:basedOn w:val="Normal"/>
    <w:next w:val="Normal"/>
    <w:rsid w:val="00732045"/>
    <w:pPr>
      <w:tabs>
        <w:tab w:val="clear" w:pos="567"/>
        <w:tab w:val="clear" w:pos="1134"/>
        <w:tab w:val="clear" w:pos="1701"/>
        <w:tab w:val="clear" w:pos="2268"/>
        <w:tab w:val="clear" w:pos="2835"/>
        <w:tab w:val="right" w:leader="dot" w:pos="9645"/>
      </w:tabs>
      <w:ind w:left="1920"/>
    </w:pPr>
  </w:style>
  <w:style w:type="paragraph" w:customStyle="1" w:styleId="ddate">
    <w:name w:val="ddate"/>
    <w:basedOn w:val="Normal"/>
    <w:rsid w:val="005C3890"/>
    <w:pPr>
      <w:framePr w:hSpace="181" w:wrap="notBeside" w:vAnchor="page" w:hAnchor="margin" w:x="1" w:y="852"/>
      <w:shd w:val="solid" w:color="FFFFFF" w:fill="FFFFFF"/>
      <w:tabs>
        <w:tab w:val="left" w:pos="1871"/>
      </w:tabs>
      <w:spacing w:before="0"/>
    </w:pPr>
    <w:rPr>
      <w:b/>
      <w:bCs/>
    </w:rPr>
  </w:style>
  <w:style w:type="paragraph" w:customStyle="1" w:styleId="dorlang">
    <w:name w:val="dorlang"/>
    <w:basedOn w:val="Normal"/>
    <w:rsid w:val="005C3890"/>
    <w:pPr>
      <w:framePr w:hSpace="181" w:wrap="notBeside" w:vAnchor="page" w:hAnchor="margin" w:x="1" w:y="852"/>
      <w:shd w:val="solid" w:color="FFFFFF" w:fill="FFFFFF"/>
      <w:tabs>
        <w:tab w:val="left" w:pos="1871"/>
      </w:tabs>
      <w:spacing w:before="0"/>
    </w:pPr>
    <w:rPr>
      <w:b/>
      <w:bCs/>
    </w:rPr>
  </w:style>
  <w:style w:type="character" w:styleId="Hyperlink">
    <w:name w:val="Hyperlink"/>
    <w:basedOn w:val="DefaultParagraphFont"/>
    <w:rsid w:val="00732045"/>
    <w:rPr>
      <w:color w:val="0000FF"/>
      <w:u w:val="single"/>
    </w:rPr>
  </w:style>
  <w:style w:type="character" w:styleId="FollowedHyperlink">
    <w:name w:val="FollowedHyperlink"/>
    <w:basedOn w:val="DefaultParagraphFont"/>
    <w:rsid w:val="005C3890"/>
    <w:rPr>
      <w:color w:val="800080"/>
      <w:u w:val="single"/>
    </w:rPr>
  </w:style>
  <w:style w:type="paragraph" w:customStyle="1" w:styleId="AnnexNo">
    <w:name w:val="Annex_No"/>
    <w:basedOn w:val="Normal"/>
    <w:next w:val="Annexref"/>
    <w:rsid w:val="00732045"/>
    <w:pPr>
      <w:spacing w:before="720"/>
      <w:jc w:val="center"/>
    </w:pPr>
    <w:rPr>
      <w:caps/>
      <w:sz w:val="28"/>
    </w:rPr>
  </w:style>
  <w:style w:type="paragraph" w:customStyle="1" w:styleId="Annexref">
    <w:name w:val="Annex_ref"/>
    <w:basedOn w:val="Normal"/>
    <w:next w:val="Annextitle"/>
    <w:rsid w:val="00732045"/>
    <w:pPr>
      <w:jc w:val="center"/>
    </w:pPr>
    <w:rPr>
      <w:sz w:val="28"/>
    </w:rPr>
  </w:style>
  <w:style w:type="paragraph" w:customStyle="1" w:styleId="Annextitle">
    <w:name w:val="Annex_title"/>
    <w:basedOn w:val="Normal"/>
    <w:next w:val="Normal"/>
    <w:rsid w:val="00732045"/>
    <w:pPr>
      <w:spacing w:before="240" w:after="240"/>
      <w:jc w:val="center"/>
    </w:pPr>
    <w:rPr>
      <w:b/>
      <w:sz w:val="28"/>
    </w:rPr>
  </w:style>
  <w:style w:type="paragraph" w:customStyle="1" w:styleId="AppendixNo">
    <w:name w:val="Appendix_No"/>
    <w:basedOn w:val="AnnexNo"/>
    <w:next w:val="Appendixref"/>
    <w:rsid w:val="00732045"/>
  </w:style>
  <w:style w:type="paragraph" w:customStyle="1" w:styleId="Appendixref">
    <w:name w:val="Appendix_ref"/>
    <w:basedOn w:val="Annexref"/>
    <w:next w:val="Appendixtitle"/>
    <w:rsid w:val="00732045"/>
  </w:style>
  <w:style w:type="paragraph" w:customStyle="1" w:styleId="Appendixtitle">
    <w:name w:val="Appendix_title"/>
    <w:basedOn w:val="Annextitle"/>
    <w:next w:val="Normal"/>
    <w:rsid w:val="00732045"/>
  </w:style>
  <w:style w:type="paragraph" w:customStyle="1" w:styleId="Artheading">
    <w:name w:val="Art_heading"/>
    <w:basedOn w:val="Normal"/>
    <w:next w:val="Normalaftertitle"/>
    <w:rsid w:val="00732045"/>
    <w:pPr>
      <w:tabs>
        <w:tab w:val="clear" w:pos="567"/>
        <w:tab w:val="clear" w:pos="1134"/>
        <w:tab w:val="clear" w:pos="1701"/>
        <w:tab w:val="clear" w:pos="2268"/>
        <w:tab w:val="clear" w:pos="2835"/>
      </w:tabs>
      <w:spacing w:before="480"/>
      <w:jc w:val="center"/>
    </w:pPr>
    <w:rPr>
      <w:b/>
    </w:rPr>
  </w:style>
  <w:style w:type="paragraph" w:customStyle="1" w:styleId="ArtNo">
    <w:name w:val="Art_No"/>
    <w:basedOn w:val="Normal"/>
    <w:next w:val="Arttitle"/>
    <w:rsid w:val="00732045"/>
    <w:pPr>
      <w:tabs>
        <w:tab w:val="clear" w:pos="567"/>
        <w:tab w:val="clear" w:pos="1134"/>
        <w:tab w:val="clear" w:pos="1701"/>
        <w:tab w:val="clear" w:pos="2268"/>
        <w:tab w:val="clear" w:pos="2835"/>
      </w:tabs>
      <w:spacing w:before="600"/>
      <w:jc w:val="center"/>
    </w:pPr>
    <w:rPr>
      <w:caps/>
      <w:sz w:val="28"/>
    </w:rPr>
  </w:style>
  <w:style w:type="paragraph" w:customStyle="1" w:styleId="Arttitle">
    <w:name w:val="Art_title"/>
    <w:basedOn w:val="Normal"/>
    <w:next w:val="Normal"/>
    <w:rsid w:val="00732045"/>
    <w:pPr>
      <w:tabs>
        <w:tab w:val="clear" w:pos="567"/>
        <w:tab w:val="clear" w:pos="1134"/>
        <w:tab w:val="clear" w:pos="1701"/>
        <w:tab w:val="clear" w:pos="2268"/>
        <w:tab w:val="clear" w:pos="2835"/>
      </w:tabs>
      <w:spacing w:before="240" w:after="240"/>
      <w:jc w:val="center"/>
    </w:pPr>
    <w:rPr>
      <w:b/>
      <w:sz w:val="28"/>
    </w:rPr>
  </w:style>
  <w:style w:type="paragraph" w:customStyle="1" w:styleId="ChapNo">
    <w:name w:val="Chap_No"/>
    <w:basedOn w:val="ArtNo"/>
    <w:next w:val="Chaptitle"/>
    <w:rsid w:val="00732045"/>
  </w:style>
  <w:style w:type="paragraph" w:customStyle="1" w:styleId="Chaptitle">
    <w:name w:val="Chap_title"/>
    <w:basedOn w:val="Arttitle"/>
    <w:next w:val="Normal"/>
    <w:rsid w:val="00732045"/>
  </w:style>
  <w:style w:type="paragraph" w:customStyle="1" w:styleId="Equationlegend">
    <w:name w:val="Equation_legend"/>
    <w:basedOn w:val="NormalIndent"/>
    <w:rsid w:val="005C3890"/>
    <w:pPr>
      <w:tabs>
        <w:tab w:val="right" w:pos="1531"/>
      </w:tabs>
      <w:spacing w:before="80"/>
      <w:ind w:left="1701" w:hanging="1701"/>
    </w:pPr>
  </w:style>
  <w:style w:type="paragraph" w:customStyle="1" w:styleId="Figure">
    <w:name w:val="Figure"/>
    <w:basedOn w:val="Normal"/>
    <w:next w:val="Figuretitle"/>
    <w:rsid w:val="005C3890"/>
    <w:pPr>
      <w:keepNext/>
      <w:keepLines/>
      <w:spacing w:after="120"/>
      <w:jc w:val="center"/>
    </w:pPr>
  </w:style>
  <w:style w:type="paragraph" w:customStyle="1" w:styleId="Figurelegend">
    <w:name w:val="Figure_legend"/>
    <w:basedOn w:val="Normal"/>
    <w:rsid w:val="00A709FE"/>
    <w:pPr>
      <w:spacing w:before="20" w:after="20"/>
    </w:pPr>
    <w:rPr>
      <w:sz w:val="18"/>
    </w:rPr>
  </w:style>
  <w:style w:type="paragraph" w:customStyle="1" w:styleId="TableNo">
    <w:name w:val="Table_No"/>
    <w:basedOn w:val="Normal"/>
    <w:next w:val="Tabletitle"/>
    <w:rsid w:val="00732045"/>
    <w:pPr>
      <w:keepNext/>
      <w:spacing w:before="560" w:after="120"/>
      <w:jc w:val="center"/>
    </w:pPr>
    <w:rPr>
      <w:caps/>
    </w:rPr>
  </w:style>
  <w:style w:type="paragraph" w:customStyle="1" w:styleId="Tabletitle">
    <w:name w:val="Table_title"/>
    <w:basedOn w:val="TableNo"/>
    <w:next w:val="Tabletext"/>
    <w:rsid w:val="00732045"/>
    <w:pPr>
      <w:tabs>
        <w:tab w:val="clear" w:pos="567"/>
        <w:tab w:val="clear" w:pos="1134"/>
        <w:tab w:val="clear" w:pos="1701"/>
        <w:tab w:val="clear" w:pos="2268"/>
        <w:tab w:val="clear" w:pos="2835"/>
        <w:tab w:val="left" w:pos="2948"/>
        <w:tab w:val="left" w:pos="4082"/>
      </w:tabs>
      <w:spacing w:before="0"/>
    </w:pPr>
    <w:rPr>
      <w:b/>
      <w:caps w:val="0"/>
    </w:rPr>
  </w:style>
  <w:style w:type="paragraph" w:customStyle="1" w:styleId="Figuretitle">
    <w:name w:val="Figure_title"/>
    <w:basedOn w:val="Tabletitle"/>
    <w:next w:val="Normalaftertitle"/>
    <w:rsid w:val="005C3890"/>
    <w:pPr>
      <w:spacing w:before="240" w:after="480"/>
    </w:pPr>
  </w:style>
  <w:style w:type="paragraph" w:customStyle="1" w:styleId="Figurewithouttitle">
    <w:name w:val="Figure_without_title"/>
    <w:basedOn w:val="Figure"/>
    <w:next w:val="Normalaftertitle"/>
    <w:rsid w:val="005C3890"/>
    <w:pPr>
      <w:keepNext w:val="0"/>
      <w:spacing w:after="240"/>
    </w:pPr>
  </w:style>
  <w:style w:type="paragraph" w:customStyle="1" w:styleId="Headingi">
    <w:name w:val="Heading_i"/>
    <w:basedOn w:val="Heading3"/>
    <w:next w:val="Normal"/>
    <w:rsid w:val="00732045"/>
    <w:pPr>
      <w:spacing w:before="160"/>
      <w:outlineLvl w:val="0"/>
    </w:pPr>
    <w:rPr>
      <w:b w:val="0"/>
      <w:i/>
    </w:rPr>
  </w:style>
  <w:style w:type="character" w:styleId="PageNumber">
    <w:name w:val="page number"/>
    <w:basedOn w:val="DefaultParagraphFont"/>
    <w:rsid w:val="00732045"/>
    <w:rPr>
      <w:rFonts w:ascii="Calibri" w:hAnsi="Calibri"/>
    </w:rPr>
  </w:style>
  <w:style w:type="paragraph" w:customStyle="1" w:styleId="PartNo">
    <w:name w:val="Part_No"/>
    <w:basedOn w:val="AnnexNo"/>
    <w:next w:val="Parttitle"/>
    <w:rsid w:val="005C3890"/>
  </w:style>
  <w:style w:type="paragraph" w:customStyle="1" w:styleId="Partref">
    <w:name w:val="Part_ref"/>
    <w:basedOn w:val="Annexref"/>
    <w:next w:val="Normalaftertitle"/>
    <w:rsid w:val="005C3890"/>
  </w:style>
  <w:style w:type="paragraph" w:customStyle="1" w:styleId="Parttitle">
    <w:name w:val="Part_title"/>
    <w:basedOn w:val="Annextitle"/>
    <w:next w:val="Partref"/>
    <w:rsid w:val="005C3890"/>
  </w:style>
  <w:style w:type="paragraph" w:customStyle="1" w:styleId="RecNo">
    <w:name w:val="Rec_No"/>
    <w:basedOn w:val="Normal"/>
    <w:next w:val="Rectitle"/>
    <w:rsid w:val="00732045"/>
    <w:pPr>
      <w:spacing w:before="720"/>
      <w:jc w:val="center"/>
    </w:pPr>
    <w:rPr>
      <w:caps/>
      <w:sz w:val="28"/>
    </w:rPr>
  </w:style>
  <w:style w:type="paragraph" w:customStyle="1" w:styleId="Rectitle">
    <w:name w:val="Rec_title"/>
    <w:basedOn w:val="Normal"/>
    <w:next w:val="Heading1"/>
    <w:rsid w:val="00732045"/>
    <w:pPr>
      <w:spacing w:before="240"/>
      <w:jc w:val="center"/>
    </w:pPr>
    <w:rPr>
      <w:b/>
      <w:sz w:val="28"/>
    </w:rPr>
  </w:style>
  <w:style w:type="paragraph" w:customStyle="1" w:styleId="Recref">
    <w:name w:val="Rec_ref"/>
    <w:basedOn w:val="Rectitle"/>
    <w:next w:val="Recdate"/>
    <w:rsid w:val="005C3890"/>
    <w:pPr>
      <w:spacing w:before="120"/>
    </w:pPr>
    <w:rPr>
      <w:rFonts w:ascii="Times New Roman" w:hAnsi="Times New Roman"/>
      <w:b w:val="0"/>
      <w:sz w:val="24"/>
    </w:rPr>
  </w:style>
  <w:style w:type="paragraph" w:customStyle="1" w:styleId="Recdate">
    <w:name w:val="Rec_date"/>
    <w:basedOn w:val="Recref"/>
    <w:next w:val="Normalaftertitle"/>
    <w:rsid w:val="005C3890"/>
    <w:pPr>
      <w:jc w:val="right"/>
    </w:pPr>
    <w:rPr>
      <w:sz w:val="22"/>
    </w:rPr>
  </w:style>
  <w:style w:type="paragraph" w:customStyle="1" w:styleId="Questiondate">
    <w:name w:val="Question_date"/>
    <w:basedOn w:val="Recdate"/>
    <w:next w:val="Normalaftertitle"/>
    <w:rsid w:val="005C3890"/>
  </w:style>
  <w:style w:type="paragraph" w:customStyle="1" w:styleId="QuestionNo">
    <w:name w:val="Question_No"/>
    <w:basedOn w:val="RecNo"/>
    <w:next w:val="Questiontitle"/>
    <w:rsid w:val="005C3890"/>
  </w:style>
  <w:style w:type="paragraph" w:customStyle="1" w:styleId="Questionref">
    <w:name w:val="Question_ref"/>
    <w:basedOn w:val="Recref"/>
    <w:next w:val="Questiondate"/>
    <w:rsid w:val="005C3890"/>
  </w:style>
  <w:style w:type="paragraph" w:customStyle="1" w:styleId="Questiontitle">
    <w:name w:val="Question_title"/>
    <w:basedOn w:val="Rectitle"/>
    <w:next w:val="Questionref"/>
    <w:rsid w:val="005C3890"/>
  </w:style>
  <w:style w:type="paragraph" w:customStyle="1" w:styleId="Reftext">
    <w:name w:val="Ref_text"/>
    <w:basedOn w:val="Normal"/>
    <w:rsid w:val="00732045"/>
    <w:pPr>
      <w:ind w:left="567" w:hanging="567"/>
    </w:pPr>
  </w:style>
  <w:style w:type="paragraph" w:customStyle="1" w:styleId="Reftitle">
    <w:name w:val="Ref_title"/>
    <w:basedOn w:val="Normal"/>
    <w:next w:val="Reftext"/>
    <w:rsid w:val="00732045"/>
    <w:pPr>
      <w:spacing w:before="480"/>
      <w:jc w:val="center"/>
    </w:pPr>
    <w:rPr>
      <w:caps/>
      <w:sz w:val="28"/>
    </w:rPr>
  </w:style>
  <w:style w:type="paragraph" w:customStyle="1" w:styleId="Repdate">
    <w:name w:val="Rep_date"/>
    <w:basedOn w:val="Recdate"/>
    <w:next w:val="Normalaftertitle"/>
    <w:rsid w:val="005C3890"/>
  </w:style>
  <w:style w:type="paragraph" w:customStyle="1" w:styleId="RepNo">
    <w:name w:val="Rep_No"/>
    <w:basedOn w:val="RecNo"/>
    <w:next w:val="Reptitle"/>
    <w:rsid w:val="005C3890"/>
  </w:style>
  <w:style w:type="paragraph" w:customStyle="1" w:styleId="Repref">
    <w:name w:val="Rep_ref"/>
    <w:basedOn w:val="Recref"/>
    <w:next w:val="Repdate"/>
    <w:rsid w:val="005C3890"/>
  </w:style>
  <w:style w:type="paragraph" w:customStyle="1" w:styleId="Reptitle">
    <w:name w:val="Rep_title"/>
    <w:basedOn w:val="Rectitle"/>
    <w:next w:val="Repref"/>
    <w:rsid w:val="005C3890"/>
  </w:style>
  <w:style w:type="paragraph" w:customStyle="1" w:styleId="Resdate">
    <w:name w:val="Res_date"/>
    <w:basedOn w:val="Recdate"/>
    <w:next w:val="Normalaftertitle"/>
    <w:rsid w:val="005C3890"/>
  </w:style>
  <w:style w:type="paragraph" w:customStyle="1" w:styleId="ResNo">
    <w:name w:val="Res_No"/>
    <w:basedOn w:val="AnnexNo"/>
    <w:next w:val="Restitle"/>
    <w:rsid w:val="00732045"/>
  </w:style>
  <w:style w:type="paragraph" w:customStyle="1" w:styleId="Resref">
    <w:name w:val="Res_ref"/>
    <w:basedOn w:val="Recref"/>
    <w:next w:val="Resdate"/>
    <w:rsid w:val="005C3890"/>
  </w:style>
  <w:style w:type="paragraph" w:customStyle="1" w:styleId="Restitle">
    <w:name w:val="Res_title"/>
    <w:basedOn w:val="Annextitle"/>
    <w:next w:val="Normal"/>
    <w:rsid w:val="00732045"/>
  </w:style>
  <w:style w:type="paragraph" w:customStyle="1" w:styleId="SectionNo">
    <w:name w:val="Section_No"/>
    <w:basedOn w:val="AnnexNo"/>
    <w:next w:val="Sectiontitle"/>
    <w:rsid w:val="005C3890"/>
  </w:style>
  <w:style w:type="paragraph" w:customStyle="1" w:styleId="Sectiontitle">
    <w:name w:val="Section_title"/>
    <w:basedOn w:val="Normal"/>
    <w:next w:val="Normalaftertitle"/>
    <w:rsid w:val="005C3890"/>
    <w:rPr>
      <w:sz w:val="28"/>
    </w:rPr>
  </w:style>
  <w:style w:type="paragraph" w:customStyle="1" w:styleId="SpecialFooter">
    <w:name w:val="Special Footer"/>
    <w:basedOn w:val="Footer"/>
    <w:rsid w:val="005C3890"/>
    <w:pPr>
      <w:tabs>
        <w:tab w:val="left" w:pos="567"/>
        <w:tab w:val="left" w:pos="1134"/>
        <w:tab w:val="left" w:pos="1701"/>
        <w:tab w:val="left" w:pos="2268"/>
        <w:tab w:val="left" w:pos="2835"/>
      </w:tabs>
      <w:jc w:val="both"/>
    </w:pPr>
    <w:rPr>
      <w:caps w:val="0"/>
      <w:noProof w:val="0"/>
    </w:rPr>
  </w:style>
  <w:style w:type="paragraph" w:customStyle="1" w:styleId="Tabletext">
    <w:name w:val="Table_text"/>
    <w:basedOn w:val="Normal"/>
    <w:rsid w:val="00732045"/>
    <w:pPr>
      <w:tabs>
        <w:tab w:val="clear" w:pos="567"/>
        <w:tab w:val="clear" w:pos="1134"/>
        <w:tab w:val="clear" w:pos="1701"/>
        <w:tab w:val="clear" w:pos="2268"/>
        <w:tab w:val="clear" w:pos="2835"/>
      </w:tabs>
      <w:spacing w:before="60" w:after="60"/>
    </w:pPr>
    <w:rPr>
      <w:sz w:val="22"/>
    </w:rPr>
  </w:style>
  <w:style w:type="paragraph" w:customStyle="1" w:styleId="Tablehead">
    <w:name w:val="Table_head"/>
    <w:basedOn w:val="Tabletext"/>
    <w:rsid w:val="00732045"/>
    <w:pPr>
      <w:spacing w:before="120" w:after="120"/>
      <w:jc w:val="center"/>
    </w:pPr>
    <w:rPr>
      <w:b/>
    </w:rPr>
  </w:style>
  <w:style w:type="paragraph" w:customStyle="1" w:styleId="Tablelegend">
    <w:name w:val="Table_legend"/>
    <w:basedOn w:val="Tabletext"/>
    <w:rsid w:val="00732045"/>
    <w:pPr>
      <w:spacing w:before="120"/>
    </w:pPr>
  </w:style>
  <w:style w:type="paragraph" w:customStyle="1" w:styleId="Tableref">
    <w:name w:val="Table_ref"/>
    <w:basedOn w:val="Normal"/>
    <w:next w:val="Tabletitle"/>
    <w:rsid w:val="005C3890"/>
    <w:pPr>
      <w:keepNext/>
      <w:spacing w:before="567"/>
      <w:jc w:val="center"/>
    </w:pPr>
  </w:style>
  <w:style w:type="paragraph" w:customStyle="1" w:styleId="Title2">
    <w:name w:val="Title 2"/>
    <w:basedOn w:val="Source"/>
    <w:next w:val="Title3"/>
    <w:rsid w:val="00732045"/>
    <w:pPr>
      <w:spacing w:before="240"/>
    </w:pPr>
    <w:rPr>
      <w:b w:val="0"/>
      <w:caps/>
    </w:rPr>
  </w:style>
  <w:style w:type="paragraph" w:customStyle="1" w:styleId="Title3">
    <w:name w:val="Title 3"/>
    <w:basedOn w:val="Title2"/>
    <w:next w:val="Normalaftertitle"/>
    <w:rsid w:val="00732045"/>
    <w:rPr>
      <w:caps w:val="0"/>
    </w:rPr>
  </w:style>
  <w:style w:type="paragraph" w:customStyle="1" w:styleId="Title4">
    <w:name w:val="Title 4"/>
    <w:basedOn w:val="Title3"/>
    <w:next w:val="Heading1"/>
    <w:rsid w:val="005C3890"/>
    <w:rPr>
      <w:b/>
    </w:rPr>
  </w:style>
  <w:style w:type="paragraph" w:customStyle="1" w:styleId="FigureNo">
    <w:name w:val="Figure_No"/>
    <w:basedOn w:val="Normal"/>
    <w:next w:val="Figuretitle"/>
    <w:rsid w:val="005C3890"/>
    <w:pPr>
      <w:keepNext/>
      <w:keepLines/>
      <w:spacing w:before="240" w:after="120"/>
      <w:jc w:val="center"/>
    </w:pPr>
    <w:rPr>
      <w:caps/>
    </w:rPr>
  </w:style>
  <w:style w:type="paragraph" w:customStyle="1" w:styleId="firstfooter0">
    <w:name w:val="firstfooter"/>
    <w:basedOn w:val="Normal"/>
    <w:rsid w:val="00732045"/>
    <w:pP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eastAsia="SimSun"/>
      <w:szCs w:val="24"/>
      <w:lang w:val="en-US" w:eastAsia="zh-CN"/>
    </w:rPr>
  </w:style>
  <w:style w:type="paragraph" w:customStyle="1" w:styleId="Table">
    <w:name w:val="Table_#"/>
    <w:basedOn w:val="Normal"/>
    <w:next w:val="Normal"/>
    <w:rsid w:val="00520F36"/>
    <w:pPr>
      <w:keepNext/>
      <w:tabs>
        <w:tab w:val="clear" w:pos="567"/>
        <w:tab w:val="clear" w:pos="1134"/>
        <w:tab w:val="clear" w:pos="1701"/>
        <w:tab w:val="clear" w:pos="2268"/>
        <w:tab w:val="clear" w:pos="2835"/>
        <w:tab w:val="left" w:pos="794"/>
        <w:tab w:val="left" w:pos="1191"/>
        <w:tab w:val="left" w:pos="1588"/>
        <w:tab w:val="left" w:pos="1985"/>
      </w:tabs>
      <w:overflowPunct/>
      <w:autoSpaceDE/>
      <w:autoSpaceDN/>
      <w:adjustRightInd/>
      <w:spacing w:before="560" w:after="120"/>
      <w:jc w:val="center"/>
      <w:textAlignment w:val="auto"/>
    </w:pPr>
    <w:rPr>
      <w:rFonts w:ascii="Times New Roman" w:hAnsi="Times New Roman"/>
      <w:caps/>
      <w:lang w:val="en-GB"/>
    </w:rPr>
  </w:style>
  <w:style w:type="paragraph" w:customStyle="1" w:styleId="Subtitle">
    <w:name w:val="Sub_title"/>
    <w:basedOn w:val="Normal"/>
    <w:qFormat/>
    <w:rsid w:val="00A51849"/>
    <w:pPr>
      <w:framePr w:hSpace="180" w:wrap="around" w:hAnchor="page" w:x="1821" w:y="2317"/>
      <w:spacing w:after="160"/>
    </w:pPr>
    <w:rPr>
      <w:sz w:val="34"/>
      <w:lang w:val="en-GB"/>
    </w:rPr>
  </w:style>
  <w:style w:type="character" w:customStyle="1" w:styleId="HeaderChar">
    <w:name w:val="Header Char"/>
    <w:basedOn w:val="DefaultParagraphFont"/>
    <w:link w:val="Header"/>
    <w:uiPriority w:val="99"/>
    <w:rsid w:val="00A51849"/>
    <w:rPr>
      <w:rFonts w:ascii="Calibri" w:hAnsi="Calibri"/>
      <w:sz w:val="18"/>
      <w:lang w:val="fr-FR" w:eastAsia="en-US"/>
    </w:rPr>
  </w:style>
  <w:style w:type="table" w:styleId="TableGrid">
    <w:name w:val="Table Grid"/>
    <w:basedOn w:val="TableNormal"/>
    <w:uiPriority w:val="39"/>
    <w:rsid w:val="00A51849"/>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E95647"/>
    <w:rPr>
      <w:rFonts w:ascii="Calibri" w:hAnsi="Calibri"/>
      <w:sz w:val="24"/>
      <w:lang w:val="fr-FR" w:eastAsia="en-US"/>
    </w:rPr>
  </w:style>
  <w:style w:type="character" w:styleId="UnresolvedMention">
    <w:name w:val="Unresolved Mention"/>
    <w:basedOn w:val="DefaultParagraphFont"/>
    <w:uiPriority w:val="99"/>
    <w:semiHidden/>
    <w:unhideWhenUsed/>
    <w:rsid w:val="00B71416"/>
    <w:rPr>
      <w:color w:val="605E5C"/>
      <w:shd w:val="clear" w:color="auto" w:fill="E1DFDD"/>
    </w:rPr>
  </w:style>
  <w:style w:type="character" w:customStyle="1" w:styleId="enumlev1Char">
    <w:name w:val="enumlev1 Char"/>
    <w:basedOn w:val="DefaultParagraphFont"/>
    <w:link w:val="enumlev1"/>
    <w:rsid w:val="00846B53"/>
    <w:rPr>
      <w:rFonts w:ascii="Calibri" w:hAnsi="Calibri"/>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875765">
      <w:bodyDiv w:val="1"/>
      <w:marLeft w:val="0"/>
      <w:marRight w:val="0"/>
      <w:marTop w:val="0"/>
      <w:marBottom w:val="0"/>
      <w:divBdr>
        <w:top w:val="none" w:sz="0" w:space="0" w:color="auto"/>
        <w:left w:val="none" w:sz="0" w:space="0" w:color="auto"/>
        <w:bottom w:val="none" w:sz="0" w:space="0" w:color="auto"/>
        <w:right w:val="none" w:sz="0" w:space="0" w:color="auto"/>
      </w:divBdr>
    </w:div>
    <w:div w:id="690884591">
      <w:bodyDiv w:val="1"/>
      <w:marLeft w:val="0"/>
      <w:marRight w:val="0"/>
      <w:marTop w:val="0"/>
      <w:marBottom w:val="0"/>
      <w:divBdr>
        <w:top w:val="none" w:sz="0" w:space="0" w:color="auto"/>
        <w:left w:val="none" w:sz="0" w:space="0" w:color="auto"/>
        <w:bottom w:val="none" w:sz="0" w:space="0" w:color="auto"/>
        <w:right w:val="none" w:sz="0" w:space="0" w:color="auto"/>
      </w:divBdr>
    </w:div>
    <w:div w:id="805775709">
      <w:bodyDiv w:val="1"/>
      <w:marLeft w:val="0"/>
      <w:marRight w:val="0"/>
      <w:marTop w:val="0"/>
      <w:marBottom w:val="0"/>
      <w:divBdr>
        <w:top w:val="none" w:sz="0" w:space="0" w:color="auto"/>
        <w:left w:val="none" w:sz="0" w:space="0" w:color="auto"/>
        <w:bottom w:val="none" w:sz="0" w:space="0" w:color="auto"/>
        <w:right w:val="none" w:sz="0" w:space="0" w:color="auto"/>
      </w:divBdr>
    </w:div>
    <w:div w:id="1101991961">
      <w:bodyDiv w:val="1"/>
      <w:marLeft w:val="0"/>
      <w:marRight w:val="0"/>
      <w:marTop w:val="0"/>
      <w:marBottom w:val="0"/>
      <w:divBdr>
        <w:top w:val="none" w:sz="0" w:space="0" w:color="auto"/>
        <w:left w:val="none" w:sz="0" w:space="0" w:color="auto"/>
        <w:bottom w:val="none" w:sz="0" w:space="0" w:color="auto"/>
        <w:right w:val="none" w:sz="0" w:space="0" w:color="auto"/>
      </w:divBdr>
    </w:div>
    <w:div w:id="1125928374">
      <w:bodyDiv w:val="1"/>
      <w:marLeft w:val="0"/>
      <w:marRight w:val="0"/>
      <w:marTop w:val="0"/>
      <w:marBottom w:val="0"/>
      <w:divBdr>
        <w:top w:val="none" w:sz="0" w:space="0" w:color="auto"/>
        <w:left w:val="none" w:sz="0" w:space="0" w:color="auto"/>
        <w:bottom w:val="none" w:sz="0" w:space="0" w:color="auto"/>
        <w:right w:val="none" w:sz="0" w:space="0" w:color="auto"/>
      </w:divBdr>
    </w:div>
    <w:div w:id="1439257041">
      <w:bodyDiv w:val="1"/>
      <w:marLeft w:val="0"/>
      <w:marRight w:val="0"/>
      <w:marTop w:val="0"/>
      <w:marBottom w:val="0"/>
      <w:divBdr>
        <w:top w:val="none" w:sz="0" w:space="0" w:color="auto"/>
        <w:left w:val="none" w:sz="0" w:space="0" w:color="auto"/>
        <w:bottom w:val="none" w:sz="0" w:space="0" w:color="auto"/>
        <w:right w:val="none" w:sz="0" w:space="0" w:color="auto"/>
      </w:divBdr>
    </w:div>
    <w:div w:id="1589919093">
      <w:bodyDiv w:val="1"/>
      <w:marLeft w:val="0"/>
      <w:marRight w:val="0"/>
      <w:marTop w:val="0"/>
      <w:marBottom w:val="0"/>
      <w:divBdr>
        <w:top w:val="none" w:sz="0" w:space="0" w:color="auto"/>
        <w:left w:val="none" w:sz="0" w:space="0" w:color="auto"/>
        <w:bottom w:val="none" w:sz="0" w:space="0" w:color="auto"/>
        <w:right w:val="none" w:sz="0" w:space="0" w:color="auto"/>
      </w:divBdr>
    </w:div>
    <w:div w:id="20480215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emf"/><Relationship Id="rId26" Type="http://schemas.openxmlformats.org/officeDocument/2006/relationships/footer" Target="footer1.xml"/><Relationship Id="rId39" Type="http://schemas.openxmlformats.org/officeDocument/2006/relationships/image" Target="media/image24.emf"/><Relationship Id="rId21" Type="http://schemas.openxmlformats.org/officeDocument/2006/relationships/image" Target="media/image10.emf"/><Relationship Id="rId34" Type="http://schemas.openxmlformats.org/officeDocument/2006/relationships/image" Target="media/image19.emf"/><Relationship Id="rId42" Type="http://schemas.openxmlformats.org/officeDocument/2006/relationships/image" Target="media/image27.emf"/><Relationship Id="rId47" Type="http://schemas.openxmlformats.org/officeDocument/2006/relationships/image" Target="media/image32.emf"/><Relationship Id="rId50" Type="http://schemas.openxmlformats.org/officeDocument/2006/relationships/image" Target="media/image35.emf"/><Relationship Id="rId7" Type="http://schemas.openxmlformats.org/officeDocument/2006/relationships/hyperlink" Target="https://www.itu.int/en/council/Documents/basic-texts-2023/Convention-F.pdf" TargetMode="External"/><Relationship Id="rId2" Type="http://schemas.openxmlformats.org/officeDocument/2006/relationships/settings" Target="settings.xml"/><Relationship Id="rId16" Type="http://schemas.openxmlformats.org/officeDocument/2006/relationships/image" Target="media/image5.emf"/><Relationship Id="rId29" Type="http://schemas.openxmlformats.org/officeDocument/2006/relationships/footer" Target="footer3.xml"/><Relationship Id="rId11" Type="http://schemas.openxmlformats.org/officeDocument/2006/relationships/hyperlink" Target="https://www.itu.int/en/council/Documents/basic-texts-2023/RES-151-F.pdf" TargetMode="External"/><Relationship Id="rId24" Type="http://schemas.openxmlformats.org/officeDocument/2006/relationships/image" Target="media/image13.emf"/><Relationship Id="rId32" Type="http://schemas.openxmlformats.org/officeDocument/2006/relationships/image" Target="media/image17.emf"/><Relationship Id="rId37" Type="http://schemas.openxmlformats.org/officeDocument/2006/relationships/image" Target="media/image22.emf"/><Relationship Id="rId40" Type="http://schemas.openxmlformats.org/officeDocument/2006/relationships/image" Target="media/image25.emf"/><Relationship Id="rId45" Type="http://schemas.openxmlformats.org/officeDocument/2006/relationships/image" Target="media/image30.emf"/><Relationship Id="rId53"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hyperlink" Target="https://www.itu.int/en/council/Documents/basic-texts-2023/RES-071-F.pdf" TargetMode="External"/><Relationship Id="rId19" Type="http://schemas.openxmlformats.org/officeDocument/2006/relationships/image" Target="media/image8.png"/><Relationship Id="rId31" Type="http://schemas.openxmlformats.org/officeDocument/2006/relationships/image" Target="media/image16.emf"/><Relationship Id="rId44" Type="http://schemas.openxmlformats.org/officeDocument/2006/relationships/image" Target="media/image29.emf"/><Relationship Id="rId52"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https://www.itu.int/en/council/Documents/basic-texts-2023/DEC-005-F.pdf" TargetMode="External"/><Relationship Id="rId14" Type="http://schemas.openxmlformats.org/officeDocument/2006/relationships/image" Target="media/image3.emf"/><Relationship Id="rId22" Type="http://schemas.openxmlformats.org/officeDocument/2006/relationships/image" Target="media/image11.emf"/><Relationship Id="rId27" Type="http://schemas.openxmlformats.org/officeDocument/2006/relationships/footer" Target="footer2.xml"/><Relationship Id="rId30" Type="http://schemas.openxmlformats.org/officeDocument/2006/relationships/image" Target="media/image15.emf"/><Relationship Id="rId35" Type="http://schemas.openxmlformats.org/officeDocument/2006/relationships/image" Target="media/image20.emf"/><Relationship Id="rId43" Type="http://schemas.openxmlformats.org/officeDocument/2006/relationships/image" Target="media/image28.emf"/><Relationship Id="rId48" Type="http://schemas.openxmlformats.org/officeDocument/2006/relationships/image" Target="media/image33.emf"/><Relationship Id="rId8" Type="http://schemas.openxmlformats.org/officeDocument/2006/relationships/hyperlink" Target="https://www.itu.int/en/council/Documents/basic-texts-2023/Convention-F.pdf" TargetMode="External"/><Relationship Id="rId51" Type="http://schemas.openxmlformats.org/officeDocument/2006/relationships/image" Target="media/image36.emf"/><Relationship Id="rId3" Type="http://schemas.openxmlformats.org/officeDocument/2006/relationships/webSettings" Target="webSettings.xml"/><Relationship Id="rId12" Type="http://schemas.openxmlformats.org/officeDocument/2006/relationships/image" Target="media/image1.emf"/><Relationship Id="rId17" Type="http://schemas.openxmlformats.org/officeDocument/2006/relationships/image" Target="media/image6.emf"/><Relationship Id="rId25" Type="http://schemas.openxmlformats.org/officeDocument/2006/relationships/header" Target="header1.xml"/><Relationship Id="rId33" Type="http://schemas.openxmlformats.org/officeDocument/2006/relationships/image" Target="media/image18.emf"/><Relationship Id="rId38" Type="http://schemas.openxmlformats.org/officeDocument/2006/relationships/image" Target="media/image23.emf"/><Relationship Id="rId46" Type="http://schemas.openxmlformats.org/officeDocument/2006/relationships/image" Target="media/image31.emf"/><Relationship Id="rId20" Type="http://schemas.openxmlformats.org/officeDocument/2006/relationships/image" Target="media/image9.emf"/><Relationship Id="rId41" Type="http://schemas.openxmlformats.org/officeDocument/2006/relationships/image" Target="media/image26.emf"/><Relationship Id="rId1" Type="http://schemas.openxmlformats.org/officeDocument/2006/relationships/styles" Target="styles.xml"/><Relationship Id="rId6" Type="http://schemas.openxmlformats.org/officeDocument/2006/relationships/hyperlink" Target="https://www.itu.int/en/council/Documents/basic-texts-2023/Constitution-F.pdf" TargetMode="External"/><Relationship Id="rId15" Type="http://schemas.openxmlformats.org/officeDocument/2006/relationships/image" Target="media/image4.emf"/><Relationship Id="rId23" Type="http://schemas.openxmlformats.org/officeDocument/2006/relationships/image" Target="media/image12.emf"/><Relationship Id="rId28" Type="http://schemas.openxmlformats.org/officeDocument/2006/relationships/header" Target="header2.xml"/><Relationship Id="rId36" Type="http://schemas.openxmlformats.org/officeDocument/2006/relationships/image" Target="media/image21.emf"/><Relationship Id="rId49" Type="http://schemas.openxmlformats.org/officeDocument/2006/relationships/image" Target="media/image34.emf"/></Relationships>
</file>

<file path=word/_rels/footer3.xml.rels><?xml version="1.0" encoding="UTF-8" standalone="yes"?>
<Relationships xmlns="http://schemas.openxmlformats.org/package/2006/relationships"><Relationship Id="rId1" Type="http://schemas.openxmlformats.org/officeDocument/2006/relationships/hyperlink" Target="http://www.itu.int/council"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35</Pages>
  <Words>2134</Words>
  <Characters>12007</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Manager>Secrétariat général - Pool</Manager>
  <Company>Union internationale des télécommunications (UIT)</Company>
  <LinksUpToDate>false</LinksUpToDate>
  <CharactersWithSpaces>14113</CharactersWithSpaces>
  <SharedDoc>false</SharedDoc>
  <HLinks>
    <vt:vector size="6" baseType="variant">
      <vt:variant>
        <vt:i4>3342371</vt:i4>
      </vt:variant>
      <vt:variant>
        <vt:i4>24</vt:i4>
      </vt:variant>
      <vt:variant>
        <vt:i4>0</vt:i4>
      </vt:variant>
      <vt:variant>
        <vt:i4>5</vt:i4>
      </vt:variant>
      <vt:variant>
        <vt:lpwstr>http://www.itu.int/council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Projet de budget biennal de l'Union Internationale des Télécommunications pour 2024-2025</dc:title>
  <dc:subject>Conseil 2023</dc:subject>
  <dc:creator>Xue, Kun</dc:creator>
  <cp:keywords>C2023, C23, Council-23</cp:keywords>
  <dc:description/>
  <cp:lastModifiedBy>Xue, Kun</cp:lastModifiedBy>
  <cp:revision>5</cp:revision>
  <cp:lastPrinted>2000-07-18T08:55:00Z</cp:lastPrinted>
  <dcterms:created xsi:type="dcterms:W3CDTF">2023-06-30T12:30:00Z</dcterms:created>
  <dcterms:modified xsi:type="dcterms:W3CDTF">2023-06-30T12:35:00Z</dcterms:modified>
  <cp:category>Document de conférence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Document C17/-F</vt:lpwstr>
  </property>
  <property fmtid="{D5CDD505-2E9C-101B-9397-08002B2CF9AE}" pid="3" name="Docdate">
    <vt:lpwstr>janvier 2017</vt:lpwstr>
  </property>
  <property fmtid="{D5CDD505-2E9C-101B-9397-08002B2CF9AE}" pid="4" name="Docorlang">
    <vt:lpwstr>Original: anglais</vt:lpwstr>
  </property>
  <property fmtid="{D5CDD505-2E9C-101B-9397-08002B2CF9AE}" pid="5" name="Docbluepink">
    <vt:lpwstr/>
  </property>
  <property fmtid="{D5CDD505-2E9C-101B-9397-08002B2CF9AE}" pid="6" name="Docdest">
    <vt:lpwstr/>
  </property>
  <property fmtid="{D5CDD505-2E9C-101B-9397-08002B2CF9AE}" pid="7" name="Docauthor">
    <vt:lpwstr/>
  </property>
</Properties>
</file>