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E24D59" w:rsidRPr="00E24D59" w14:paraId="21AB1D28" w14:textId="77777777" w:rsidTr="00DA7CBE">
        <w:trPr>
          <w:cantSplit/>
          <w:trHeight w:val="23"/>
        </w:trPr>
        <w:tc>
          <w:tcPr>
            <w:tcW w:w="3969" w:type="dxa"/>
            <w:vMerge w:val="restart"/>
            <w:tcMar>
              <w:left w:w="0" w:type="dxa"/>
            </w:tcMar>
          </w:tcPr>
          <w:p w14:paraId="5B761480" w14:textId="09BCAF5A" w:rsidR="00E24D59" w:rsidRPr="00E24D59" w:rsidRDefault="00E24D59" w:rsidP="00DA7CBE">
            <w:pPr>
              <w:tabs>
                <w:tab w:val="left" w:pos="851"/>
              </w:tabs>
              <w:spacing w:before="0" w:line="240" w:lineRule="atLeast"/>
              <w:rPr>
                <w:b/>
                <w:bCs/>
              </w:rPr>
            </w:pPr>
            <w:bookmarkStart w:id="0" w:name="_Hlk136597115"/>
            <w:bookmarkStart w:id="1" w:name="dmeeting" w:colFirst="0" w:colLast="0"/>
            <w:bookmarkStart w:id="2" w:name="dnum" w:colFirst="1" w:colLast="1"/>
            <w:bookmarkStart w:id="3" w:name="_Hlk133421839"/>
            <w:bookmarkEnd w:id="0"/>
            <w:proofErr w:type="spellStart"/>
            <w:r w:rsidRPr="00E24D59">
              <w:rPr>
                <w:rFonts w:cstheme="minorHAnsi" w:hint="eastAsia"/>
                <w:b/>
                <w:bCs/>
                <w:lang w:val="ru-RU"/>
              </w:rPr>
              <w:t>议项</w:t>
            </w:r>
            <w:proofErr w:type="spellEnd"/>
            <w:r w:rsidRPr="00E24D59">
              <w:rPr>
                <w:rFonts w:cstheme="minorHAnsi" w:hint="eastAsia"/>
                <w:b/>
                <w:bCs/>
                <w:lang w:val="ru-RU"/>
              </w:rPr>
              <w:t>：</w:t>
            </w:r>
            <w:r w:rsidR="00D64DA0" w:rsidRPr="00E2679E">
              <w:rPr>
                <w:b/>
              </w:rPr>
              <w:t xml:space="preserve">ADM </w:t>
            </w:r>
            <w:r w:rsidR="00D64DA0" w:rsidRPr="004A753D">
              <w:rPr>
                <w:b/>
              </w:rPr>
              <w:t>1</w:t>
            </w:r>
          </w:p>
        </w:tc>
        <w:tc>
          <w:tcPr>
            <w:tcW w:w="5245" w:type="dxa"/>
          </w:tcPr>
          <w:p w14:paraId="5BFD5B79" w14:textId="0E2652FB" w:rsidR="00E24D59" w:rsidRPr="00E24D59" w:rsidRDefault="00E24D59" w:rsidP="00DA7CB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452D10">
              <w:rPr>
                <w:b/>
                <w:lang w:val="fr-CH"/>
              </w:rPr>
              <w:t>60</w:t>
            </w:r>
            <w:r w:rsidRPr="00E24D59">
              <w:rPr>
                <w:b/>
                <w:lang w:val="fr-CH"/>
              </w:rPr>
              <w:t>-C</w:t>
            </w:r>
          </w:p>
        </w:tc>
      </w:tr>
      <w:tr w:rsidR="00D64DA0" w:rsidRPr="00813E5E" w14:paraId="3D209343" w14:textId="77777777" w:rsidTr="00DA7CBE">
        <w:trPr>
          <w:cantSplit/>
        </w:trPr>
        <w:tc>
          <w:tcPr>
            <w:tcW w:w="3969" w:type="dxa"/>
            <w:vMerge/>
          </w:tcPr>
          <w:p w14:paraId="3C8A4619" w14:textId="77777777" w:rsidR="00D64DA0" w:rsidRPr="00E24D59" w:rsidRDefault="00D64DA0" w:rsidP="00DA7CBE">
            <w:pPr>
              <w:tabs>
                <w:tab w:val="left" w:pos="851"/>
              </w:tabs>
              <w:spacing w:line="240" w:lineRule="atLeast"/>
              <w:rPr>
                <w:b/>
                <w:lang w:val="fr-CH"/>
              </w:rPr>
            </w:pPr>
            <w:bookmarkStart w:id="4" w:name="ddate" w:colFirst="1" w:colLast="1"/>
            <w:bookmarkEnd w:id="1"/>
            <w:bookmarkEnd w:id="2"/>
          </w:p>
        </w:tc>
        <w:tc>
          <w:tcPr>
            <w:tcW w:w="5245" w:type="dxa"/>
          </w:tcPr>
          <w:p w14:paraId="1FAFFA43" w14:textId="6E320D78" w:rsidR="00D64DA0" w:rsidRPr="00E85629" w:rsidRDefault="00D64DA0" w:rsidP="00DA7CBE">
            <w:pPr>
              <w:tabs>
                <w:tab w:val="left" w:pos="851"/>
              </w:tabs>
              <w:spacing w:before="0"/>
              <w:jc w:val="right"/>
              <w:rPr>
                <w:b/>
              </w:rPr>
            </w:pPr>
            <w:r>
              <w:rPr>
                <w:b/>
              </w:rPr>
              <w:t>2023</w:t>
            </w:r>
            <w:r>
              <w:rPr>
                <w:rFonts w:hint="eastAsia"/>
                <w:b/>
                <w:lang w:eastAsia="zh-CN"/>
              </w:rPr>
              <w:t>年</w:t>
            </w:r>
            <w:r>
              <w:rPr>
                <w:rFonts w:hint="eastAsia"/>
                <w:b/>
                <w:lang w:eastAsia="zh-CN"/>
              </w:rPr>
              <w:t>5</w:t>
            </w:r>
            <w:r>
              <w:rPr>
                <w:rFonts w:hint="eastAsia"/>
                <w:b/>
                <w:lang w:eastAsia="zh-CN"/>
              </w:rPr>
              <w:t>月</w:t>
            </w:r>
            <w:r w:rsidR="00452D10">
              <w:rPr>
                <w:b/>
                <w:lang w:eastAsia="zh-CN"/>
              </w:rPr>
              <w:t>23</w:t>
            </w:r>
            <w:r>
              <w:rPr>
                <w:rFonts w:hint="eastAsia"/>
                <w:b/>
                <w:lang w:eastAsia="zh-CN"/>
              </w:rPr>
              <w:t>日</w:t>
            </w:r>
          </w:p>
        </w:tc>
      </w:tr>
      <w:bookmarkEnd w:id="4"/>
      <w:tr w:rsidR="00D64DA0" w:rsidRPr="00813E5E" w14:paraId="6524BC02" w14:textId="77777777" w:rsidTr="00DA7CBE">
        <w:trPr>
          <w:cantSplit/>
          <w:trHeight w:val="23"/>
        </w:trPr>
        <w:tc>
          <w:tcPr>
            <w:tcW w:w="3969" w:type="dxa"/>
            <w:vMerge/>
          </w:tcPr>
          <w:p w14:paraId="25BE50A7" w14:textId="77777777" w:rsidR="00D64DA0" w:rsidRPr="00813E5E" w:rsidRDefault="00D64DA0" w:rsidP="00DA7CBE">
            <w:pPr>
              <w:tabs>
                <w:tab w:val="left" w:pos="851"/>
              </w:tabs>
              <w:spacing w:line="240" w:lineRule="atLeast"/>
              <w:rPr>
                <w:b/>
              </w:rPr>
            </w:pPr>
          </w:p>
        </w:tc>
        <w:tc>
          <w:tcPr>
            <w:tcW w:w="5245" w:type="dxa"/>
          </w:tcPr>
          <w:p w14:paraId="1128CBF2" w14:textId="22579DE4" w:rsidR="00D64DA0" w:rsidRPr="00E85629" w:rsidRDefault="00D64DA0" w:rsidP="00DA7CBE">
            <w:pPr>
              <w:tabs>
                <w:tab w:val="left" w:pos="851"/>
              </w:tabs>
              <w:spacing w:before="0" w:line="240" w:lineRule="atLeast"/>
              <w:jc w:val="right"/>
              <w:rPr>
                <w:b/>
                <w:lang w:eastAsia="zh-CN"/>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A2A6AC2" w14:textId="77777777" w:rsidTr="00DA7CBE">
        <w:trPr>
          <w:cantSplit/>
          <w:trHeight w:val="23"/>
        </w:trPr>
        <w:tc>
          <w:tcPr>
            <w:tcW w:w="3969" w:type="dxa"/>
          </w:tcPr>
          <w:p w14:paraId="4D4D824D" w14:textId="77777777" w:rsidR="00E24D59" w:rsidRPr="00813E5E" w:rsidRDefault="00E24D59" w:rsidP="00DA7CBE">
            <w:pPr>
              <w:tabs>
                <w:tab w:val="left" w:pos="851"/>
              </w:tabs>
              <w:spacing w:line="240" w:lineRule="atLeast"/>
              <w:rPr>
                <w:b/>
              </w:rPr>
            </w:pPr>
            <w:bookmarkStart w:id="5" w:name="dorlang" w:colFirst="1" w:colLast="1"/>
          </w:p>
        </w:tc>
        <w:tc>
          <w:tcPr>
            <w:tcW w:w="5245" w:type="dxa"/>
          </w:tcPr>
          <w:p w14:paraId="318C9B31" w14:textId="77777777" w:rsidR="00E24D59" w:rsidRDefault="00E24D59" w:rsidP="00DA7CBE">
            <w:pPr>
              <w:tabs>
                <w:tab w:val="left" w:pos="851"/>
              </w:tabs>
              <w:spacing w:before="0" w:line="240" w:lineRule="atLeast"/>
              <w:jc w:val="right"/>
              <w:rPr>
                <w:b/>
              </w:rPr>
            </w:pPr>
          </w:p>
        </w:tc>
      </w:tr>
      <w:tr w:rsidR="00E24D59" w:rsidRPr="00813E5E" w14:paraId="0837D9B8" w14:textId="77777777" w:rsidTr="00DA7CBE">
        <w:trPr>
          <w:cantSplit/>
        </w:trPr>
        <w:tc>
          <w:tcPr>
            <w:tcW w:w="9214" w:type="dxa"/>
            <w:gridSpan w:val="2"/>
            <w:tcMar>
              <w:left w:w="0" w:type="dxa"/>
            </w:tcMar>
          </w:tcPr>
          <w:p w14:paraId="484E8B03" w14:textId="6F11E2D9" w:rsidR="00E24D59" w:rsidRPr="00E24D59" w:rsidRDefault="00D64DA0" w:rsidP="00DA7CBE">
            <w:pPr>
              <w:pStyle w:val="Source"/>
              <w:jc w:val="left"/>
              <w:rPr>
                <w:sz w:val="34"/>
                <w:szCs w:val="34"/>
                <w:lang w:eastAsia="zh-CN"/>
              </w:rPr>
            </w:pPr>
            <w:bookmarkStart w:id="6" w:name="dsource" w:colFirst="0" w:colLast="0"/>
            <w:bookmarkEnd w:id="5"/>
            <w:proofErr w:type="spellStart"/>
            <w:r w:rsidRPr="00E24D59">
              <w:rPr>
                <w:rFonts w:cstheme="minorHAnsi" w:hint="eastAsia"/>
                <w:sz w:val="34"/>
                <w:szCs w:val="34"/>
                <w:lang w:val="ru-RU"/>
              </w:rPr>
              <w:t>秘书长的报告</w:t>
            </w:r>
            <w:proofErr w:type="spellEnd"/>
          </w:p>
        </w:tc>
      </w:tr>
      <w:tr w:rsidR="00E24D59" w:rsidRPr="00813E5E" w14:paraId="0A607CA0" w14:textId="77777777" w:rsidTr="00DA7CBE">
        <w:trPr>
          <w:cantSplit/>
        </w:trPr>
        <w:tc>
          <w:tcPr>
            <w:tcW w:w="9214" w:type="dxa"/>
            <w:gridSpan w:val="2"/>
            <w:tcMar>
              <w:left w:w="0" w:type="dxa"/>
            </w:tcMar>
          </w:tcPr>
          <w:p w14:paraId="61A82356" w14:textId="423DD9F9" w:rsidR="00E24D59" w:rsidRPr="00E24D59" w:rsidRDefault="003F5B06" w:rsidP="00DA7CBE">
            <w:pPr>
              <w:pStyle w:val="Subtitle"/>
              <w:framePr w:hSpace="0" w:wrap="auto" w:hAnchor="text" w:xAlign="left" w:yAlign="inline"/>
              <w:rPr>
                <w:rFonts w:ascii="SimSun" w:hAnsi="SimSun"/>
                <w:lang w:eastAsia="zh-CN"/>
              </w:rPr>
            </w:pPr>
            <w:bookmarkStart w:id="7" w:name="dtitle1" w:colFirst="0" w:colLast="0"/>
            <w:bookmarkEnd w:id="6"/>
            <w:r>
              <w:rPr>
                <w:rFonts w:hint="eastAsia"/>
                <w:lang w:eastAsia="zh-CN"/>
              </w:rPr>
              <w:t>国际电联</w:t>
            </w:r>
            <w:r w:rsidRPr="003F5B06">
              <w:rPr>
                <w:rFonts w:hint="eastAsia"/>
                <w:lang w:eastAsia="zh-CN"/>
              </w:rPr>
              <w:t>2024-2025</w:t>
            </w:r>
            <w:r>
              <w:rPr>
                <w:rFonts w:hint="eastAsia"/>
                <w:lang w:eastAsia="zh-CN"/>
              </w:rPr>
              <w:t>双年度</w:t>
            </w:r>
            <w:r w:rsidRPr="003F5B06">
              <w:rPr>
                <w:rFonts w:hint="eastAsia"/>
                <w:lang w:eastAsia="zh-CN"/>
              </w:rPr>
              <w:t>预算草案</w:t>
            </w:r>
          </w:p>
        </w:tc>
      </w:tr>
      <w:tr w:rsidR="00E24D59" w:rsidRPr="00813E5E" w14:paraId="100C8F8F" w14:textId="77777777" w:rsidTr="00DA7CBE">
        <w:trPr>
          <w:cantSplit/>
        </w:trPr>
        <w:tc>
          <w:tcPr>
            <w:tcW w:w="9214" w:type="dxa"/>
            <w:gridSpan w:val="2"/>
            <w:tcBorders>
              <w:top w:val="single" w:sz="4" w:space="0" w:color="auto"/>
              <w:bottom w:val="single" w:sz="4" w:space="0" w:color="auto"/>
            </w:tcBorders>
            <w:tcMar>
              <w:left w:w="0" w:type="dxa"/>
            </w:tcMar>
          </w:tcPr>
          <w:p w14:paraId="3299CC8F" w14:textId="53D47225" w:rsidR="00E24D59" w:rsidRPr="00E24D59" w:rsidRDefault="00E24D59" w:rsidP="00DA7CBE">
            <w:pPr>
              <w:pStyle w:val="Subtitle"/>
              <w:framePr w:hSpace="0" w:wrap="auto" w:hAnchor="text" w:xAlign="left" w:yAlign="inline"/>
              <w:rPr>
                <w:rFonts w:ascii="SimSun" w:hAnsi="SimSun" w:cstheme="minorHAnsi"/>
                <w:b/>
                <w:bCs/>
                <w:sz w:val="26"/>
                <w:szCs w:val="26"/>
                <w:lang w:eastAsia="zh-CN"/>
              </w:rPr>
            </w:pPr>
            <w:r w:rsidRPr="00E24D59">
              <w:rPr>
                <w:rFonts w:ascii="SimSun" w:hAnsi="SimSun" w:cstheme="minorHAnsi"/>
                <w:b/>
                <w:bCs/>
                <w:sz w:val="26"/>
                <w:szCs w:val="26"/>
                <w:lang w:eastAsia="zh-CN"/>
              </w:rPr>
              <w:t>目的</w:t>
            </w:r>
          </w:p>
          <w:p w14:paraId="67CC922F" w14:textId="7A5E8F07" w:rsidR="00D64DA0" w:rsidRPr="003F5B06" w:rsidRDefault="003F5B06" w:rsidP="00DA7CBE">
            <w:pPr>
              <w:pStyle w:val="Subtitle"/>
              <w:framePr w:hSpace="0" w:wrap="auto" w:hAnchor="text" w:xAlign="left" w:yAlign="inline"/>
              <w:ind w:firstLineChars="200" w:firstLine="480"/>
              <w:rPr>
                <w:rFonts w:cs="Calibri"/>
                <w:sz w:val="24"/>
                <w:szCs w:val="24"/>
                <w:lang w:eastAsia="zh-CN"/>
              </w:rPr>
            </w:pPr>
            <w:bookmarkStart w:id="8" w:name="lt_pId012"/>
            <w:r w:rsidRPr="003F5B06">
              <w:rPr>
                <w:rFonts w:cs="Calibri" w:hint="eastAsia"/>
                <w:sz w:val="24"/>
                <w:szCs w:val="24"/>
                <w:lang w:eastAsia="zh-CN"/>
              </w:rPr>
              <w:t>本文件介绍了国际电联</w:t>
            </w:r>
            <w:r w:rsidRPr="003F5B06">
              <w:rPr>
                <w:rFonts w:cs="Calibri"/>
                <w:sz w:val="24"/>
                <w:szCs w:val="24"/>
                <w:lang w:eastAsia="zh-CN"/>
              </w:rPr>
              <w:t>2024-2025</w:t>
            </w:r>
            <w:r w:rsidRPr="003F5B06">
              <w:rPr>
                <w:rFonts w:cs="Calibri"/>
                <w:sz w:val="24"/>
                <w:szCs w:val="24"/>
                <w:lang w:eastAsia="zh-CN"/>
              </w:rPr>
              <w:t>年</w:t>
            </w:r>
            <w:r w:rsidRPr="003F5B06">
              <w:rPr>
                <w:rFonts w:cs="Calibri" w:hint="eastAsia"/>
                <w:sz w:val="24"/>
                <w:szCs w:val="24"/>
                <w:lang w:eastAsia="zh-CN"/>
              </w:rPr>
              <w:t>双年度</w:t>
            </w:r>
            <w:r w:rsidRPr="003F5B06">
              <w:rPr>
                <w:rFonts w:cs="Calibri"/>
                <w:sz w:val="24"/>
                <w:szCs w:val="24"/>
                <w:lang w:eastAsia="zh-CN"/>
              </w:rPr>
              <w:t>预算草案</w:t>
            </w:r>
            <w:r w:rsidRPr="003F5B06">
              <w:rPr>
                <w:rFonts w:cs="Calibri" w:hint="eastAsia"/>
                <w:sz w:val="24"/>
                <w:szCs w:val="24"/>
                <w:lang w:eastAsia="zh-CN"/>
              </w:rPr>
              <w:t>。</w:t>
            </w:r>
            <w:r>
              <w:rPr>
                <w:rFonts w:cs="Calibri" w:hint="eastAsia"/>
                <w:sz w:val="24"/>
                <w:szCs w:val="24"/>
                <w:lang w:eastAsia="zh-CN"/>
              </w:rPr>
              <w:t>文件以</w:t>
            </w:r>
            <w:r w:rsidRPr="003F5B06">
              <w:rPr>
                <w:rFonts w:cs="Calibri"/>
                <w:sz w:val="24"/>
                <w:szCs w:val="24"/>
                <w:lang w:eastAsia="zh-CN"/>
              </w:rPr>
              <w:t>该时</w:t>
            </w:r>
            <w:r w:rsidRPr="003F5B06">
              <w:rPr>
                <w:rFonts w:cs="Calibri" w:hint="eastAsia"/>
                <w:sz w:val="24"/>
                <w:szCs w:val="24"/>
                <w:lang w:eastAsia="zh-CN"/>
              </w:rPr>
              <w:t>间段的</w:t>
            </w:r>
            <w:r w:rsidRPr="003F5B06">
              <w:rPr>
                <w:rFonts w:cs="Calibri"/>
                <w:sz w:val="24"/>
                <w:szCs w:val="24"/>
                <w:lang w:eastAsia="zh-CN"/>
              </w:rPr>
              <w:t>国际电联</w:t>
            </w:r>
            <w:r w:rsidRPr="003F5B06">
              <w:rPr>
                <w:rFonts w:cs="Calibri" w:hint="eastAsia"/>
                <w:sz w:val="24"/>
                <w:szCs w:val="24"/>
                <w:lang w:eastAsia="zh-CN"/>
              </w:rPr>
              <w:t>战略规划</w:t>
            </w:r>
            <w:r w:rsidRPr="003F5B06">
              <w:rPr>
                <w:rFonts w:cs="Calibri"/>
                <w:sz w:val="24"/>
                <w:szCs w:val="24"/>
                <w:lang w:eastAsia="zh-CN"/>
              </w:rPr>
              <w:t>为基础，</w:t>
            </w:r>
            <w:r>
              <w:rPr>
                <w:rFonts w:cs="Calibri" w:hint="eastAsia"/>
                <w:sz w:val="24"/>
                <w:szCs w:val="24"/>
                <w:lang w:eastAsia="zh-CN"/>
              </w:rPr>
              <w:t>同时</w:t>
            </w:r>
            <w:r w:rsidRPr="003F5B06">
              <w:rPr>
                <w:rFonts w:cs="Calibri"/>
                <w:sz w:val="24"/>
                <w:szCs w:val="24"/>
                <w:lang w:eastAsia="zh-CN"/>
              </w:rPr>
              <w:t>反映出执行全权代表大会（</w:t>
            </w:r>
            <w:r w:rsidRPr="003F5B06">
              <w:rPr>
                <w:rFonts w:cs="Calibri"/>
                <w:sz w:val="24"/>
                <w:szCs w:val="24"/>
                <w:lang w:eastAsia="zh-CN"/>
              </w:rPr>
              <w:t>20</w:t>
            </w:r>
            <w:r>
              <w:rPr>
                <w:rFonts w:cs="Calibri"/>
                <w:sz w:val="24"/>
                <w:szCs w:val="24"/>
                <w:lang w:eastAsia="zh-CN"/>
              </w:rPr>
              <w:t>22</w:t>
            </w:r>
            <w:r w:rsidRPr="003F5B06">
              <w:rPr>
                <w:rFonts w:cs="Calibri"/>
                <w:sz w:val="24"/>
                <w:szCs w:val="24"/>
                <w:lang w:eastAsia="zh-CN"/>
              </w:rPr>
              <w:t>年，</w:t>
            </w:r>
            <w:r>
              <w:rPr>
                <w:rFonts w:cs="Calibri" w:hint="eastAsia"/>
                <w:sz w:val="24"/>
                <w:szCs w:val="24"/>
                <w:lang w:eastAsia="zh-CN"/>
              </w:rPr>
              <w:t>布加勒斯特</w:t>
            </w:r>
            <w:r w:rsidRPr="003F5B06">
              <w:rPr>
                <w:rFonts w:cs="Calibri"/>
                <w:sz w:val="24"/>
                <w:szCs w:val="24"/>
                <w:lang w:eastAsia="zh-CN"/>
              </w:rPr>
              <w:t>）</w:t>
            </w:r>
            <w:r w:rsidRPr="003F5B06">
              <w:rPr>
                <w:rFonts w:cs="Calibri" w:hint="eastAsia"/>
                <w:sz w:val="24"/>
                <w:szCs w:val="24"/>
                <w:lang w:eastAsia="zh-CN"/>
              </w:rPr>
              <w:t>以</w:t>
            </w:r>
            <w:r w:rsidRPr="003F5B06">
              <w:rPr>
                <w:rFonts w:cs="Calibri"/>
                <w:sz w:val="24"/>
                <w:szCs w:val="24"/>
                <w:lang w:eastAsia="zh-CN"/>
              </w:rPr>
              <w:t>及</w:t>
            </w:r>
            <w:r w:rsidRPr="003F5B06">
              <w:rPr>
                <w:rFonts w:cs="Calibri" w:hint="eastAsia"/>
                <w:sz w:val="24"/>
                <w:szCs w:val="24"/>
                <w:lang w:eastAsia="zh-CN"/>
              </w:rPr>
              <w:t>以往</w:t>
            </w:r>
            <w:r w:rsidRPr="003F5B06">
              <w:rPr>
                <w:rFonts w:cs="Calibri"/>
                <w:sz w:val="24"/>
                <w:szCs w:val="24"/>
                <w:lang w:eastAsia="zh-CN"/>
              </w:rPr>
              <w:t>理事会会议所通过的各项决定和决议产生的财务影响。</w:t>
            </w:r>
            <w:bookmarkEnd w:id="8"/>
          </w:p>
          <w:p w14:paraId="060A9F21" w14:textId="77777777" w:rsidR="00E24D59" w:rsidRPr="00E24D59" w:rsidRDefault="00E24D59" w:rsidP="00DA7CBE">
            <w:pPr>
              <w:pStyle w:val="Subtitle"/>
              <w:framePr w:hSpace="0" w:wrap="auto" w:hAnchor="text" w:xAlign="left" w:yAlign="inline"/>
              <w:rPr>
                <w:rFonts w:ascii="SimSun" w:hAnsi="SimSun" w:cstheme="minorHAnsi"/>
                <w:b/>
                <w:bCs/>
                <w:sz w:val="26"/>
                <w:szCs w:val="26"/>
                <w:lang w:eastAsia="zh-CN"/>
              </w:rPr>
            </w:pPr>
            <w:r w:rsidRPr="00E24D59">
              <w:rPr>
                <w:rFonts w:ascii="SimSun" w:hAnsi="SimSun" w:cstheme="minorHAnsi"/>
                <w:b/>
                <w:bCs/>
                <w:sz w:val="26"/>
                <w:szCs w:val="26"/>
                <w:lang w:eastAsia="zh-CN"/>
              </w:rPr>
              <w:t>理事会需采取的行动</w:t>
            </w:r>
          </w:p>
          <w:p w14:paraId="42F9156B" w14:textId="17AFBA54" w:rsidR="00D64DA0" w:rsidRPr="00610E8A" w:rsidRDefault="00DE6887" w:rsidP="00DA7CBE">
            <w:pPr>
              <w:pStyle w:val="Subtitle"/>
              <w:framePr w:hSpace="0" w:wrap="auto" w:hAnchor="text" w:xAlign="left" w:yAlign="inline"/>
              <w:ind w:firstLineChars="200" w:firstLine="480"/>
              <w:rPr>
                <w:rFonts w:ascii="SimSun" w:hAnsi="SimSun" w:cstheme="minorHAnsi"/>
                <w:sz w:val="26"/>
                <w:szCs w:val="26"/>
                <w:lang w:eastAsia="zh-CN"/>
              </w:rPr>
            </w:pPr>
            <w:bookmarkStart w:id="9" w:name="lt_pId014"/>
            <w:r w:rsidRPr="0085798F">
              <w:rPr>
                <w:sz w:val="24"/>
                <w:szCs w:val="24"/>
                <w:lang w:eastAsia="zh-CN"/>
              </w:rPr>
              <w:t>请理事会</w:t>
            </w:r>
            <w:r w:rsidRPr="0085798F">
              <w:rPr>
                <w:b/>
                <w:bCs/>
                <w:sz w:val="24"/>
                <w:szCs w:val="24"/>
                <w:lang w:eastAsia="zh-CN"/>
              </w:rPr>
              <w:t>审议</w:t>
            </w:r>
            <w:r w:rsidRPr="0085798F">
              <w:rPr>
                <w:sz w:val="24"/>
                <w:szCs w:val="24"/>
                <w:lang w:eastAsia="zh-CN"/>
              </w:rPr>
              <w:t>国际电联</w:t>
            </w:r>
            <w:r w:rsidR="003F5B06" w:rsidRPr="003F5B06">
              <w:rPr>
                <w:rFonts w:cs="Calibri"/>
                <w:sz w:val="24"/>
                <w:szCs w:val="24"/>
                <w:lang w:eastAsia="zh-CN"/>
              </w:rPr>
              <w:t>2024-2025</w:t>
            </w:r>
            <w:r w:rsidR="003F5B06" w:rsidRPr="003F5B06">
              <w:rPr>
                <w:rFonts w:cs="Calibri"/>
                <w:sz w:val="24"/>
                <w:szCs w:val="24"/>
                <w:lang w:eastAsia="zh-CN"/>
              </w:rPr>
              <w:t>年</w:t>
            </w:r>
            <w:r w:rsidR="003F5B06" w:rsidRPr="003F5B06">
              <w:rPr>
                <w:rFonts w:cs="Calibri" w:hint="eastAsia"/>
                <w:sz w:val="24"/>
                <w:szCs w:val="24"/>
                <w:lang w:eastAsia="zh-CN"/>
              </w:rPr>
              <w:t>双年度</w:t>
            </w:r>
            <w:r w:rsidR="003F5B06" w:rsidRPr="003F5B06">
              <w:rPr>
                <w:rFonts w:cs="Calibri"/>
                <w:sz w:val="24"/>
                <w:szCs w:val="24"/>
                <w:lang w:eastAsia="zh-CN"/>
              </w:rPr>
              <w:t>预算草案</w:t>
            </w:r>
            <w:r w:rsidRPr="0085798F">
              <w:rPr>
                <w:sz w:val="24"/>
                <w:szCs w:val="24"/>
                <w:lang w:eastAsia="zh-CN"/>
              </w:rPr>
              <w:t>，并</w:t>
            </w:r>
            <w:r w:rsidRPr="0085798F">
              <w:rPr>
                <w:b/>
                <w:bCs/>
                <w:sz w:val="24"/>
                <w:szCs w:val="24"/>
                <w:lang w:eastAsia="zh-CN"/>
              </w:rPr>
              <w:t>批准</w:t>
            </w:r>
            <w:r>
              <w:rPr>
                <w:rFonts w:hint="eastAsia"/>
                <w:sz w:val="24"/>
                <w:szCs w:val="24"/>
                <w:lang w:eastAsia="zh-CN"/>
              </w:rPr>
              <w:t>本文件</w:t>
            </w:r>
            <w:r w:rsidR="003F5B06" w:rsidRPr="003F5B06">
              <w:rPr>
                <w:rFonts w:hint="eastAsia"/>
                <w:sz w:val="24"/>
                <w:szCs w:val="24"/>
                <w:lang w:eastAsia="zh-CN"/>
              </w:rPr>
              <w:t>附件</w:t>
            </w:r>
            <w:r w:rsidRPr="000D1D51">
              <w:rPr>
                <w:rFonts w:hint="eastAsia"/>
                <w:sz w:val="24"/>
                <w:szCs w:val="24"/>
                <w:lang w:eastAsia="zh-CN"/>
              </w:rPr>
              <w:t>所</w:t>
            </w:r>
            <w:r w:rsidRPr="0085798F">
              <w:rPr>
                <w:rFonts w:hint="eastAsia"/>
                <w:sz w:val="24"/>
                <w:szCs w:val="24"/>
                <w:lang w:eastAsia="zh-CN"/>
              </w:rPr>
              <w:t>述决议草案。</w:t>
            </w:r>
            <w:bookmarkEnd w:id="9"/>
          </w:p>
          <w:p w14:paraId="68B77579" w14:textId="2480C352" w:rsidR="00D64DA0" w:rsidRPr="00E24D59" w:rsidRDefault="002850B7" w:rsidP="00DA7CBE">
            <w:pPr>
              <w:pStyle w:val="Subtitle"/>
              <w:framePr w:hSpace="0" w:wrap="auto" w:hAnchor="text" w:xAlign="left" w:yAlign="inline"/>
              <w:rPr>
                <w:rFonts w:ascii="SimSun" w:hAnsi="SimSun" w:cstheme="minorHAnsi"/>
                <w:b/>
                <w:bCs/>
                <w:sz w:val="26"/>
                <w:szCs w:val="26"/>
                <w:lang w:eastAsia="zh-CN"/>
              </w:rPr>
            </w:pPr>
            <w:r>
              <w:rPr>
                <w:rFonts w:ascii="SimSun" w:hAnsi="SimSun" w:cstheme="minorHAnsi" w:hint="eastAsia"/>
                <w:b/>
                <w:bCs/>
                <w:sz w:val="26"/>
                <w:szCs w:val="26"/>
                <w:lang w:eastAsia="zh-CN"/>
              </w:rPr>
              <w:t>与</w:t>
            </w:r>
            <w:r w:rsidR="00D64DA0" w:rsidRPr="00E24D59">
              <w:rPr>
                <w:rFonts w:ascii="SimSun" w:hAnsi="SimSun" w:cstheme="minorHAnsi"/>
                <w:b/>
                <w:bCs/>
                <w:sz w:val="26"/>
                <w:szCs w:val="26"/>
                <w:lang w:eastAsia="zh-CN"/>
              </w:rPr>
              <w:t>《战略规划》</w:t>
            </w:r>
            <w:r>
              <w:rPr>
                <w:rFonts w:ascii="SimSun" w:hAnsi="SimSun" w:cstheme="minorHAnsi" w:hint="eastAsia"/>
                <w:b/>
                <w:bCs/>
                <w:sz w:val="26"/>
                <w:szCs w:val="26"/>
                <w:lang w:eastAsia="zh-CN"/>
              </w:rPr>
              <w:t>的关联</w:t>
            </w:r>
          </w:p>
          <w:p w14:paraId="6122875C" w14:textId="0A7729B1" w:rsidR="00D64DA0" w:rsidRPr="00452D10" w:rsidRDefault="003F5B06" w:rsidP="00DA7CBE">
            <w:pPr>
              <w:ind w:firstLineChars="200" w:firstLine="480"/>
              <w:rPr>
                <w:rFonts w:ascii="SimSun" w:hAnsi="SimSun" w:cstheme="minorHAnsi"/>
                <w:szCs w:val="24"/>
                <w:lang w:eastAsia="zh-CN"/>
              </w:rPr>
            </w:pPr>
            <w:r>
              <w:rPr>
                <w:rFonts w:hint="eastAsia"/>
                <w:szCs w:val="24"/>
                <w:lang w:eastAsia="zh-CN"/>
              </w:rPr>
              <w:t>国际</w:t>
            </w:r>
            <w:proofErr w:type="gramStart"/>
            <w:r>
              <w:rPr>
                <w:rFonts w:hint="eastAsia"/>
                <w:szCs w:val="24"/>
                <w:lang w:eastAsia="zh-CN"/>
              </w:rPr>
              <w:t>电联</w:t>
            </w:r>
            <w:r w:rsidRPr="003F5B06">
              <w:rPr>
                <w:rFonts w:cs="Calibri" w:hint="eastAsia"/>
                <w:szCs w:val="24"/>
                <w:lang w:eastAsia="zh-CN"/>
              </w:rPr>
              <w:t>双年度</w:t>
            </w:r>
            <w:proofErr w:type="gramEnd"/>
            <w:r w:rsidRPr="003F5B06">
              <w:rPr>
                <w:rFonts w:cs="Calibri"/>
                <w:szCs w:val="24"/>
                <w:lang w:eastAsia="zh-CN"/>
              </w:rPr>
              <w:t>预算草案</w:t>
            </w:r>
            <w:r w:rsidRPr="003F5B06">
              <w:rPr>
                <w:rFonts w:hint="eastAsia"/>
                <w:szCs w:val="24"/>
                <w:lang w:eastAsia="zh-CN"/>
              </w:rPr>
              <w:t>为</w:t>
            </w:r>
            <w:r w:rsidR="00925DD2">
              <w:rPr>
                <w:rFonts w:hint="eastAsia"/>
                <w:szCs w:val="24"/>
                <w:lang w:eastAsia="zh-CN"/>
              </w:rPr>
              <w:t>国际电联</w:t>
            </w:r>
            <w:r w:rsidRPr="003F5B06">
              <w:rPr>
                <w:rFonts w:hint="eastAsia"/>
                <w:szCs w:val="24"/>
                <w:lang w:eastAsia="zh-CN"/>
              </w:rPr>
              <w:t>战略</w:t>
            </w:r>
            <w:r>
              <w:rPr>
                <w:rFonts w:hint="eastAsia"/>
                <w:szCs w:val="24"/>
                <w:lang w:eastAsia="zh-CN"/>
              </w:rPr>
              <w:t>规划</w:t>
            </w:r>
            <w:r w:rsidRPr="003F5B06">
              <w:rPr>
                <w:rFonts w:hint="eastAsia"/>
                <w:szCs w:val="24"/>
                <w:lang w:eastAsia="zh-CN"/>
              </w:rPr>
              <w:t>的两</w:t>
            </w:r>
            <w:r>
              <w:rPr>
                <w:rFonts w:hint="eastAsia"/>
                <w:szCs w:val="24"/>
                <w:lang w:eastAsia="zh-CN"/>
              </w:rPr>
              <w:t>项总体</w:t>
            </w:r>
            <w:r w:rsidRPr="003F5B06">
              <w:rPr>
                <w:rFonts w:hint="eastAsia"/>
                <w:szCs w:val="24"/>
                <w:lang w:eastAsia="zh-CN"/>
              </w:rPr>
              <w:t>目标和五个</w:t>
            </w:r>
            <w:r>
              <w:rPr>
                <w:rFonts w:hint="eastAsia"/>
                <w:szCs w:val="24"/>
                <w:lang w:eastAsia="zh-CN"/>
              </w:rPr>
              <w:t>主题重点</w:t>
            </w:r>
            <w:r w:rsidRPr="003F5B06">
              <w:rPr>
                <w:rFonts w:hint="eastAsia"/>
                <w:szCs w:val="24"/>
                <w:lang w:eastAsia="zh-CN"/>
              </w:rPr>
              <w:t>提供资金。</w:t>
            </w:r>
          </w:p>
          <w:p w14:paraId="04AFBD8D" w14:textId="77777777" w:rsidR="00D64DA0" w:rsidRDefault="00D64DA0" w:rsidP="00DA7CBE">
            <w:pPr>
              <w:pStyle w:val="Subtitle"/>
              <w:framePr w:hSpace="0" w:wrap="auto" w:hAnchor="text" w:xAlign="left" w:yAlign="inline"/>
              <w:rPr>
                <w:rFonts w:ascii="SimSun" w:hAnsi="SimSun" w:cstheme="minorHAnsi"/>
                <w:b/>
                <w:bCs/>
                <w:sz w:val="26"/>
                <w:szCs w:val="26"/>
                <w:lang w:eastAsia="zh-CN"/>
              </w:rPr>
            </w:pPr>
            <w:r w:rsidRPr="00E24D59">
              <w:rPr>
                <w:rFonts w:ascii="SimSun" w:hAnsi="SimSun" w:cstheme="minorHAnsi"/>
                <w:b/>
                <w:bCs/>
                <w:sz w:val="26"/>
                <w:szCs w:val="26"/>
                <w:lang w:eastAsia="zh-CN"/>
              </w:rPr>
              <w:t>财务影响：</w:t>
            </w:r>
          </w:p>
          <w:p w14:paraId="650777A1" w14:textId="33B46AB7" w:rsidR="00D64DA0" w:rsidRPr="00E24D59" w:rsidRDefault="00F41711" w:rsidP="00DA7CBE">
            <w:pPr>
              <w:ind w:firstLineChars="200" w:firstLine="480"/>
              <w:rPr>
                <w:rFonts w:ascii="SimSun" w:hAnsi="SimSun" w:cstheme="minorHAnsi"/>
                <w:b/>
                <w:bCs/>
                <w:lang w:eastAsia="zh-CN"/>
              </w:rPr>
            </w:pPr>
            <w:r>
              <w:rPr>
                <w:rFonts w:hint="eastAsia"/>
                <w:lang w:eastAsia="zh-CN"/>
              </w:rPr>
              <w:t>国际电联</w:t>
            </w:r>
            <w:r w:rsidRPr="004F2717">
              <w:rPr>
                <w:rFonts w:cs="Calibri" w:hint="eastAsia"/>
                <w:szCs w:val="24"/>
                <w:lang w:eastAsia="zh-CN"/>
              </w:rPr>
              <w:t>2024</w:t>
            </w:r>
            <w:r w:rsidRPr="00F41711">
              <w:rPr>
                <w:rFonts w:hint="eastAsia"/>
                <w:lang w:eastAsia="zh-CN"/>
              </w:rPr>
              <w:t>-2025</w:t>
            </w:r>
            <w:r w:rsidRPr="003F5B06">
              <w:rPr>
                <w:rFonts w:cs="Calibri" w:hint="eastAsia"/>
                <w:szCs w:val="24"/>
                <w:lang w:eastAsia="zh-CN"/>
              </w:rPr>
              <w:t>双年度</w:t>
            </w:r>
            <w:r w:rsidRPr="003F5B06">
              <w:rPr>
                <w:rFonts w:cs="Calibri"/>
                <w:szCs w:val="24"/>
                <w:lang w:eastAsia="zh-CN"/>
              </w:rPr>
              <w:t>预算草案</w:t>
            </w:r>
            <w:r w:rsidRPr="00F41711">
              <w:rPr>
                <w:rFonts w:hint="eastAsia"/>
                <w:lang w:eastAsia="zh-CN"/>
              </w:rPr>
              <w:t>平衡，收支</w:t>
            </w:r>
            <w:r>
              <w:rPr>
                <w:rFonts w:hint="eastAsia"/>
                <w:lang w:eastAsia="zh-CN"/>
              </w:rPr>
              <w:t>相等</w:t>
            </w:r>
            <w:r w:rsidRPr="00F41711">
              <w:rPr>
                <w:rFonts w:hint="eastAsia"/>
                <w:lang w:eastAsia="zh-CN"/>
              </w:rPr>
              <w:t>，在</w:t>
            </w:r>
            <w:r w:rsidRPr="00F41711">
              <w:rPr>
                <w:rFonts w:hint="eastAsia"/>
                <w:lang w:eastAsia="zh-CN"/>
              </w:rPr>
              <w:t>2024-2025</w:t>
            </w:r>
            <w:r w:rsidRPr="00F41711">
              <w:rPr>
                <w:rFonts w:hint="eastAsia"/>
                <w:lang w:eastAsia="zh-CN"/>
              </w:rPr>
              <w:t>年</w:t>
            </w:r>
            <w:r>
              <w:rPr>
                <w:rFonts w:hint="eastAsia"/>
                <w:lang w:eastAsia="zh-CN"/>
              </w:rPr>
              <w:t>财务规划</w:t>
            </w:r>
            <w:r w:rsidRPr="00F41711">
              <w:rPr>
                <w:rFonts w:hint="eastAsia"/>
                <w:lang w:eastAsia="zh-CN"/>
              </w:rPr>
              <w:t>设定的限额</w:t>
            </w:r>
            <w:r>
              <w:rPr>
                <w:rFonts w:hint="eastAsia"/>
                <w:lang w:eastAsia="zh-CN"/>
              </w:rPr>
              <w:t>之</w:t>
            </w:r>
            <w:r w:rsidRPr="00F41711">
              <w:rPr>
                <w:rFonts w:hint="eastAsia"/>
                <w:lang w:eastAsia="zh-CN"/>
              </w:rPr>
              <w:t>内。国际电联管理层将在预算执行期间，实施资源优化和增效措施，</w:t>
            </w:r>
            <w:r>
              <w:rPr>
                <w:rFonts w:hint="eastAsia"/>
                <w:lang w:eastAsia="zh-CN"/>
              </w:rPr>
              <w:t>以便</w:t>
            </w:r>
            <w:r w:rsidRPr="00F41711">
              <w:rPr>
                <w:rFonts w:hint="eastAsia"/>
                <w:lang w:eastAsia="zh-CN"/>
              </w:rPr>
              <w:t>为</w:t>
            </w:r>
            <w:r w:rsidRPr="00F41711">
              <w:rPr>
                <w:rFonts w:hint="eastAsia"/>
                <w:lang w:eastAsia="zh-CN"/>
              </w:rPr>
              <w:t>2024-2027</w:t>
            </w:r>
            <w:r w:rsidRPr="00F41711">
              <w:rPr>
                <w:rFonts w:hint="eastAsia"/>
                <w:lang w:eastAsia="zh-CN"/>
              </w:rPr>
              <w:t>年</w:t>
            </w:r>
            <w:r>
              <w:rPr>
                <w:rFonts w:hint="eastAsia"/>
                <w:lang w:eastAsia="zh-CN"/>
              </w:rPr>
              <w:t>财务规划</w:t>
            </w:r>
            <w:r w:rsidRPr="00F41711">
              <w:rPr>
                <w:rFonts w:hint="eastAsia"/>
                <w:lang w:eastAsia="zh-CN"/>
              </w:rPr>
              <w:t>未预见的新请求提供资金。</w:t>
            </w:r>
          </w:p>
          <w:p w14:paraId="1650D296" w14:textId="77777777" w:rsidR="00E24D59" w:rsidRPr="00E24D59" w:rsidRDefault="00E24D59" w:rsidP="00DA7CBE">
            <w:pPr>
              <w:pStyle w:val="Subtitle"/>
              <w:framePr w:hSpace="0" w:wrap="auto" w:hAnchor="text" w:xAlign="left" w:yAlign="inline"/>
              <w:rPr>
                <w:rFonts w:ascii="SimSun" w:hAnsi="SimSun" w:cstheme="minorHAnsi"/>
                <w:b/>
                <w:bCs/>
                <w:sz w:val="26"/>
                <w:szCs w:val="26"/>
                <w:lang w:eastAsia="zh-CN"/>
              </w:rPr>
            </w:pPr>
            <w:r w:rsidRPr="00E24D59">
              <w:rPr>
                <w:rFonts w:ascii="SimSun" w:hAnsi="SimSun" w:cstheme="minorHAnsi"/>
                <w:b/>
                <w:bCs/>
                <w:sz w:val="26"/>
                <w:szCs w:val="26"/>
                <w:lang w:eastAsia="zh-CN"/>
              </w:rPr>
              <w:t>__________________</w:t>
            </w:r>
          </w:p>
          <w:p w14:paraId="35AB8921" w14:textId="77777777" w:rsidR="00E24D59" w:rsidRPr="00E24D59" w:rsidRDefault="00E24D59" w:rsidP="00DA7CBE">
            <w:pPr>
              <w:pStyle w:val="Subtitle"/>
              <w:framePr w:hSpace="0" w:wrap="auto" w:hAnchor="text" w:xAlign="left" w:yAlign="inline"/>
              <w:rPr>
                <w:rFonts w:ascii="SimSun" w:hAnsi="SimSun" w:cstheme="minorHAnsi"/>
                <w:b/>
                <w:bCs/>
                <w:sz w:val="26"/>
                <w:szCs w:val="26"/>
                <w:lang w:eastAsia="zh-CN"/>
              </w:rPr>
            </w:pPr>
            <w:r w:rsidRPr="00E24D59">
              <w:rPr>
                <w:rFonts w:ascii="SimSun" w:hAnsi="SimSun" w:cstheme="minorHAnsi" w:hint="eastAsia"/>
                <w:b/>
                <w:bCs/>
                <w:sz w:val="26"/>
                <w:szCs w:val="26"/>
                <w:lang w:eastAsia="zh-CN"/>
              </w:rPr>
              <w:t>参考文件</w:t>
            </w:r>
          </w:p>
          <w:p w14:paraId="2BBD6E13" w14:textId="2F867978" w:rsidR="00F41711" w:rsidRPr="000D1D51" w:rsidRDefault="002850B7" w:rsidP="00DA7CBE">
            <w:pPr>
              <w:ind w:right="48"/>
              <w:jc w:val="both"/>
              <w:rPr>
                <w:rStyle w:val="Hyperlink"/>
                <w:i/>
                <w:iCs/>
                <w:szCs w:val="24"/>
                <w:lang w:eastAsia="zh-CN"/>
              </w:rPr>
            </w:pPr>
            <w:hyperlink r:id="rId8" w:history="1">
              <w:r w:rsidR="00F41711" w:rsidRPr="002850B7">
                <w:rPr>
                  <w:rStyle w:val="Hyperlink"/>
                  <w:rFonts w:eastAsia="STKaiti"/>
                  <w:lang w:eastAsia="zh-CN"/>
                </w:rPr>
                <w:t>《组织法》第</w:t>
              </w:r>
              <w:r w:rsidR="00F41711" w:rsidRPr="002850B7">
                <w:rPr>
                  <w:rStyle w:val="Hyperlink"/>
                  <w:rFonts w:eastAsia="STKaiti"/>
                  <w:lang w:eastAsia="zh-CN"/>
                </w:rPr>
                <w:t>28</w:t>
              </w:r>
              <w:r w:rsidR="00F41711" w:rsidRPr="002850B7">
                <w:rPr>
                  <w:rStyle w:val="Hyperlink"/>
                  <w:rFonts w:eastAsia="STKaiti"/>
                  <w:lang w:eastAsia="zh-CN"/>
                </w:rPr>
                <w:t>条</w:t>
              </w:r>
            </w:hyperlink>
            <w:r w:rsidR="00F41711" w:rsidRPr="002850B7">
              <w:rPr>
                <w:rFonts w:eastAsia="STKaiti" w:hint="eastAsia"/>
                <w:lang w:eastAsia="zh-CN"/>
              </w:rPr>
              <w:t>、</w:t>
            </w:r>
            <w:hyperlink r:id="rId9" w:history="1">
              <w:r w:rsidR="00F41711" w:rsidRPr="000D1D51">
                <w:rPr>
                  <w:rStyle w:val="Hyperlink"/>
                  <w:rFonts w:eastAsia="STKaiti"/>
                  <w:lang w:eastAsia="zh-CN"/>
                </w:rPr>
                <w:t>《公约》第</w:t>
              </w:r>
              <w:r w:rsidR="00F41711" w:rsidRPr="000D1D51">
                <w:rPr>
                  <w:rStyle w:val="Hyperlink"/>
                  <w:rFonts w:eastAsia="STKaiti"/>
                  <w:lang w:eastAsia="zh-CN"/>
                </w:rPr>
                <w:t>4</w:t>
              </w:r>
              <w:r w:rsidR="00F41711" w:rsidRPr="000D1D51">
                <w:rPr>
                  <w:rStyle w:val="Hyperlink"/>
                  <w:rFonts w:eastAsia="STKaiti"/>
                  <w:lang w:eastAsia="zh-CN"/>
                </w:rPr>
                <w:t>条</w:t>
              </w:r>
              <w:r w:rsidR="00F41711">
                <w:rPr>
                  <w:rStyle w:val="Hyperlink"/>
                  <w:rFonts w:eastAsia="STKaiti" w:hint="eastAsia"/>
                  <w:lang w:eastAsia="zh-CN"/>
                </w:rPr>
                <w:t>、</w:t>
              </w:r>
              <w:r w:rsidR="00F41711" w:rsidRPr="000D1D51">
                <w:rPr>
                  <w:rStyle w:val="Hyperlink"/>
                  <w:rFonts w:eastAsia="STKaiti"/>
                  <w:lang w:eastAsia="zh-CN"/>
                </w:rPr>
                <w:t>第</w:t>
              </w:r>
              <w:r w:rsidR="00F41711" w:rsidRPr="000D1D51">
                <w:rPr>
                  <w:rStyle w:val="Hyperlink"/>
                  <w:rFonts w:eastAsia="STKaiti"/>
                  <w:lang w:eastAsia="zh-CN"/>
                </w:rPr>
                <w:t>73</w:t>
              </w:r>
              <w:r w:rsidR="00F41711" w:rsidRPr="000D1D51">
                <w:rPr>
                  <w:rStyle w:val="Hyperlink"/>
                  <w:rFonts w:eastAsia="STKaiti"/>
                  <w:lang w:eastAsia="zh-CN"/>
                </w:rPr>
                <w:t>款</w:t>
              </w:r>
            </w:hyperlink>
            <w:r w:rsidR="00F41711">
              <w:rPr>
                <w:rStyle w:val="Hyperlink"/>
                <w:rFonts w:eastAsia="STKaiti" w:hint="eastAsia"/>
                <w:lang w:eastAsia="zh-CN"/>
              </w:rPr>
              <w:t>、</w:t>
            </w:r>
            <w:r w:rsidR="00F41711">
              <w:rPr>
                <w:rStyle w:val="Hyperlink"/>
                <w:rFonts w:eastAsia="STKaiti"/>
                <w:lang w:eastAsia="zh-CN"/>
              </w:rPr>
              <w:fldChar w:fldCharType="begin"/>
            </w:r>
            <w:r w:rsidR="00F41711">
              <w:rPr>
                <w:rStyle w:val="Hyperlink"/>
                <w:rFonts w:eastAsia="STKaiti"/>
                <w:lang w:eastAsia="zh-CN"/>
              </w:rPr>
              <w:instrText>HYPERLINK "http://www.itu.int/council/pd/convention-e.docx" \l "cvart33"</w:instrText>
            </w:r>
            <w:r w:rsidR="00F41711">
              <w:rPr>
                <w:rStyle w:val="Hyperlink"/>
                <w:rFonts w:eastAsia="STKaiti"/>
                <w:lang w:eastAsia="zh-CN"/>
              </w:rPr>
            </w:r>
            <w:r w:rsidR="00F41711">
              <w:rPr>
                <w:rStyle w:val="Hyperlink"/>
                <w:rFonts w:eastAsia="STKaiti"/>
                <w:lang w:eastAsia="zh-CN"/>
              </w:rPr>
              <w:fldChar w:fldCharType="separate"/>
            </w:r>
            <w:r w:rsidR="00F41711" w:rsidRPr="000D1D51">
              <w:rPr>
                <w:rStyle w:val="Hyperlink"/>
                <w:rFonts w:eastAsia="STKaiti"/>
                <w:lang w:eastAsia="zh-CN"/>
              </w:rPr>
              <w:t>《公约》第</w:t>
            </w:r>
            <w:r w:rsidR="00F41711" w:rsidRPr="000D1D51">
              <w:rPr>
                <w:rStyle w:val="Hyperlink"/>
                <w:rFonts w:eastAsia="STKaiti"/>
                <w:lang w:eastAsia="zh-CN"/>
              </w:rPr>
              <w:t>33</w:t>
            </w:r>
            <w:r w:rsidR="00F41711" w:rsidRPr="000D1D51">
              <w:rPr>
                <w:rStyle w:val="Hyperlink"/>
                <w:rFonts w:eastAsia="STKaiti"/>
                <w:lang w:eastAsia="zh-CN"/>
              </w:rPr>
              <w:t>条</w:t>
            </w:r>
          </w:p>
          <w:p w14:paraId="4F5352BA" w14:textId="3DC4C2F7" w:rsidR="00452D10" w:rsidRPr="00F41711" w:rsidRDefault="00F41711" w:rsidP="00DA7CBE">
            <w:pPr>
              <w:spacing w:before="0"/>
              <w:rPr>
                <w:rFonts w:ascii="STKaiti" w:eastAsia="STKaiti" w:hAnsi="STKaiti"/>
                <w:lang w:eastAsia="zh-CN"/>
              </w:rPr>
            </w:pPr>
            <w:r>
              <w:rPr>
                <w:rStyle w:val="Hyperlink"/>
                <w:rFonts w:eastAsia="STKaiti"/>
                <w:lang w:eastAsia="zh-CN"/>
              </w:rPr>
              <w:fldChar w:fldCharType="end"/>
            </w:r>
            <w:r w:rsidRPr="00F41711">
              <w:rPr>
                <w:rFonts w:ascii="STKaiti" w:eastAsia="STKaiti" w:hAnsi="STKaiti"/>
                <w:lang w:eastAsia="zh-CN"/>
              </w:rPr>
              <w:t>全权代表大会（2022年，布加勒斯特，修订版）</w:t>
            </w:r>
            <w:hyperlink r:id="rId10" w:history="1">
              <w:r w:rsidRPr="00F41711">
                <w:rPr>
                  <w:rStyle w:val="Hyperlink"/>
                  <w:rFonts w:ascii="STKaiti" w:eastAsia="STKaiti" w:hAnsi="STKaiti" w:hint="eastAsia"/>
                  <w:lang w:eastAsia="zh-CN"/>
                </w:rPr>
                <w:t>第5号决定</w:t>
              </w:r>
            </w:hyperlink>
          </w:p>
          <w:p w14:paraId="4A999218" w14:textId="47368E52" w:rsidR="00452D10" w:rsidRPr="00F41711" w:rsidRDefault="00F41711" w:rsidP="00DA7CBE">
            <w:pPr>
              <w:spacing w:before="0"/>
              <w:rPr>
                <w:rFonts w:ascii="STKaiti" w:eastAsia="STKaiti" w:hAnsi="STKaiti"/>
                <w:lang w:eastAsia="zh-CN"/>
              </w:rPr>
            </w:pPr>
            <w:r w:rsidRPr="00F41711">
              <w:rPr>
                <w:rFonts w:ascii="STKaiti" w:eastAsia="STKaiti" w:hAnsi="STKaiti"/>
                <w:lang w:eastAsia="zh-CN"/>
              </w:rPr>
              <w:t>全权代表大会（2022年，布加勒斯特，修订版）</w:t>
            </w:r>
            <w:hyperlink r:id="rId11" w:history="1">
              <w:r w:rsidRPr="002850B7">
                <w:rPr>
                  <w:rStyle w:val="Hyperlink"/>
                  <w:rFonts w:ascii="STKaiti" w:eastAsia="STKaiti" w:hAnsi="STKaiti" w:hint="eastAsia"/>
                  <w:lang w:eastAsia="zh-CN"/>
                </w:rPr>
                <w:t>第</w:t>
              </w:r>
              <w:r w:rsidRPr="002850B7">
                <w:rPr>
                  <w:rStyle w:val="Hyperlink"/>
                  <w:rFonts w:ascii="STKaiti" w:eastAsia="STKaiti" w:hAnsi="STKaiti"/>
                  <w:lang w:eastAsia="zh-CN"/>
                </w:rPr>
                <w:t>71</w:t>
              </w:r>
              <w:r w:rsidRPr="002850B7">
                <w:rPr>
                  <w:rStyle w:val="Hyperlink"/>
                  <w:rFonts w:ascii="STKaiti" w:eastAsia="STKaiti" w:hAnsi="STKaiti" w:hint="eastAsia"/>
                  <w:lang w:eastAsia="zh-CN"/>
                </w:rPr>
                <w:t>号决议</w:t>
              </w:r>
            </w:hyperlink>
          </w:p>
          <w:p w14:paraId="10B87927" w14:textId="1B1244F4" w:rsidR="00E24D59" w:rsidRDefault="00F41711" w:rsidP="00DA7CBE">
            <w:pPr>
              <w:spacing w:before="0"/>
              <w:rPr>
                <w:lang w:eastAsia="zh-CN"/>
              </w:rPr>
            </w:pPr>
            <w:r w:rsidRPr="00F41711">
              <w:rPr>
                <w:rFonts w:ascii="STKaiti" w:eastAsia="STKaiti" w:hAnsi="STKaiti"/>
                <w:lang w:eastAsia="zh-CN"/>
              </w:rPr>
              <w:t>全权代表大会（2022年，布加勒斯特，修订版）</w:t>
            </w:r>
            <w:hyperlink r:id="rId12" w:history="1">
              <w:r w:rsidRPr="00F41711">
                <w:rPr>
                  <w:rStyle w:val="Hyperlink"/>
                  <w:rFonts w:ascii="STKaiti" w:eastAsia="STKaiti" w:hAnsi="STKaiti" w:hint="eastAsia"/>
                  <w:lang w:eastAsia="zh-CN"/>
                </w:rPr>
                <w:t>第</w:t>
              </w:r>
              <w:r w:rsidRPr="00F41711">
                <w:rPr>
                  <w:rStyle w:val="Hyperlink"/>
                  <w:rFonts w:ascii="STKaiti" w:eastAsia="STKaiti" w:hAnsi="STKaiti"/>
                  <w:lang w:eastAsia="zh-CN"/>
                </w:rPr>
                <w:t>151</w:t>
              </w:r>
            </w:hyperlink>
            <w:r w:rsidRPr="00F41711">
              <w:rPr>
                <w:rStyle w:val="Hyperlink"/>
                <w:rFonts w:ascii="STKaiti" w:eastAsia="STKaiti" w:hAnsi="STKaiti" w:hint="eastAsia"/>
                <w:lang w:eastAsia="zh-CN"/>
              </w:rPr>
              <w:t>号决议</w:t>
            </w:r>
          </w:p>
        </w:tc>
      </w:tr>
      <w:bookmarkEnd w:id="3"/>
      <w:bookmarkEnd w:id="7"/>
    </w:tbl>
    <w:p w14:paraId="38D459A3" w14:textId="457FA725" w:rsidR="00DA7CBE" w:rsidRDefault="00DA7CBE">
      <w:pPr>
        <w:tabs>
          <w:tab w:val="clear" w:pos="794"/>
          <w:tab w:val="clear" w:pos="1191"/>
          <w:tab w:val="clear" w:pos="1588"/>
          <w:tab w:val="clear" w:pos="1985"/>
        </w:tabs>
        <w:overflowPunct/>
        <w:autoSpaceDE/>
        <w:autoSpaceDN/>
        <w:adjustRightInd/>
        <w:spacing w:before="0"/>
        <w:textAlignment w:val="auto"/>
        <w:rPr>
          <w:lang w:eastAsia="zh-CN"/>
        </w:rPr>
      </w:pPr>
    </w:p>
    <w:p w14:paraId="5A4DFB1C" w14:textId="4D3C039E" w:rsidR="00DA7CBE" w:rsidRDefault="00DA7CB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1D3689C" w14:textId="4238FAE9" w:rsidR="00452D10" w:rsidRDefault="00F41711" w:rsidP="006C1507">
      <w:pPr>
        <w:numPr>
          <w:ilvl w:val="0"/>
          <w:numId w:val="24"/>
        </w:numPr>
        <w:tabs>
          <w:tab w:val="clear" w:pos="1191"/>
          <w:tab w:val="clear" w:pos="1588"/>
          <w:tab w:val="clear" w:pos="1985"/>
        </w:tabs>
        <w:overflowPunct/>
        <w:autoSpaceDE/>
        <w:autoSpaceDN/>
        <w:snapToGrid w:val="0"/>
        <w:spacing w:before="240"/>
        <w:ind w:left="0" w:firstLine="0"/>
        <w:jc w:val="both"/>
        <w:textAlignment w:val="auto"/>
        <w:rPr>
          <w:rFonts w:asciiTheme="minorHAnsi" w:hAnsiTheme="minorHAnsi" w:cstheme="minorHAnsi"/>
          <w:b/>
          <w:bCs/>
          <w:lang w:val="en-AU" w:eastAsia="zh-CN"/>
        </w:rPr>
      </w:pPr>
      <w:r w:rsidRPr="00F41711">
        <w:rPr>
          <w:rFonts w:asciiTheme="minorHAnsi" w:hAnsiTheme="minorHAnsi" w:cstheme="minorHAnsi" w:hint="eastAsia"/>
          <w:b/>
          <w:bCs/>
          <w:lang w:val="en-AU" w:eastAsia="zh-CN"/>
        </w:rPr>
        <w:lastRenderedPageBreak/>
        <w:t>国际电联</w:t>
      </w:r>
      <w:r w:rsidRPr="00F41711">
        <w:rPr>
          <w:rFonts w:asciiTheme="minorHAnsi" w:hAnsiTheme="minorHAnsi" w:cstheme="minorHAnsi" w:hint="eastAsia"/>
          <w:b/>
          <w:bCs/>
          <w:lang w:val="en-AU" w:eastAsia="zh-CN"/>
        </w:rPr>
        <w:t>2024-2025</w:t>
      </w:r>
      <w:r w:rsidRPr="00F41711">
        <w:rPr>
          <w:rFonts w:asciiTheme="minorHAnsi" w:hAnsiTheme="minorHAnsi" w:cstheme="minorHAnsi" w:hint="eastAsia"/>
          <w:b/>
          <w:bCs/>
          <w:lang w:val="en-AU" w:eastAsia="zh-CN"/>
        </w:rPr>
        <w:t>双年度预算草案</w:t>
      </w:r>
    </w:p>
    <w:p w14:paraId="56611D69" w14:textId="2B1866C5" w:rsidR="00452D10" w:rsidRDefault="00452D10" w:rsidP="006C1507">
      <w:pPr>
        <w:tabs>
          <w:tab w:val="left" w:pos="851"/>
        </w:tabs>
        <w:snapToGrid w:val="0"/>
        <w:rPr>
          <w:rFonts w:asciiTheme="minorHAnsi" w:hAnsiTheme="minorHAnsi" w:cstheme="minorHAnsi"/>
          <w:lang w:eastAsia="zh-CN"/>
        </w:rPr>
      </w:pPr>
      <w:r w:rsidRPr="005E3AF2">
        <w:rPr>
          <w:rFonts w:asciiTheme="minorHAnsi" w:hAnsiTheme="minorHAnsi" w:cstheme="minorHAnsi"/>
          <w:lang w:eastAsia="zh-CN"/>
        </w:rPr>
        <w:t>1.1</w:t>
      </w:r>
      <w:r w:rsidRPr="005E3AF2">
        <w:rPr>
          <w:rFonts w:asciiTheme="minorHAnsi" w:hAnsiTheme="minorHAnsi" w:cstheme="minorHAnsi"/>
          <w:lang w:eastAsia="zh-CN"/>
        </w:rPr>
        <w:tab/>
      </w:r>
      <w:r w:rsidR="00F41711" w:rsidRPr="00DA7CBE">
        <w:rPr>
          <w:rFonts w:hint="eastAsia"/>
          <w:spacing w:val="-4"/>
          <w:lang w:eastAsia="zh-CN"/>
        </w:rPr>
        <w:t>国际电联</w:t>
      </w:r>
      <w:r w:rsidR="00F41711" w:rsidRPr="00DA7CBE">
        <w:rPr>
          <w:rFonts w:hint="eastAsia"/>
          <w:spacing w:val="-4"/>
          <w:lang w:eastAsia="zh-CN"/>
        </w:rPr>
        <w:t>2024-2025</w:t>
      </w:r>
      <w:r w:rsidR="00F41711" w:rsidRPr="00DA7CBE">
        <w:rPr>
          <w:rFonts w:cs="Calibri" w:hint="eastAsia"/>
          <w:spacing w:val="-4"/>
          <w:szCs w:val="24"/>
          <w:lang w:eastAsia="zh-CN"/>
        </w:rPr>
        <w:t>双年度</w:t>
      </w:r>
      <w:r w:rsidR="00F41711" w:rsidRPr="00DA7CBE">
        <w:rPr>
          <w:rFonts w:cs="Calibri"/>
          <w:spacing w:val="-4"/>
          <w:szCs w:val="24"/>
          <w:lang w:eastAsia="zh-CN"/>
        </w:rPr>
        <w:t>预算草案</w:t>
      </w:r>
      <w:r w:rsidR="00F41711" w:rsidRPr="00DA7CBE">
        <w:rPr>
          <w:rFonts w:hint="eastAsia"/>
          <w:spacing w:val="-4"/>
          <w:lang w:eastAsia="zh-CN"/>
        </w:rPr>
        <w:t>是平衡的，金额为</w:t>
      </w:r>
      <w:r w:rsidRPr="00DA7CBE">
        <w:rPr>
          <w:rFonts w:asciiTheme="minorHAnsi" w:hAnsiTheme="minorHAnsi" w:cstheme="minorHAnsi"/>
          <w:spacing w:val="-4"/>
          <w:lang w:eastAsia="zh-CN"/>
        </w:rPr>
        <w:t>329 067</w:t>
      </w:r>
      <w:r w:rsidR="00F41711" w:rsidRPr="00DA7CBE">
        <w:rPr>
          <w:rFonts w:asciiTheme="minorHAnsi" w:hAnsiTheme="minorHAnsi" w:cstheme="minorHAnsi"/>
          <w:spacing w:val="-4"/>
          <w:lang w:eastAsia="zh-CN"/>
        </w:rPr>
        <w:t xml:space="preserve"> 000</w:t>
      </w:r>
      <w:r w:rsidR="00F41711" w:rsidRPr="00DA7CBE">
        <w:rPr>
          <w:rFonts w:asciiTheme="minorHAnsi" w:hAnsiTheme="minorHAnsi" w:cstheme="minorHAnsi" w:hint="eastAsia"/>
          <w:spacing w:val="-4"/>
          <w:lang w:eastAsia="zh-CN"/>
        </w:rPr>
        <w:t>瑞郎，即</w:t>
      </w:r>
      <w:r w:rsidR="00F41711" w:rsidRPr="00DA7CBE">
        <w:rPr>
          <w:rFonts w:asciiTheme="minorHAnsi" w:hAnsiTheme="minorHAnsi" w:cstheme="minorHAnsi" w:hint="eastAsia"/>
          <w:spacing w:val="-4"/>
          <w:lang w:eastAsia="zh-CN"/>
        </w:rPr>
        <w:t>2</w:t>
      </w:r>
      <w:r w:rsidR="00F41711" w:rsidRPr="00DA7CBE">
        <w:rPr>
          <w:rFonts w:asciiTheme="minorHAnsi" w:hAnsiTheme="minorHAnsi" w:cstheme="minorHAnsi"/>
          <w:spacing w:val="-4"/>
          <w:lang w:eastAsia="zh-CN"/>
        </w:rPr>
        <w:t>024</w:t>
      </w:r>
      <w:r w:rsidR="00F41711" w:rsidRPr="00DA7CBE">
        <w:rPr>
          <w:rFonts w:asciiTheme="minorHAnsi" w:hAnsiTheme="minorHAnsi" w:cstheme="minorHAnsi" w:hint="eastAsia"/>
          <w:spacing w:val="-4"/>
          <w:lang w:eastAsia="zh-CN"/>
        </w:rPr>
        <w:t>年</w:t>
      </w:r>
      <w:r>
        <w:rPr>
          <w:rFonts w:asciiTheme="minorHAnsi" w:hAnsiTheme="minorHAnsi" w:cstheme="minorHAnsi"/>
          <w:lang w:eastAsia="zh-CN"/>
        </w:rPr>
        <w:t>164 933</w:t>
      </w:r>
      <w:r w:rsidR="00F41711">
        <w:rPr>
          <w:rFonts w:asciiTheme="minorHAnsi" w:hAnsiTheme="minorHAnsi" w:cstheme="minorHAnsi"/>
          <w:lang w:eastAsia="zh-CN"/>
        </w:rPr>
        <w:t xml:space="preserve"> 000</w:t>
      </w:r>
      <w:r w:rsidR="002950E3">
        <w:rPr>
          <w:rFonts w:asciiTheme="minorHAnsi" w:hAnsiTheme="minorHAnsi" w:cstheme="minorHAnsi" w:hint="eastAsia"/>
          <w:lang w:eastAsia="zh-CN"/>
        </w:rPr>
        <w:t>瑞郎</w:t>
      </w:r>
      <w:r w:rsidR="00F41711">
        <w:rPr>
          <w:rFonts w:asciiTheme="minorHAnsi" w:hAnsiTheme="minorHAnsi" w:cstheme="minorHAnsi" w:hint="eastAsia"/>
          <w:lang w:eastAsia="zh-CN"/>
        </w:rPr>
        <w:t>和</w:t>
      </w:r>
      <w:r w:rsidR="00F41711">
        <w:rPr>
          <w:rFonts w:asciiTheme="minorHAnsi" w:hAnsiTheme="minorHAnsi" w:cstheme="minorHAnsi" w:hint="eastAsia"/>
          <w:lang w:eastAsia="zh-CN"/>
        </w:rPr>
        <w:t>2</w:t>
      </w:r>
      <w:r w:rsidR="00F41711">
        <w:rPr>
          <w:rFonts w:asciiTheme="minorHAnsi" w:hAnsiTheme="minorHAnsi" w:cstheme="minorHAnsi"/>
          <w:lang w:eastAsia="zh-CN"/>
        </w:rPr>
        <w:t>025</w:t>
      </w:r>
      <w:r w:rsidR="00F41711">
        <w:rPr>
          <w:rFonts w:asciiTheme="minorHAnsi" w:hAnsiTheme="minorHAnsi" w:cstheme="minorHAnsi" w:hint="eastAsia"/>
          <w:lang w:eastAsia="zh-CN"/>
        </w:rPr>
        <w:t>年</w:t>
      </w:r>
      <w:r>
        <w:rPr>
          <w:rFonts w:asciiTheme="minorHAnsi" w:hAnsiTheme="minorHAnsi" w:cstheme="minorHAnsi"/>
          <w:lang w:eastAsia="zh-CN"/>
        </w:rPr>
        <w:t xml:space="preserve">164 134 </w:t>
      </w:r>
      <w:r w:rsidR="00F41711">
        <w:rPr>
          <w:rFonts w:asciiTheme="minorHAnsi" w:hAnsiTheme="minorHAnsi" w:cstheme="minorHAnsi"/>
          <w:lang w:eastAsia="zh-CN"/>
        </w:rPr>
        <w:t>000</w:t>
      </w:r>
      <w:r w:rsidR="002950E3">
        <w:rPr>
          <w:rFonts w:asciiTheme="minorHAnsi" w:hAnsiTheme="minorHAnsi" w:cstheme="minorHAnsi" w:hint="eastAsia"/>
          <w:lang w:eastAsia="zh-CN"/>
        </w:rPr>
        <w:t>瑞郎</w:t>
      </w:r>
      <w:r w:rsidR="00F41711">
        <w:rPr>
          <w:rFonts w:asciiTheme="minorHAnsi" w:hAnsiTheme="minorHAnsi" w:cstheme="minorHAnsi" w:hint="eastAsia"/>
          <w:lang w:eastAsia="zh-CN"/>
        </w:rPr>
        <w:t>。</w:t>
      </w:r>
    </w:p>
    <w:p w14:paraId="66B21EFB" w14:textId="6D79F686" w:rsidR="00452D10" w:rsidRDefault="00F41711" w:rsidP="006C1507">
      <w:pPr>
        <w:numPr>
          <w:ilvl w:val="0"/>
          <w:numId w:val="24"/>
        </w:numPr>
        <w:tabs>
          <w:tab w:val="clear" w:pos="1191"/>
          <w:tab w:val="clear" w:pos="1588"/>
          <w:tab w:val="clear" w:pos="1985"/>
        </w:tabs>
        <w:overflowPunct/>
        <w:autoSpaceDE/>
        <w:autoSpaceDN/>
        <w:snapToGrid w:val="0"/>
        <w:spacing w:before="240"/>
        <w:ind w:left="0" w:firstLine="0"/>
        <w:jc w:val="both"/>
        <w:textAlignment w:val="auto"/>
        <w:rPr>
          <w:rFonts w:asciiTheme="minorHAnsi" w:hAnsiTheme="minorHAnsi" w:cstheme="minorHAnsi"/>
          <w:b/>
          <w:bCs/>
        </w:rPr>
      </w:pPr>
      <w:r>
        <w:rPr>
          <w:rFonts w:asciiTheme="minorHAnsi" w:hAnsiTheme="minorHAnsi" w:cstheme="minorHAnsi" w:hint="eastAsia"/>
          <w:b/>
          <w:bCs/>
          <w:lang w:eastAsia="zh-CN"/>
        </w:rPr>
        <w:t>基于结果的预算</w:t>
      </w:r>
    </w:p>
    <w:p w14:paraId="5A5B7B38" w14:textId="1D0067F1" w:rsidR="00452D10" w:rsidRDefault="002950E3" w:rsidP="006C1507">
      <w:pPr>
        <w:numPr>
          <w:ilvl w:val="1"/>
          <w:numId w:val="24"/>
        </w:numPr>
        <w:tabs>
          <w:tab w:val="clear" w:pos="1191"/>
          <w:tab w:val="clear" w:pos="1588"/>
          <w:tab w:val="clear" w:pos="1985"/>
        </w:tabs>
        <w:overflowPunct/>
        <w:autoSpaceDE/>
        <w:autoSpaceDN/>
        <w:snapToGrid w:val="0"/>
        <w:ind w:left="0" w:firstLine="0"/>
        <w:textAlignment w:val="auto"/>
        <w:rPr>
          <w:rFonts w:asciiTheme="minorHAnsi" w:hAnsiTheme="minorHAnsi" w:cstheme="minorHAnsi"/>
          <w:lang w:eastAsia="zh-CN"/>
        </w:rPr>
      </w:pPr>
      <w:bookmarkStart w:id="10" w:name="lt_pId089"/>
      <w:r>
        <w:rPr>
          <w:rFonts w:hint="eastAsia"/>
          <w:lang w:eastAsia="zh-CN"/>
        </w:rPr>
        <w:t>国际电联</w:t>
      </w:r>
      <w:r w:rsidRPr="00F41711">
        <w:rPr>
          <w:rFonts w:hint="eastAsia"/>
          <w:lang w:eastAsia="zh-CN"/>
        </w:rPr>
        <w:t>2024-2025</w:t>
      </w:r>
      <w:r w:rsidRPr="003F5B06">
        <w:rPr>
          <w:rFonts w:cs="Calibri" w:hint="eastAsia"/>
          <w:szCs w:val="24"/>
          <w:lang w:eastAsia="zh-CN"/>
        </w:rPr>
        <w:t>双年度</w:t>
      </w:r>
      <w:r w:rsidRPr="003F5B06">
        <w:rPr>
          <w:rFonts w:cs="Calibri"/>
          <w:szCs w:val="24"/>
          <w:lang w:eastAsia="zh-CN"/>
        </w:rPr>
        <w:t>预算</w:t>
      </w:r>
      <w:r w:rsidR="00133C54">
        <w:rPr>
          <w:rFonts w:asciiTheme="minorHAnsi" w:hAnsiTheme="minorHAnsi" w:hint="eastAsia"/>
          <w:lang w:eastAsia="zh-CN"/>
        </w:rPr>
        <w:t>包含用于落实</w:t>
      </w:r>
      <w:r w:rsidR="00925DD2">
        <w:rPr>
          <w:rFonts w:asciiTheme="minorHAnsi" w:hAnsiTheme="minorHAnsi" w:hint="eastAsia"/>
          <w:lang w:eastAsia="zh-CN"/>
        </w:rPr>
        <w:t>战略规划的</w:t>
      </w:r>
      <w:r>
        <w:rPr>
          <w:rFonts w:asciiTheme="minorHAnsi" w:hAnsiTheme="minorHAnsi" w:hint="eastAsia"/>
          <w:lang w:eastAsia="zh-CN"/>
        </w:rPr>
        <w:t>两</w:t>
      </w:r>
      <w:r w:rsidR="00133C54">
        <w:rPr>
          <w:rFonts w:asciiTheme="minorHAnsi" w:hAnsiTheme="minorHAnsi" w:hint="eastAsia"/>
          <w:lang w:eastAsia="zh-CN"/>
        </w:rPr>
        <w:t>项战略目标、</w:t>
      </w:r>
      <w:r>
        <w:rPr>
          <w:rFonts w:asciiTheme="minorHAnsi" w:hAnsiTheme="minorHAnsi" w:hint="eastAsia"/>
          <w:lang w:eastAsia="zh-CN"/>
        </w:rPr>
        <w:t>五</w:t>
      </w:r>
      <w:r w:rsidR="00133C54">
        <w:rPr>
          <w:rFonts w:asciiTheme="minorHAnsi" w:hAnsiTheme="minorHAnsi" w:hint="eastAsia"/>
          <w:lang w:eastAsia="zh-CN"/>
        </w:rPr>
        <w:t>项</w:t>
      </w:r>
      <w:r>
        <w:rPr>
          <w:rFonts w:asciiTheme="minorHAnsi" w:hAnsiTheme="minorHAnsi" w:hint="eastAsia"/>
          <w:lang w:eastAsia="zh-CN"/>
        </w:rPr>
        <w:t>主题重点</w:t>
      </w:r>
      <w:r w:rsidR="00133C54">
        <w:rPr>
          <w:rFonts w:asciiTheme="minorHAnsi" w:hAnsiTheme="minorHAnsi" w:hint="eastAsia"/>
          <w:lang w:eastAsia="zh-CN"/>
        </w:rPr>
        <w:t>和</w:t>
      </w:r>
      <w:r>
        <w:rPr>
          <w:rFonts w:asciiTheme="minorHAnsi" w:hAnsiTheme="minorHAnsi" w:hint="eastAsia"/>
          <w:lang w:eastAsia="zh-CN"/>
        </w:rPr>
        <w:t>4</w:t>
      </w:r>
      <w:r>
        <w:rPr>
          <w:rFonts w:asciiTheme="minorHAnsi" w:hAnsiTheme="minorHAnsi"/>
          <w:lang w:eastAsia="zh-CN"/>
        </w:rPr>
        <w:t>3</w:t>
      </w:r>
      <w:r w:rsidR="00133C54">
        <w:rPr>
          <w:rFonts w:asciiTheme="minorHAnsi" w:hAnsiTheme="minorHAnsi" w:hint="eastAsia"/>
          <w:lang w:eastAsia="zh-CN"/>
        </w:rPr>
        <w:t>项输出成果的拨款。同时，预算还对各局和总秘书处用于行政和支持服务的适量资源分配做出预测。</w:t>
      </w:r>
      <w:bookmarkEnd w:id="10"/>
    </w:p>
    <w:p w14:paraId="0292ECBD" w14:textId="00410444" w:rsidR="00452D10" w:rsidRDefault="002950E3" w:rsidP="006C1507">
      <w:pPr>
        <w:numPr>
          <w:ilvl w:val="1"/>
          <w:numId w:val="24"/>
        </w:numPr>
        <w:tabs>
          <w:tab w:val="clear" w:pos="1191"/>
          <w:tab w:val="clear" w:pos="1588"/>
          <w:tab w:val="clear" w:pos="1985"/>
        </w:tabs>
        <w:overflowPunct/>
        <w:autoSpaceDE/>
        <w:autoSpaceDN/>
        <w:snapToGrid w:val="0"/>
        <w:ind w:left="0" w:firstLine="0"/>
        <w:textAlignment w:val="auto"/>
        <w:rPr>
          <w:rFonts w:asciiTheme="minorHAnsi" w:hAnsiTheme="minorHAnsi" w:cstheme="minorHAnsi"/>
          <w:lang w:eastAsia="zh-CN"/>
        </w:rPr>
      </w:pPr>
      <w:r w:rsidRPr="002950E3">
        <w:rPr>
          <w:rFonts w:asciiTheme="minorHAnsi" w:hAnsiTheme="minorHAnsi" w:cstheme="minorHAnsi" w:hint="eastAsia"/>
          <w:lang w:eastAsia="zh-CN"/>
        </w:rPr>
        <w:t>表</w:t>
      </w:r>
      <w:r w:rsidRPr="002950E3">
        <w:rPr>
          <w:rFonts w:asciiTheme="minorHAnsi" w:hAnsiTheme="minorHAnsi" w:cstheme="minorHAnsi" w:hint="eastAsia"/>
          <w:lang w:eastAsia="zh-CN"/>
        </w:rPr>
        <w:t>1</w:t>
      </w:r>
      <w:r w:rsidRPr="002950E3">
        <w:rPr>
          <w:rFonts w:asciiTheme="minorHAnsi" w:hAnsiTheme="minorHAnsi" w:cstheme="minorHAnsi" w:hint="eastAsia"/>
          <w:lang w:eastAsia="zh-CN"/>
        </w:rPr>
        <w:t>和图</w:t>
      </w:r>
      <w:r w:rsidRPr="002950E3">
        <w:rPr>
          <w:rFonts w:asciiTheme="minorHAnsi" w:hAnsiTheme="minorHAnsi" w:cstheme="minorHAnsi" w:hint="eastAsia"/>
          <w:lang w:eastAsia="zh-CN"/>
        </w:rPr>
        <w:t>1</w:t>
      </w:r>
      <w:r w:rsidR="003F2292">
        <w:rPr>
          <w:rFonts w:asciiTheme="minorHAnsi" w:hAnsiTheme="minorHAnsi" w:cstheme="minorHAnsi" w:hint="eastAsia"/>
          <w:lang w:eastAsia="zh-CN"/>
        </w:rPr>
        <w:t>展</w:t>
      </w:r>
      <w:r w:rsidRPr="002950E3">
        <w:rPr>
          <w:rFonts w:asciiTheme="minorHAnsi" w:hAnsiTheme="minorHAnsi" w:cstheme="minorHAnsi" w:hint="eastAsia"/>
          <w:lang w:eastAsia="zh-CN"/>
        </w:rPr>
        <w:t>示了</w:t>
      </w:r>
      <w:r w:rsidRPr="002950E3">
        <w:rPr>
          <w:rFonts w:asciiTheme="minorHAnsi" w:hAnsiTheme="minorHAnsi" w:cstheme="minorHAnsi" w:hint="eastAsia"/>
          <w:lang w:eastAsia="zh-CN"/>
        </w:rPr>
        <w:t>2024-2025</w:t>
      </w:r>
      <w:r w:rsidRPr="002950E3">
        <w:rPr>
          <w:rFonts w:asciiTheme="minorHAnsi" w:hAnsiTheme="minorHAnsi" w:cstheme="minorHAnsi" w:hint="eastAsia"/>
          <w:lang w:eastAsia="zh-CN"/>
        </w:rPr>
        <w:t>年按主题</w:t>
      </w:r>
      <w:r w:rsidR="003F2292">
        <w:rPr>
          <w:rFonts w:asciiTheme="minorHAnsi" w:hAnsiTheme="minorHAnsi" w:cstheme="minorHAnsi" w:hint="eastAsia"/>
          <w:lang w:eastAsia="zh-CN"/>
        </w:rPr>
        <w:t>重点</w:t>
      </w:r>
      <w:r w:rsidRPr="002950E3">
        <w:rPr>
          <w:rFonts w:asciiTheme="minorHAnsi" w:hAnsiTheme="minorHAnsi" w:cstheme="minorHAnsi" w:hint="eastAsia"/>
          <w:lang w:eastAsia="zh-CN"/>
        </w:rPr>
        <w:t>分列的预算分配情况。表</w:t>
      </w:r>
      <w:r w:rsidRPr="002950E3">
        <w:rPr>
          <w:rFonts w:asciiTheme="minorHAnsi" w:hAnsiTheme="minorHAnsi" w:cstheme="minorHAnsi" w:hint="eastAsia"/>
          <w:lang w:eastAsia="zh-CN"/>
        </w:rPr>
        <w:t>1</w:t>
      </w:r>
      <w:r w:rsidRPr="002950E3">
        <w:rPr>
          <w:rFonts w:asciiTheme="minorHAnsi" w:hAnsiTheme="minorHAnsi" w:cstheme="minorHAnsi" w:hint="eastAsia"/>
          <w:lang w:eastAsia="zh-CN"/>
        </w:rPr>
        <w:t>按主题</w:t>
      </w:r>
      <w:r w:rsidR="003F2292">
        <w:rPr>
          <w:rFonts w:asciiTheme="minorHAnsi" w:hAnsiTheme="minorHAnsi" w:cstheme="minorHAnsi" w:hint="eastAsia"/>
          <w:lang w:eastAsia="zh-CN"/>
        </w:rPr>
        <w:t>重点</w:t>
      </w:r>
      <w:r w:rsidRPr="002950E3">
        <w:rPr>
          <w:rFonts w:asciiTheme="minorHAnsi" w:hAnsiTheme="minorHAnsi" w:cstheme="minorHAnsi" w:hint="eastAsia"/>
          <w:lang w:eastAsia="zh-CN"/>
        </w:rPr>
        <w:t>分列了在将行政和集中服务以及</w:t>
      </w:r>
      <w:r w:rsidR="003F2292">
        <w:rPr>
          <w:rFonts w:asciiTheme="minorHAnsi" w:hAnsiTheme="minorHAnsi" w:cstheme="minorHAnsi" w:hint="eastAsia"/>
          <w:lang w:eastAsia="zh-CN"/>
        </w:rPr>
        <w:t>各</w:t>
      </w:r>
      <w:r w:rsidRPr="002950E3">
        <w:rPr>
          <w:rFonts w:asciiTheme="minorHAnsi" w:hAnsiTheme="minorHAnsi" w:cstheme="minorHAnsi" w:hint="eastAsia"/>
          <w:lang w:eastAsia="zh-CN"/>
        </w:rPr>
        <w:t>局支</w:t>
      </w:r>
      <w:r w:rsidR="003F2292">
        <w:rPr>
          <w:rFonts w:asciiTheme="minorHAnsi" w:hAnsiTheme="minorHAnsi" w:cstheme="minorHAnsi" w:hint="eastAsia"/>
          <w:lang w:eastAsia="zh-CN"/>
        </w:rPr>
        <w:t>持</w:t>
      </w:r>
      <w:r w:rsidRPr="002950E3">
        <w:rPr>
          <w:rFonts w:asciiTheme="minorHAnsi" w:hAnsiTheme="minorHAnsi" w:cstheme="minorHAnsi" w:hint="eastAsia"/>
          <w:lang w:eastAsia="zh-CN"/>
        </w:rPr>
        <w:t>服务分配给相关主题</w:t>
      </w:r>
      <w:r w:rsidR="003F2292">
        <w:rPr>
          <w:rFonts w:asciiTheme="minorHAnsi" w:hAnsiTheme="minorHAnsi" w:cstheme="minorHAnsi" w:hint="eastAsia"/>
          <w:lang w:eastAsia="zh-CN"/>
        </w:rPr>
        <w:t>重点</w:t>
      </w:r>
      <w:r w:rsidRPr="002950E3">
        <w:rPr>
          <w:rFonts w:asciiTheme="minorHAnsi" w:hAnsiTheme="minorHAnsi" w:cstheme="minorHAnsi" w:hint="eastAsia"/>
          <w:lang w:eastAsia="zh-CN"/>
        </w:rPr>
        <w:t>和</w:t>
      </w:r>
      <w:r w:rsidR="003F2292">
        <w:rPr>
          <w:rFonts w:asciiTheme="minorHAnsi" w:hAnsiTheme="minorHAnsi" w:cstheme="minorHAnsi" w:hint="eastAsia"/>
          <w:lang w:eastAsia="zh-CN"/>
        </w:rPr>
        <w:t>输出成果</w:t>
      </w:r>
      <w:r w:rsidRPr="002950E3">
        <w:rPr>
          <w:rFonts w:asciiTheme="minorHAnsi" w:hAnsiTheme="minorHAnsi" w:cstheme="minorHAnsi" w:hint="eastAsia"/>
          <w:lang w:eastAsia="zh-CN"/>
        </w:rPr>
        <w:t>后的实际资源使用情况。</w:t>
      </w:r>
    </w:p>
    <w:p w14:paraId="5990B685" w14:textId="2E26AFD5" w:rsidR="00452D10" w:rsidRPr="00195FA0" w:rsidRDefault="002950E3" w:rsidP="00452D10">
      <w:pPr>
        <w:overflowPunct/>
        <w:autoSpaceDE/>
        <w:autoSpaceDN/>
        <w:snapToGrid w:val="0"/>
        <w:spacing w:before="240" w:after="120"/>
        <w:jc w:val="center"/>
        <w:textAlignment w:val="auto"/>
        <w:rPr>
          <w:rFonts w:asciiTheme="minorHAnsi" w:hAnsiTheme="minorHAnsi" w:cstheme="minorHAnsi"/>
          <w:b/>
          <w:bCs/>
        </w:rPr>
      </w:pPr>
      <w:r>
        <w:rPr>
          <w:rFonts w:asciiTheme="minorHAnsi" w:hAnsiTheme="minorHAnsi" w:cstheme="minorHAnsi" w:hint="eastAsia"/>
          <w:b/>
          <w:bCs/>
          <w:lang w:eastAsia="zh-CN"/>
        </w:rPr>
        <w:t>表</w:t>
      </w:r>
      <w:r w:rsidR="00452D10" w:rsidRPr="00195FA0">
        <w:rPr>
          <w:rFonts w:asciiTheme="minorHAnsi" w:hAnsiTheme="minorHAnsi" w:cstheme="minorHAnsi"/>
          <w:b/>
          <w:bCs/>
        </w:rPr>
        <w:t>1</w:t>
      </w:r>
      <w:r w:rsidR="00452D10">
        <w:rPr>
          <w:rFonts w:asciiTheme="minorHAnsi" w:hAnsiTheme="minorHAnsi" w:cstheme="minorHAnsi"/>
          <w:b/>
          <w:bCs/>
        </w:rPr>
        <w:t>.</w:t>
      </w:r>
    </w:p>
    <w:p w14:paraId="1FB6FE70" w14:textId="0F08CA2E" w:rsidR="00452D10" w:rsidRDefault="00EE0D32" w:rsidP="00452D10">
      <w:pPr>
        <w:overflowPunct/>
        <w:autoSpaceDE/>
        <w:autoSpaceDN/>
        <w:adjustRightInd/>
        <w:snapToGrid w:val="0"/>
        <w:spacing w:before="240" w:after="120"/>
        <w:jc w:val="center"/>
        <w:textAlignment w:val="auto"/>
        <w:rPr>
          <w:rFonts w:asciiTheme="minorHAnsi" w:hAnsiTheme="minorHAnsi" w:cstheme="minorHAnsi"/>
          <w:lang w:val="en-AU"/>
        </w:rPr>
      </w:pPr>
      <w:r w:rsidRPr="00EE0D32">
        <w:rPr>
          <w:noProof/>
        </w:rPr>
        <w:drawing>
          <wp:inline distT="0" distB="0" distL="0" distR="0" wp14:anchorId="3721842C" wp14:editId="01D2F5F2">
            <wp:extent cx="5693443" cy="19526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076" cy="1953185"/>
                    </a:xfrm>
                    <a:prstGeom prst="rect">
                      <a:avLst/>
                    </a:prstGeom>
                    <a:noFill/>
                    <a:ln>
                      <a:noFill/>
                    </a:ln>
                  </pic:spPr>
                </pic:pic>
              </a:graphicData>
            </a:graphic>
          </wp:inline>
        </w:drawing>
      </w:r>
    </w:p>
    <w:p w14:paraId="4A4BCB4E" w14:textId="249CB12F" w:rsidR="00452D10" w:rsidRPr="00195FA0" w:rsidRDefault="002950E3" w:rsidP="00452D10">
      <w:pPr>
        <w:overflowPunct/>
        <w:autoSpaceDE/>
        <w:autoSpaceDN/>
        <w:adjustRightInd/>
        <w:snapToGrid w:val="0"/>
        <w:spacing w:before="240" w:after="120"/>
        <w:jc w:val="center"/>
        <w:textAlignment w:val="auto"/>
        <w:rPr>
          <w:rFonts w:asciiTheme="minorHAnsi" w:hAnsiTheme="minorHAnsi" w:cstheme="minorHAnsi"/>
          <w:b/>
          <w:bCs/>
          <w:lang w:val="en-AU"/>
        </w:rPr>
      </w:pPr>
      <w:r>
        <w:rPr>
          <w:rFonts w:asciiTheme="minorHAnsi" w:hAnsiTheme="minorHAnsi" w:cstheme="minorHAnsi" w:hint="eastAsia"/>
          <w:b/>
          <w:bCs/>
          <w:lang w:val="en-AU" w:eastAsia="zh-CN"/>
        </w:rPr>
        <w:t>图</w:t>
      </w:r>
      <w:r w:rsidR="00452D10" w:rsidRPr="00195FA0">
        <w:rPr>
          <w:rFonts w:asciiTheme="minorHAnsi" w:hAnsiTheme="minorHAnsi" w:cstheme="minorHAnsi"/>
          <w:b/>
          <w:bCs/>
          <w:lang w:val="en-AU"/>
        </w:rPr>
        <w:t>1</w:t>
      </w:r>
      <w:r w:rsidR="00452D10">
        <w:rPr>
          <w:rFonts w:asciiTheme="minorHAnsi" w:hAnsiTheme="minorHAnsi" w:cstheme="minorHAnsi"/>
          <w:b/>
          <w:bCs/>
          <w:lang w:val="en-AU"/>
        </w:rPr>
        <w:t>.</w:t>
      </w:r>
    </w:p>
    <w:p w14:paraId="58C34727" w14:textId="39297E73" w:rsidR="00452D10" w:rsidRDefault="00EE0D32" w:rsidP="00452D10">
      <w:pPr>
        <w:overflowPunct/>
        <w:autoSpaceDE/>
        <w:autoSpaceDN/>
        <w:adjustRightInd/>
        <w:snapToGrid w:val="0"/>
        <w:spacing w:before="240" w:after="120"/>
        <w:jc w:val="center"/>
        <w:textAlignment w:val="auto"/>
        <w:rPr>
          <w:rFonts w:asciiTheme="minorHAnsi" w:hAnsiTheme="minorHAnsi" w:cstheme="minorHAnsi"/>
          <w:lang w:val="en-AU"/>
        </w:rPr>
      </w:pPr>
      <w:r>
        <w:rPr>
          <w:rFonts w:asciiTheme="minorHAnsi" w:hAnsiTheme="minorHAnsi" w:cstheme="minorHAnsi"/>
          <w:noProof/>
          <w:lang w:val="en-AU"/>
        </w:rPr>
        <w:drawing>
          <wp:inline distT="0" distB="0" distL="0" distR="0" wp14:anchorId="7E064A8F" wp14:editId="6405D2A5">
            <wp:extent cx="5706012" cy="26955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8044" cy="2701259"/>
                    </a:xfrm>
                    <a:prstGeom prst="rect">
                      <a:avLst/>
                    </a:prstGeom>
                    <a:noFill/>
                  </pic:spPr>
                </pic:pic>
              </a:graphicData>
            </a:graphic>
          </wp:inline>
        </w:drawing>
      </w:r>
    </w:p>
    <w:p w14:paraId="311B4706" w14:textId="258B4D65" w:rsidR="001D7C8B" w:rsidRDefault="001D7C8B" w:rsidP="00452D10">
      <w:pPr>
        <w:overflowPunct/>
        <w:autoSpaceDE/>
        <w:autoSpaceDN/>
        <w:adjustRightInd/>
        <w:snapToGrid w:val="0"/>
        <w:spacing w:before="240" w:after="120"/>
        <w:jc w:val="center"/>
        <w:textAlignment w:val="auto"/>
        <w:rPr>
          <w:rFonts w:asciiTheme="minorHAnsi" w:hAnsiTheme="minorHAnsi" w:cstheme="minorHAnsi"/>
          <w:lang w:val="en-AU" w:eastAsia="zh-CN"/>
        </w:rPr>
      </w:pPr>
    </w:p>
    <w:p w14:paraId="568D7883" w14:textId="5D75E7E2" w:rsidR="00452D10" w:rsidRPr="00A961BE" w:rsidRDefault="002C3E51" w:rsidP="006C1507">
      <w:pPr>
        <w:keepNext/>
        <w:numPr>
          <w:ilvl w:val="1"/>
          <w:numId w:val="24"/>
        </w:numPr>
        <w:tabs>
          <w:tab w:val="clear" w:pos="1191"/>
          <w:tab w:val="clear" w:pos="1588"/>
          <w:tab w:val="clear" w:pos="1985"/>
        </w:tabs>
        <w:overflowPunct/>
        <w:autoSpaceDE/>
        <w:autoSpaceDN/>
        <w:snapToGrid w:val="0"/>
        <w:ind w:left="0" w:firstLine="0"/>
        <w:contextualSpacing/>
        <w:textAlignment w:val="auto"/>
        <w:rPr>
          <w:rFonts w:asciiTheme="minorHAnsi" w:hAnsiTheme="minorHAnsi" w:cstheme="minorHAnsi"/>
          <w:lang w:eastAsia="zh-CN"/>
        </w:rPr>
      </w:pPr>
      <w:r>
        <w:rPr>
          <w:rFonts w:hint="eastAsia"/>
          <w:lang w:eastAsia="zh-CN"/>
        </w:rPr>
        <w:lastRenderedPageBreak/>
        <w:t>国际电联</w:t>
      </w:r>
      <w:r w:rsidRPr="00F41711">
        <w:rPr>
          <w:rFonts w:hint="eastAsia"/>
          <w:lang w:eastAsia="zh-CN"/>
        </w:rPr>
        <w:t>2024-2025</w:t>
      </w:r>
      <w:r w:rsidRPr="003F5B06">
        <w:rPr>
          <w:rFonts w:cs="Calibri" w:hint="eastAsia"/>
          <w:szCs w:val="24"/>
          <w:lang w:eastAsia="zh-CN"/>
        </w:rPr>
        <w:t>双年度</w:t>
      </w:r>
      <w:r w:rsidRPr="003F5B06">
        <w:rPr>
          <w:rFonts w:cs="Calibri"/>
          <w:szCs w:val="24"/>
          <w:lang w:eastAsia="zh-CN"/>
        </w:rPr>
        <w:t>预算</w:t>
      </w:r>
      <w:r>
        <w:rPr>
          <w:rFonts w:asciiTheme="minorHAnsi" w:hAnsiTheme="minorHAnsi" w:hint="eastAsia"/>
          <w:lang w:eastAsia="zh-CN"/>
        </w:rPr>
        <w:t>包含用于落实</w:t>
      </w:r>
      <w:r>
        <w:rPr>
          <w:rFonts w:asciiTheme="minorHAnsi" w:hAnsiTheme="minorHAnsi" w:hint="eastAsia"/>
          <w:lang w:eastAsia="zh-CN"/>
        </w:rPr>
        <w:t>4</w:t>
      </w:r>
      <w:r>
        <w:rPr>
          <w:rFonts w:asciiTheme="minorHAnsi" w:hAnsiTheme="minorHAnsi"/>
          <w:lang w:eastAsia="zh-CN"/>
        </w:rPr>
        <w:t>3</w:t>
      </w:r>
      <w:r>
        <w:rPr>
          <w:rFonts w:asciiTheme="minorHAnsi" w:hAnsiTheme="minorHAnsi" w:hint="eastAsia"/>
          <w:lang w:eastAsia="zh-CN"/>
        </w:rPr>
        <w:t>项输出成果的拨款，具体如下：</w:t>
      </w:r>
    </w:p>
    <w:p w14:paraId="0C550F29" w14:textId="0F143877" w:rsidR="00452D10" w:rsidRPr="002C3E51" w:rsidRDefault="00DA7CBE" w:rsidP="00DA7CBE">
      <w:pPr>
        <w:pStyle w:val="enumlev1"/>
        <w:rPr>
          <w:lang w:eastAsia="zh-CN"/>
        </w:rPr>
      </w:pPr>
      <w:r>
        <w:rPr>
          <w:lang w:eastAsia="zh-CN"/>
        </w:rPr>
        <w:t>–</w:t>
      </w:r>
      <w:r>
        <w:rPr>
          <w:lang w:eastAsia="zh-CN"/>
        </w:rPr>
        <w:tab/>
      </w:r>
      <w:r w:rsidR="00452D10" w:rsidRPr="002C3E51">
        <w:rPr>
          <w:lang w:eastAsia="zh-CN"/>
        </w:rPr>
        <w:t>9</w:t>
      </w:r>
      <w:r w:rsidR="002C3E51" w:rsidRPr="002C3E51">
        <w:rPr>
          <w:rFonts w:hint="eastAsia"/>
          <w:lang w:eastAsia="zh-CN"/>
        </w:rPr>
        <w:t>项跨部门输出成果</w:t>
      </w:r>
    </w:p>
    <w:p w14:paraId="36335C01" w14:textId="0A456A51" w:rsidR="00452D10" w:rsidRPr="002C3E51" w:rsidRDefault="00DA7CBE" w:rsidP="00DA7CBE">
      <w:pPr>
        <w:pStyle w:val="enumlev1"/>
        <w:rPr>
          <w:lang w:eastAsia="zh-CN"/>
        </w:rPr>
      </w:pPr>
      <w:r>
        <w:rPr>
          <w:lang w:eastAsia="zh-CN"/>
        </w:rPr>
        <w:t>–</w:t>
      </w:r>
      <w:r>
        <w:rPr>
          <w:lang w:eastAsia="zh-CN"/>
        </w:rPr>
        <w:tab/>
      </w:r>
      <w:r w:rsidR="00452D10" w:rsidRPr="002C3E51">
        <w:rPr>
          <w:lang w:eastAsia="zh-CN"/>
        </w:rPr>
        <w:t>12</w:t>
      </w:r>
      <w:r w:rsidR="002C3E51" w:rsidRPr="002C3E51">
        <w:rPr>
          <w:rFonts w:hint="eastAsia"/>
          <w:lang w:eastAsia="zh-CN"/>
        </w:rPr>
        <w:t>项</w:t>
      </w:r>
      <w:r w:rsidR="00452D10" w:rsidRPr="002C3E51">
        <w:rPr>
          <w:lang w:eastAsia="zh-CN"/>
        </w:rPr>
        <w:t>ITU-R</w:t>
      </w:r>
      <w:r w:rsidR="002C3E51" w:rsidRPr="002C3E51">
        <w:rPr>
          <w:rFonts w:hint="eastAsia"/>
          <w:lang w:eastAsia="zh-CN"/>
        </w:rPr>
        <w:t>输出成果</w:t>
      </w:r>
    </w:p>
    <w:p w14:paraId="6B5D7079" w14:textId="40C6B067" w:rsidR="00452D10" w:rsidRPr="002C3E51" w:rsidRDefault="00DA7CBE" w:rsidP="00DA7CBE">
      <w:pPr>
        <w:pStyle w:val="enumlev1"/>
        <w:rPr>
          <w:lang w:eastAsia="zh-CN"/>
        </w:rPr>
      </w:pPr>
      <w:r>
        <w:rPr>
          <w:lang w:eastAsia="zh-CN"/>
        </w:rPr>
        <w:t>–</w:t>
      </w:r>
      <w:r>
        <w:rPr>
          <w:lang w:eastAsia="zh-CN"/>
        </w:rPr>
        <w:tab/>
      </w:r>
      <w:r w:rsidR="00452D10" w:rsidRPr="002C3E51">
        <w:rPr>
          <w:lang w:eastAsia="zh-CN"/>
        </w:rPr>
        <w:t>9</w:t>
      </w:r>
      <w:r w:rsidR="002C3E51" w:rsidRPr="002C3E51">
        <w:rPr>
          <w:rFonts w:hint="eastAsia"/>
          <w:lang w:eastAsia="zh-CN"/>
        </w:rPr>
        <w:t>项</w:t>
      </w:r>
      <w:r w:rsidR="00452D10" w:rsidRPr="002C3E51">
        <w:rPr>
          <w:lang w:eastAsia="zh-CN"/>
        </w:rPr>
        <w:t>ITU-T</w:t>
      </w:r>
      <w:r w:rsidR="002C3E51" w:rsidRPr="002C3E51">
        <w:rPr>
          <w:rFonts w:hint="eastAsia"/>
          <w:lang w:eastAsia="zh-CN"/>
        </w:rPr>
        <w:t>输出成果</w:t>
      </w:r>
    </w:p>
    <w:p w14:paraId="7AB0B130" w14:textId="3E6AB397" w:rsidR="00452D10" w:rsidRDefault="00DA7CBE" w:rsidP="00DA7CBE">
      <w:pPr>
        <w:pStyle w:val="enumlev1"/>
        <w:rPr>
          <w:rFonts w:asciiTheme="minorHAnsi" w:hAnsiTheme="minorHAnsi"/>
          <w:lang w:eastAsia="zh-CN"/>
        </w:rPr>
      </w:pPr>
      <w:r>
        <w:rPr>
          <w:lang w:eastAsia="zh-CN"/>
        </w:rPr>
        <w:t>–</w:t>
      </w:r>
      <w:r>
        <w:rPr>
          <w:lang w:eastAsia="zh-CN"/>
        </w:rPr>
        <w:tab/>
      </w:r>
      <w:r w:rsidR="00452D10" w:rsidRPr="002C3E51">
        <w:rPr>
          <w:lang w:eastAsia="zh-CN"/>
        </w:rPr>
        <w:t>13</w:t>
      </w:r>
      <w:r w:rsidR="002C3E51" w:rsidRPr="002C3E51">
        <w:rPr>
          <w:rFonts w:hint="eastAsia"/>
          <w:lang w:eastAsia="zh-CN"/>
        </w:rPr>
        <w:t>项</w:t>
      </w:r>
      <w:r w:rsidR="00452D10" w:rsidRPr="002C3E51">
        <w:rPr>
          <w:lang w:eastAsia="zh-CN"/>
        </w:rPr>
        <w:t>ITU-D</w:t>
      </w:r>
      <w:r w:rsidR="002C3E51" w:rsidRPr="002C3E51">
        <w:rPr>
          <w:rFonts w:hint="eastAsia"/>
          <w:lang w:eastAsia="zh-CN"/>
        </w:rPr>
        <w:t>输出成果。</w:t>
      </w:r>
    </w:p>
    <w:p w14:paraId="678A798B" w14:textId="3C8A64D2" w:rsidR="00452D10" w:rsidRPr="002C3E51" w:rsidRDefault="002C3E51" w:rsidP="006C1507">
      <w:pPr>
        <w:pStyle w:val="ListParagraph"/>
        <w:numPr>
          <w:ilvl w:val="1"/>
          <w:numId w:val="24"/>
        </w:numPr>
        <w:tabs>
          <w:tab w:val="clear" w:pos="567"/>
          <w:tab w:val="left" w:pos="794"/>
        </w:tabs>
        <w:snapToGrid w:val="0"/>
        <w:spacing w:after="120"/>
        <w:ind w:left="0" w:firstLine="0"/>
        <w:contextualSpacing w:val="0"/>
        <w:rPr>
          <w:rFonts w:eastAsia="SimSun" w:cs="Calibri"/>
          <w:lang w:eastAsia="zh-CN"/>
        </w:rPr>
      </w:pPr>
      <w:r>
        <w:rPr>
          <w:rFonts w:ascii="SimSun" w:eastAsia="SimSun" w:hAnsi="SimSun" w:cs="SimSun" w:hint="eastAsia"/>
          <w:lang w:eastAsia="zh-CN"/>
        </w:rPr>
        <w:t>基于</w:t>
      </w:r>
      <w:r w:rsidRPr="002C3E51">
        <w:rPr>
          <w:rFonts w:eastAsia="SimSun" w:cs="Calibri" w:hint="eastAsia"/>
          <w:lang w:eastAsia="zh-CN"/>
        </w:rPr>
        <w:t>成果</w:t>
      </w:r>
      <w:r>
        <w:rPr>
          <w:rFonts w:eastAsia="SimSun" w:cs="Calibri" w:hint="eastAsia"/>
          <w:lang w:eastAsia="zh-CN"/>
        </w:rPr>
        <w:t>的</w:t>
      </w:r>
      <w:r w:rsidRPr="002C3E51">
        <w:rPr>
          <w:rFonts w:eastAsia="SimSun" w:cs="Calibri" w:hint="eastAsia"/>
          <w:lang w:eastAsia="zh-CN"/>
        </w:rPr>
        <w:t>预算</w:t>
      </w:r>
      <w:r>
        <w:rPr>
          <w:rFonts w:eastAsia="SimSun" w:cs="Calibri" w:hint="eastAsia"/>
          <w:lang w:eastAsia="zh-CN"/>
        </w:rPr>
        <w:t>编制</w:t>
      </w:r>
      <w:r w:rsidR="004F2717">
        <w:rPr>
          <w:rFonts w:eastAsia="SimSun" w:cs="Calibri" w:hint="eastAsia"/>
          <w:lang w:eastAsia="zh-CN"/>
        </w:rPr>
        <w:t>（</w:t>
      </w:r>
      <w:r w:rsidR="004F2717">
        <w:rPr>
          <w:rFonts w:eastAsia="SimSun" w:cs="Calibri" w:hint="eastAsia"/>
          <w:lang w:eastAsia="zh-CN"/>
        </w:rPr>
        <w:t>R</w:t>
      </w:r>
      <w:r w:rsidR="004F2717">
        <w:rPr>
          <w:rFonts w:eastAsia="SimSun" w:cs="Calibri"/>
          <w:lang w:eastAsia="zh-CN"/>
        </w:rPr>
        <w:t>BB</w:t>
      </w:r>
      <w:r w:rsidR="004F2717">
        <w:rPr>
          <w:rFonts w:eastAsia="SimSun" w:cs="Calibri" w:hint="eastAsia"/>
          <w:lang w:eastAsia="zh-CN"/>
        </w:rPr>
        <w:t>）</w:t>
      </w:r>
      <w:r>
        <w:rPr>
          <w:rFonts w:eastAsia="SimSun" w:cs="Calibri" w:hint="eastAsia"/>
          <w:lang w:eastAsia="zh-CN"/>
        </w:rPr>
        <w:t>的</w:t>
      </w:r>
      <w:r w:rsidRPr="002C3E51">
        <w:rPr>
          <w:rFonts w:eastAsia="SimSun" w:cs="Calibri" w:hint="eastAsia"/>
          <w:lang w:eastAsia="zh-CN"/>
        </w:rPr>
        <w:t>组成部分</w:t>
      </w:r>
      <w:r>
        <w:rPr>
          <w:rFonts w:eastAsia="SimSun" w:cs="Calibri" w:hint="eastAsia"/>
          <w:lang w:eastAsia="zh-CN"/>
        </w:rPr>
        <w:t>（</w:t>
      </w:r>
      <w:r w:rsidRPr="002C3E51">
        <w:rPr>
          <w:rFonts w:eastAsia="SimSun" w:cs="Calibri" w:hint="eastAsia"/>
          <w:lang w:eastAsia="zh-CN"/>
        </w:rPr>
        <w:t>即</w:t>
      </w:r>
      <w:r>
        <w:rPr>
          <w:rFonts w:eastAsia="SimSun" w:cs="Calibri" w:hint="eastAsia"/>
          <w:lang w:eastAsia="zh-CN"/>
        </w:rPr>
        <w:t>主题重点和输出成果）</w:t>
      </w:r>
      <w:r w:rsidRPr="002C3E51">
        <w:rPr>
          <w:rFonts w:eastAsia="SimSun" w:cs="Calibri" w:hint="eastAsia"/>
          <w:lang w:eastAsia="zh-CN"/>
        </w:rPr>
        <w:t>的完全成本分配是基于国际电联理事会第</w:t>
      </w:r>
      <w:r w:rsidRPr="002C3E51">
        <w:rPr>
          <w:rFonts w:eastAsia="SimSun" w:cs="Calibri" w:hint="eastAsia"/>
          <w:lang w:eastAsia="zh-CN"/>
        </w:rPr>
        <w:t>535</w:t>
      </w:r>
      <w:r w:rsidRPr="002C3E51">
        <w:rPr>
          <w:rFonts w:eastAsia="SimSun" w:cs="Calibri" w:hint="eastAsia"/>
          <w:lang w:eastAsia="zh-CN"/>
        </w:rPr>
        <w:t>号决定</w:t>
      </w:r>
      <w:r>
        <w:rPr>
          <w:rFonts w:eastAsia="SimSun" w:cs="Calibri" w:hint="eastAsia"/>
          <w:lang w:val="en-US" w:eastAsia="zh-CN"/>
        </w:rPr>
        <w:t>（</w:t>
      </w:r>
      <w:r w:rsidRPr="002C3E51">
        <w:rPr>
          <w:rFonts w:eastAsia="SimSun" w:cs="Calibri" w:hint="eastAsia"/>
          <w:lang w:eastAsia="zh-CN"/>
        </w:rPr>
        <w:t>C05</w:t>
      </w:r>
      <w:r w:rsidRPr="002C3E51">
        <w:rPr>
          <w:rFonts w:eastAsia="SimSun" w:cs="Calibri" w:hint="eastAsia"/>
          <w:lang w:eastAsia="zh-CN"/>
        </w:rPr>
        <w:t>，最近一次修</w:t>
      </w:r>
      <w:r>
        <w:rPr>
          <w:rFonts w:eastAsia="SimSun" w:cs="Calibri" w:hint="eastAsia"/>
          <w:lang w:eastAsia="zh-CN"/>
        </w:rPr>
        <w:t>正为</w:t>
      </w:r>
      <w:r w:rsidRPr="002C3E51">
        <w:rPr>
          <w:rFonts w:eastAsia="SimSun" w:cs="Calibri" w:hint="eastAsia"/>
          <w:lang w:eastAsia="zh-CN"/>
        </w:rPr>
        <w:t>C14</w:t>
      </w:r>
      <w:r>
        <w:rPr>
          <w:rFonts w:eastAsia="SimSun" w:cs="Calibri" w:hint="eastAsia"/>
          <w:lang w:eastAsia="zh-CN"/>
        </w:rPr>
        <w:t>）</w:t>
      </w:r>
      <w:r w:rsidRPr="002C3E51">
        <w:rPr>
          <w:rFonts w:eastAsia="SimSun" w:cs="Calibri" w:hint="eastAsia"/>
          <w:lang w:eastAsia="zh-CN"/>
        </w:rPr>
        <w:t>所述的</w:t>
      </w:r>
      <w:r>
        <w:rPr>
          <w:rFonts w:eastAsia="SimSun" w:cs="Calibri" w:hint="eastAsia"/>
          <w:lang w:eastAsia="zh-CN"/>
        </w:rPr>
        <w:t>成本</w:t>
      </w:r>
      <w:r w:rsidRPr="002C3E51">
        <w:rPr>
          <w:rFonts w:eastAsia="SimSun" w:cs="Calibri" w:hint="eastAsia"/>
          <w:lang w:eastAsia="zh-CN"/>
        </w:rPr>
        <w:t>分配方法。</w:t>
      </w:r>
    </w:p>
    <w:p w14:paraId="4665B41E" w14:textId="05ECCB91" w:rsidR="00452D10" w:rsidRDefault="002C3E51" w:rsidP="006C1507">
      <w:pPr>
        <w:pStyle w:val="ListParagraph"/>
        <w:numPr>
          <w:ilvl w:val="1"/>
          <w:numId w:val="24"/>
        </w:numPr>
        <w:tabs>
          <w:tab w:val="clear" w:pos="567"/>
          <w:tab w:val="left" w:pos="794"/>
        </w:tabs>
        <w:snapToGrid w:val="0"/>
        <w:ind w:left="0" w:firstLine="0"/>
        <w:rPr>
          <w:rFonts w:asciiTheme="minorHAnsi" w:hAnsiTheme="minorHAnsi"/>
        </w:rPr>
      </w:pPr>
      <w:r>
        <w:rPr>
          <w:rFonts w:ascii="SimSun" w:eastAsia="SimSun" w:hAnsi="SimSun" w:cs="SimSun" w:hint="eastAsia"/>
          <w:lang w:eastAsia="zh-CN"/>
        </w:rPr>
        <w:t>完全成本结构如下：</w:t>
      </w:r>
    </w:p>
    <w:p w14:paraId="286CC9B4" w14:textId="77777777" w:rsidR="00452D10" w:rsidRDefault="00452D10" w:rsidP="00452D10">
      <w:pPr>
        <w:pStyle w:val="ListParagraph"/>
        <w:tabs>
          <w:tab w:val="clear" w:pos="567"/>
          <w:tab w:val="left" w:pos="709"/>
        </w:tabs>
        <w:snapToGrid w:val="0"/>
        <w:ind w:left="0"/>
        <w:rPr>
          <w:rFonts w:asciiTheme="minorHAnsi" w:hAnsiTheme="minorHAnsi"/>
        </w:rPr>
      </w:pPr>
    </w:p>
    <w:p w14:paraId="4EE84F28" w14:textId="6C55FE03" w:rsidR="00CB3666" w:rsidRDefault="00CB3666" w:rsidP="00CB3666">
      <w:pPr>
        <w:pStyle w:val="ListParagraph"/>
        <w:tabs>
          <w:tab w:val="clear" w:pos="567"/>
          <w:tab w:val="left" w:pos="709"/>
        </w:tabs>
        <w:snapToGrid w:val="0"/>
        <w:ind w:left="0"/>
        <w:jc w:val="center"/>
        <w:rPr>
          <w:rFonts w:asciiTheme="minorHAnsi" w:hAnsiTheme="minorHAnsi"/>
        </w:rPr>
      </w:pPr>
      <w:r>
        <w:rPr>
          <w:rFonts w:asciiTheme="minorHAnsi" w:hAnsiTheme="minorHAnsi"/>
          <w:noProof/>
          <w:lang w:val="en-US" w:eastAsia="zh-CN"/>
        </w:rPr>
        <w:drawing>
          <wp:inline distT="0" distB="0" distL="0" distR="0" wp14:anchorId="39FEB566" wp14:editId="67255381">
            <wp:extent cx="4143530" cy="3114136"/>
            <wp:effectExtent l="0" t="0" r="9525" b="0"/>
            <wp:docPr id="106" name="Picture 10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A screenshot of a computer&#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4155000" cy="3122757"/>
                    </a:xfrm>
                    <a:prstGeom prst="rect">
                      <a:avLst/>
                    </a:prstGeom>
                  </pic:spPr>
                </pic:pic>
              </a:graphicData>
            </a:graphic>
          </wp:inline>
        </w:drawing>
      </w:r>
    </w:p>
    <w:p w14:paraId="7082B490" w14:textId="77777777" w:rsidR="00452D10" w:rsidRDefault="00452D10" w:rsidP="00452D10">
      <w:pPr>
        <w:overflowPunct/>
        <w:autoSpaceDE/>
        <w:autoSpaceDN/>
        <w:adjustRightInd/>
        <w:spacing w:before="0"/>
        <w:textAlignment w:val="auto"/>
        <w:rPr>
          <w:rFonts w:asciiTheme="minorHAnsi" w:hAnsiTheme="minorHAnsi"/>
        </w:rPr>
      </w:pPr>
      <w:r>
        <w:rPr>
          <w:rFonts w:asciiTheme="minorHAnsi" w:hAnsiTheme="minorHAnsi"/>
        </w:rPr>
        <w:br w:type="page"/>
      </w:r>
    </w:p>
    <w:p w14:paraId="6155DEAA" w14:textId="6C143B19" w:rsidR="00452D10" w:rsidRPr="002C3E51" w:rsidRDefault="002C3E51" w:rsidP="006C1507">
      <w:pPr>
        <w:pStyle w:val="ListParagraph"/>
        <w:numPr>
          <w:ilvl w:val="1"/>
          <w:numId w:val="24"/>
        </w:numPr>
        <w:tabs>
          <w:tab w:val="clear" w:pos="567"/>
          <w:tab w:val="clear" w:pos="1134"/>
          <w:tab w:val="clear" w:pos="1701"/>
          <w:tab w:val="clear" w:pos="2268"/>
          <w:tab w:val="clear" w:pos="2835"/>
          <w:tab w:val="left" w:pos="794"/>
        </w:tabs>
        <w:overflowPunct/>
        <w:autoSpaceDE/>
        <w:autoSpaceDN/>
        <w:adjustRightInd/>
        <w:snapToGrid w:val="0"/>
        <w:ind w:left="0" w:firstLine="0"/>
        <w:textAlignment w:val="auto"/>
        <w:rPr>
          <w:rFonts w:eastAsia="SimSun" w:cs="Calibri"/>
          <w:lang w:eastAsia="zh-CN"/>
        </w:rPr>
      </w:pPr>
      <w:r w:rsidRPr="002C3E51">
        <w:rPr>
          <w:rFonts w:eastAsia="SimSun" w:cs="Calibri" w:hint="eastAsia"/>
          <w:lang w:eastAsia="zh-CN"/>
        </w:rPr>
        <w:lastRenderedPageBreak/>
        <w:t>表</w:t>
      </w:r>
      <w:r w:rsidRPr="002C3E51">
        <w:rPr>
          <w:rFonts w:eastAsia="SimSun" w:cs="Calibri" w:hint="eastAsia"/>
          <w:lang w:eastAsia="zh-CN"/>
        </w:rPr>
        <w:t>2</w:t>
      </w:r>
      <w:r w:rsidRPr="002C3E51">
        <w:rPr>
          <w:rFonts w:eastAsia="SimSun" w:cs="Calibri" w:hint="eastAsia"/>
          <w:lang w:eastAsia="zh-CN"/>
        </w:rPr>
        <w:t>和图</w:t>
      </w:r>
      <w:r w:rsidRPr="002C3E51">
        <w:rPr>
          <w:rFonts w:eastAsia="SimSun" w:cs="Calibri" w:hint="eastAsia"/>
          <w:lang w:eastAsia="zh-CN"/>
        </w:rPr>
        <w:t>2</w:t>
      </w:r>
      <w:r w:rsidRPr="002C3E51">
        <w:rPr>
          <w:rFonts w:eastAsia="SimSun" w:cs="Calibri" w:hint="eastAsia"/>
          <w:lang w:eastAsia="zh-CN"/>
        </w:rPr>
        <w:t>按</w:t>
      </w:r>
      <w:r>
        <w:rPr>
          <w:rFonts w:eastAsia="SimSun" w:cs="Calibri" w:hint="eastAsia"/>
          <w:lang w:eastAsia="zh-CN"/>
        </w:rPr>
        <w:t>输出成果</w:t>
      </w:r>
      <w:r w:rsidRPr="002C3E51">
        <w:rPr>
          <w:rFonts w:eastAsia="SimSun" w:cs="Calibri" w:hint="eastAsia"/>
          <w:lang w:eastAsia="zh-CN"/>
        </w:rPr>
        <w:t>提供了</w:t>
      </w:r>
      <w:r w:rsidRPr="002C3E51">
        <w:rPr>
          <w:rFonts w:eastAsia="SimSun" w:cs="Calibri" w:hint="eastAsia"/>
          <w:lang w:eastAsia="zh-CN"/>
        </w:rPr>
        <w:t>2024-2025</w:t>
      </w:r>
      <w:r w:rsidRPr="002C3E51">
        <w:rPr>
          <w:rFonts w:eastAsia="SimSun" w:cs="Calibri" w:hint="eastAsia"/>
          <w:lang w:eastAsia="zh-CN"/>
        </w:rPr>
        <w:t>年的成本分</w:t>
      </w:r>
      <w:r w:rsidR="002F0AB3">
        <w:rPr>
          <w:rFonts w:eastAsia="SimSun" w:cs="Calibri" w:hint="eastAsia"/>
          <w:lang w:eastAsia="zh-CN"/>
        </w:rPr>
        <w:t>摊</w:t>
      </w:r>
      <w:r w:rsidR="00725FAD">
        <w:rPr>
          <w:rFonts w:eastAsia="SimSun" w:cs="Calibri" w:hint="eastAsia"/>
          <w:lang w:eastAsia="zh-CN"/>
        </w:rPr>
        <w:t>规划</w:t>
      </w:r>
      <w:r w:rsidRPr="002C3E51">
        <w:rPr>
          <w:rFonts w:eastAsia="SimSun" w:cs="Calibri" w:hint="eastAsia"/>
          <w:lang w:eastAsia="zh-CN"/>
        </w:rPr>
        <w:t>，单位为千瑞郎</w:t>
      </w:r>
      <w:r w:rsidR="002F0AB3">
        <w:rPr>
          <w:rFonts w:eastAsia="SimSun" w:cs="Calibri" w:hint="eastAsia"/>
          <w:lang w:eastAsia="zh-CN"/>
        </w:rPr>
        <w:t>（</w:t>
      </w:r>
      <w:r w:rsidRPr="002C3E51">
        <w:rPr>
          <w:rFonts w:eastAsia="SimSun" w:cs="Calibri" w:hint="eastAsia"/>
          <w:lang w:eastAsia="zh-CN"/>
        </w:rPr>
        <w:t>KCHF</w:t>
      </w:r>
      <w:r w:rsidR="002F0AB3">
        <w:rPr>
          <w:rFonts w:eastAsia="SimSun" w:cs="Calibri" w:hint="eastAsia"/>
          <w:lang w:eastAsia="zh-CN"/>
        </w:rPr>
        <w:t>）</w:t>
      </w:r>
      <w:r w:rsidRPr="002C3E51">
        <w:rPr>
          <w:rFonts w:eastAsia="SimSun" w:cs="Calibri" w:hint="eastAsia"/>
          <w:lang w:eastAsia="zh-CN"/>
        </w:rPr>
        <w:t>。</w:t>
      </w:r>
    </w:p>
    <w:p w14:paraId="364BFE65" w14:textId="22175488" w:rsidR="00452D10" w:rsidRDefault="002F0AB3"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240"/>
        <w:ind w:left="0"/>
        <w:jc w:val="center"/>
        <w:textAlignment w:val="auto"/>
        <w:rPr>
          <w:rFonts w:asciiTheme="minorHAnsi" w:hAnsiTheme="minorHAnsi" w:cstheme="minorHAnsi"/>
          <w:b/>
          <w:bCs/>
          <w:lang w:eastAsia="zh-CN"/>
        </w:rPr>
      </w:pPr>
      <w:r>
        <w:rPr>
          <w:rFonts w:ascii="SimSun" w:eastAsia="SimSun" w:hAnsi="SimSun" w:cs="SimSun" w:hint="eastAsia"/>
          <w:b/>
          <w:bCs/>
          <w:lang w:eastAsia="zh-CN"/>
        </w:rPr>
        <w:t>表</w:t>
      </w:r>
      <w:r w:rsidR="00452D10" w:rsidRPr="00A961BE">
        <w:rPr>
          <w:rFonts w:asciiTheme="minorHAnsi" w:hAnsiTheme="minorHAnsi" w:cstheme="minorHAnsi"/>
          <w:b/>
          <w:bCs/>
          <w:lang w:eastAsia="zh-CN"/>
        </w:rPr>
        <w:t>2</w:t>
      </w:r>
      <w:r w:rsidR="00452D10">
        <w:rPr>
          <w:rFonts w:asciiTheme="minorHAnsi" w:hAnsiTheme="minorHAnsi" w:cstheme="minorHAnsi"/>
          <w:b/>
          <w:bCs/>
          <w:lang w:eastAsia="zh-CN"/>
        </w:rPr>
        <w:t>.</w:t>
      </w:r>
    </w:p>
    <w:p w14:paraId="1C6B2BFB" w14:textId="0906840E" w:rsidR="00452D10" w:rsidRDefault="00344CC0"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lang w:eastAsia="zh-CN"/>
        </w:rPr>
      </w:pPr>
      <w:r w:rsidRPr="00344CC0">
        <w:rPr>
          <w:noProof/>
        </w:rPr>
        <w:drawing>
          <wp:inline distT="0" distB="0" distL="0" distR="0" wp14:anchorId="635A4EA4" wp14:editId="2C38CA69">
            <wp:extent cx="5759450" cy="6554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6554470"/>
                    </a:xfrm>
                    <a:prstGeom prst="rect">
                      <a:avLst/>
                    </a:prstGeom>
                    <a:noFill/>
                    <a:ln>
                      <a:noFill/>
                    </a:ln>
                  </pic:spPr>
                </pic:pic>
              </a:graphicData>
            </a:graphic>
          </wp:inline>
        </w:drawing>
      </w:r>
    </w:p>
    <w:p w14:paraId="5682F401" w14:textId="77777777" w:rsidR="00452D10" w:rsidRDefault="00452D10"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lang w:eastAsia="zh-CN"/>
        </w:rPr>
      </w:pPr>
    </w:p>
    <w:p w14:paraId="78D7B090" w14:textId="77777777" w:rsidR="00452D10" w:rsidRDefault="00452D10" w:rsidP="00452D10">
      <w:pPr>
        <w:overflowPunct/>
        <w:autoSpaceDE/>
        <w:autoSpaceDN/>
        <w:adjustRightInd/>
        <w:spacing w:before="0"/>
        <w:textAlignment w:val="auto"/>
        <w:rPr>
          <w:rFonts w:asciiTheme="minorHAnsi" w:hAnsiTheme="minorHAnsi" w:cstheme="minorHAnsi"/>
          <w:b/>
          <w:bCs/>
          <w:lang w:eastAsia="zh-CN"/>
        </w:rPr>
      </w:pPr>
      <w:r>
        <w:rPr>
          <w:rFonts w:asciiTheme="minorHAnsi" w:hAnsiTheme="minorHAnsi" w:cstheme="minorHAnsi"/>
          <w:b/>
          <w:bCs/>
          <w:lang w:eastAsia="zh-CN"/>
        </w:rPr>
        <w:br w:type="page"/>
      </w:r>
    </w:p>
    <w:p w14:paraId="059D7B3A" w14:textId="5E93E51D" w:rsidR="00452D10" w:rsidRDefault="00725FAD"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lang w:eastAsia="zh-CN"/>
        </w:rPr>
      </w:pPr>
      <w:r>
        <w:rPr>
          <w:rFonts w:ascii="SimSun" w:eastAsia="SimSun" w:hAnsi="SimSun" w:cs="SimSun" w:hint="eastAsia"/>
          <w:b/>
          <w:bCs/>
          <w:lang w:eastAsia="zh-CN"/>
        </w:rPr>
        <w:lastRenderedPageBreak/>
        <w:t>图</w:t>
      </w:r>
      <w:r w:rsidR="00452D10">
        <w:rPr>
          <w:rFonts w:asciiTheme="minorHAnsi" w:hAnsiTheme="minorHAnsi" w:cstheme="minorHAnsi"/>
          <w:b/>
          <w:bCs/>
          <w:lang w:eastAsia="zh-CN"/>
        </w:rPr>
        <w:t xml:space="preserve">2. </w:t>
      </w:r>
      <w:r w:rsidR="00452D10" w:rsidRPr="005274F7">
        <w:rPr>
          <w:rFonts w:asciiTheme="minorHAnsi" w:hAnsiTheme="minorHAnsi" w:cstheme="minorHAnsi"/>
          <w:b/>
          <w:bCs/>
          <w:lang w:eastAsia="zh-CN"/>
        </w:rPr>
        <w:t>2024-2025</w:t>
      </w:r>
      <w:r>
        <w:rPr>
          <w:rFonts w:ascii="SimSun" w:eastAsia="SimSun" w:hAnsi="SimSun" w:cs="SimSun" w:hint="eastAsia"/>
          <w:b/>
          <w:bCs/>
          <w:lang w:eastAsia="zh-CN"/>
        </w:rPr>
        <w:t>年按输出成果分列的成本分摊规划</w:t>
      </w:r>
      <w:r w:rsidR="00452D10">
        <w:rPr>
          <w:rFonts w:asciiTheme="minorHAnsi" w:hAnsiTheme="minorHAnsi" w:cstheme="minorHAnsi"/>
          <w:b/>
          <w:bCs/>
          <w:lang w:eastAsia="zh-CN"/>
        </w:rPr>
        <w:br/>
      </w:r>
    </w:p>
    <w:p w14:paraId="058D1DBD" w14:textId="77777777" w:rsidR="00452D10" w:rsidRDefault="00452D10"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rPr>
      </w:pPr>
      <w:r>
        <w:rPr>
          <w:noProof/>
        </w:rPr>
        <w:drawing>
          <wp:inline distT="0" distB="0" distL="0" distR="0" wp14:anchorId="1B54D581" wp14:editId="208F7D59">
            <wp:extent cx="5760085" cy="5068842"/>
            <wp:effectExtent l="0" t="0" r="5715" b="0"/>
            <wp:docPr id="19775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2284" name=""/>
                    <pic:cNvPicPr/>
                  </pic:nvPicPr>
                  <pic:blipFill>
                    <a:blip r:embed="rId17"/>
                    <a:stretch>
                      <a:fillRect/>
                    </a:stretch>
                  </pic:blipFill>
                  <pic:spPr>
                    <a:xfrm>
                      <a:off x="0" y="0"/>
                      <a:ext cx="5763295" cy="5071667"/>
                    </a:xfrm>
                    <a:prstGeom prst="rect">
                      <a:avLst/>
                    </a:prstGeom>
                  </pic:spPr>
                </pic:pic>
              </a:graphicData>
            </a:graphic>
          </wp:inline>
        </w:drawing>
      </w:r>
    </w:p>
    <w:p w14:paraId="11BAA1F2" w14:textId="77777777" w:rsidR="00452D10" w:rsidRDefault="00452D10" w:rsidP="00452D10">
      <w:pPr>
        <w:overflowPunct/>
        <w:autoSpaceDE/>
        <w:autoSpaceDN/>
        <w:adjustRightInd/>
        <w:spacing w:before="0"/>
        <w:textAlignment w:val="auto"/>
        <w:rPr>
          <w:rFonts w:asciiTheme="minorHAnsi" w:hAnsiTheme="minorHAnsi" w:cstheme="minorHAnsi"/>
          <w:b/>
          <w:bCs/>
        </w:rPr>
      </w:pPr>
      <w:r>
        <w:rPr>
          <w:rFonts w:asciiTheme="minorHAnsi" w:hAnsiTheme="minorHAnsi" w:cstheme="minorHAnsi"/>
          <w:b/>
          <w:bCs/>
        </w:rPr>
        <w:br w:type="page"/>
      </w:r>
    </w:p>
    <w:p w14:paraId="3FE382ED" w14:textId="4E537A7D" w:rsidR="00452D10" w:rsidRPr="007123AA" w:rsidRDefault="00B7083E" w:rsidP="006C1507">
      <w:pPr>
        <w:pStyle w:val="ListParagraph"/>
        <w:numPr>
          <w:ilvl w:val="1"/>
          <w:numId w:val="24"/>
        </w:numPr>
        <w:tabs>
          <w:tab w:val="clear" w:pos="567"/>
          <w:tab w:val="clear" w:pos="1134"/>
          <w:tab w:val="clear" w:pos="1701"/>
          <w:tab w:val="clear" w:pos="2268"/>
          <w:tab w:val="clear" w:pos="2835"/>
          <w:tab w:val="left" w:pos="794"/>
        </w:tabs>
        <w:overflowPunct/>
        <w:autoSpaceDE/>
        <w:autoSpaceDN/>
        <w:adjustRightInd/>
        <w:snapToGrid w:val="0"/>
        <w:ind w:left="0" w:firstLine="0"/>
        <w:textAlignment w:val="auto"/>
        <w:rPr>
          <w:rFonts w:asciiTheme="minorHAnsi" w:hAnsiTheme="minorHAnsi" w:cstheme="minorHAnsi"/>
          <w:b/>
          <w:bCs/>
          <w:lang w:eastAsia="zh-CN"/>
        </w:rPr>
      </w:pPr>
      <w:r>
        <w:rPr>
          <w:rFonts w:ascii="SimSun" w:eastAsia="SimSun" w:hAnsi="SimSun" w:cs="SimSun" w:hint="eastAsia"/>
          <w:lang w:eastAsia="zh-CN"/>
        </w:rPr>
        <w:lastRenderedPageBreak/>
        <w:t>图</w:t>
      </w:r>
      <w:r w:rsidR="00452D10" w:rsidRPr="007123AA">
        <w:rPr>
          <w:rFonts w:asciiTheme="minorHAnsi" w:hAnsiTheme="minorHAnsi" w:cstheme="minorHAnsi"/>
          <w:lang w:eastAsia="zh-CN"/>
        </w:rPr>
        <w:t>3</w:t>
      </w:r>
      <w:r>
        <w:rPr>
          <w:rFonts w:ascii="SimSun" w:eastAsia="SimSun" w:hAnsi="SimSun" w:cs="SimSun" w:hint="eastAsia"/>
          <w:lang w:eastAsia="zh-CN"/>
        </w:rPr>
        <w:t>展示了国际电联</w:t>
      </w:r>
      <w:r w:rsidRPr="007123AA">
        <w:rPr>
          <w:rFonts w:asciiTheme="minorHAnsi" w:hAnsiTheme="minorHAnsi" w:cstheme="minorHAnsi"/>
          <w:lang w:eastAsia="zh-CN"/>
        </w:rPr>
        <w:t>2024-2025</w:t>
      </w:r>
      <w:r>
        <w:rPr>
          <w:rFonts w:ascii="SimSun" w:eastAsia="SimSun" w:hAnsi="SimSun" w:cs="SimSun" w:hint="eastAsia"/>
          <w:lang w:eastAsia="zh-CN"/>
        </w:rPr>
        <w:t>年按成本</w:t>
      </w:r>
      <w:r w:rsidR="0020161F">
        <w:rPr>
          <w:rFonts w:ascii="SimSun" w:eastAsia="SimSun" w:hAnsi="SimSun" w:cs="SimSun" w:hint="eastAsia"/>
          <w:lang w:eastAsia="zh-CN"/>
        </w:rPr>
        <w:t>构成分列的</w:t>
      </w:r>
      <w:r w:rsidR="00452D10">
        <w:rPr>
          <w:rFonts w:asciiTheme="minorHAnsi" w:hAnsiTheme="minorHAnsi" w:cstheme="minorHAnsi"/>
          <w:lang w:eastAsia="zh-CN"/>
        </w:rPr>
        <w:t>RBB</w:t>
      </w:r>
      <w:r w:rsidR="0020161F">
        <w:rPr>
          <w:rFonts w:ascii="SimSun" w:eastAsia="SimSun" w:hAnsi="SimSun" w:cs="SimSun" w:hint="eastAsia"/>
          <w:lang w:eastAsia="zh-CN"/>
        </w:rPr>
        <w:t>资源分配。</w:t>
      </w:r>
    </w:p>
    <w:p w14:paraId="2E8AFF4B" w14:textId="202320AC" w:rsidR="00133C54" w:rsidRPr="00B73E8B" w:rsidRDefault="00133C54"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240"/>
        <w:ind w:left="0"/>
        <w:jc w:val="center"/>
        <w:textAlignment w:val="auto"/>
        <w:rPr>
          <w:rFonts w:asciiTheme="minorHAnsi" w:hAnsiTheme="minorHAnsi" w:cstheme="minorHAnsi"/>
          <w:b/>
          <w:bCs/>
          <w:lang w:eastAsia="zh-CN"/>
        </w:rPr>
      </w:pPr>
    </w:p>
    <w:p w14:paraId="2FDD55DD" w14:textId="2E83C4FF" w:rsidR="006E343F" w:rsidRDefault="0020161F" w:rsidP="00AD4931">
      <w:pPr>
        <w:pStyle w:val="ListParagraph"/>
        <w:tabs>
          <w:tab w:val="clear" w:pos="567"/>
          <w:tab w:val="clear" w:pos="1134"/>
          <w:tab w:val="clear" w:pos="1701"/>
          <w:tab w:val="clear" w:pos="2268"/>
          <w:tab w:val="clear" w:pos="2835"/>
          <w:tab w:val="left" w:pos="709"/>
        </w:tabs>
        <w:overflowPunct/>
        <w:autoSpaceDE/>
        <w:autoSpaceDN/>
        <w:adjustRightInd/>
        <w:snapToGrid w:val="0"/>
        <w:spacing w:before="240"/>
        <w:ind w:left="0"/>
        <w:jc w:val="center"/>
        <w:textAlignment w:val="auto"/>
        <w:rPr>
          <w:rFonts w:asciiTheme="minorHAnsi" w:hAnsiTheme="minorHAnsi" w:cstheme="minorHAnsi"/>
          <w:b/>
          <w:bCs/>
        </w:rPr>
      </w:pPr>
      <w:r>
        <w:rPr>
          <w:rFonts w:ascii="SimSun" w:eastAsia="SimSun" w:hAnsi="SimSun" w:cs="SimSun" w:hint="eastAsia"/>
          <w:b/>
          <w:bCs/>
          <w:lang w:eastAsia="zh-CN"/>
        </w:rPr>
        <w:t>图</w:t>
      </w:r>
      <w:r w:rsidR="00452D10" w:rsidRPr="00A961BE">
        <w:rPr>
          <w:rFonts w:asciiTheme="minorHAnsi" w:hAnsiTheme="minorHAnsi" w:cstheme="minorHAnsi"/>
          <w:b/>
          <w:bCs/>
        </w:rPr>
        <w:t>3</w:t>
      </w:r>
      <w:r w:rsidR="00452D10">
        <w:rPr>
          <w:rFonts w:asciiTheme="minorHAnsi" w:hAnsiTheme="minorHAnsi" w:cstheme="minorHAnsi"/>
          <w:b/>
          <w:bCs/>
        </w:rPr>
        <w:t>.</w:t>
      </w:r>
    </w:p>
    <w:p w14:paraId="31437EA8" w14:textId="64BFEE7F" w:rsidR="006E343F" w:rsidRDefault="006E343F" w:rsidP="00452D10">
      <w:pPr>
        <w:overflowPunct/>
        <w:autoSpaceDE/>
        <w:autoSpaceDN/>
        <w:adjustRightInd/>
        <w:spacing w:before="0"/>
        <w:textAlignment w:val="auto"/>
        <w:rPr>
          <w:rFonts w:asciiTheme="minorHAnsi" w:hAnsiTheme="minorHAnsi" w:cstheme="minorHAnsi"/>
          <w:b/>
          <w:bCs/>
        </w:rPr>
      </w:pPr>
      <w:r>
        <w:rPr>
          <w:rFonts w:asciiTheme="minorHAnsi" w:hAnsiTheme="minorHAnsi" w:cstheme="minorHAnsi"/>
          <w:b/>
          <w:bCs/>
          <w:noProof/>
        </w:rPr>
        <w:drawing>
          <wp:inline distT="0" distB="0" distL="0" distR="0" wp14:anchorId="1FF203AE" wp14:editId="17675E4D">
            <wp:extent cx="5848710" cy="30294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9807" cy="3035189"/>
                    </a:xfrm>
                    <a:prstGeom prst="rect">
                      <a:avLst/>
                    </a:prstGeom>
                    <a:noFill/>
                  </pic:spPr>
                </pic:pic>
              </a:graphicData>
            </a:graphic>
          </wp:inline>
        </w:drawing>
      </w:r>
    </w:p>
    <w:p w14:paraId="713DC5EC" w14:textId="5ADA165D" w:rsidR="00452D10" w:rsidRDefault="00452D10" w:rsidP="006C1507">
      <w:pPr>
        <w:pStyle w:val="ListParagraph"/>
        <w:tabs>
          <w:tab w:val="clear" w:pos="567"/>
          <w:tab w:val="clear" w:pos="1134"/>
          <w:tab w:val="clear" w:pos="1701"/>
          <w:tab w:val="clear" w:pos="2268"/>
          <w:tab w:val="clear" w:pos="2835"/>
          <w:tab w:val="left" w:pos="794"/>
        </w:tabs>
        <w:overflowPunct/>
        <w:autoSpaceDE/>
        <w:autoSpaceDN/>
        <w:adjustRightInd/>
        <w:snapToGrid w:val="0"/>
        <w:spacing w:before="240" w:after="120"/>
        <w:ind w:left="0"/>
        <w:contextualSpacing w:val="0"/>
        <w:textAlignment w:val="auto"/>
        <w:rPr>
          <w:rFonts w:asciiTheme="minorHAnsi" w:hAnsiTheme="minorHAnsi" w:cstheme="minorHAnsi"/>
          <w:b/>
          <w:bCs/>
          <w:lang w:eastAsia="zh-CN"/>
        </w:rPr>
      </w:pPr>
      <w:r w:rsidRPr="006E75A2">
        <w:rPr>
          <w:rFonts w:asciiTheme="minorHAnsi" w:hAnsiTheme="minorHAnsi" w:cstheme="minorHAnsi"/>
          <w:b/>
          <w:bCs/>
          <w:lang w:eastAsia="zh-CN"/>
        </w:rPr>
        <w:t>3</w:t>
      </w:r>
      <w:r w:rsidRPr="006E75A2">
        <w:rPr>
          <w:rFonts w:asciiTheme="minorHAnsi" w:hAnsiTheme="minorHAnsi" w:cstheme="minorHAnsi"/>
          <w:b/>
          <w:bCs/>
          <w:lang w:eastAsia="zh-CN"/>
        </w:rPr>
        <w:tab/>
      </w:r>
      <w:r w:rsidR="0020161F" w:rsidRPr="00AD4931">
        <w:rPr>
          <w:rFonts w:asciiTheme="minorHAnsi" w:eastAsia="SimSun" w:hAnsiTheme="minorHAnsi" w:cstheme="minorHAnsi" w:hint="eastAsia"/>
          <w:b/>
          <w:bCs/>
          <w:lang w:eastAsia="zh-CN"/>
        </w:rPr>
        <w:t>预算概览</w:t>
      </w:r>
    </w:p>
    <w:p w14:paraId="69DED96E" w14:textId="5E420345" w:rsidR="00452D10" w:rsidRPr="0020161F" w:rsidRDefault="00452D10" w:rsidP="006C1507">
      <w:pPr>
        <w:snapToGrid w:val="0"/>
        <w:rPr>
          <w:rFonts w:cs="Calibri"/>
          <w:szCs w:val="24"/>
          <w:lang w:eastAsia="zh-CN"/>
        </w:rPr>
      </w:pPr>
      <w:r>
        <w:rPr>
          <w:rFonts w:asciiTheme="minorHAnsi" w:hAnsiTheme="minorHAnsi" w:cstheme="minorHAnsi"/>
          <w:lang w:eastAsia="zh-CN"/>
        </w:rPr>
        <w:t>3.1</w:t>
      </w:r>
      <w:r>
        <w:rPr>
          <w:rFonts w:asciiTheme="minorHAnsi" w:hAnsiTheme="minorHAnsi" w:cstheme="minorHAnsi"/>
          <w:lang w:eastAsia="zh-CN"/>
        </w:rPr>
        <w:tab/>
      </w:r>
      <w:r w:rsidR="0020161F" w:rsidRPr="006C1507">
        <w:rPr>
          <w:rFonts w:hint="eastAsia"/>
          <w:lang w:eastAsia="zh-CN"/>
        </w:rPr>
        <w:t>国际</w:t>
      </w:r>
      <w:r w:rsidR="0020161F" w:rsidRPr="0020161F">
        <w:rPr>
          <w:rFonts w:cs="Calibri" w:hint="eastAsia"/>
          <w:szCs w:val="24"/>
          <w:lang w:eastAsia="zh-CN"/>
        </w:rPr>
        <w:t>电联</w:t>
      </w:r>
      <w:r w:rsidR="0020161F" w:rsidRPr="0020161F">
        <w:rPr>
          <w:rFonts w:cs="Calibri" w:hint="eastAsia"/>
          <w:szCs w:val="24"/>
          <w:lang w:eastAsia="zh-CN"/>
        </w:rPr>
        <w:t>2024-2025</w:t>
      </w:r>
      <w:r w:rsidR="0020161F" w:rsidRPr="003F5B06">
        <w:rPr>
          <w:rFonts w:cs="Calibri" w:hint="eastAsia"/>
          <w:szCs w:val="24"/>
          <w:lang w:eastAsia="zh-CN"/>
        </w:rPr>
        <w:t>双年度</w:t>
      </w:r>
      <w:r w:rsidR="0020161F" w:rsidRPr="003F5B06">
        <w:rPr>
          <w:rFonts w:cs="Calibri"/>
          <w:szCs w:val="24"/>
          <w:lang w:eastAsia="zh-CN"/>
        </w:rPr>
        <w:t>预算</w:t>
      </w:r>
      <w:r w:rsidR="0020161F">
        <w:rPr>
          <w:rFonts w:cs="Calibri" w:hint="eastAsia"/>
          <w:szCs w:val="24"/>
          <w:lang w:eastAsia="zh-CN"/>
        </w:rPr>
        <w:t>的起草是基于</w:t>
      </w:r>
      <w:r w:rsidR="00F41711" w:rsidRPr="0020161F">
        <w:rPr>
          <w:rFonts w:cs="Calibri" w:hint="eastAsia"/>
          <w:szCs w:val="24"/>
          <w:lang w:eastAsia="zh-CN"/>
        </w:rPr>
        <w:t>全权代表大会</w:t>
      </w:r>
      <w:r w:rsidR="0020161F" w:rsidRPr="0020161F">
        <w:rPr>
          <w:rFonts w:cs="Calibri" w:hint="eastAsia"/>
          <w:szCs w:val="24"/>
          <w:lang w:eastAsia="zh-CN"/>
        </w:rPr>
        <w:t>第</w:t>
      </w:r>
      <w:r w:rsidR="0020161F" w:rsidRPr="0020161F">
        <w:rPr>
          <w:rFonts w:cs="Calibri" w:hint="eastAsia"/>
          <w:szCs w:val="24"/>
          <w:lang w:eastAsia="zh-CN"/>
        </w:rPr>
        <w:t>5</w:t>
      </w:r>
      <w:r w:rsidR="0020161F" w:rsidRPr="0020161F">
        <w:rPr>
          <w:rFonts w:cs="Calibri" w:hint="eastAsia"/>
          <w:szCs w:val="24"/>
          <w:lang w:eastAsia="zh-CN"/>
        </w:rPr>
        <w:t>号决定</w:t>
      </w:r>
      <w:r w:rsidR="00F41711" w:rsidRPr="0020161F">
        <w:rPr>
          <w:rFonts w:cs="Calibri" w:hint="eastAsia"/>
          <w:szCs w:val="24"/>
          <w:lang w:eastAsia="zh-CN"/>
        </w:rPr>
        <w:t>（</w:t>
      </w:r>
      <w:r w:rsidR="00F41711" w:rsidRPr="0020161F">
        <w:rPr>
          <w:rFonts w:cs="Calibri"/>
          <w:szCs w:val="24"/>
          <w:lang w:eastAsia="zh-CN"/>
        </w:rPr>
        <w:t>2022</w:t>
      </w:r>
      <w:r w:rsidR="00F41711" w:rsidRPr="0020161F">
        <w:rPr>
          <w:rFonts w:cs="Calibri" w:hint="eastAsia"/>
          <w:szCs w:val="24"/>
          <w:lang w:eastAsia="zh-CN"/>
        </w:rPr>
        <w:t>年，布加勒斯特，修订版）</w:t>
      </w:r>
      <w:r w:rsidR="004F2717">
        <w:rPr>
          <w:rFonts w:cs="Calibri" w:hint="eastAsia"/>
          <w:szCs w:val="24"/>
          <w:lang w:eastAsia="zh-CN"/>
        </w:rPr>
        <w:t>。</w:t>
      </w:r>
    </w:p>
    <w:p w14:paraId="254843FA" w14:textId="3CC8F066" w:rsidR="00452D10" w:rsidRDefault="00452D10" w:rsidP="006C1507">
      <w:pPr>
        <w:snapToGrid w:val="0"/>
        <w:rPr>
          <w:rFonts w:asciiTheme="minorHAnsi" w:hAnsiTheme="minorHAnsi"/>
          <w:lang w:eastAsia="zh-CN"/>
        </w:rPr>
      </w:pPr>
      <w:r>
        <w:rPr>
          <w:rFonts w:asciiTheme="minorHAnsi" w:hAnsiTheme="minorHAnsi" w:cstheme="minorHAnsi"/>
          <w:lang w:eastAsia="zh-CN"/>
        </w:rPr>
        <w:t>3.2</w:t>
      </w:r>
      <w:r>
        <w:rPr>
          <w:rFonts w:asciiTheme="minorHAnsi" w:hAnsiTheme="minorHAnsi" w:cstheme="minorHAnsi"/>
          <w:lang w:eastAsia="zh-CN"/>
        </w:rPr>
        <w:tab/>
      </w:r>
      <w:r w:rsidR="00F708D3">
        <w:rPr>
          <w:rFonts w:hint="eastAsia"/>
          <w:lang w:eastAsia="zh-CN"/>
        </w:rPr>
        <w:t>国际电联</w:t>
      </w:r>
      <w:r w:rsidR="00F708D3" w:rsidRPr="00F41711">
        <w:rPr>
          <w:rFonts w:hint="eastAsia"/>
          <w:lang w:eastAsia="zh-CN"/>
        </w:rPr>
        <w:t>2024-2025</w:t>
      </w:r>
      <w:r w:rsidR="00F708D3" w:rsidRPr="003F5B06">
        <w:rPr>
          <w:rFonts w:cs="Calibri" w:hint="eastAsia"/>
          <w:szCs w:val="24"/>
          <w:lang w:eastAsia="zh-CN"/>
        </w:rPr>
        <w:t>双年度</w:t>
      </w:r>
      <w:r w:rsidR="00F708D3" w:rsidRPr="003F5B06">
        <w:rPr>
          <w:rFonts w:cs="Calibri"/>
          <w:szCs w:val="24"/>
          <w:lang w:eastAsia="zh-CN"/>
        </w:rPr>
        <w:t>预算草案</w:t>
      </w:r>
      <w:r w:rsidR="00F708D3" w:rsidRPr="00F41711">
        <w:rPr>
          <w:rFonts w:hint="eastAsia"/>
          <w:lang w:eastAsia="zh-CN"/>
        </w:rPr>
        <w:t>平衡，收支</w:t>
      </w:r>
      <w:r w:rsidR="00F708D3">
        <w:rPr>
          <w:rFonts w:hint="eastAsia"/>
          <w:lang w:eastAsia="zh-CN"/>
        </w:rPr>
        <w:t>相等</w:t>
      </w:r>
      <w:r w:rsidR="00F708D3" w:rsidRPr="00F708D3">
        <w:rPr>
          <w:rFonts w:asciiTheme="minorHAnsi" w:hAnsiTheme="minorHAnsi" w:hint="eastAsia"/>
          <w:lang w:eastAsia="zh-CN"/>
        </w:rPr>
        <w:t>，即</w:t>
      </w:r>
      <w:r w:rsidR="00F708D3" w:rsidRPr="00F708D3">
        <w:rPr>
          <w:rFonts w:asciiTheme="minorHAnsi" w:hAnsiTheme="minorHAnsi" w:hint="eastAsia"/>
          <w:lang w:eastAsia="zh-CN"/>
        </w:rPr>
        <w:t>329 067</w:t>
      </w:r>
      <w:r w:rsidR="00F708D3">
        <w:rPr>
          <w:rFonts w:asciiTheme="minorHAnsi" w:hAnsiTheme="minorHAnsi"/>
          <w:lang w:eastAsia="zh-CN"/>
        </w:rPr>
        <w:t xml:space="preserve"> 000</w:t>
      </w:r>
      <w:r w:rsidR="00F708D3" w:rsidRPr="00F708D3">
        <w:rPr>
          <w:rFonts w:asciiTheme="minorHAnsi" w:hAnsiTheme="minorHAnsi" w:hint="eastAsia"/>
          <w:lang w:eastAsia="zh-CN"/>
        </w:rPr>
        <w:t>瑞郎，比</w:t>
      </w:r>
      <w:r w:rsidR="00F708D3">
        <w:rPr>
          <w:rFonts w:asciiTheme="minorHAnsi" w:hAnsiTheme="minorHAnsi" w:hint="eastAsia"/>
          <w:lang w:val="en-US" w:eastAsia="zh-CN"/>
        </w:rPr>
        <w:t>国际电联</w:t>
      </w:r>
      <w:r w:rsidR="00F708D3" w:rsidRPr="00F708D3">
        <w:rPr>
          <w:rFonts w:asciiTheme="minorHAnsi" w:hAnsiTheme="minorHAnsi" w:hint="eastAsia"/>
          <w:lang w:eastAsia="zh-CN"/>
        </w:rPr>
        <w:t>2022-2023</w:t>
      </w:r>
      <w:r w:rsidR="00F708D3" w:rsidRPr="00F708D3">
        <w:rPr>
          <w:rFonts w:asciiTheme="minorHAnsi" w:hAnsiTheme="minorHAnsi" w:hint="eastAsia"/>
          <w:lang w:eastAsia="zh-CN"/>
        </w:rPr>
        <w:t>年预算高</w:t>
      </w:r>
      <w:r w:rsidR="00F708D3" w:rsidRPr="00F708D3">
        <w:rPr>
          <w:rFonts w:asciiTheme="minorHAnsi" w:hAnsiTheme="minorHAnsi" w:hint="eastAsia"/>
          <w:lang w:eastAsia="zh-CN"/>
        </w:rPr>
        <w:t>1 605</w:t>
      </w:r>
      <w:r w:rsidR="00F708D3">
        <w:rPr>
          <w:rFonts w:asciiTheme="minorHAnsi" w:hAnsiTheme="minorHAnsi"/>
          <w:lang w:eastAsia="zh-CN"/>
        </w:rPr>
        <w:t xml:space="preserve"> 000</w:t>
      </w:r>
      <w:r w:rsidR="00F708D3" w:rsidRPr="00F708D3">
        <w:rPr>
          <w:rFonts w:asciiTheme="minorHAnsi" w:hAnsiTheme="minorHAnsi" w:hint="eastAsia"/>
          <w:lang w:eastAsia="zh-CN"/>
        </w:rPr>
        <w:t>瑞郎。收入和</w:t>
      </w:r>
      <w:r w:rsidR="00F708D3">
        <w:rPr>
          <w:rFonts w:asciiTheme="minorHAnsi" w:hAnsiTheme="minorHAnsi" w:hint="eastAsia"/>
          <w:lang w:eastAsia="zh-CN"/>
        </w:rPr>
        <w:t>支出</w:t>
      </w:r>
      <w:r w:rsidR="00F708D3" w:rsidRPr="00F708D3">
        <w:rPr>
          <w:rFonts w:asciiTheme="minorHAnsi" w:hAnsiTheme="minorHAnsi" w:hint="eastAsia"/>
          <w:lang w:eastAsia="zh-CN"/>
        </w:rPr>
        <w:t>变化的详细信息如下。</w:t>
      </w:r>
      <w:r w:rsidR="00F708D3">
        <w:rPr>
          <w:rFonts w:asciiTheme="minorHAnsi" w:hAnsiTheme="minorHAnsi" w:hint="eastAsia"/>
          <w:lang w:eastAsia="zh-CN"/>
        </w:rPr>
        <w:t>本文</w:t>
      </w:r>
      <w:r w:rsidR="00F708D3" w:rsidRPr="00F708D3">
        <w:rPr>
          <w:rFonts w:asciiTheme="minorHAnsi" w:hAnsiTheme="minorHAnsi" w:hint="eastAsia"/>
          <w:lang w:eastAsia="zh-CN"/>
        </w:rPr>
        <w:t>附件</w:t>
      </w:r>
      <w:r w:rsidR="00F708D3">
        <w:rPr>
          <w:rFonts w:asciiTheme="minorHAnsi" w:hAnsiTheme="minorHAnsi" w:hint="eastAsia"/>
          <w:lang w:eastAsia="zh-CN"/>
        </w:rPr>
        <w:t>包含</w:t>
      </w:r>
      <w:r w:rsidR="00F708D3" w:rsidRPr="00F708D3">
        <w:rPr>
          <w:rFonts w:asciiTheme="minorHAnsi" w:hAnsiTheme="minorHAnsi" w:hint="eastAsia"/>
          <w:lang w:eastAsia="zh-CN"/>
        </w:rPr>
        <w:t>一份关于</w:t>
      </w:r>
      <w:r w:rsidR="00F708D3">
        <w:rPr>
          <w:rFonts w:hint="eastAsia"/>
          <w:lang w:eastAsia="zh-CN"/>
        </w:rPr>
        <w:t>国际电联</w:t>
      </w:r>
      <w:r w:rsidR="00F708D3" w:rsidRPr="00F41711">
        <w:rPr>
          <w:rFonts w:hint="eastAsia"/>
          <w:lang w:eastAsia="zh-CN"/>
        </w:rPr>
        <w:t>2024-2025</w:t>
      </w:r>
      <w:r w:rsidR="00F708D3" w:rsidRPr="003F5B06">
        <w:rPr>
          <w:rFonts w:cs="Calibri" w:hint="eastAsia"/>
          <w:szCs w:val="24"/>
          <w:lang w:eastAsia="zh-CN"/>
        </w:rPr>
        <w:t>双年度</w:t>
      </w:r>
      <w:r w:rsidR="00F708D3" w:rsidRPr="003F5B06">
        <w:rPr>
          <w:rFonts w:cs="Calibri"/>
          <w:szCs w:val="24"/>
          <w:lang w:eastAsia="zh-CN"/>
        </w:rPr>
        <w:t>预算草案</w:t>
      </w:r>
      <w:r w:rsidR="00F708D3" w:rsidRPr="00F708D3">
        <w:rPr>
          <w:rFonts w:asciiTheme="minorHAnsi" w:hAnsiTheme="minorHAnsi" w:hint="eastAsia"/>
          <w:lang w:eastAsia="zh-CN"/>
        </w:rPr>
        <w:t>的决议草案，</w:t>
      </w:r>
      <w:r w:rsidR="00F708D3">
        <w:rPr>
          <w:rFonts w:asciiTheme="minorHAnsi" w:hAnsiTheme="minorHAnsi" w:hint="eastAsia"/>
          <w:lang w:eastAsia="zh-CN"/>
        </w:rPr>
        <w:t>决议草案中的表格</w:t>
      </w:r>
      <w:r w:rsidR="00F708D3" w:rsidRPr="00F708D3">
        <w:rPr>
          <w:rFonts w:asciiTheme="minorHAnsi" w:hAnsiTheme="minorHAnsi" w:hint="eastAsia"/>
          <w:lang w:eastAsia="zh-CN"/>
        </w:rPr>
        <w:t>详细列出</w:t>
      </w:r>
      <w:r w:rsidR="00F708D3">
        <w:rPr>
          <w:rFonts w:asciiTheme="minorHAnsi" w:hAnsiTheme="minorHAnsi" w:hint="eastAsia"/>
          <w:lang w:eastAsia="zh-CN"/>
        </w:rPr>
        <w:t>了</w:t>
      </w:r>
      <w:r w:rsidR="00F708D3" w:rsidRPr="00F708D3">
        <w:rPr>
          <w:rFonts w:asciiTheme="minorHAnsi" w:hAnsiTheme="minorHAnsi" w:hint="eastAsia"/>
          <w:lang w:eastAsia="zh-CN"/>
        </w:rPr>
        <w:t>收入和支出。</w:t>
      </w:r>
    </w:p>
    <w:p w14:paraId="6064A0B0" w14:textId="208AAA42" w:rsidR="00452D10" w:rsidRDefault="00452D10" w:rsidP="006C1507">
      <w:pPr>
        <w:snapToGrid w:val="0"/>
        <w:rPr>
          <w:rFonts w:asciiTheme="minorHAnsi" w:hAnsiTheme="minorHAnsi"/>
          <w:lang w:eastAsia="zh-CN"/>
        </w:rPr>
      </w:pPr>
      <w:r>
        <w:rPr>
          <w:rFonts w:asciiTheme="minorHAnsi" w:hAnsiTheme="minorHAnsi"/>
          <w:lang w:eastAsia="zh-CN"/>
        </w:rPr>
        <w:t>3.3</w:t>
      </w:r>
      <w:r>
        <w:rPr>
          <w:rFonts w:asciiTheme="minorHAnsi" w:hAnsiTheme="minorHAnsi"/>
          <w:lang w:eastAsia="zh-CN"/>
        </w:rPr>
        <w:tab/>
      </w:r>
      <w:r w:rsidR="00F708D3" w:rsidRPr="006C1507">
        <w:rPr>
          <w:rFonts w:hint="eastAsia"/>
          <w:lang w:eastAsia="zh-CN"/>
        </w:rPr>
        <w:t>下文</w:t>
      </w:r>
      <w:r w:rsidR="00F708D3" w:rsidRPr="00F708D3">
        <w:rPr>
          <w:rFonts w:asciiTheme="minorHAnsi" w:hAnsiTheme="minorHAnsi" w:hint="eastAsia"/>
          <w:lang w:eastAsia="zh-CN"/>
        </w:rPr>
        <w:t>表</w:t>
      </w:r>
      <w:r w:rsidR="00F708D3" w:rsidRPr="00F708D3">
        <w:rPr>
          <w:rFonts w:asciiTheme="minorHAnsi" w:hAnsiTheme="minorHAnsi" w:hint="eastAsia"/>
          <w:lang w:eastAsia="zh-CN"/>
        </w:rPr>
        <w:t>3</w:t>
      </w:r>
      <w:r w:rsidR="00F708D3" w:rsidRPr="00F708D3">
        <w:rPr>
          <w:rFonts w:asciiTheme="minorHAnsi" w:hAnsiTheme="minorHAnsi" w:hint="eastAsia"/>
          <w:lang w:eastAsia="zh-CN"/>
        </w:rPr>
        <w:t>提供了</w:t>
      </w:r>
      <w:r w:rsidR="00F708D3">
        <w:rPr>
          <w:rFonts w:hint="eastAsia"/>
          <w:lang w:eastAsia="zh-CN"/>
        </w:rPr>
        <w:t>国际电联</w:t>
      </w:r>
      <w:r w:rsidR="00F708D3" w:rsidRPr="00F41711">
        <w:rPr>
          <w:rFonts w:hint="eastAsia"/>
          <w:lang w:eastAsia="zh-CN"/>
        </w:rPr>
        <w:t>2024-2025</w:t>
      </w:r>
      <w:r w:rsidR="00F708D3" w:rsidRPr="003F5B06">
        <w:rPr>
          <w:rFonts w:cs="Calibri" w:hint="eastAsia"/>
          <w:szCs w:val="24"/>
          <w:lang w:eastAsia="zh-CN"/>
        </w:rPr>
        <w:t>双年度</w:t>
      </w:r>
      <w:r w:rsidR="00F708D3" w:rsidRPr="003F5B06">
        <w:rPr>
          <w:rFonts w:cs="Calibri"/>
          <w:szCs w:val="24"/>
          <w:lang w:eastAsia="zh-CN"/>
        </w:rPr>
        <w:t>预算草案</w:t>
      </w:r>
      <w:r w:rsidR="00F708D3">
        <w:rPr>
          <w:rFonts w:asciiTheme="minorHAnsi" w:hAnsiTheme="minorHAnsi" w:hint="eastAsia"/>
          <w:lang w:eastAsia="zh-CN"/>
        </w:rPr>
        <w:t>与国际电联</w:t>
      </w:r>
      <w:r w:rsidR="00F708D3" w:rsidRPr="00F708D3">
        <w:rPr>
          <w:rFonts w:asciiTheme="minorHAnsi" w:hAnsiTheme="minorHAnsi" w:hint="eastAsia"/>
          <w:lang w:eastAsia="zh-CN"/>
        </w:rPr>
        <w:t>2022-2023</w:t>
      </w:r>
      <w:r w:rsidR="00F708D3" w:rsidRPr="003F5B06">
        <w:rPr>
          <w:rFonts w:cs="Calibri" w:hint="eastAsia"/>
          <w:szCs w:val="24"/>
          <w:lang w:eastAsia="zh-CN"/>
        </w:rPr>
        <w:t>双年度</w:t>
      </w:r>
      <w:r w:rsidR="00F708D3" w:rsidRPr="003F5B06">
        <w:rPr>
          <w:rFonts w:cs="Calibri"/>
          <w:szCs w:val="24"/>
          <w:lang w:eastAsia="zh-CN"/>
        </w:rPr>
        <w:t>预算</w:t>
      </w:r>
      <w:r w:rsidR="00F708D3" w:rsidRPr="00F708D3">
        <w:rPr>
          <w:rFonts w:asciiTheme="minorHAnsi" w:hAnsiTheme="minorHAnsi" w:hint="eastAsia"/>
          <w:lang w:eastAsia="zh-CN"/>
        </w:rPr>
        <w:t>的比较。</w:t>
      </w:r>
    </w:p>
    <w:p w14:paraId="0F757C19" w14:textId="77777777" w:rsidR="00452D10" w:rsidRDefault="00452D10" w:rsidP="00452D10">
      <w:pPr>
        <w:overflowPunct/>
        <w:autoSpaceDE/>
        <w:autoSpaceDN/>
        <w:adjustRightInd/>
        <w:spacing w:before="0"/>
        <w:textAlignment w:val="auto"/>
        <w:rPr>
          <w:rFonts w:asciiTheme="minorHAnsi" w:hAnsiTheme="minorHAnsi"/>
          <w:b/>
          <w:bCs/>
          <w:lang w:eastAsia="zh-CN"/>
        </w:rPr>
      </w:pPr>
      <w:r>
        <w:rPr>
          <w:rFonts w:asciiTheme="minorHAnsi" w:hAnsiTheme="minorHAnsi"/>
          <w:b/>
          <w:bCs/>
          <w:lang w:eastAsia="zh-CN"/>
        </w:rPr>
        <w:br w:type="page"/>
      </w:r>
    </w:p>
    <w:p w14:paraId="29267DBC" w14:textId="60E12991" w:rsidR="00452D10" w:rsidRDefault="00940F83" w:rsidP="00452D10">
      <w:pPr>
        <w:snapToGrid w:val="0"/>
        <w:spacing w:before="240"/>
        <w:jc w:val="center"/>
        <w:rPr>
          <w:rFonts w:asciiTheme="minorHAnsi" w:hAnsiTheme="minorHAnsi"/>
          <w:b/>
          <w:bCs/>
        </w:rPr>
      </w:pPr>
      <w:r>
        <w:rPr>
          <w:rFonts w:asciiTheme="minorHAnsi" w:hAnsiTheme="minorHAnsi" w:hint="eastAsia"/>
          <w:b/>
          <w:bCs/>
          <w:lang w:eastAsia="zh-CN"/>
        </w:rPr>
        <w:lastRenderedPageBreak/>
        <w:t>表</w:t>
      </w:r>
      <w:r w:rsidR="00452D10" w:rsidRPr="005F3FA0">
        <w:rPr>
          <w:rFonts w:asciiTheme="minorHAnsi" w:hAnsiTheme="minorHAnsi"/>
          <w:b/>
          <w:bCs/>
        </w:rPr>
        <w:t>3</w:t>
      </w:r>
      <w:r w:rsidR="00452D10">
        <w:rPr>
          <w:rFonts w:asciiTheme="minorHAnsi" w:hAnsiTheme="minorHAnsi"/>
          <w:b/>
          <w:bCs/>
        </w:rPr>
        <w:t>.</w:t>
      </w:r>
    </w:p>
    <w:p w14:paraId="1FE24103" w14:textId="00E74CD5" w:rsidR="00940F83" w:rsidRDefault="001E0DF5" w:rsidP="00452D10">
      <w:pPr>
        <w:snapToGrid w:val="0"/>
        <w:spacing w:before="240"/>
        <w:jc w:val="center"/>
        <w:rPr>
          <w:rFonts w:asciiTheme="minorHAnsi" w:hAnsiTheme="minorHAnsi"/>
        </w:rPr>
      </w:pPr>
      <w:r w:rsidRPr="001E0DF5">
        <w:rPr>
          <w:noProof/>
        </w:rPr>
        <w:drawing>
          <wp:inline distT="0" distB="0" distL="0" distR="0" wp14:anchorId="1B4B039E" wp14:editId="74A85935">
            <wp:extent cx="5760085" cy="20783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2078355"/>
                    </a:xfrm>
                    <a:prstGeom prst="rect">
                      <a:avLst/>
                    </a:prstGeom>
                    <a:noFill/>
                    <a:ln>
                      <a:noFill/>
                    </a:ln>
                  </pic:spPr>
                </pic:pic>
              </a:graphicData>
            </a:graphic>
          </wp:inline>
        </w:drawing>
      </w:r>
    </w:p>
    <w:p w14:paraId="1DA2C1AD" w14:textId="77777777" w:rsidR="00940F83" w:rsidRDefault="00940F83" w:rsidP="00452D10">
      <w:pPr>
        <w:snapToGrid w:val="0"/>
        <w:spacing w:before="0" w:after="120"/>
        <w:rPr>
          <w:rFonts w:asciiTheme="minorHAnsi" w:hAnsiTheme="minorHAnsi"/>
        </w:rPr>
      </w:pPr>
    </w:p>
    <w:p w14:paraId="0B27F15C" w14:textId="2DA7CFED" w:rsidR="00452D10" w:rsidRDefault="00452D10" w:rsidP="00452D10">
      <w:pPr>
        <w:snapToGrid w:val="0"/>
        <w:spacing w:before="0" w:after="120"/>
        <w:rPr>
          <w:rFonts w:asciiTheme="minorHAnsi" w:hAnsiTheme="minorHAnsi"/>
          <w:lang w:eastAsia="zh-CN"/>
        </w:rPr>
      </w:pPr>
      <w:r>
        <w:rPr>
          <w:rFonts w:asciiTheme="minorHAnsi" w:hAnsiTheme="minorHAnsi"/>
          <w:lang w:eastAsia="zh-CN"/>
        </w:rPr>
        <w:t>3.4</w:t>
      </w:r>
      <w:r>
        <w:rPr>
          <w:rFonts w:asciiTheme="minorHAnsi" w:hAnsiTheme="minorHAnsi"/>
          <w:lang w:eastAsia="zh-CN"/>
        </w:rPr>
        <w:tab/>
      </w:r>
      <w:r w:rsidR="00F708D3">
        <w:rPr>
          <w:rFonts w:asciiTheme="minorHAnsi" w:hAnsiTheme="minorHAnsi" w:hint="eastAsia"/>
          <w:lang w:eastAsia="zh-CN"/>
        </w:rPr>
        <w:t>按部门分列的主要变化：</w:t>
      </w:r>
    </w:p>
    <w:p w14:paraId="1662FA2A" w14:textId="5269C2EA" w:rsidR="00452D10" w:rsidRPr="00F708D3" w:rsidRDefault="00F708D3" w:rsidP="00452D10">
      <w:pPr>
        <w:snapToGrid w:val="0"/>
        <w:contextualSpacing/>
        <w:rPr>
          <w:rFonts w:ascii="STKaiti" w:eastAsia="STKaiti" w:hAnsi="STKaiti"/>
          <w:color w:val="002060"/>
          <w:u w:val="single"/>
          <w:lang w:eastAsia="zh-CN"/>
        </w:rPr>
      </w:pPr>
      <w:r w:rsidRPr="00F708D3">
        <w:rPr>
          <w:rFonts w:ascii="STKaiti" w:eastAsia="STKaiti" w:hAnsi="STKaiti" w:hint="eastAsia"/>
          <w:color w:val="002060"/>
          <w:u w:val="single"/>
          <w:lang w:eastAsia="zh-CN"/>
        </w:rPr>
        <w:t>总秘书处</w:t>
      </w:r>
    </w:p>
    <w:p w14:paraId="6E23E962" w14:textId="5F5BA1BD" w:rsidR="00452D10" w:rsidRPr="0021380D" w:rsidRDefault="005B03E3" w:rsidP="005B03E3">
      <w:pPr>
        <w:pStyle w:val="enumlev1"/>
        <w:rPr>
          <w:lang w:eastAsia="zh-CN"/>
        </w:rPr>
      </w:pPr>
      <w:r w:rsidRPr="005B03E3">
        <w:rPr>
          <w:rFonts w:ascii="SimSun" w:hAnsi="SimSun" w:cs="SimSun"/>
          <w:lang w:eastAsia="zh-CN"/>
        </w:rPr>
        <w:t>•</w:t>
      </w:r>
      <w:r>
        <w:rPr>
          <w:rFonts w:ascii="SimSun" w:hAnsi="SimSun" w:cs="SimSun"/>
          <w:lang w:eastAsia="zh-CN"/>
        </w:rPr>
        <w:tab/>
      </w:r>
      <w:r w:rsidR="00E447FD">
        <w:rPr>
          <w:rFonts w:ascii="SimSun" w:hAnsi="SimSun" w:cs="SimSun" w:hint="eastAsia"/>
          <w:lang w:eastAsia="zh-CN"/>
        </w:rPr>
        <w:t>与</w:t>
      </w:r>
      <w:r w:rsidR="00E447FD" w:rsidRPr="0021380D">
        <w:rPr>
          <w:lang w:eastAsia="zh-CN"/>
        </w:rPr>
        <w:t>2022-2023</w:t>
      </w:r>
      <w:r w:rsidR="00E447FD">
        <w:rPr>
          <w:rFonts w:ascii="SimSun" w:hAnsi="SimSun" w:cs="SimSun" w:hint="eastAsia"/>
          <w:lang w:eastAsia="zh-CN"/>
        </w:rPr>
        <w:t>年不同，</w:t>
      </w:r>
      <w:r w:rsidR="00452D10" w:rsidRPr="0021380D">
        <w:rPr>
          <w:lang w:eastAsia="zh-CN"/>
        </w:rPr>
        <w:t>2024-2025</w:t>
      </w:r>
      <w:r w:rsidR="00E447FD">
        <w:rPr>
          <w:rFonts w:ascii="SimSun" w:hAnsi="SimSun" w:cs="SimSun" w:hint="eastAsia"/>
          <w:lang w:eastAsia="zh-CN"/>
        </w:rPr>
        <w:t>年不举办全权代表大会；</w:t>
      </w:r>
    </w:p>
    <w:p w14:paraId="72BD436B" w14:textId="4076D6B5" w:rsidR="00452D10" w:rsidRPr="0021380D" w:rsidRDefault="005B03E3" w:rsidP="005B03E3">
      <w:pPr>
        <w:pStyle w:val="enumlev1"/>
        <w:rPr>
          <w:lang w:eastAsia="zh-CN"/>
        </w:rPr>
      </w:pPr>
      <w:r w:rsidRPr="005B03E3">
        <w:rPr>
          <w:rFonts w:ascii="SimSun" w:hAnsi="SimSun" w:cs="SimSun"/>
          <w:lang w:eastAsia="zh-CN"/>
        </w:rPr>
        <w:t>•</w:t>
      </w:r>
      <w:r>
        <w:rPr>
          <w:rFonts w:ascii="SimSun" w:hAnsi="SimSun" w:cs="SimSun"/>
          <w:lang w:eastAsia="zh-CN"/>
        </w:rPr>
        <w:tab/>
      </w:r>
      <w:r w:rsidR="00E447FD">
        <w:rPr>
          <w:rFonts w:ascii="SimSun" w:hAnsi="SimSun" w:cs="SimSun" w:hint="eastAsia"/>
          <w:lang w:eastAsia="zh-CN"/>
        </w:rPr>
        <w:t>文件制作的数量和成本下降；</w:t>
      </w:r>
    </w:p>
    <w:p w14:paraId="61D05296" w14:textId="7BC40ACA" w:rsidR="00452D10" w:rsidRPr="00E447FD" w:rsidRDefault="005B03E3" w:rsidP="005B03E3">
      <w:pPr>
        <w:pStyle w:val="enumlev1"/>
        <w:rPr>
          <w:rFonts w:cs="Calibri"/>
          <w:lang w:eastAsia="zh-CN"/>
        </w:rPr>
      </w:pPr>
      <w:r w:rsidRPr="005B03E3">
        <w:rPr>
          <w:rFonts w:ascii="SimSun" w:hAnsi="SimSun" w:cs="SimSun"/>
          <w:lang w:eastAsia="zh-CN"/>
        </w:rPr>
        <w:t>•</w:t>
      </w:r>
      <w:r>
        <w:rPr>
          <w:rFonts w:ascii="SimSun" w:hAnsi="SimSun" w:cs="SimSun"/>
          <w:lang w:eastAsia="zh-CN"/>
        </w:rPr>
        <w:tab/>
      </w:r>
      <w:r w:rsidR="00F44F03">
        <w:rPr>
          <w:rFonts w:cs="Calibri" w:hint="eastAsia"/>
          <w:lang w:eastAsia="zh-CN"/>
        </w:rPr>
        <w:t>废止</w:t>
      </w:r>
      <w:r w:rsidR="00F44F03">
        <w:rPr>
          <w:rFonts w:cs="Calibri" w:hint="eastAsia"/>
          <w:lang w:eastAsia="zh-CN"/>
        </w:rPr>
        <w:t>5%</w:t>
      </w:r>
      <w:r w:rsidR="00F44F03">
        <w:rPr>
          <w:rFonts w:cs="Calibri" w:hint="eastAsia"/>
          <w:lang w:eastAsia="zh-CN"/>
        </w:rPr>
        <w:t>的职位空缺比例</w:t>
      </w:r>
      <w:r w:rsidR="00E447FD">
        <w:rPr>
          <w:rFonts w:cs="Calibri" w:hint="eastAsia"/>
          <w:lang w:eastAsia="zh-CN"/>
        </w:rPr>
        <w:t>。</w:t>
      </w:r>
    </w:p>
    <w:p w14:paraId="0FFD21EE" w14:textId="74E35D26" w:rsidR="00452D10" w:rsidRPr="00F708D3" w:rsidRDefault="00F708D3" w:rsidP="00452D10">
      <w:pPr>
        <w:snapToGrid w:val="0"/>
        <w:contextualSpacing/>
        <w:rPr>
          <w:rFonts w:ascii="STKaiti" w:eastAsia="STKaiti" w:hAnsi="STKaiti"/>
          <w:color w:val="002060"/>
          <w:u w:val="single"/>
          <w:lang w:eastAsia="zh-CN"/>
        </w:rPr>
      </w:pPr>
      <w:r w:rsidRPr="00F708D3">
        <w:rPr>
          <w:rFonts w:ascii="STKaiti" w:eastAsia="STKaiti" w:hAnsi="STKaiti" w:hint="eastAsia"/>
          <w:color w:val="002060"/>
          <w:u w:val="single"/>
          <w:lang w:eastAsia="zh-CN"/>
        </w:rPr>
        <w:t>无线电通信部门</w:t>
      </w:r>
    </w:p>
    <w:p w14:paraId="3A94F95D" w14:textId="596CD5E9" w:rsidR="00452D10" w:rsidRPr="0021380D" w:rsidRDefault="005B03E3" w:rsidP="005B03E3">
      <w:pPr>
        <w:pStyle w:val="enumlev1"/>
        <w:rPr>
          <w:rFonts w:asciiTheme="minorHAnsi" w:hAnsiTheme="minorHAnsi"/>
          <w:lang w:eastAsia="zh-CN"/>
        </w:rPr>
      </w:pPr>
      <w:r w:rsidRPr="005B03E3">
        <w:rPr>
          <w:rFonts w:ascii="SimSun" w:hAnsi="SimSun" w:cs="SimSun"/>
          <w:lang w:eastAsia="zh-CN"/>
        </w:rPr>
        <w:t>•</w:t>
      </w:r>
      <w:r>
        <w:rPr>
          <w:rFonts w:ascii="SimSun" w:hAnsi="SimSun" w:cs="SimSun"/>
          <w:lang w:eastAsia="zh-CN"/>
        </w:rPr>
        <w:tab/>
      </w:r>
      <w:r w:rsidR="00E447FD">
        <w:rPr>
          <w:rFonts w:hint="eastAsia"/>
          <w:lang w:eastAsia="zh-CN"/>
        </w:rPr>
        <w:t>与</w:t>
      </w:r>
      <w:r w:rsidR="00E447FD" w:rsidRPr="0021380D">
        <w:rPr>
          <w:rFonts w:asciiTheme="minorHAnsi" w:hAnsiTheme="minorHAnsi"/>
          <w:lang w:eastAsia="zh-CN"/>
        </w:rPr>
        <w:t>2022-2023</w:t>
      </w:r>
      <w:r w:rsidR="00E447FD">
        <w:rPr>
          <w:rFonts w:hint="eastAsia"/>
          <w:lang w:eastAsia="zh-CN"/>
        </w:rPr>
        <w:t>年不同，</w:t>
      </w:r>
      <w:r w:rsidR="00E447FD" w:rsidRPr="0021380D">
        <w:rPr>
          <w:rFonts w:asciiTheme="minorHAnsi" w:hAnsiTheme="minorHAnsi"/>
          <w:lang w:eastAsia="zh-CN"/>
        </w:rPr>
        <w:t>2024-2025</w:t>
      </w:r>
      <w:r w:rsidR="00E447FD">
        <w:rPr>
          <w:rFonts w:hint="eastAsia"/>
          <w:lang w:eastAsia="zh-CN"/>
        </w:rPr>
        <w:t>年不举办世界无线电通信大会；</w:t>
      </w:r>
    </w:p>
    <w:p w14:paraId="002F4512" w14:textId="4C215A37" w:rsidR="00452D10" w:rsidRDefault="005B03E3" w:rsidP="005B03E3">
      <w:pPr>
        <w:pStyle w:val="enumlev1"/>
        <w:rPr>
          <w:rFonts w:asciiTheme="minorHAnsi" w:hAnsiTheme="minorHAnsi"/>
          <w:lang w:eastAsia="zh-CN"/>
        </w:rPr>
      </w:pPr>
      <w:r w:rsidRPr="005B03E3">
        <w:rPr>
          <w:rFonts w:ascii="SimSun" w:hAnsi="SimSun" w:cs="SimSun"/>
          <w:lang w:eastAsia="zh-CN"/>
        </w:rPr>
        <w:t>•</w:t>
      </w:r>
      <w:r>
        <w:rPr>
          <w:rFonts w:ascii="SimSun" w:hAnsi="SimSun" w:cs="SimSun"/>
          <w:lang w:eastAsia="zh-CN"/>
        </w:rPr>
        <w:tab/>
      </w:r>
      <w:r w:rsidR="00E447FD">
        <w:rPr>
          <w:rFonts w:hint="eastAsia"/>
          <w:lang w:eastAsia="zh-CN"/>
        </w:rPr>
        <w:t>更新现有无线电通信局软件应用程序；</w:t>
      </w:r>
    </w:p>
    <w:p w14:paraId="307986AD" w14:textId="6A3807AE" w:rsidR="00452D10" w:rsidRPr="0021380D" w:rsidRDefault="005B03E3" w:rsidP="005B03E3">
      <w:pPr>
        <w:pStyle w:val="enumlev1"/>
        <w:rPr>
          <w:rFonts w:asciiTheme="minorHAnsi" w:hAnsiTheme="minorHAnsi"/>
          <w:lang w:eastAsia="zh-CN"/>
        </w:rPr>
      </w:pPr>
      <w:r w:rsidRPr="005B03E3">
        <w:rPr>
          <w:rFonts w:ascii="SimSun" w:hAnsi="SimSun" w:cs="SimSun"/>
          <w:lang w:eastAsia="zh-CN"/>
        </w:rPr>
        <w:t>•</w:t>
      </w:r>
      <w:r>
        <w:rPr>
          <w:rFonts w:ascii="SimSun" w:hAnsi="SimSun" w:cs="SimSun"/>
          <w:lang w:eastAsia="zh-CN"/>
        </w:rPr>
        <w:tab/>
      </w:r>
      <w:r w:rsidR="00F44F03">
        <w:rPr>
          <w:rFonts w:cs="Calibri" w:hint="eastAsia"/>
          <w:lang w:eastAsia="zh-CN"/>
        </w:rPr>
        <w:t>废止</w:t>
      </w:r>
      <w:r w:rsidR="00F44F03">
        <w:rPr>
          <w:rFonts w:cs="Calibri" w:hint="eastAsia"/>
          <w:lang w:eastAsia="zh-CN"/>
        </w:rPr>
        <w:t>5%</w:t>
      </w:r>
      <w:r w:rsidR="00F44F03">
        <w:rPr>
          <w:rFonts w:cs="Calibri" w:hint="eastAsia"/>
          <w:lang w:eastAsia="zh-CN"/>
        </w:rPr>
        <w:t>的职位空缺比例</w:t>
      </w:r>
      <w:r w:rsidR="00E447FD">
        <w:rPr>
          <w:rFonts w:cs="Calibri" w:hint="eastAsia"/>
          <w:lang w:eastAsia="zh-CN"/>
        </w:rPr>
        <w:t>。</w:t>
      </w:r>
    </w:p>
    <w:p w14:paraId="41306B19" w14:textId="5D6F75FB" w:rsidR="00452D10" w:rsidRPr="00F708D3" w:rsidRDefault="00F708D3" w:rsidP="00452D10">
      <w:pPr>
        <w:snapToGrid w:val="0"/>
        <w:contextualSpacing/>
        <w:rPr>
          <w:rFonts w:ascii="STKaiti" w:eastAsia="STKaiti" w:hAnsi="STKaiti"/>
          <w:color w:val="002060"/>
          <w:u w:val="single"/>
          <w:lang w:eastAsia="zh-CN"/>
        </w:rPr>
      </w:pPr>
      <w:r w:rsidRPr="00F708D3">
        <w:rPr>
          <w:rFonts w:ascii="STKaiti" w:eastAsia="STKaiti" w:hAnsi="STKaiti" w:hint="eastAsia"/>
          <w:color w:val="002060"/>
          <w:u w:val="single"/>
          <w:lang w:eastAsia="zh-CN"/>
        </w:rPr>
        <w:t>电信标准化部门</w:t>
      </w:r>
    </w:p>
    <w:p w14:paraId="7989748C" w14:textId="4742B07A" w:rsidR="00452D10" w:rsidRDefault="005B03E3" w:rsidP="005B03E3">
      <w:pPr>
        <w:pStyle w:val="enumlev1"/>
        <w:rPr>
          <w:rFonts w:asciiTheme="minorHAnsi" w:hAnsiTheme="minorHAnsi"/>
          <w:lang w:eastAsia="zh-CN"/>
        </w:rPr>
      </w:pPr>
      <w:r w:rsidRPr="005B03E3">
        <w:rPr>
          <w:rFonts w:ascii="SimSun" w:hAnsi="SimSun" w:cs="SimSun"/>
          <w:lang w:eastAsia="zh-CN"/>
        </w:rPr>
        <w:t>•</w:t>
      </w:r>
      <w:r>
        <w:rPr>
          <w:rFonts w:ascii="SimSun" w:hAnsi="SimSun" w:cs="SimSun"/>
          <w:lang w:eastAsia="zh-CN"/>
        </w:rPr>
        <w:tab/>
      </w:r>
      <w:r w:rsidR="00E447FD">
        <w:rPr>
          <w:rFonts w:hint="eastAsia"/>
          <w:lang w:eastAsia="zh-CN"/>
        </w:rPr>
        <w:t>人工智能；</w:t>
      </w:r>
    </w:p>
    <w:p w14:paraId="2949103A" w14:textId="7AED0D44" w:rsidR="00452D10" w:rsidRPr="0021380D" w:rsidRDefault="005B03E3" w:rsidP="005B03E3">
      <w:pPr>
        <w:pStyle w:val="enumlev1"/>
        <w:rPr>
          <w:rFonts w:asciiTheme="minorHAnsi" w:hAnsiTheme="minorHAnsi"/>
          <w:lang w:eastAsia="zh-CN"/>
        </w:rPr>
      </w:pPr>
      <w:r w:rsidRPr="005B03E3">
        <w:rPr>
          <w:rFonts w:ascii="SimSun" w:hAnsi="SimSun" w:cs="SimSun"/>
          <w:lang w:eastAsia="zh-CN"/>
        </w:rPr>
        <w:t>•</w:t>
      </w:r>
      <w:r>
        <w:rPr>
          <w:rFonts w:ascii="SimSun" w:hAnsi="SimSun" w:cs="SimSun"/>
          <w:lang w:eastAsia="zh-CN"/>
        </w:rPr>
        <w:tab/>
      </w:r>
      <w:r w:rsidR="00F44F03">
        <w:rPr>
          <w:rFonts w:cs="Calibri" w:hint="eastAsia"/>
          <w:lang w:eastAsia="zh-CN"/>
        </w:rPr>
        <w:t>废止</w:t>
      </w:r>
      <w:r w:rsidR="00F44F03">
        <w:rPr>
          <w:rFonts w:cs="Calibri" w:hint="eastAsia"/>
          <w:lang w:eastAsia="zh-CN"/>
        </w:rPr>
        <w:t>5%</w:t>
      </w:r>
      <w:r w:rsidR="00F44F03">
        <w:rPr>
          <w:rFonts w:cs="Calibri" w:hint="eastAsia"/>
          <w:lang w:eastAsia="zh-CN"/>
        </w:rPr>
        <w:t>的职位空缺比例</w:t>
      </w:r>
      <w:r w:rsidR="00E447FD">
        <w:rPr>
          <w:rFonts w:cs="Calibri" w:hint="eastAsia"/>
          <w:lang w:eastAsia="zh-CN"/>
        </w:rPr>
        <w:t>。</w:t>
      </w:r>
    </w:p>
    <w:p w14:paraId="7300542A" w14:textId="6015CEF2" w:rsidR="00452D10" w:rsidRPr="00F708D3" w:rsidRDefault="00F708D3" w:rsidP="00452D10">
      <w:pPr>
        <w:snapToGrid w:val="0"/>
        <w:contextualSpacing/>
        <w:rPr>
          <w:rFonts w:ascii="STKaiti" w:eastAsia="STKaiti" w:hAnsi="STKaiti"/>
          <w:color w:val="002060"/>
          <w:u w:val="single"/>
          <w:lang w:eastAsia="zh-CN"/>
        </w:rPr>
      </w:pPr>
      <w:r w:rsidRPr="00F708D3">
        <w:rPr>
          <w:rFonts w:ascii="STKaiti" w:eastAsia="STKaiti" w:hAnsi="STKaiti" w:hint="eastAsia"/>
          <w:color w:val="002060"/>
          <w:u w:val="single"/>
          <w:lang w:eastAsia="zh-CN"/>
        </w:rPr>
        <w:t>电信发展部门</w:t>
      </w:r>
    </w:p>
    <w:p w14:paraId="6EA9B9F4" w14:textId="33360D7C" w:rsidR="00452D10" w:rsidRDefault="005B03E3" w:rsidP="005B03E3">
      <w:pPr>
        <w:pStyle w:val="enumlev1"/>
        <w:rPr>
          <w:rFonts w:asciiTheme="minorHAnsi" w:hAnsiTheme="minorHAnsi"/>
          <w:lang w:eastAsia="zh-CN"/>
        </w:rPr>
      </w:pPr>
      <w:r w:rsidRPr="005B03E3">
        <w:rPr>
          <w:rFonts w:ascii="SimSun" w:hAnsi="SimSun" w:cs="SimSun"/>
          <w:lang w:eastAsia="zh-CN"/>
        </w:rPr>
        <w:t>•</w:t>
      </w:r>
      <w:r>
        <w:rPr>
          <w:rFonts w:ascii="SimSun" w:hAnsi="SimSun" w:cs="SimSun"/>
          <w:lang w:eastAsia="zh-CN"/>
        </w:rPr>
        <w:tab/>
      </w:r>
      <w:r w:rsidR="00E447FD">
        <w:rPr>
          <w:rFonts w:hint="eastAsia"/>
          <w:lang w:eastAsia="zh-CN"/>
        </w:rPr>
        <w:t>新成立印度地区办事处（印度出资）；</w:t>
      </w:r>
    </w:p>
    <w:p w14:paraId="004FB8A9" w14:textId="5ACC193B" w:rsidR="00452D10" w:rsidRPr="0021380D" w:rsidRDefault="005B03E3" w:rsidP="005B03E3">
      <w:pPr>
        <w:pStyle w:val="enumlev1"/>
        <w:rPr>
          <w:rFonts w:asciiTheme="minorHAnsi" w:hAnsiTheme="minorHAnsi"/>
          <w:lang w:eastAsia="zh-CN"/>
        </w:rPr>
      </w:pPr>
      <w:r w:rsidRPr="005B03E3">
        <w:rPr>
          <w:rFonts w:ascii="SimSun" w:hAnsi="SimSun" w:cs="SimSun"/>
          <w:lang w:eastAsia="zh-CN"/>
        </w:rPr>
        <w:t>•</w:t>
      </w:r>
      <w:r>
        <w:rPr>
          <w:rFonts w:ascii="SimSun" w:hAnsi="SimSun" w:cs="SimSun"/>
          <w:lang w:eastAsia="zh-CN"/>
        </w:rPr>
        <w:tab/>
      </w:r>
      <w:r w:rsidR="00F44F03">
        <w:rPr>
          <w:rFonts w:cs="Calibri" w:hint="eastAsia"/>
          <w:lang w:eastAsia="zh-CN"/>
        </w:rPr>
        <w:t>废止</w:t>
      </w:r>
      <w:r w:rsidR="00F44F03">
        <w:rPr>
          <w:rFonts w:cs="Calibri" w:hint="eastAsia"/>
          <w:lang w:eastAsia="zh-CN"/>
        </w:rPr>
        <w:t>5%</w:t>
      </w:r>
      <w:r w:rsidR="00F44F03">
        <w:rPr>
          <w:rFonts w:cs="Calibri" w:hint="eastAsia"/>
          <w:lang w:eastAsia="zh-CN"/>
        </w:rPr>
        <w:t>的职位空缺比例</w:t>
      </w:r>
      <w:r w:rsidR="00E447FD">
        <w:rPr>
          <w:rFonts w:cs="Calibri" w:hint="eastAsia"/>
          <w:lang w:eastAsia="zh-CN"/>
        </w:rPr>
        <w:t>。</w:t>
      </w:r>
    </w:p>
    <w:p w14:paraId="0D6BD7FB" w14:textId="77777777" w:rsidR="00452D10" w:rsidRDefault="00452D10" w:rsidP="00452D10">
      <w:pPr>
        <w:snapToGrid w:val="0"/>
        <w:spacing w:before="0"/>
        <w:rPr>
          <w:rFonts w:asciiTheme="minorHAnsi" w:hAnsiTheme="minorHAnsi"/>
          <w:lang w:eastAsia="zh-CN"/>
        </w:rPr>
      </w:pPr>
    </w:p>
    <w:p w14:paraId="7D496E94" w14:textId="77777777" w:rsidR="00452D10" w:rsidRDefault="00452D10" w:rsidP="00452D10">
      <w:pPr>
        <w:overflowPunct/>
        <w:autoSpaceDE/>
        <w:autoSpaceDN/>
        <w:adjustRightInd/>
        <w:spacing w:before="0"/>
        <w:textAlignment w:val="auto"/>
        <w:rPr>
          <w:rFonts w:asciiTheme="minorHAnsi" w:hAnsiTheme="minorHAnsi"/>
          <w:lang w:eastAsia="zh-CN"/>
        </w:rPr>
      </w:pPr>
      <w:r>
        <w:rPr>
          <w:rFonts w:asciiTheme="minorHAnsi" w:hAnsiTheme="minorHAnsi"/>
          <w:lang w:eastAsia="zh-CN"/>
        </w:rPr>
        <w:br w:type="page"/>
      </w:r>
    </w:p>
    <w:p w14:paraId="05242D65" w14:textId="0F9DD5BF" w:rsidR="00452D10" w:rsidRDefault="00452D10" w:rsidP="00452D10">
      <w:pPr>
        <w:snapToGrid w:val="0"/>
        <w:rPr>
          <w:rFonts w:asciiTheme="minorHAnsi" w:hAnsiTheme="minorHAnsi"/>
          <w:lang w:eastAsia="zh-CN"/>
        </w:rPr>
      </w:pPr>
      <w:r>
        <w:rPr>
          <w:rFonts w:asciiTheme="minorHAnsi" w:hAnsiTheme="minorHAnsi"/>
          <w:lang w:eastAsia="zh-CN"/>
        </w:rPr>
        <w:lastRenderedPageBreak/>
        <w:t>3.5</w:t>
      </w:r>
      <w:r>
        <w:rPr>
          <w:rFonts w:asciiTheme="minorHAnsi" w:hAnsiTheme="minorHAnsi"/>
          <w:lang w:eastAsia="zh-CN"/>
        </w:rPr>
        <w:tab/>
      </w:r>
      <w:r w:rsidR="007E3090">
        <w:rPr>
          <w:rFonts w:asciiTheme="minorHAnsi" w:hAnsiTheme="minorHAnsi" w:hint="eastAsia"/>
          <w:lang w:eastAsia="zh-CN"/>
        </w:rPr>
        <w:t>图</w:t>
      </w:r>
      <w:r w:rsidR="007E3090">
        <w:rPr>
          <w:rFonts w:asciiTheme="minorHAnsi" w:hAnsiTheme="minorHAnsi" w:hint="eastAsia"/>
          <w:lang w:eastAsia="zh-CN"/>
        </w:rPr>
        <w:t>5</w:t>
      </w:r>
      <w:r w:rsidR="007E3090">
        <w:rPr>
          <w:rFonts w:asciiTheme="minorHAnsi" w:hAnsiTheme="minorHAnsi" w:hint="eastAsia"/>
          <w:lang w:eastAsia="zh-CN"/>
        </w:rPr>
        <w:t>按部门分列</w:t>
      </w:r>
      <w:r w:rsidR="007E3090">
        <w:rPr>
          <w:rFonts w:hint="eastAsia"/>
          <w:lang w:eastAsia="zh-CN"/>
        </w:rPr>
        <w:t>国际电联</w:t>
      </w:r>
      <w:r w:rsidR="007E3090" w:rsidRPr="00F41711">
        <w:rPr>
          <w:rFonts w:hint="eastAsia"/>
          <w:lang w:eastAsia="zh-CN"/>
        </w:rPr>
        <w:t>2024-2025</w:t>
      </w:r>
      <w:r w:rsidR="007E3090" w:rsidRPr="003F5B06">
        <w:rPr>
          <w:rFonts w:cs="Calibri" w:hint="eastAsia"/>
          <w:szCs w:val="24"/>
          <w:lang w:eastAsia="zh-CN"/>
        </w:rPr>
        <w:t>双年度</w:t>
      </w:r>
      <w:r w:rsidR="007E3090" w:rsidRPr="003F5B06">
        <w:rPr>
          <w:rFonts w:cs="Calibri"/>
          <w:szCs w:val="24"/>
          <w:lang w:eastAsia="zh-CN"/>
        </w:rPr>
        <w:t>预算草案</w:t>
      </w:r>
      <w:r w:rsidR="007E3090">
        <w:rPr>
          <w:rFonts w:cs="Calibri" w:hint="eastAsia"/>
          <w:szCs w:val="24"/>
          <w:lang w:eastAsia="zh-CN"/>
        </w:rPr>
        <w:t>。</w:t>
      </w:r>
    </w:p>
    <w:p w14:paraId="57EE2A85" w14:textId="6CC4C334" w:rsidR="00452D10" w:rsidRDefault="00D11704" w:rsidP="00452D10">
      <w:pPr>
        <w:snapToGrid w:val="0"/>
        <w:jc w:val="center"/>
        <w:rPr>
          <w:rFonts w:asciiTheme="minorHAnsi" w:hAnsiTheme="minorHAnsi"/>
          <w:b/>
          <w:bCs/>
        </w:rPr>
      </w:pPr>
      <w:r>
        <w:rPr>
          <w:rFonts w:asciiTheme="minorHAnsi" w:hAnsiTheme="minorHAnsi" w:hint="eastAsia"/>
          <w:b/>
          <w:bCs/>
          <w:lang w:eastAsia="zh-CN"/>
        </w:rPr>
        <w:t>图</w:t>
      </w:r>
      <w:r w:rsidR="00452D10">
        <w:rPr>
          <w:rFonts w:asciiTheme="minorHAnsi" w:hAnsiTheme="minorHAnsi"/>
          <w:b/>
          <w:bCs/>
        </w:rPr>
        <w:t>5.</w:t>
      </w:r>
    </w:p>
    <w:p w14:paraId="78066803" w14:textId="28D129E9" w:rsidR="001E0DF5" w:rsidRPr="005F3FA0" w:rsidRDefault="001E0DF5" w:rsidP="00452D10">
      <w:pPr>
        <w:snapToGrid w:val="0"/>
        <w:jc w:val="center"/>
        <w:rPr>
          <w:rFonts w:asciiTheme="minorHAnsi" w:hAnsiTheme="minorHAnsi"/>
          <w:b/>
          <w:bCs/>
        </w:rPr>
      </w:pPr>
      <w:r>
        <w:rPr>
          <w:rFonts w:asciiTheme="minorHAnsi" w:hAnsiTheme="minorHAnsi" w:cstheme="minorHAnsi"/>
          <w:b/>
          <w:bCs/>
          <w:noProof/>
        </w:rPr>
        <w:drawing>
          <wp:inline distT="0" distB="0" distL="0" distR="0" wp14:anchorId="7B419BFE" wp14:editId="1F0A6300">
            <wp:extent cx="5704432" cy="2651731"/>
            <wp:effectExtent l="0" t="0" r="0" b="0"/>
            <wp:docPr id="1" name="Picture 1" descr="A picture containing screenshot, circle, tex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circle, text,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2852" cy="2655645"/>
                    </a:xfrm>
                    <a:prstGeom prst="rect">
                      <a:avLst/>
                    </a:prstGeom>
                    <a:noFill/>
                  </pic:spPr>
                </pic:pic>
              </a:graphicData>
            </a:graphic>
          </wp:inline>
        </w:drawing>
      </w:r>
    </w:p>
    <w:p w14:paraId="0BB1AF6B" w14:textId="4102D8A5" w:rsidR="00452D10" w:rsidRDefault="00452D10" w:rsidP="00452D10">
      <w:pPr>
        <w:snapToGrid w:val="0"/>
        <w:jc w:val="center"/>
        <w:rPr>
          <w:rFonts w:asciiTheme="minorHAnsi" w:hAnsiTheme="minorHAnsi"/>
        </w:rPr>
      </w:pPr>
    </w:p>
    <w:p w14:paraId="3AA352DE" w14:textId="4937E05D" w:rsidR="00452D10" w:rsidRPr="00742D22" w:rsidRDefault="00452D10" w:rsidP="00AD4931">
      <w:pPr>
        <w:pStyle w:val="ListParagraph"/>
        <w:tabs>
          <w:tab w:val="clear" w:pos="567"/>
          <w:tab w:val="clear" w:pos="1134"/>
          <w:tab w:val="clear" w:pos="1701"/>
          <w:tab w:val="clear" w:pos="2268"/>
          <w:tab w:val="clear" w:pos="2835"/>
          <w:tab w:val="left" w:pos="709"/>
        </w:tabs>
        <w:overflowPunct/>
        <w:autoSpaceDE/>
        <w:autoSpaceDN/>
        <w:adjustRightInd/>
        <w:snapToGrid w:val="0"/>
        <w:spacing w:before="240" w:after="120"/>
        <w:ind w:left="0"/>
        <w:contextualSpacing w:val="0"/>
        <w:textAlignment w:val="auto"/>
        <w:rPr>
          <w:rFonts w:asciiTheme="minorHAnsi" w:hAnsiTheme="minorHAnsi"/>
          <w:b/>
          <w:bCs/>
          <w:lang w:eastAsia="zh-CN"/>
        </w:rPr>
      </w:pPr>
      <w:r w:rsidRPr="00742D22">
        <w:rPr>
          <w:rFonts w:asciiTheme="minorHAnsi" w:hAnsiTheme="minorHAnsi"/>
          <w:b/>
          <w:bCs/>
          <w:lang w:eastAsia="zh-CN"/>
        </w:rPr>
        <w:t>4</w:t>
      </w:r>
      <w:r w:rsidRPr="00742D22">
        <w:rPr>
          <w:rFonts w:asciiTheme="minorHAnsi" w:hAnsiTheme="minorHAnsi"/>
          <w:b/>
          <w:bCs/>
          <w:lang w:eastAsia="zh-CN"/>
        </w:rPr>
        <w:tab/>
      </w:r>
      <w:r w:rsidR="007E3090" w:rsidRPr="00AD4931">
        <w:rPr>
          <w:rFonts w:asciiTheme="minorHAnsi" w:eastAsia="SimSun" w:hAnsiTheme="minorHAnsi" w:cstheme="minorHAnsi" w:hint="eastAsia"/>
          <w:b/>
          <w:bCs/>
          <w:lang w:eastAsia="zh-CN"/>
        </w:rPr>
        <w:t>基础和指标</w:t>
      </w:r>
    </w:p>
    <w:p w14:paraId="26AEF4ED" w14:textId="2D4BCC7E" w:rsidR="00452D10" w:rsidRDefault="00452D10" w:rsidP="00452D10">
      <w:pPr>
        <w:snapToGrid w:val="0"/>
        <w:rPr>
          <w:rFonts w:asciiTheme="minorHAnsi" w:hAnsiTheme="minorHAnsi"/>
          <w:lang w:eastAsia="zh-CN"/>
        </w:rPr>
      </w:pPr>
      <w:r>
        <w:rPr>
          <w:rFonts w:asciiTheme="minorHAnsi" w:hAnsiTheme="minorHAnsi"/>
          <w:lang w:eastAsia="zh-CN"/>
        </w:rPr>
        <w:t>4.1</w:t>
      </w:r>
      <w:r>
        <w:rPr>
          <w:rFonts w:asciiTheme="minorHAnsi" w:hAnsiTheme="minorHAnsi"/>
          <w:lang w:eastAsia="zh-CN"/>
        </w:rPr>
        <w:tab/>
      </w:r>
      <w:r w:rsidR="007E3090">
        <w:rPr>
          <w:rFonts w:hint="eastAsia"/>
          <w:lang w:eastAsia="zh-CN"/>
        </w:rPr>
        <w:t>国际电联</w:t>
      </w:r>
      <w:r w:rsidR="007E3090" w:rsidRPr="00F41711">
        <w:rPr>
          <w:rFonts w:hint="eastAsia"/>
          <w:lang w:eastAsia="zh-CN"/>
        </w:rPr>
        <w:t>2024-2025</w:t>
      </w:r>
      <w:r w:rsidR="007E3090" w:rsidRPr="003F5B06">
        <w:rPr>
          <w:rFonts w:cs="Calibri" w:hint="eastAsia"/>
          <w:szCs w:val="24"/>
          <w:lang w:eastAsia="zh-CN"/>
        </w:rPr>
        <w:t>双年度</w:t>
      </w:r>
      <w:r w:rsidR="007E3090" w:rsidRPr="003F5B06">
        <w:rPr>
          <w:rFonts w:cs="Calibri"/>
          <w:szCs w:val="24"/>
          <w:lang w:eastAsia="zh-CN"/>
        </w:rPr>
        <w:t>预算草案</w:t>
      </w:r>
      <w:r w:rsidR="007E3090">
        <w:rPr>
          <w:rFonts w:cs="Calibri" w:hint="eastAsia"/>
          <w:szCs w:val="24"/>
          <w:lang w:eastAsia="zh-CN"/>
        </w:rPr>
        <w:t>是</w:t>
      </w:r>
      <w:r w:rsidR="007E3090" w:rsidRPr="007E3090">
        <w:rPr>
          <w:rFonts w:asciiTheme="minorHAnsi" w:hAnsiTheme="minorHAnsi" w:hint="eastAsia"/>
          <w:lang w:eastAsia="zh-CN"/>
        </w:rPr>
        <w:t>基于：</w:t>
      </w:r>
    </w:p>
    <w:p w14:paraId="20F6FF9E" w14:textId="658278FB" w:rsidR="00452D10" w:rsidRPr="007E3090" w:rsidRDefault="00DA7CBE" w:rsidP="00DA7CBE">
      <w:pPr>
        <w:pStyle w:val="enumlev1"/>
        <w:rPr>
          <w:lang w:eastAsia="zh-CN"/>
        </w:rPr>
      </w:pPr>
      <w:r>
        <w:rPr>
          <w:lang w:eastAsia="zh-CN"/>
        </w:rPr>
        <w:t>–</w:t>
      </w:r>
      <w:r>
        <w:rPr>
          <w:lang w:eastAsia="zh-CN"/>
        </w:rPr>
        <w:tab/>
      </w:r>
      <w:r w:rsidR="007E3090" w:rsidRPr="007E3090">
        <w:rPr>
          <w:lang w:eastAsia="zh-CN"/>
        </w:rPr>
        <w:t>1</w:t>
      </w:r>
      <w:r w:rsidR="007E3090" w:rsidRPr="007E3090">
        <w:rPr>
          <w:rFonts w:hint="eastAsia"/>
          <w:lang w:eastAsia="zh-CN"/>
        </w:rPr>
        <w:t>美元</w:t>
      </w:r>
      <w:r w:rsidR="007E3090" w:rsidRPr="007E3090">
        <w:rPr>
          <w:rFonts w:hint="eastAsia"/>
          <w:lang w:eastAsia="zh-CN"/>
        </w:rPr>
        <w:t xml:space="preserve"> =</w:t>
      </w:r>
      <w:r w:rsidR="007E3090" w:rsidRPr="007E3090">
        <w:rPr>
          <w:lang w:eastAsia="zh-CN"/>
        </w:rPr>
        <w:t xml:space="preserve"> 0.929</w:t>
      </w:r>
      <w:r w:rsidR="007E3090" w:rsidRPr="007E3090">
        <w:rPr>
          <w:rFonts w:hint="eastAsia"/>
          <w:lang w:eastAsia="zh-CN"/>
        </w:rPr>
        <w:t>瑞郎的兑换率，即</w:t>
      </w:r>
      <w:r w:rsidR="007E3090" w:rsidRPr="007E3090">
        <w:rPr>
          <w:rFonts w:hint="eastAsia"/>
          <w:lang w:eastAsia="zh-CN"/>
        </w:rPr>
        <w:t>20</w:t>
      </w:r>
      <w:r w:rsidR="007E3090" w:rsidRPr="007E3090">
        <w:rPr>
          <w:lang w:eastAsia="zh-CN"/>
        </w:rPr>
        <w:t>23</w:t>
      </w:r>
      <w:r w:rsidR="007E3090" w:rsidRPr="007E3090">
        <w:rPr>
          <w:rFonts w:hint="eastAsia"/>
          <w:lang w:eastAsia="zh-CN"/>
        </w:rPr>
        <w:t>年</w:t>
      </w:r>
      <w:r w:rsidR="007E3090" w:rsidRPr="007E3090">
        <w:rPr>
          <w:rFonts w:hint="eastAsia"/>
          <w:lang w:eastAsia="zh-CN"/>
        </w:rPr>
        <w:t>1</w:t>
      </w:r>
      <w:r w:rsidR="007E3090" w:rsidRPr="007E3090">
        <w:rPr>
          <w:rFonts w:hint="eastAsia"/>
          <w:lang w:eastAsia="zh-CN"/>
        </w:rPr>
        <w:t>月执行的兑换率；</w:t>
      </w:r>
    </w:p>
    <w:p w14:paraId="3EB909DE" w14:textId="365D2B4A" w:rsidR="00452D10" w:rsidRDefault="00DA7CBE" w:rsidP="00DA7CBE">
      <w:pPr>
        <w:pStyle w:val="enumlev1"/>
        <w:rPr>
          <w:rFonts w:asciiTheme="minorHAnsi" w:hAnsiTheme="minorHAnsi"/>
          <w:lang w:eastAsia="zh-CN"/>
        </w:rPr>
      </w:pPr>
      <w:r>
        <w:rPr>
          <w:lang w:eastAsia="zh-CN"/>
        </w:rPr>
        <w:t>–</w:t>
      </w:r>
      <w:r>
        <w:rPr>
          <w:lang w:eastAsia="zh-CN"/>
        </w:rPr>
        <w:tab/>
      </w:r>
      <w:r w:rsidR="007E3090" w:rsidRPr="007E3090">
        <w:rPr>
          <w:lang w:eastAsia="zh-CN"/>
        </w:rPr>
        <w:t>2023</w:t>
      </w:r>
      <w:r w:rsidR="007E3090" w:rsidRPr="007E3090">
        <w:rPr>
          <w:rFonts w:hint="eastAsia"/>
          <w:lang w:eastAsia="zh-CN"/>
        </w:rPr>
        <w:t>年</w:t>
      </w:r>
      <w:r w:rsidR="007E3090" w:rsidRPr="007E3090">
        <w:rPr>
          <w:rFonts w:hint="eastAsia"/>
          <w:lang w:eastAsia="zh-CN"/>
        </w:rPr>
        <w:t>1</w:t>
      </w:r>
      <w:r w:rsidR="007E3090" w:rsidRPr="007E3090">
        <w:rPr>
          <w:rFonts w:hint="eastAsia"/>
          <w:lang w:eastAsia="zh-CN"/>
        </w:rPr>
        <w:t>月</w:t>
      </w:r>
      <w:r w:rsidR="007E3090" w:rsidRPr="007E3090">
        <w:rPr>
          <w:rFonts w:hint="eastAsia"/>
          <w:lang w:eastAsia="zh-CN"/>
        </w:rPr>
        <w:t>1</w:t>
      </w:r>
      <w:r w:rsidR="007E3090" w:rsidRPr="007E3090">
        <w:rPr>
          <w:rFonts w:hint="eastAsia"/>
          <w:lang w:eastAsia="zh-CN"/>
        </w:rPr>
        <w:t>日联合国共同制度采用的服务条件。</w:t>
      </w:r>
    </w:p>
    <w:p w14:paraId="5BBC6FB3" w14:textId="04F127C6" w:rsidR="00452D10" w:rsidRDefault="00452D10" w:rsidP="00452D10">
      <w:pPr>
        <w:snapToGrid w:val="0"/>
        <w:spacing w:after="120"/>
        <w:rPr>
          <w:rFonts w:asciiTheme="minorHAnsi" w:hAnsiTheme="minorHAnsi"/>
          <w:lang w:eastAsia="zh-CN"/>
        </w:rPr>
      </w:pPr>
      <w:r>
        <w:rPr>
          <w:rFonts w:asciiTheme="minorHAnsi" w:hAnsiTheme="minorHAnsi"/>
          <w:lang w:eastAsia="zh-CN"/>
        </w:rPr>
        <w:t>4.2</w:t>
      </w:r>
      <w:r>
        <w:rPr>
          <w:rFonts w:asciiTheme="minorHAnsi" w:hAnsiTheme="minorHAnsi"/>
          <w:lang w:eastAsia="zh-CN"/>
        </w:rPr>
        <w:tab/>
      </w:r>
      <w:bookmarkStart w:id="11" w:name="lt_pId134"/>
      <w:r w:rsidR="00F44F03">
        <w:rPr>
          <w:rFonts w:hint="eastAsia"/>
          <w:lang w:eastAsia="zh-CN"/>
        </w:rPr>
        <w:t>国际电联</w:t>
      </w:r>
      <w:r w:rsidR="00F44F03" w:rsidRPr="00F41711">
        <w:rPr>
          <w:rFonts w:hint="eastAsia"/>
          <w:lang w:eastAsia="zh-CN"/>
        </w:rPr>
        <w:t>2024-2025</w:t>
      </w:r>
      <w:r w:rsidR="00F44F03" w:rsidRPr="003F5B06">
        <w:rPr>
          <w:rFonts w:cs="Calibri" w:hint="eastAsia"/>
          <w:szCs w:val="24"/>
          <w:lang w:eastAsia="zh-CN"/>
        </w:rPr>
        <w:t>双年度</w:t>
      </w:r>
      <w:r w:rsidR="00F44F03" w:rsidRPr="003F5B06">
        <w:rPr>
          <w:rFonts w:cs="Calibri"/>
          <w:szCs w:val="24"/>
          <w:lang w:eastAsia="zh-CN"/>
        </w:rPr>
        <w:t>预算草案</w:t>
      </w:r>
      <w:r w:rsidR="00F44F03">
        <w:rPr>
          <w:lang w:eastAsia="zh-CN"/>
        </w:rPr>
        <w:t>不包</w:t>
      </w:r>
      <w:r w:rsidR="00F44F03">
        <w:rPr>
          <w:rFonts w:hint="eastAsia"/>
          <w:lang w:eastAsia="zh-CN"/>
        </w:rPr>
        <w:t>含为</w:t>
      </w:r>
      <w:r w:rsidR="00F44F03">
        <w:rPr>
          <w:lang w:eastAsia="zh-CN"/>
        </w:rPr>
        <w:t>2023</w:t>
      </w:r>
      <w:r w:rsidR="00F44F03">
        <w:rPr>
          <w:rFonts w:hint="eastAsia"/>
          <w:lang w:eastAsia="zh-CN"/>
        </w:rPr>
        <w:t>年</w:t>
      </w:r>
      <w:r w:rsidR="00F44F03">
        <w:rPr>
          <w:lang w:eastAsia="zh-CN"/>
        </w:rPr>
        <w:t>1</w:t>
      </w:r>
      <w:r w:rsidR="00F44F03">
        <w:rPr>
          <w:rFonts w:hint="eastAsia"/>
          <w:lang w:eastAsia="zh-CN"/>
        </w:rPr>
        <w:t>月</w:t>
      </w:r>
      <w:r w:rsidR="00F44F03">
        <w:rPr>
          <w:lang w:eastAsia="zh-CN"/>
        </w:rPr>
        <w:t>1</w:t>
      </w:r>
      <w:r w:rsidR="00F44F03">
        <w:rPr>
          <w:rFonts w:hint="eastAsia"/>
          <w:lang w:eastAsia="zh-CN"/>
        </w:rPr>
        <w:t>日至</w:t>
      </w:r>
      <w:r w:rsidR="00F44F03" w:rsidRPr="002C06DF">
        <w:rPr>
          <w:lang w:eastAsia="zh-CN"/>
        </w:rPr>
        <w:t>20</w:t>
      </w:r>
      <w:r w:rsidR="00F44F03">
        <w:rPr>
          <w:lang w:eastAsia="zh-CN"/>
        </w:rPr>
        <w:t>25</w:t>
      </w:r>
      <w:r w:rsidR="00F44F03">
        <w:rPr>
          <w:lang w:eastAsia="zh-CN"/>
        </w:rPr>
        <w:t>年</w:t>
      </w:r>
      <w:r w:rsidR="00F44F03">
        <w:rPr>
          <w:lang w:eastAsia="zh-CN"/>
        </w:rPr>
        <w:t>1</w:t>
      </w:r>
      <w:r w:rsidR="00F44F03">
        <w:rPr>
          <w:rFonts w:hint="eastAsia"/>
          <w:lang w:eastAsia="zh-CN"/>
        </w:rPr>
        <w:t>2</w:t>
      </w:r>
      <w:r w:rsidR="00F44F03">
        <w:rPr>
          <w:lang w:eastAsia="zh-CN"/>
        </w:rPr>
        <w:t>月</w:t>
      </w:r>
      <w:r w:rsidR="00F44F03">
        <w:rPr>
          <w:rFonts w:hint="eastAsia"/>
          <w:lang w:eastAsia="zh-CN"/>
        </w:rPr>
        <w:t>3</w:t>
      </w:r>
      <w:r w:rsidR="00F44F03">
        <w:rPr>
          <w:lang w:eastAsia="zh-CN"/>
        </w:rPr>
        <w:t>1</w:t>
      </w:r>
      <w:r w:rsidR="00F44F03">
        <w:rPr>
          <w:lang w:eastAsia="zh-CN"/>
        </w:rPr>
        <w:t>日</w:t>
      </w:r>
      <w:r w:rsidR="00F44F03">
        <w:rPr>
          <w:rFonts w:hint="eastAsia"/>
          <w:lang w:eastAsia="zh-CN"/>
        </w:rPr>
        <w:t>这段时间</w:t>
      </w:r>
      <w:r w:rsidR="00F44F03">
        <w:rPr>
          <w:lang w:eastAsia="zh-CN"/>
        </w:rPr>
        <w:t>可能发生的</w:t>
      </w:r>
      <w:r w:rsidR="00F44F03">
        <w:rPr>
          <w:rFonts w:hint="eastAsia"/>
          <w:lang w:eastAsia="zh-CN"/>
        </w:rPr>
        <w:t>成本</w:t>
      </w:r>
      <w:r w:rsidR="004F2717">
        <w:rPr>
          <w:rFonts w:hint="eastAsia"/>
          <w:lang w:eastAsia="zh-CN"/>
        </w:rPr>
        <w:t>上升</w:t>
      </w:r>
      <w:r w:rsidR="00F44F03">
        <w:rPr>
          <w:rFonts w:hint="eastAsia"/>
          <w:lang w:eastAsia="zh-CN"/>
        </w:rPr>
        <w:t>提供的准备金</w:t>
      </w:r>
      <w:r w:rsidR="00F44F03">
        <w:rPr>
          <w:lang w:eastAsia="zh-CN"/>
        </w:rPr>
        <w:t>。</w:t>
      </w:r>
      <w:bookmarkEnd w:id="11"/>
    </w:p>
    <w:p w14:paraId="67160F00" w14:textId="3A1401B6" w:rsidR="00452D10" w:rsidRDefault="00452D10" w:rsidP="00452D10">
      <w:pPr>
        <w:snapToGrid w:val="0"/>
        <w:contextualSpacing/>
        <w:rPr>
          <w:rFonts w:asciiTheme="minorHAnsi" w:hAnsiTheme="minorHAnsi"/>
          <w:lang w:eastAsia="zh-CN"/>
        </w:rPr>
      </w:pPr>
      <w:r>
        <w:rPr>
          <w:rFonts w:asciiTheme="minorHAnsi" w:hAnsiTheme="minorHAnsi"/>
          <w:lang w:eastAsia="zh-CN"/>
        </w:rPr>
        <w:t>4.3</w:t>
      </w:r>
      <w:r>
        <w:rPr>
          <w:rFonts w:asciiTheme="minorHAnsi" w:hAnsiTheme="minorHAnsi"/>
          <w:lang w:eastAsia="zh-CN"/>
        </w:rPr>
        <w:tab/>
      </w:r>
      <w:bookmarkStart w:id="12" w:name="lt_pId136"/>
      <w:r w:rsidR="00F44F03">
        <w:rPr>
          <w:rFonts w:asciiTheme="minorHAnsi" w:hAnsiTheme="minorHAnsi" w:hint="eastAsia"/>
          <w:lang w:eastAsia="zh-CN"/>
        </w:rPr>
        <w:t>本文件附件所含</w:t>
      </w:r>
      <w:r w:rsidR="00F44F03" w:rsidRPr="00B47DC4">
        <w:rPr>
          <w:rFonts w:hint="eastAsia"/>
          <w:lang w:eastAsia="zh-CN"/>
        </w:rPr>
        <w:t>决议草案</w:t>
      </w:r>
      <w:r w:rsidR="00F44F03">
        <w:rPr>
          <w:rFonts w:hint="eastAsia"/>
          <w:lang w:eastAsia="zh-CN"/>
        </w:rPr>
        <w:t>中的</w:t>
      </w:r>
      <w:r w:rsidR="00F44F03" w:rsidRPr="00B47DC4">
        <w:rPr>
          <w:rFonts w:hint="eastAsia"/>
          <w:lang w:eastAsia="zh-CN"/>
        </w:rPr>
        <w:t>各表格</w:t>
      </w:r>
      <w:r w:rsidR="00F44F03">
        <w:rPr>
          <w:rFonts w:hint="eastAsia"/>
          <w:lang w:eastAsia="zh-CN"/>
        </w:rPr>
        <w:t>按营运</w:t>
      </w:r>
      <w:r w:rsidR="00F44F03" w:rsidRPr="00B47DC4">
        <w:rPr>
          <w:rFonts w:hint="eastAsia"/>
          <w:lang w:eastAsia="zh-CN"/>
        </w:rPr>
        <w:t>性支出或资本支出</w:t>
      </w:r>
      <w:r w:rsidR="00F44F03">
        <w:rPr>
          <w:rFonts w:hint="eastAsia"/>
          <w:lang w:eastAsia="zh-CN"/>
        </w:rPr>
        <w:t>进行支出分类</w:t>
      </w:r>
      <w:r w:rsidR="00F44F03" w:rsidRPr="00B47DC4">
        <w:rPr>
          <w:rFonts w:hint="eastAsia"/>
          <w:lang w:eastAsia="zh-CN"/>
        </w:rPr>
        <w:t>。资本支出涉及周期超过一年、且估算金额超过</w:t>
      </w:r>
      <w:r w:rsidR="00F44F03" w:rsidRPr="00B47DC4">
        <w:rPr>
          <w:lang w:eastAsia="zh-CN"/>
        </w:rPr>
        <w:t>5 000</w:t>
      </w:r>
      <w:r w:rsidR="00F44F03" w:rsidRPr="00B47DC4">
        <w:rPr>
          <w:rFonts w:hint="eastAsia"/>
          <w:lang w:eastAsia="zh-CN"/>
        </w:rPr>
        <w:t>瑞郎的项目。</w:t>
      </w:r>
      <w:r w:rsidR="00F44F03">
        <w:rPr>
          <w:rFonts w:hint="eastAsia"/>
          <w:lang w:eastAsia="zh-CN"/>
        </w:rPr>
        <w:t>国际电联</w:t>
      </w:r>
      <w:r w:rsidR="00F44F03" w:rsidRPr="00F41711">
        <w:rPr>
          <w:rFonts w:hint="eastAsia"/>
          <w:lang w:eastAsia="zh-CN"/>
        </w:rPr>
        <w:t>2024-2025</w:t>
      </w:r>
      <w:r w:rsidR="00F44F03" w:rsidRPr="003F5B06">
        <w:rPr>
          <w:rFonts w:cs="Calibri" w:hint="eastAsia"/>
          <w:szCs w:val="24"/>
          <w:lang w:eastAsia="zh-CN"/>
        </w:rPr>
        <w:t>双年度</w:t>
      </w:r>
      <w:r w:rsidR="00F44F03" w:rsidRPr="003F5B06">
        <w:rPr>
          <w:rFonts w:cs="Calibri"/>
          <w:szCs w:val="24"/>
          <w:lang w:eastAsia="zh-CN"/>
        </w:rPr>
        <w:t>预算草案</w:t>
      </w:r>
      <w:r w:rsidR="00F44F03" w:rsidRPr="00B47DC4">
        <w:rPr>
          <w:rFonts w:hint="eastAsia"/>
          <w:lang w:eastAsia="zh-CN"/>
        </w:rPr>
        <w:t>估算的总资本支出为</w:t>
      </w:r>
      <w:r w:rsidR="00F44F03">
        <w:rPr>
          <w:rFonts w:asciiTheme="minorHAnsi" w:hAnsiTheme="minorHAnsi"/>
          <w:lang w:eastAsia="zh-CN"/>
        </w:rPr>
        <w:t>796 000</w:t>
      </w:r>
      <w:r w:rsidR="00F44F03" w:rsidRPr="00B47DC4">
        <w:rPr>
          <w:rFonts w:hint="eastAsia"/>
          <w:lang w:eastAsia="zh-CN"/>
        </w:rPr>
        <w:t>瑞郎</w:t>
      </w:r>
      <w:r w:rsidR="00F44F03">
        <w:rPr>
          <w:rFonts w:hint="eastAsia"/>
          <w:lang w:eastAsia="zh-CN"/>
        </w:rPr>
        <w:t>（见本文附件表</w:t>
      </w:r>
      <w:r w:rsidR="00F44F03">
        <w:rPr>
          <w:rFonts w:hint="eastAsia"/>
          <w:lang w:eastAsia="zh-CN"/>
        </w:rPr>
        <w:t>1</w:t>
      </w:r>
      <w:r w:rsidR="00F44F03">
        <w:rPr>
          <w:lang w:eastAsia="zh-CN"/>
        </w:rPr>
        <w:t>2</w:t>
      </w:r>
      <w:r w:rsidR="00F44F03">
        <w:rPr>
          <w:rFonts w:hint="eastAsia"/>
          <w:lang w:eastAsia="zh-CN"/>
        </w:rPr>
        <w:t>）</w:t>
      </w:r>
      <w:r w:rsidR="00F44F03" w:rsidRPr="00B47DC4">
        <w:rPr>
          <w:rFonts w:hint="eastAsia"/>
          <w:lang w:eastAsia="zh-CN"/>
        </w:rPr>
        <w:t>。</w:t>
      </w:r>
      <w:bookmarkEnd w:id="12"/>
    </w:p>
    <w:p w14:paraId="544A5F32" w14:textId="06456C90" w:rsidR="00452D10" w:rsidRPr="00C05E4C" w:rsidRDefault="00452D10" w:rsidP="00AD4931">
      <w:pPr>
        <w:pStyle w:val="ListParagraph"/>
        <w:tabs>
          <w:tab w:val="clear" w:pos="567"/>
          <w:tab w:val="clear" w:pos="1134"/>
          <w:tab w:val="clear" w:pos="1701"/>
          <w:tab w:val="clear" w:pos="2268"/>
          <w:tab w:val="clear" w:pos="2835"/>
          <w:tab w:val="left" w:pos="709"/>
        </w:tabs>
        <w:overflowPunct/>
        <w:autoSpaceDE/>
        <w:autoSpaceDN/>
        <w:adjustRightInd/>
        <w:snapToGrid w:val="0"/>
        <w:spacing w:before="240" w:after="120"/>
        <w:ind w:left="0"/>
        <w:contextualSpacing w:val="0"/>
        <w:textAlignment w:val="auto"/>
        <w:rPr>
          <w:rFonts w:asciiTheme="minorHAnsi" w:hAnsiTheme="minorHAnsi"/>
          <w:b/>
          <w:bCs/>
          <w:lang w:eastAsia="zh-CN"/>
        </w:rPr>
      </w:pPr>
      <w:r w:rsidRPr="00C05E4C">
        <w:rPr>
          <w:rFonts w:asciiTheme="minorHAnsi" w:hAnsiTheme="minorHAnsi"/>
          <w:b/>
          <w:bCs/>
          <w:lang w:eastAsia="zh-CN"/>
        </w:rPr>
        <w:t>5</w:t>
      </w:r>
      <w:r w:rsidRPr="00C05E4C">
        <w:rPr>
          <w:rFonts w:asciiTheme="minorHAnsi" w:hAnsiTheme="minorHAnsi"/>
          <w:b/>
          <w:bCs/>
          <w:lang w:eastAsia="zh-CN"/>
        </w:rPr>
        <w:tab/>
      </w:r>
      <w:r w:rsidR="00F44F03" w:rsidRPr="00AD4931">
        <w:rPr>
          <w:rFonts w:asciiTheme="minorHAnsi" w:eastAsia="SimSun" w:hAnsiTheme="minorHAnsi" w:cstheme="minorHAnsi" w:hint="eastAsia"/>
          <w:b/>
          <w:bCs/>
          <w:lang w:eastAsia="zh-CN"/>
        </w:rPr>
        <w:t>与会补贴</w:t>
      </w:r>
    </w:p>
    <w:p w14:paraId="4432E618" w14:textId="25AE010F" w:rsidR="00452D10" w:rsidRDefault="00452D10" w:rsidP="00452D10">
      <w:pPr>
        <w:snapToGrid w:val="0"/>
        <w:rPr>
          <w:rFonts w:asciiTheme="minorHAnsi" w:hAnsiTheme="minorHAnsi"/>
          <w:lang w:eastAsia="zh-CN"/>
        </w:rPr>
      </w:pPr>
      <w:r>
        <w:rPr>
          <w:rFonts w:asciiTheme="minorHAnsi" w:hAnsiTheme="minorHAnsi"/>
          <w:lang w:eastAsia="zh-CN"/>
        </w:rPr>
        <w:t>5.1</w:t>
      </w:r>
      <w:r>
        <w:rPr>
          <w:rFonts w:asciiTheme="minorHAnsi" w:hAnsiTheme="minorHAnsi"/>
          <w:lang w:eastAsia="zh-CN"/>
        </w:rPr>
        <w:tab/>
      </w:r>
      <w:r w:rsidR="00F44F03">
        <w:rPr>
          <w:rFonts w:hint="eastAsia"/>
          <w:lang w:eastAsia="zh-CN"/>
        </w:rPr>
        <w:t>国际电联</w:t>
      </w:r>
      <w:r w:rsidR="00F44F03" w:rsidRPr="00F41711">
        <w:rPr>
          <w:rFonts w:hint="eastAsia"/>
          <w:lang w:eastAsia="zh-CN"/>
        </w:rPr>
        <w:t>2024-2025</w:t>
      </w:r>
      <w:r w:rsidR="00F44F03" w:rsidRPr="003F5B06">
        <w:rPr>
          <w:rFonts w:cs="Calibri" w:hint="eastAsia"/>
          <w:szCs w:val="24"/>
          <w:lang w:eastAsia="zh-CN"/>
        </w:rPr>
        <w:t>双年度</w:t>
      </w:r>
      <w:r w:rsidR="00F44F03" w:rsidRPr="003F5B06">
        <w:rPr>
          <w:rFonts w:cs="Calibri"/>
          <w:szCs w:val="24"/>
          <w:lang w:eastAsia="zh-CN"/>
        </w:rPr>
        <w:t>预算草案</w:t>
      </w:r>
      <w:r w:rsidR="00F44F03">
        <w:rPr>
          <w:rFonts w:cs="Calibri" w:hint="eastAsia"/>
          <w:szCs w:val="24"/>
          <w:lang w:eastAsia="zh-CN"/>
        </w:rPr>
        <w:t>和</w:t>
      </w:r>
      <w:r w:rsidR="00F44F03">
        <w:rPr>
          <w:rFonts w:asciiTheme="minorHAnsi" w:hAnsiTheme="minorHAnsi" w:hint="eastAsia"/>
          <w:lang w:eastAsia="zh-CN"/>
        </w:rPr>
        <w:t>与会补贴相关的计划支出达</w:t>
      </w:r>
      <w:r w:rsidR="00F44F03">
        <w:rPr>
          <w:rFonts w:asciiTheme="minorHAnsi" w:hAnsiTheme="minorHAnsi"/>
          <w:lang w:eastAsia="zh-CN"/>
        </w:rPr>
        <w:t>2 361 000</w:t>
      </w:r>
      <w:r w:rsidR="00F44F03">
        <w:rPr>
          <w:rFonts w:asciiTheme="minorHAnsi" w:hAnsiTheme="minorHAnsi" w:hint="eastAsia"/>
          <w:lang w:eastAsia="zh-CN"/>
        </w:rPr>
        <w:t>瑞郎，而</w:t>
      </w:r>
      <w:r w:rsidR="00F44F03">
        <w:rPr>
          <w:rFonts w:asciiTheme="minorHAnsi" w:hAnsiTheme="minorHAnsi"/>
          <w:lang w:eastAsia="zh-CN"/>
        </w:rPr>
        <w:t>2022</w:t>
      </w:r>
      <w:r w:rsidR="00F44F03">
        <w:rPr>
          <w:rFonts w:asciiTheme="minorHAnsi" w:hAnsiTheme="minorHAnsi"/>
          <w:lang w:eastAsia="zh-CN"/>
        </w:rPr>
        <w:noBreakHyphen/>
        <w:t>2023</w:t>
      </w:r>
      <w:r w:rsidR="00F44F03">
        <w:rPr>
          <w:rFonts w:asciiTheme="minorHAnsi" w:hAnsiTheme="minorHAnsi" w:hint="eastAsia"/>
          <w:lang w:eastAsia="zh-CN"/>
        </w:rPr>
        <w:t>年的预算为</w:t>
      </w:r>
      <w:r w:rsidR="00F44F03">
        <w:rPr>
          <w:rFonts w:asciiTheme="minorHAnsi" w:hAnsiTheme="minorHAnsi"/>
          <w:lang w:eastAsia="zh-CN"/>
        </w:rPr>
        <w:t>2 065 000</w:t>
      </w:r>
      <w:r w:rsidR="00F44F03">
        <w:rPr>
          <w:rFonts w:asciiTheme="minorHAnsi" w:hAnsiTheme="minorHAnsi" w:hint="eastAsia"/>
          <w:lang w:eastAsia="zh-CN"/>
        </w:rPr>
        <w:t>瑞郎，按部门分列的信息见表</w:t>
      </w:r>
      <w:r w:rsidR="00F44F03">
        <w:rPr>
          <w:rFonts w:asciiTheme="minorHAnsi" w:hAnsiTheme="minorHAnsi" w:hint="eastAsia"/>
          <w:lang w:eastAsia="zh-CN"/>
        </w:rPr>
        <w:t>4</w:t>
      </w:r>
      <w:r w:rsidR="00F44F03">
        <w:rPr>
          <w:rFonts w:asciiTheme="minorHAnsi" w:hAnsiTheme="minorHAnsi" w:hint="eastAsia"/>
          <w:lang w:eastAsia="zh-CN"/>
        </w:rPr>
        <w:t>。</w:t>
      </w:r>
    </w:p>
    <w:p w14:paraId="6FB1F3E4" w14:textId="77777777" w:rsidR="00452D10" w:rsidRDefault="00452D10" w:rsidP="00452D10">
      <w:pPr>
        <w:overflowPunct/>
        <w:autoSpaceDE/>
        <w:autoSpaceDN/>
        <w:adjustRightInd/>
        <w:spacing w:before="0"/>
        <w:textAlignment w:val="auto"/>
        <w:rPr>
          <w:rFonts w:asciiTheme="minorHAnsi" w:hAnsiTheme="minorHAnsi"/>
          <w:b/>
          <w:bCs/>
          <w:lang w:eastAsia="zh-CN"/>
        </w:rPr>
      </w:pPr>
      <w:r>
        <w:rPr>
          <w:rFonts w:asciiTheme="minorHAnsi" w:hAnsiTheme="minorHAnsi"/>
          <w:b/>
          <w:bCs/>
          <w:lang w:eastAsia="zh-CN"/>
        </w:rPr>
        <w:br w:type="page"/>
      </w:r>
    </w:p>
    <w:p w14:paraId="18E6757B" w14:textId="0A25F4E7" w:rsidR="00452D10" w:rsidRDefault="00D11704" w:rsidP="00452D10">
      <w:pPr>
        <w:snapToGrid w:val="0"/>
        <w:jc w:val="center"/>
        <w:rPr>
          <w:rFonts w:asciiTheme="minorHAnsi" w:hAnsiTheme="minorHAnsi"/>
          <w:b/>
          <w:bCs/>
        </w:rPr>
      </w:pPr>
      <w:r>
        <w:rPr>
          <w:rFonts w:asciiTheme="minorHAnsi" w:hAnsiTheme="minorHAnsi" w:hint="eastAsia"/>
          <w:b/>
          <w:bCs/>
          <w:lang w:eastAsia="zh-CN"/>
        </w:rPr>
        <w:lastRenderedPageBreak/>
        <w:t>表</w:t>
      </w:r>
      <w:r w:rsidR="00452D10" w:rsidRPr="005F3FA0">
        <w:rPr>
          <w:rFonts w:asciiTheme="minorHAnsi" w:hAnsiTheme="minorHAnsi"/>
          <w:b/>
          <w:bCs/>
        </w:rPr>
        <w:t>4</w:t>
      </w:r>
      <w:r w:rsidR="00452D10">
        <w:rPr>
          <w:rFonts w:asciiTheme="minorHAnsi" w:hAnsiTheme="minorHAnsi"/>
          <w:b/>
          <w:bCs/>
        </w:rPr>
        <w:t>.</w:t>
      </w:r>
    </w:p>
    <w:p w14:paraId="6C48D267" w14:textId="74063240" w:rsidR="00D11704" w:rsidRPr="005F3FA0" w:rsidRDefault="001E0DF5" w:rsidP="00452D10">
      <w:pPr>
        <w:snapToGrid w:val="0"/>
        <w:jc w:val="center"/>
        <w:rPr>
          <w:rFonts w:asciiTheme="minorHAnsi" w:hAnsiTheme="minorHAnsi"/>
          <w:b/>
          <w:bCs/>
        </w:rPr>
      </w:pPr>
      <w:r w:rsidRPr="001E0DF5">
        <w:rPr>
          <w:noProof/>
        </w:rPr>
        <w:drawing>
          <wp:inline distT="0" distB="0" distL="0" distR="0" wp14:anchorId="0C11DE69" wp14:editId="37813CCC">
            <wp:extent cx="3942080" cy="181165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42080" cy="1811655"/>
                    </a:xfrm>
                    <a:prstGeom prst="rect">
                      <a:avLst/>
                    </a:prstGeom>
                    <a:noFill/>
                    <a:ln>
                      <a:noFill/>
                    </a:ln>
                  </pic:spPr>
                </pic:pic>
              </a:graphicData>
            </a:graphic>
          </wp:inline>
        </w:drawing>
      </w:r>
    </w:p>
    <w:p w14:paraId="3E5888FA" w14:textId="40370480" w:rsidR="00452D10" w:rsidRDefault="00452D10" w:rsidP="00452D10">
      <w:pPr>
        <w:snapToGrid w:val="0"/>
        <w:spacing w:before="240"/>
        <w:rPr>
          <w:rFonts w:asciiTheme="minorHAnsi" w:hAnsiTheme="minorHAnsi"/>
          <w:b/>
          <w:bCs/>
          <w:lang w:eastAsia="zh-CN"/>
        </w:rPr>
      </w:pPr>
      <w:r w:rsidRPr="00AE4D2A">
        <w:rPr>
          <w:rFonts w:asciiTheme="minorHAnsi" w:hAnsiTheme="minorHAnsi"/>
          <w:b/>
          <w:bCs/>
          <w:lang w:eastAsia="zh-CN"/>
        </w:rPr>
        <w:t>6</w:t>
      </w:r>
      <w:r w:rsidRPr="00AE4D2A">
        <w:rPr>
          <w:rFonts w:asciiTheme="minorHAnsi" w:hAnsiTheme="minorHAnsi"/>
          <w:b/>
          <w:bCs/>
          <w:lang w:eastAsia="zh-CN"/>
        </w:rPr>
        <w:tab/>
      </w:r>
      <w:r w:rsidR="00A81ECB">
        <w:rPr>
          <w:rFonts w:asciiTheme="minorHAnsi" w:hAnsiTheme="minorHAnsi" w:hint="eastAsia"/>
          <w:b/>
          <w:bCs/>
          <w:lang w:eastAsia="zh-CN"/>
        </w:rPr>
        <w:t>语文服务</w:t>
      </w:r>
    </w:p>
    <w:p w14:paraId="658BA267" w14:textId="083D8B78" w:rsidR="00452D10" w:rsidRDefault="00452D10" w:rsidP="00452D10">
      <w:pPr>
        <w:snapToGrid w:val="0"/>
        <w:rPr>
          <w:rFonts w:asciiTheme="minorHAnsi" w:hAnsiTheme="minorHAnsi"/>
          <w:lang w:eastAsia="zh-CN"/>
        </w:rPr>
      </w:pPr>
      <w:r>
        <w:rPr>
          <w:rFonts w:asciiTheme="minorHAnsi" w:hAnsiTheme="minorHAnsi"/>
          <w:lang w:eastAsia="zh-CN"/>
        </w:rPr>
        <w:t>6.1</w:t>
      </w:r>
      <w:r>
        <w:rPr>
          <w:rFonts w:asciiTheme="minorHAnsi" w:hAnsiTheme="minorHAnsi"/>
          <w:lang w:eastAsia="zh-CN"/>
        </w:rPr>
        <w:tab/>
      </w:r>
      <w:bookmarkStart w:id="13" w:name="lt_pId229"/>
      <w:r w:rsidR="0091531B" w:rsidRPr="0098511E">
        <w:rPr>
          <w:rFonts w:hint="eastAsia"/>
          <w:lang w:eastAsia="zh-CN"/>
        </w:rPr>
        <w:t>按照第</w:t>
      </w:r>
      <w:r w:rsidR="0091531B" w:rsidRPr="0098511E">
        <w:rPr>
          <w:rFonts w:hint="eastAsia"/>
          <w:lang w:eastAsia="zh-CN"/>
        </w:rPr>
        <w:t>5</w:t>
      </w:r>
      <w:r w:rsidR="0091531B" w:rsidRPr="0098511E">
        <w:rPr>
          <w:rFonts w:hint="eastAsia"/>
          <w:lang w:eastAsia="zh-CN"/>
        </w:rPr>
        <w:t>号决定（</w:t>
      </w:r>
      <w:r w:rsidR="0091531B" w:rsidRPr="0098511E">
        <w:rPr>
          <w:rFonts w:hint="eastAsia"/>
          <w:lang w:eastAsia="zh-CN"/>
        </w:rPr>
        <w:t>20</w:t>
      </w:r>
      <w:r w:rsidR="00A81ECB">
        <w:rPr>
          <w:lang w:eastAsia="zh-CN"/>
        </w:rPr>
        <w:t>22</w:t>
      </w:r>
      <w:r w:rsidR="0091531B" w:rsidRPr="0098511E">
        <w:rPr>
          <w:rFonts w:hint="eastAsia"/>
          <w:lang w:eastAsia="zh-CN"/>
        </w:rPr>
        <w:t>年，</w:t>
      </w:r>
      <w:r w:rsidR="00A81ECB">
        <w:rPr>
          <w:rFonts w:hint="eastAsia"/>
          <w:lang w:eastAsia="zh-CN"/>
        </w:rPr>
        <w:t>布加勒斯特</w:t>
      </w:r>
      <w:r w:rsidR="0091531B" w:rsidRPr="0098511E">
        <w:rPr>
          <w:rFonts w:hint="eastAsia"/>
          <w:lang w:eastAsia="zh-CN"/>
        </w:rPr>
        <w:t>，修订版）</w:t>
      </w:r>
      <w:r w:rsidR="0091531B" w:rsidRPr="0098511E">
        <w:rPr>
          <w:rFonts w:ascii="STKaiti" w:eastAsia="STKaiti" w:hAnsi="STKaiti" w:hint="eastAsia"/>
          <w:lang w:eastAsia="zh-CN"/>
        </w:rPr>
        <w:t>做出决定</w:t>
      </w:r>
      <w:r w:rsidR="0091531B" w:rsidRPr="00AD4931">
        <w:rPr>
          <w:rFonts w:ascii="SimSun" w:hAnsi="SimSun" w:hint="eastAsia"/>
          <w:lang w:eastAsia="zh-CN"/>
        </w:rPr>
        <w:t>第</w:t>
      </w:r>
      <w:r w:rsidR="0091531B" w:rsidRPr="0098511E">
        <w:rPr>
          <w:rFonts w:hint="eastAsia"/>
          <w:lang w:eastAsia="zh-CN"/>
        </w:rPr>
        <w:t>1.2</w:t>
      </w:r>
      <w:r w:rsidR="0091531B">
        <w:rPr>
          <w:rFonts w:hint="eastAsia"/>
          <w:lang w:eastAsia="zh-CN"/>
        </w:rPr>
        <w:t>段</w:t>
      </w:r>
      <w:r w:rsidR="0091531B" w:rsidRPr="0098511E">
        <w:rPr>
          <w:rFonts w:hint="eastAsia"/>
          <w:lang w:eastAsia="zh-CN"/>
        </w:rPr>
        <w:t>，国际电联各正式语文的口译、笔译和文本处理支出在</w:t>
      </w:r>
      <w:r w:rsidR="0091531B" w:rsidRPr="0098511E">
        <w:rPr>
          <w:rFonts w:hint="eastAsia"/>
          <w:lang w:eastAsia="zh-CN"/>
        </w:rPr>
        <w:t>20</w:t>
      </w:r>
      <w:r w:rsidR="0091531B">
        <w:rPr>
          <w:lang w:eastAsia="zh-CN"/>
        </w:rPr>
        <w:t>20</w:t>
      </w:r>
      <w:r w:rsidR="0091531B" w:rsidRPr="0098511E">
        <w:rPr>
          <w:rFonts w:hint="eastAsia"/>
          <w:lang w:eastAsia="zh-CN"/>
        </w:rPr>
        <w:t>-20</w:t>
      </w:r>
      <w:r w:rsidR="0091531B">
        <w:rPr>
          <w:lang w:eastAsia="zh-CN"/>
        </w:rPr>
        <w:t>23</w:t>
      </w:r>
      <w:r w:rsidR="0091531B" w:rsidRPr="0098511E">
        <w:rPr>
          <w:rFonts w:hint="eastAsia"/>
          <w:lang w:eastAsia="zh-CN"/>
        </w:rPr>
        <w:t>年期间不得超过</w:t>
      </w:r>
      <w:r w:rsidR="0091531B" w:rsidRPr="0098511E">
        <w:rPr>
          <w:bCs/>
          <w:lang w:eastAsia="zh-CN"/>
        </w:rPr>
        <w:t>8 500</w:t>
      </w:r>
      <w:r w:rsidR="0091531B" w:rsidRPr="0098511E">
        <w:rPr>
          <w:rFonts w:hint="eastAsia"/>
          <w:bCs/>
          <w:lang w:eastAsia="zh-CN"/>
        </w:rPr>
        <w:t>万</w:t>
      </w:r>
      <w:r w:rsidR="0091531B" w:rsidRPr="0098511E">
        <w:rPr>
          <w:rFonts w:hint="eastAsia"/>
          <w:lang w:eastAsia="zh-CN"/>
        </w:rPr>
        <w:t>瑞郎</w:t>
      </w:r>
      <w:r w:rsidR="0091531B">
        <w:rPr>
          <w:rFonts w:hint="eastAsia"/>
          <w:lang w:eastAsia="zh-CN"/>
        </w:rPr>
        <w:t>。</w:t>
      </w:r>
      <w:bookmarkEnd w:id="13"/>
    </w:p>
    <w:p w14:paraId="38E2437A" w14:textId="76D6EE60" w:rsidR="00452D10" w:rsidRDefault="00452D10" w:rsidP="00452D10">
      <w:pPr>
        <w:snapToGrid w:val="0"/>
        <w:rPr>
          <w:rFonts w:asciiTheme="minorHAnsi" w:hAnsiTheme="minorHAnsi"/>
          <w:lang w:eastAsia="zh-CN"/>
        </w:rPr>
      </w:pPr>
      <w:r>
        <w:rPr>
          <w:rFonts w:asciiTheme="minorHAnsi" w:hAnsiTheme="minorHAnsi"/>
          <w:lang w:eastAsia="zh-CN"/>
        </w:rPr>
        <w:t>6.2</w:t>
      </w:r>
      <w:r>
        <w:rPr>
          <w:rFonts w:asciiTheme="minorHAnsi" w:hAnsiTheme="minorHAnsi"/>
          <w:lang w:eastAsia="zh-CN"/>
        </w:rPr>
        <w:tab/>
      </w:r>
      <w:bookmarkStart w:id="14" w:name="lt_pId231"/>
      <w:r w:rsidR="00A81ECB">
        <w:rPr>
          <w:rFonts w:hint="eastAsia"/>
          <w:lang w:eastAsia="zh-CN"/>
        </w:rPr>
        <w:t>表</w:t>
      </w:r>
      <w:r w:rsidR="00A81ECB">
        <w:rPr>
          <w:lang w:eastAsia="zh-CN"/>
        </w:rPr>
        <w:t>5</w:t>
      </w:r>
      <w:r w:rsidR="00A81ECB">
        <w:rPr>
          <w:rFonts w:hint="eastAsia"/>
          <w:lang w:eastAsia="zh-CN"/>
        </w:rPr>
        <w:t>为</w:t>
      </w:r>
      <w:r w:rsidR="00A81ECB" w:rsidRPr="002E20FD">
        <w:rPr>
          <w:rFonts w:asciiTheme="minorHAnsi" w:hAnsiTheme="minorHAnsi"/>
          <w:lang w:eastAsia="zh-CN"/>
        </w:rPr>
        <w:t>20</w:t>
      </w:r>
      <w:r w:rsidR="00A81ECB">
        <w:rPr>
          <w:rFonts w:asciiTheme="minorHAnsi" w:hAnsiTheme="minorHAnsi"/>
          <w:lang w:eastAsia="zh-CN"/>
        </w:rPr>
        <w:t>24</w:t>
      </w:r>
      <w:r w:rsidR="00A81ECB" w:rsidRPr="002E20FD">
        <w:rPr>
          <w:rFonts w:asciiTheme="minorHAnsi" w:hAnsiTheme="minorHAnsi"/>
          <w:lang w:eastAsia="zh-CN"/>
        </w:rPr>
        <w:t>-20</w:t>
      </w:r>
      <w:r w:rsidR="00A81ECB">
        <w:rPr>
          <w:rFonts w:asciiTheme="minorHAnsi" w:hAnsiTheme="minorHAnsi"/>
          <w:lang w:eastAsia="zh-CN"/>
        </w:rPr>
        <w:t>25</w:t>
      </w:r>
      <w:r w:rsidR="00A81ECB">
        <w:rPr>
          <w:rFonts w:hint="eastAsia"/>
          <w:lang w:eastAsia="zh-CN"/>
        </w:rPr>
        <w:t>年与</w:t>
      </w:r>
      <w:r w:rsidR="00A81ECB">
        <w:rPr>
          <w:rFonts w:hint="eastAsia"/>
          <w:lang w:eastAsia="zh-CN"/>
        </w:rPr>
        <w:t>2</w:t>
      </w:r>
      <w:r w:rsidR="00A81ECB">
        <w:rPr>
          <w:lang w:eastAsia="zh-CN"/>
        </w:rPr>
        <w:t>02</w:t>
      </w:r>
      <w:r w:rsidR="00A81ECB">
        <w:rPr>
          <w:rFonts w:hint="eastAsia"/>
          <w:lang w:eastAsia="zh-CN"/>
        </w:rPr>
        <w:t>2</w:t>
      </w:r>
      <w:r w:rsidR="00A81ECB">
        <w:rPr>
          <w:lang w:eastAsia="zh-CN"/>
        </w:rPr>
        <w:t>-202</w:t>
      </w:r>
      <w:r w:rsidR="00A81ECB">
        <w:rPr>
          <w:rFonts w:hint="eastAsia"/>
          <w:lang w:eastAsia="zh-CN"/>
        </w:rPr>
        <w:t>3</w:t>
      </w:r>
      <w:r w:rsidR="00A81ECB">
        <w:rPr>
          <w:rFonts w:hint="eastAsia"/>
          <w:lang w:eastAsia="zh-CN"/>
        </w:rPr>
        <w:t>年语文相关服务估算支出的比较情况。</w:t>
      </w:r>
      <w:bookmarkEnd w:id="14"/>
      <w:r w:rsidR="00A81ECB" w:rsidRPr="00A81ECB">
        <w:rPr>
          <w:rFonts w:asciiTheme="minorHAnsi" w:hAnsiTheme="minorHAnsi" w:hint="eastAsia"/>
          <w:lang w:eastAsia="zh-CN"/>
        </w:rPr>
        <w:t>文本处理费用的减少主要是由于在文本处理活动中</w:t>
      </w:r>
      <w:r w:rsidR="00A81ECB">
        <w:rPr>
          <w:rFonts w:asciiTheme="minorHAnsi" w:hAnsiTheme="minorHAnsi" w:hint="eastAsia"/>
          <w:lang w:eastAsia="zh-CN"/>
        </w:rPr>
        <w:t>，对</w:t>
      </w:r>
      <w:r w:rsidR="00A81ECB" w:rsidRPr="00A81ECB">
        <w:rPr>
          <w:rFonts w:asciiTheme="minorHAnsi" w:hAnsiTheme="minorHAnsi" w:hint="eastAsia"/>
          <w:lang w:eastAsia="zh-CN"/>
        </w:rPr>
        <w:t>最佳固定</w:t>
      </w:r>
      <w:r w:rsidR="00A81ECB" w:rsidRPr="00A81ECB">
        <w:rPr>
          <w:rFonts w:asciiTheme="minorHAnsi" w:hAnsiTheme="minorHAnsi" w:hint="eastAsia"/>
          <w:lang w:eastAsia="zh-CN"/>
        </w:rPr>
        <w:t>/</w:t>
      </w:r>
      <w:r w:rsidR="00A81ECB" w:rsidRPr="00A81ECB">
        <w:rPr>
          <w:rFonts w:asciiTheme="minorHAnsi" w:hAnsiTheme="minorHAnsi" w:hint="eastAsia"/>
          <w:lang w:eastAsia="zh-CN"/>
        </w:rPr>
        <w:t>可变</w:t>
      </w:r>
      <w:r w:rsidR="00A81ECB">
        <w:rPr>
          <w:rFonts w:asciiTheme="minorHAnsi" w:hAnsiTheme="minorHAnsi" w:hint="eastAsia"/>
          <w:lang w:eastAsia="zh-CN"/>
        </w:rPr>
        <w:t>产能</w:t>
      </w:r>
      <w:r w:rsidR="00A81ECB" w:rsidRPr="00A81ECB">
        <w:rPr>
          <w:rFonts w:asciiTheme="minorHAnsi" w:hAnsiTheme="minorHAnsi" w:hint="eastAsia"/>
          <w:lang w:eastAsia="zh-CN"/>
        </w:rPr>
        <w:t>分配</w:t>
      </w:r>
      <w:r w:rsidR="00A81ECB">
        <w:rPr>
          <w:rFonts w:asciiTheme="minorHAnsi" w:hAnsiTheme="minorHAnsi" w:hint="eastAsia"/>
          <w:lang w:eastAsia="zh-CN"/>
        </w:rPr>
        <w:t>做出了调整</w:t>
      </w:r>
      <w:r w:rsidR="00A81ECB" w:rsidRPr="00A81ECB">
        <w:rPr>
          <w:rFonts w:asciiTheme="minorHAnsi" w:hAnsiTheme="minorHAnsi" w:hint="eastAsia"/>
          <w:lang w:eastAsia="zh-CN"/>
        </w:rPr>
        <w:t>。</w:t>
      </w:r>
    </w:p>
    <w:p w14:paraId="5B437509" w14:textId="240147F5" w:rsidR="00452D10" w:rsidRDefault="00D11704" w:rsidP="00452D10">
      <w:pPr>
        <w:snapToGrid w:val="0"/>
        <w:jc w:val="center"/>
        <w:rPr>
          <w:rFonts w:asciiTheme="minorHAnsi" w:hAnsiTheme="minorHAnsi"/>
          <w:b/>
          <w:bCs/>
        </w:rPr>
      </w:pPr>
      <w:r>
        <w:rPr>
          <w:rFonts w:asciiTheme="minorHAnsi" w:hAnsiTheme="minorHAnsi" w:hint="eastAsia"/>
          <w:b/>
          <w:bCs/>
          <w:lang w:eastAsia="zh-CN"/>
        </w:rPr>
        <w:t>表</w:t>
      </w:r>
      <w:r w:rsidR="00452D10">
        <w:rPr>
          <w:rFonts w:asciiTheme="minorHAnsi" w:hAnsiTheme="minorHAnsi"/>
          <w:b/>
          <w:bCs/>
        </w:rPr>
        <w:t>5.</w:t>
      </w:r>
    </w:p>
    <w:p w14:paraId="613FD832" w14:textId="4B551A93" w:rsidR="00D11704" w:rsidRPr="005F3FA0" w:rsidRDefault="001E0DF5" w:rsidP="00452D10">
      <w:pPr>
        <w:snapToGrid w:val="0"/>
        <w:jc w:val="center"/>
        <w:rPr>
          <w:rFonts w:asciiTheme="minorHAnsi" w:hAnsiTheme="minorHAnsi"/>
          <w:b/>
          <w:bCs/>
        </w:rPr>
      </w:pPr>
      <w:r w:rsidRPr="001E0DF5">
        <w:rPr>
          <w:noProof/>
        </w:rPr>
        <w:drawing>
          <wp:inline distT="0" distB="0" distL="0" distR="0" wp14:anchorId="14BEA270" wp14:editId="3029B6C3">
            <wp:extent cx="3942080" cy="181165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42080" cy="1811655"/>
                    </a:xfrm>
                    <a:prstGeom prst="rect">
                      <a:avLst/>
                    </a:prstGeom>
                    <a:noFill/>
                    <a:ln>
                      <a:noFill/>
                    </a:ln>
                  </pic:spPr>
                </pic:pic>
              </a:graphicData>
            </a:graphic>
          </wp:inline>
        </w:drawing>
      </w:r>
    </w:p>
    <w:p w14:paraId="4FB83314" w14:textId="0F9D7BE7" w:rsidR="00452D10" w:rsidRPr="00AE4D2A" w:rsidRDefault="00452D10" w:rsidP="00452D10">
      <w:pPr>
        <w:snapToGrid w:val="0"/>
        <w:spacing w:before="240"/>
        <w:rPr>
          <w:rFonts w:asciiTheme="minorHAnsi" w:hAnsiTheme="minorHAnsi"/>
          <w:b/>
          <w:bCs/>
          <w:lang w:eastAsia="zh-CN"/>
        </w:rPr>
      </w:pPr>
      <w:r w:rsidRPr="00AE4D2A">
        <w:rPr>
          <w:rFonts w:asciiTheme="minorHAnsi" w:hAnsiTheme="minorHAnsi"/>
          <w:b/>
          <w:bCs/>
          <w:lang w:eastAsia="zh-CN"/>
        </w:rPr>
        <w:t>7</w:t>
      </w:r>
      <w:r w:rsidRPr="00AE4D2A">
        <w:rPr>
          <w:rFonts w:asciiTheme="minorHAnsi" w:hAnsiTheme="minorHAnsi"/>
          <w:b/>
          <w:bCs/>
          <w:lang w:eastAsia="zh-CN"/>
        </w:rPr>
        <w:tab/>
      </w:r>
      <w:bookmarkStart w:id="15" w:name="lt_pId233"/>
      <w:r w:rsidR="0091531B" w:rsidRPr="0091531B">
        <w:rPr>
          <w:rFonts w:hint="eastAsia"/>
          <w:b/>
          <w:bCs/>
          <w:lang w:eastAsia="zh-CN"/>
        </w:rPr>
        <w:t>预算职位</w:t>
      </w:r>
      <w:bookmarkEnd w:id="15"/>
    </w:p>
    <w:p w14:paraId="688C663F" w14:textId="122DC0F1" w:rsidR="00452D10" w:rsidRDefault="00452D10" w:rsidP="006C1507">
      <w:pPr>
        <w:pStyle w:val="ListParagraph"/>
        <w:tabs>
          <w:tab w:val="clear" w:pos="567"/>
          <w:tab w:val="clear" w:pos="1134"/>
          <w:tab w:val="clear" w:pos="1701"/>
          <w:tab w:val="clear" w:pos="2268"/>
          <w:tab w:val="clear" w:pos="2835"/>
          <w:tab w:val="left" w:pos="794"/>
        </w:tabs>
        <w:overflowPunct/>
        <w:autoSpaceDE/>
        <w:autoSpaceDN/>
        <w:adjustRightInd/>
        <w:snapToGrid w:val="0"/>
        <w:ind w:left="0"/>
        <w:contextualSpacing w:val="0"/>
        <w:textAlignment w:val="auto"/>
        <w:rPr>
          <w:rFonts w:asciiTheme="minorHAnsi" w:hAnsiTheme="minorHAnsi"/>
          <w:lang w:eastAsia="zh-CN"/>
        </w:rPr>
      </w:pPr>
      <w:r>
        <w:rPr>
          <w:rFonts w:asciiTheme="minorHAnsi" w:hAnsiTheme="minorHAnsi"/>
          <w:lang w:eastAsia="zh-CN"/>
        </w:rPr>
        <w:t>7.1</w:t>
      </w:r>
      <w:r>
        <w:rPr>
          <w:rFonts w:asciiTheme="minorHAnsi" w:hAnsiTheme="minorHAnsi"/>
          <w:lang w:eastAsia="zh-CN"/>
        </w:rPr>
        <w:tab/>
      </w:r>
      <w:bookmarkStart w:id="16" w:name="lt_pId235"/>
      <w:r w:rsidR="00A81ECB" w:rsidRPr="00A81ECB">
        <w:rPr>
          <w:rFonts w:eastAsia="SimSun" w:cs="Calibri"/>
          <w:lang w:eastAsia="zh-CN"/>
        </w:rPr>
        <w:t>202</w:t>
      </w:r>
      <w:r w:rsidR="00A81ECB">
        <w:rPr>
          <w:rFonts w:eastAsia="SimSun" w:cs="Calibri"/>
          <w:lang w:eastAsia="zh-CN"/>
        </w:rPr>
        <w:t>4</w:t>
      </w:r>
      <w:r w:rsidR="00A81ECB" w:rsidRPr="00A81ECB">
        <w:rPr>
          <w:rFonts w:eastAsia="SimSun" w:cs="Calibri"/>
          <w:lang w:eastAsia="zh-CN"/>
        </w:rPr>
        <w:t>-202</w:t>
      </w:r>
      <w:r w:rsidR="00A81ECB">
        <w:rPr>
          <w:rFonts w:eastAsia="SimSun" w:cs="Calibri"/>
          <w:lang w:eastAsia="zh-CN"/>
        </w:rPr>
        <w:t>5</w:t>
      </w:r>
      <w:r w:rsidR="00A81ECB" w:rsidRPr="00A81ECB">
        <w:rPr>
          <w:rFonts w:eastAsia="SimSun" w:cs="Calibri" w:hint="eastAsia"/>
          <w:lang w:eastAsia="zh-CN"/>
        </w:rPr>
        <w:t>年期间的预算职位总数为</w:t>
      </w:r>
      <w:r w:rsidR="00A81ECB" w:rsidRPr="00A81ECB">
        <w:rPr>
          <w:rFonts w:eastAsia="SimSun" w:cs="Calibri" w:hint="eastAsia"/>
          <w:lang w:eastAsia="zh-CN"/>
        </w:rPr>
        <w:t>7</w:t>
      </w:r>
      <w:r w:rsidR="00A81ECB">
        <w:rPr>
          <w:rFonts w:eastAsia="SimSun" w:cs="Calibri"/>
          <w:lang w:eastAsia="zh-CN"/>
        </w:rPr>
        <w:t>61</w:t>
      </w:r>
      <w:r w:rsidR="00A81ECB" w:rsidRPr="00A81ECB">
        <w:rPr>
          <w:rFonts w:eastAsia="SimSun" w:cs="Calibri" w:hint="eastAsia"/>
          <w:lang w:eastAsia="zh-CN"/>
        </w:rPr>
        <w:t>个，</w:t>
      </w:r>
      <w:r w:rsidR="00A81ECB">
        <w:rPr>
          <w:rFonts w:eastAsia="SimSun" w:cs="Calibri" w:hint="eastAsia"/>
          <w:lang w:eastAsia="zh-CN"/>
        </w:rPr>
        <w:t>比</w:t>
      </w:r>
      <w:r w:rsidR="00A81ECB" w:rsidRPr="00A81ECB">
        <w:rPr>
          <w:rFonts w:eastAsia="SimSun" w:cs="Calibri" w:hint="eastAsia"/>
          <w:lang w:eastAsia="zh-CN"/>
        </w:rPr>
        <w:t>202</w:t>
      </w:r>
      <w:r w:rsidR="00A81ECB">
        <w:rPr>
          <w:rFonts w:eastAsia="SimSun" w:cs="Calibri"/>
          <w:lang w:eastAsia="zh-CN"/>
        </w:rPr>
        <w:t>2</w:t>
      </w:r>
      <w:r w:rsidR="00A81ECB" w:rsidRPr="00A81ECB">
        <w:rPr>
          <w:rFonts w:eastAsia="SimSun" w:cs="Calibri" w:hint="eastAsia"/>
          <w:lang w:eastAsia="zh-CN"/>
        </w:rPr>
        <w:t>-202</w:t>
      </w:r>
      <w:r w:rsidR="00A81ECB">
        <w:rPr>
          <w:rFonts w:eastAsia="SimSun" w:cs="Calibri"/>
          <w:lang w:eastAsia="zh-CN"/>
        </w:rPr>
        <w:t>3</w:t>
      </w:r>
      <w:r w:rsidR="00A81ECB" w:rsidRPr="00A81ECB">
        <w:rPr>
          <w:rFonts w:eastAsia="SimSun" w:cs="Calibri" w:hint="eastAsia"/>
          <w:lang w:eastAsia="zh-CN"/>
        </w:rPr>
        <w:t>年</w:t>
      </w:r>
      <w:r w:rsidR="00FA1B0C">
        <w:rPr>
          <w:rFonts w:eastAsia="SimSun" w:cs="Calibri" w:hint="eastAsia"/>
          <w:lang w:eastAsia="zh-CN"/>
        </w:rPr>
        <w:t>更新后的</w:t>
      </w:r>
      <w:r w:rsidR="00A81ECB" w:rsidRPr="00A81ECB">
        <w:rPr>
          <w:rFonts w:eastAsia="SimSun" w:cs="Calibri" w:hint="eastAsia"/>
          <w:lang w:eastAsia="zh-CN"/>
        </w:rPr>
        <w:t>预算</w:t>
      </w:r>
      <w:r w:rsidR="00A81ECB">
        <w:rPr>
          <w:rFonts w:eastAsia="SimSun" w:cs="Calibri" w:hint="eastAsia"/>
          <w:lang w:eastAsia="zh-CN"/>
        </w:rPr>
        <w:t>下降了</w:t>
      </w:r>
      <w:r w:rsidR="00A81ECB">
        <w:rPr>
          <w:rFonts w:eastAsia="SimSun" w:cs="Calibri" w:hint="eastAsia"/>
          <w:lang w:eastAsia="zh-CN"/>
        </w:rPr>
        <w:t>1</w:t>
      </w:r>
      <w:r w:rsidR="00A81ECB">
        <w:rPr>
          <w:rFonts w:eastAsia="SimSun" w:cs="Calibri"/>
          <w:lang w:eastAsia="zh-CN"/>
        </w:rPr>
        <w:t>8</w:t>
      </w:r>
      <w:r w:rsidR="00A81ECB">
        <w:rPr>
          <w:rFonts w:eastAsia="SimSun" w:cs="Calibri" w:hint="eastAsia"/>
          <w:lang w:eastAsia="zh-CN"/>
        </w:rPr>
        <w:t>个</w:t>
      </w:r>
      <w:r w:rsidR="00A81ECB" w:rsidRPr="00A81ECB">
        <w:rPr>
          <w:rFonts w:eastAsia="SimSun" w:cs="Calibri" w:hint="eastAsia"/>
          <w:lang w:eastAsia="zh-CN"/>
        </w:rPr>
        <w:t>。下表</w:t>
      </w:r>
      <w:r w:rsidR="00C30B96">
        <w:rPr>
          <w:rFonts w:eastAsia="SimSun" w:cs="Calibri"/>
          <w:lang w:eastAsia="zh-CN"/>
        </w:rPr>
        <w:t>6</w:t>
      </w:r>
      <w:r w:rsidR="00A81ECB" w:rsidRPr="00A81ECB">
        <w:rPr>
          <w:rFonts w:eastAsia="SimSun" w:cs="Calibri" w:hint="eastAsia"/>
          <w:lang w:eastAsia="zh-CN"/>
        </w:rPr>
        <w:t>提供了总秘书处各部和各局的</w:t>
      </w:r>
      <w:r w:rsidR="00C30B96">
        <w:rPr>
          <w:rFonts w:eastAsia="SimSun" w:cs="Calibri" w:hint="eastAsia"/>
          <w:lang w:eastAsia="zh-CN"/>
        </w:rPr>
        <w:t>预算</w:t>
      </w:r>
      <w:r w:rsidR="00A81ECB" w:rsidRPr="00A81ECB">
        <w:rPr>
          <w:rFonts w:eastAsia="SimSun" w:cs="Calibri" w:hint="eastAsia"/>
          <w:lang w:eastAsia="zh-CN"/>
        </w:rPr>
        <w:t>职位</w:t>
      </w:r>
      <w:r w:rsidR="00C30B96">
        <w:rPr>
          <w:rFonts w:eastAsia="SimSun" w:cs="Calibri" w:hint="eastAsia"/>
          <w:lang w:eastAsia="zh-CN"/>
        </w:rPr>
        <w:t>细</w:t>
      </w:r>
      <w:r w:rsidR="00A81ECB" w:rsidRPr="00A81ECB">
        <w:rPr>
          <w:rFonts w:eastAsia="SimSun" w:cs="Calibri" w:hint="eastAsia"/>
          <w:lang w:eastAsia="zh-CN"/>
        </w:rPr>
        <w:t>分情况以及</w:t>
      </w:r>
      <w:r w:rsidR="00A81ECB" w:rsidRPr="00A81ECB">
        <w:rPr>
          <w:rFonts w:eastAsia="SimSun" w:cs="Calibri" w:hint="eastAsia"/>
          <w:lang w:eastAsia="zh-CN"/>
        </w:rPr>
        <w:t>202</w:t>
      </w:r>
      <w:r w:rsidR="00C30B96">
        <w:rPr>
          <w:rFonts w:eastAsia="SimSun" w:cs="Calibri"/>
          <w:lang w:eastAsia="zh-CN"/>
        </w:rPr>
        <w:t>4</w:t>
      </w:r>
      <w:r w:rsidR="00A81ECB" w:rsidRPr="00A81ECB">
        <w:rPr>
          <w:rFonts w:eastAsia="SimSun" w:cs="Calibri" w:hint="eastAsia"/>
          <w:lang w:eastAsia="zh-CN"/>
        </w:rPr>
        <w:t>-202</w:t>
      </w:r>
      <w:r w:rsidR="00C30B96">
        <w:rPr>
          <w:rFonts w:eastAsia="SimSun" w:cs="Calibri"/>
          <w:lang w:eastAsia="zh-CN"/>
        </w:rPr>
        <w:t>5</w:t>
      </w:r>
      <w:r w:rsidR="00A81ECB" w:rsidRPr="00A81ECB">
        <w:rPr>
          <w:rFonts w:eastAsia="SimSun" w:cs="Calibri" w:hint="eastAsia"/>
          <w:lang w:eastAsia="zh-CN"/>
        </w:rPr>
        <w:t>年与</w:t>
      </w:r>
      <w:r w:rsidR="00A81ECB" w:rsidRPr="00A81ECB">
        <w:rPr>
          <w:rFonts w:eastAsia="SimSun" w:cs="Calibri" w:hint="eastAsia"/>
          <w:lang w:eastAsia="zh-CN"/>
        </w:rPr>
        <w:t>202</w:t>
      </w:r>
      <w:r w:rsidR="00C30B96">
        <w:rPr>
          <w:rFonts w:eastAsia="SimSun" w:cs="Calibri"/>
          <w:lang w:eastAsia="zh-CN"/>
        </w:rPr>
        <w:t>2</w:t>
      </w:r>
      <w:r w:rsidR="00A81ECB" w:rsidRPr="00A81ECB">
        <w:rPr>
          <w:rFonts w:eastAsia="SimSun" w:cs="Calibri" w:hint="eastAsia"/>
          <w:lang w:eastAsia="zh-CN"/>
        </w:rPr>
        <w:t>-202</w:t>
      </w:r>
      <w:r w:rsidR="00C30B96">
        <w:rPr>
          <w:rFonts w:eastAsia="SimSun" w:cs="Calibri"/>
          <w:lang w:eastAsia="zh-CN"/>
        </w:rPr>
        <w:t>3</w:t>
      </w:r>
      <w:r w:rsidR="00A81ECB" w:rsidRPr="00A81ECB">
        <w:rPr>
          <w:rFonts w:eastAsia="SimSun" w:cs="Calibri" w:hint="eastAsia"/>
          <w:lang w:eastAsia="zh-CN"/>
        </w:rPr>
        <w:t>年预算职位</w:t>
      </w:r>
      <w:r w:rsidR="00C30B96">
        <w:rPr>
          <w:rFonts w:eastAsia="SimSun" w:cs="Calibri" w:hint="eastAsia"/>
          <w:lang w:eastAsia="zh-CN"/>
        </w:rPr>
        <w:t>数量</w:t>
      </w:r>
      <w:r w:rsidR="00A81ECB" w:rsidRPr="00A81ECB">
        <w:rPr>
          <w:rFonts w:eastAsia="SimSun" w:cs="Calibri" w:hint="eastAsia"/>
          <w:lang w:eastAsia="zh-CN"/>
        </w:rPr>
        <w:t>的比较情况。</w:t>
      </w:r>
      <w:bookmarkEnd w:id="16"/>
    </w:p>
    <w:p w14:paraId="6D3B72E0" w14:textId="77777777" w:rsidR="00452D10" w:rsidRDefault="00452D10" w:rsidP="00452D10">
      <w:pPr>
        <w:overflowPunct/>
        <w:autoSpaceDE/>
        <w:autoSpaceDN/>
        <w:adjustRightInd/>
        <w:spacing w:before="0"/>
        <w:textAlignment w:val="auto"/>
        <w:rPr>
          <w:rFonts w:asciiTheme="minorHAnsi" w:hAnsiTheme="minorHAnsi"/>
          <w:b/>
          <w:bCs/>
          <w:lang w:eastAsia="zh-CN"/>
        </w:rPr>
      </w:pPr>
      <w:r>
        <w:rPr>
          <w:rFonts w:asciiTheme="minorHAnsi" w:hAnsiTheme="minorHAnsi"/>
          <w:b/>
          <w:bCs/>
          <w:lang w:eastAsia="zh-CN"/>
        </w:rPr>
        <w:br w:type="page"/>
      </w:r>
    </w:p>
    <w:p w14:paraId="1CB2DC1C" w14:textId="0F72353D" w:rsidR="00452D10" w:rsidRDefault="00D11704"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b/>
          <w:bCs/>
        </w:rPr>
      </w:pPr>
      <w:r>
        <w:rPr>
          <w:rFonts w:ascii="SimSun" w:eastAsia="SimSun" w:hAnsi="SimSun" w:cs="SimSun" w:hint="eastAsia"/>
          <w:b/>
          <w:bCs/>
          <w:lang w:eastAsia="zh-CN"/>
        </w:rPr>
        <w:lastRenderedPageBreak/>
        <w:t>表</w:t>
      </w:r>
      <w:r w:rsidR="00452D10" w:rsidRPr="005F3FA0">
        <w:rPr>
          <w:rFonts w:asciiTheme="minorHAnsi" w:hAnsiTheme="minorHAnsi"/>
          <w:b/>
          <w:bCs/>
        </w:rPr>
        <w:t>6</w:t>
      </w:r>
      <w:r w:rsidR="00452D10">
        <w:rPr>
          <w:rFonts w:asciiTheme="minorHAnsi" w:hAnsiTheme="minorHAnsi"/>
          <w:b/>
          <w:bCs/>
        </w:rPr>
        <w:t>.</w:t>
      </w:r>
    </w:p>
    <w:p w14:paraId="2D942DD6" w14:textId="1A2E1C11" w:rsidR="004C7947" w:rsidRDefault="004C7947"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rPr>
      </w:pPr>
      <w:r w:rsidRPr="004C7947">
        <w:rPr>
          <w:noProof/>
        </w:rPr>
        <w:drawing>
          <wp:inline distT="0" distB="0" distL="0" distR="0" wp14:anchorId="663B751F" wp14:editId="3BA7D138">
            <wp:extent cx="5760085" cy="299783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2997835"/>
                    </a:xfrm>
                    <a:prstGeom prst="rect">
                      <a:avLst/>
                    </a:prstGeom>
                    <a:noFill/>
                    <a:ln>
                      <a:noFill/>
                    </a:ln>
                  </pic:spPr>
                </pic:pic>
              </a:graphicData>
            </a:graphic>
          </wp:inline>
        </w:drawing>
      </w:r>
    </w:p>
    <w:p w14:paraId="14B2E4D5" w14:textId="3DAF26AF" w:rsidR="00452D10" w:rsidRDefault="00452D10"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rPr>
      </w:pPr>
    </w:p>
    <w:p w14:paraId="2E017DDF" w14:textId="34E6EB4C" w:rsidR="00452D10" w:rsidRDefault="00452D10" w:rsidP="00452D10">
      <w:pPr>
        <w:overflowPunct/>
        <w:autoSpaceDE/>
        <w:autoSpaceDN/>
        <w:adjustRightInd/>
        <w:textAlignment w:val="auto"/>
        <w:rPr>
          <w:rFonts w:asciiTheme="minorHAnsi" w:hAnsiTheme="minorHAnsi" w:cstheme="minorHAnsi"/>
          <w:lang w:eastAsia="zh-CN"/>
        </w:rPr>
      </w:pPr>
      <w:r>
        <w:rPr>
          <w:rFonts w:asciiTheme="minorHAnsi" w:hAnsiTheme="minorHAnsi" w:cstheme="minorHAnsi"/>
          <w:lang w:eastAsia="zh-CN"/>
        </w:rPr>
        <w:t>7.2</w:t>
      </w:r>
      <w:r>
        <w:rPr>
          <w:rFonts w:asciiTheme="minorHAnsi" w:hAnsiTheme="minorHAnsi" w:cstheme="minorHAnsi"/>
          <w:lang w:eastAsia="zh-CN"/>
        </w:rPr>
        <w:tab/>
      </w:r>
      <w:r w:rsidR="00C30B96">
        <w:rPr>
          <w:rFonts w:asciiTheme="minorHAnsi" w:hAnsiTheme="minorHAnsi" w:cstheme="minorHAnsi" w:hint="eastAsia"/>
          <w:lang w:eastAsia="zh-CN"/>
        </w:rPr>
        <w:t>图</w:t>
      </w:r>
      <w:r>
        <w:rPr>
          <w:rFonts w:asciiTheme="minorHAnsi" w:hAnsiTheme="minorHAnsi" w:cstheme="minorHAnsi"/>
          <w:lang w:eastAsia="zh-CN"/>
        </w:rPr>
        <w:t>6</w:t>
      </w:r>
      <w:r w:rsidR="00C30B96">
        <w:rPr>
          <w:rFonts w:asciiTheme="minorHAnsi" w:hAnsiTheme="minorHAnsi" w:cstheme="minorHAnsi" w:hint="eastAsia"/>
          <w:lang w:eastAsia="zh-CN"/>
        </w:rPr>
        <w:t>展示了自</w:t>
      </w:r>
      <w:r w:rsidR="00C30B96">
        <w:rPr>
          <w:rFonts w:asciiTheme="minorHAnsi" w:hAnsiTheme="minorHAnsi" w:cstheme="minorHAnsi" w:hint="eastAsia"/>
          <w:lang w:eastAsia="zh-CN"/>
        </w:rPr>
        <w:t>2</w:t>
      </w:r>
      <w:r w:rsidR="00C30B96">
        <w:rPr>
          <w:rFonts w:asciiTheme="minorHAnsi" w:hAnsiTheme="minorHAnsi" w:cstheme="minorHAnsi"/>
          <w:lang w:eastAsia="zh-CN"/>
        </w:rPr>
        <w:t>01</w:t>
      </w:r>
      <w:r w:rsidR="00C30B96">
        <w:rPr>
          <w:rFonts w:asciiTheme="minorHAnsi" w:hAnsiTheme="minorHAnsi" w:cstheme="minorHAnsi" w:hint="eastAsia"/>
          <w:lang w:eastAsia="zh-CN"/>
        </w:rPr>
        <w:t>2</w:t>
      </w:r>
      <w:r w:rsidR="00C30B96">
        <w:rPr>
          <w:rFonts w:asciiTheme="minorHAnsi" w:hAnsiTheme="minorHAnsi" w:cstheme="minorHAnsi" w:hint="eastAsia"/>
          <w:lang w:eastAsia="zh-CN"/>
        </w:rPr>
        <w:t>年以来预算职位数量的演变。</w:t>
      </w:r>
    </w:p>
    <w:p w14:paraId="0A469A39" w14:textId="77777777" w:rsidR="00452D10" w:rsidRDefault="00452D10"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textAlignment w:val="auto"/>
        <w:rPr>
          <w:rFonts w:asciiTheme="minorHAnsi" w:hAnsiTheme="minorHAnsi" w:cstheme="minorHAnsi"/>
          <w:lang w:eastAsia="zh-CN"/>
        </w:rPr>
      </w:pPr>
    </w:p>
    <w:p w14:paraId="519737C0" w14:textId="24F2C251" w:rsidR="00452D10" w:rsidRDefault="00D11704"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rPr>
      </w:pPr>
      <w:r>
        <w:rPr>
          <w:rFonts w:ascii="SimSun" w:eastAsia="SimSun" w:hAnsi="SimSun" w:cs="SimSun" w:hint="eastAsia"/>
          <w:b/>
          <w:bCs/>
          <w:lang w:eastAsia="zh-CN"/>
        </w:rPr>
        <w:t>图</w:t>
      </w:r>
      <w:r w:rsidR="00452D10" w:rsidRPr="005F3FA0">
        <w:rPr>
          <w:rFonts w:asciiTheme="minorHAnsi" w:hAnsiTheme="minorHAnsi" w:cstheme="minorHAnsi"/>
          <w:b/>
          <w:bCs/>
        </w:rPr>
        <w:t>6</w:t>
      </w:r>
      <w:r w:rsidR="00452D10">
        <w:rPr>
          <w:rFonts w:asciiTheme="minorHAnsi" w:hAnsiTheme="minorHAnsi" w:cstheme="minorHAnsi"/>
          <w:b/>
          <w:bCs/>
        </w:rPr>
        <w:t>.</w:t>
      </w:r>
    </w:p>
    <w:p w14:paraId="31429FAF" w14:textId="77777777" w:rsidR="00452D10" w:rsidRDefault="00452D10"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rPr>
      </w:pPr>
    </w:p>
    <w:p w14:paraId="63F4DBBB" w14:textId="77777777" w:rsidR="00452D10" w:rsidRDefault="00452D10" w:rsidP="00452D10">
      <w:pPr>
        <w:pStyle w:val="ListParagraph"/>
        <w:tabs>
          <w:tab w:val="clear" w:pos="567"/>
          <w:tab w:val="clear" w:pos="1134"/>
          <w:tab w:val="clear" w:pos="1701"/>
          <w:tab w:val="clear" w:pos="2268"/>
          <w:tab w:val="clear" w:pos="2835"/>
          <w:tab w:val="left" w:pos="709"/>
        </w:tabs>
        <w:overflowPunct/>
        <w:autoSpaceDE/>
        <w:autoSpaceDN/>
        <w:adjustRightInd/>
        <w:snapToGrid w:val="0"/>
        <w:spacing w:before="0"/>
        <w:ind w:left="0"/>
        <w:jc w:val="center"/>
        <w:textAlignment w:val="auto"/>
        <w:rPr>
          <w:rFonts w:asciiTheme="minorHAnsi" w:hAnsiTheme="minorHAnsi" w:cstheme="minorHAnsi"/>
          <w:b/>
          <w:bCs/>
        </w:rPr>
      </w:pPr>
      <w:r>
        <w:rPr>
          <w:noProof/>
        </w:rPr>
        <w:drawing>
          <wp:inline distT="0" distB="0" distL="0" distR="0" wp14:anchorId="2300A2C0" wp14:editId="6A705FF6">
            <wp:extent cx="5499100" cy="3098800"/>
            <wp:effectExtent l="0" t="0" r="0" b="0"/>
            <wp:docPr id="387921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21086" name=""/>
                    <pic:cNvPicPr/>
                  </pic:nvPicPr>
                  <pic:blipFill>
                    <a:blip r:embed="rId24"/>
                    <a:stretch>
                      <a:fillRect/>
                    </a:stretch>
                  </pic:blipFill>
                  <pic:spPr>
                    <a:xfrm>
                      <a:off x="0" y="0"/>
                      <a:ext cx="5499100" cy="3098800"/>
                    </a:xfrm>
                    <a:prstGeom prst="rect">
                      <a:avLst/>
                    </a:prstGeom>
                  </pic:spPr>
                </pic:pic>
              </a:graphicData>
            </a:graphic>
          </wp:inline>
        </w:drawing>
      </w:r>
    </w:p>
    <w:p w14:paraId="439E88FF" w14:textId="77777777" w:rsidR="00452D10" w:rsidRDefault="00452D10" w:rsidP="00452D10">
      <w:pPr>
        <w:snapToGrid w:val="0"/>
        <w:rPr>
          <w:rFonts w:asciiTheme="minorHAnsi" w:hAnsiTheme="minorHAnsi"/>
        </w:rPr>
      </w:pPr>
    </w:p>
    <w:p w14:paraId="33FA8657" w14:textId="77777777" w:rsidR="00452D10" w:rsidRDefault="00452D10" w:rsidP="00452D10">
      <w:pPr>
        <w:overflowPunct/>
        <w:autoSpaceDE/>
        <w:autoSpaceDN/>
        <w:adjustRightInd/>
        <w:spacing w:before="0"/>
        <w:textAlignment w:val="auto"/>
        <w:rPr>
          <w:rFonts w:asciiTheme="minorHAnsi" w:hAnsiTheme="minorHAnsi"/>
          <w:b/>
          <w:bCs/>
        </w:rPr>
      </w:pPr>
      <w:r>
        <w:rPr>
          <w:rFonts w:asciiTheme="minorHAnsi" w:hAnsiTheme="minorHAnsi"/>
          <w:b/>
          <w:bCs/>
        </w:rPr>
        <w:br w:type="page"/>
      </w:r>
    </w:p>
    <w:p w14:paraId="2D007A11" w14:textId="73800196" w:rsidR="00452D10" w:rsidRPr="00CC2798" w:rsidRDefault="00452D10" w:rsidP="00452D10">
      <w:pPr>
        <w:snapToGrid w:val="0"/>
        <w:spacing w:before="240" w:after="120"/>
        <w:rPr>
          <w:rFonts w:asciiTheme="minorHAnsi" w:hAnsiTheme="minorHAnsi"/>
          <w:b/>
          <w:bCs/>
          <w:lang w:eastAsia="zh-CN"/>
        </w:rPr>
      </w:pPr>
      <w:r w:rsidRPr="00CC2798">
        <w:rPr>
          <w:rFonts w:asciiTheme="minorHAnsi" w:hAnsiTheme="minorHAnsi"/>
          <w:b/>
          <w:bCs/>
          <w:lang w:eastAsia="zh-CN"/>
        </w:rPr>
        <w:lastRenderedPageBreak/>
        <w:t>8</w:t>
      </w:r>
      <w:r w:rsidRPr="00CC2798">
        <w:rPr>
          <w:rFonts w:asciiTheme="minorHAnsi" w:hAnsiTheme="minorHAnsi"/>
          <w:b/>
          <w:bCs/>
          <w:lang w:eastAsia="zh-CN"/>
        </w:rPr>
        <w:tab/>
      </w:r>
      <w:r w:rsidR="00C30B96">
        <w:rPr>
          <w:rFonts w:asciiTheme="minorHAnsi" w:hAnsiTheme="minorHAnsi" w:hint="eastAsia"/>
          <w:b/>
          <w:bCs/>
          <w:lang w:eastAsia="zh-CN"/>
        </w:rPr>
        <w:t>额外资金需求</w:t>
      </w:r>
    </w:p>
    <w:p w14:paraId="0657BC70" w14:textId="0785FD43" w:rsidR="00452D10" w:rsidRPr="0058789B" w:rsidRDefault="00452D10" w:rsidP="006C1507">
      <w:pPr>
        <w:pStyle w:val="ListParagraph"/>
        <w:tabs>
          <w:tab w:val="clear" w:pos="567"/>
          <w:tab w:val="clear" w:pos="1134"/>
          <w:tab w:val="clear" w:pos="1701"/>
          <w:tab w:val="clear" w:pos="2268"/>
          <w:tab w:val="clear" w:pos="2835"/>
          <w:tab w:val="left" w:pos="794"/>
        </w:tabs>
        <w:overflowPunct/>
        <w:autoSpaceDE/>
        <w:autoSpaceDN/>
        <w:adjustRightInd/>
        <w:snapToGrid w:val="0"/>
        <w:spacing w:after="120"/>
        <w:ind w:left="0"/>
        <w:contextualSpacing w:val="0"/>
        <w:textAlignment w:val="auto"/>
        <w:rPr>
          <w:rFonts w:eastAsia="SimSun" w:cs="Calibri"/>
          <w:lang w:eastAsia="zh-CN"/>
        </w:rPr>
      </w:pPr>
      <w:r>
        <w:rPr>
          <w:rFonts w:asciiTheme="minorHAnsi" w:hAnsiTheme="minorHAnsi"/>
          <w:lang w:eastAsia="zh-CN"/>
        </w:rPr>
        <w:t>8.1</w:t>
      </w:r>
      <w:r>
        <w:rPr>
          <w:rFonts w:asciiTheme="minorHAnsi" w:hAnsiTheme="minorHAnsi"/>
          <w:lang w:eastAsia="zh-CN"/>
        </w:rPr>
        <w:tab/>
      </w:r>
      <w:r w:rsidR="0058789B" w:rsidRPr="0058789B">
        <w:rPr>
          <w:rFonts w:eastAsia="SimSun" w:cs="Calibri" w:hint="eastAsia"/>
          <w:lang w:eastAsia="zh-CN"/>
        </w:rPr>
        <w:t>未列入</w:t>
      </w:r>
      <w:r w:rsidR="0058789B" w:rsidRPr="0058789B">
        <w:rPr>
          <w:rFonts w:eastAsia="SimSun" w:cs="Calibri" w:hint="eastAsia"/>
          <w:lang w:eastAsia="zh-CN"/>
        </w:rPr>
        <w:t>2024-2027</w:t>
      </w:r>
      <w:r w:rsidR="0058789B" w:rsidRPr="0058789B">
        <w:rPr>
          <w:rFonts w:eastAsia="SimSun" w:cs="Calibri" w:hint="eastAsia"/>
          <w:lang w:eastAsia="zh-CN"/>
        </w:rPr>
        <w:t>年财务</w:t>
      </w:r>
      <w:r w:rsidR="0058789B">
        <w:rPr>
          <w:rFonts w:eastAsia="SimSun" w:cs="Calibri" w:hint="eastAsia"/>
          <w:lang w:eastAsia="zh-CN"/>
        </w:rPr>
        <w:t>规划</w:t>
      </w:r>
      <w:r w:rsidR="0058789B" w:rsidRPr="0058789B">
        <w:rPr>
          <w:rFonts w:eastAsia="SimSun" w:cs="Calibri" w:hint="eastAsia"/>
          <w:lang w:eastAsia="zh-CN"/>
        </w:rPr>
        <w:t>的</w:t>
      </w:r>
      <w:r w:rsidR="0058789B">
        <w:rPr>
          <w:rFonts w:eastAsia="SimSun" w:cs="Calibri" w:hint="eastAsia"/>
          <w:lang w:eastAsia="zh-CN"/>
        </w:rPr>
        <w:t>部分</w:t>
      </w:r>
      <w:r w:rsidR="0058789B" w:rsidRPr="0058789B">
        <w:rPr>
          <w:rFonts w:eastAsia="SimSun" w:cs="Calibri" w:hint="eastAsia"/>
          <w:lang w:eastAsia="zh-CN"/>
        </w:rPr>
        <w:t>高优先</w:t>
      </w:r>
      <w:r w:rsidR="0058789B">
        <w:rPr>
          <w:rFonts w:eastAsia="SimSun" w:cs="Calibri" w:hint="eastAsia"/>
          <w:lang w:eastAsia="zh-CN"/>
        </w:rPr>
        <w:t>级</w:t>
      </w:r>
      <w:r w:rsidR="0058789B" w:rsidRPr="0058789B">
        <w:rPr>
          <w:rFonts w:eastAsia="SimSun" w:cs="Calibri" w:hint="eastAsia"/>
          <w:lang w:eastAsia="zh-CN"/>
        </w:rPr>
        <w:t>额外资金需求已列入本</w:t>
      </w:r>
      <w:r w:rsidR="0058789B">
        <w:rPr>
          <w:rFonts w:eastAsia="SimSun" w:cs="Calibri" w:hint="eastAsia"/>
          <w:lang w:eastAsia="zh-CN"/>
        </w:rPr>
        <w:t>双年度</w:t>
      </w:r>
      <w:r w:rsidR="0058789B" w:rsidRPr="0058789B">
        <w:rPr>
          <w:rFonts w:eastAsia="SimSun" w:cs="Calibri" w:hint="eastAsia"/>
          <w:lang w:eastAsia="zh-CN"/>
        </w:rPr>
        <w:t>预算草案。其他</w:t>
      </w:r>
      <w:r w:rsidR="0058789B">
        <w:rPr>
          <w:rFonts w:eastAsia="SimSun" w:cs="Calibri" w:hint="eastAsia"/>
          <w:lang w:eastAsia="zh-CN"/>
        </w:rPr>
        <w:t>需求</w:t>
      </w:r>
      <w:r w:rsidR="0058789B" w:rsidRPr="0058789B">
        <w:rPr>
          <w:rFonts w:eastAsia="SimSun" w:cs="Calibri" w:hint="eastAsia"/>
          <w:lang w:eastAsia="zh-CN"/>
        </w:rPr>
        <w:t>将在执行</w:t>
      </w:r>
      <w:r w:rsidR="0058789B">
        <w:rPr>
          <w:rFonts w:eastAsia="SimSun" w:cs="Calibri" w:hint="eastAsia"/>
          <w:lang w:eastAsia="zh-CN"/>
        </w:rPr>
        <w:t>国际电联</w:t>
      </w:r>
      <w:r w:rsidR="0058789B" w:rsidRPr="0058789B">
        <w:rPr>
          <w:rFonts w:eastAsia="SimSun" w:cs="Calibri" w:hint="eastAsia"/>
          <w:lang w:eastAsia="zh-CN"/>
        </w:rPr>
        <w:t>2024-2025</w:t>
      </w:r>
      <w:r w:rsidR="0058789B" w:rsidRPr="0058789B">
        <w:rPr>
          <w:rFonts w:eastAsia="SimSun" w:cs="Calibri" w:hint="eastAsia"/>
          <w:lang w:eastAsia="zh-CN"/>
        </w:rPr>
        <w:t>年预算时考虑。</w:t>
      </w:r>
    </w:p>
    <w:p w14:paraId="6EE4DB7E" w14:textId="70F50A2B" w:rsidR="00452D10" w:rsidRPr="0058789B" w:rsidRDefault="00452D10" w:rsidP="006C1507">
      <w:pPr>
        <w:pStyle w:val="ListParagraph"/>
        <w:tabs>
          <w:tab w:val="clear" w:pos="567"/>
          <w:tab w:val="clear" w:pos="1134"/>
          <w:tab w:val="clear" w:pos="1701"/>
          <w:tab w:val="clear" w:pos="2268"/>
          <w:tab w:val="clear" w:pos="2835"/>
          <w:tab w:val="left" w:pos="794"/>
        </w:tabs>
        <w:overflowPunct/>
        <w:autoSpaceDE/>
        <w:autoSpaceDN/>
        <w:adjustRightInd/>
        <w:snapToGrid w:val="0"/>
        <w:spacing w:after="120"/>
        <w:ind w:left="0"/>
        <w:contextualSpacing w:val="0"/>
        <w:textAlignment w:val="auto"/>
        <w:rPr>
          <w:rFonts w:eastAsia="SimSun" w:cs="Calibri"/>
          <w:lang w:eastAsia="zh-CN"/>
        </w:rPr>
      </w:pPr>
      <w:r>
        <w:rPr>
          <w:rFonts w:asciiTheme="minorHAnsi" w:hAnsiTheme="minorHAnsi"/>
          <w:lang w:eastAsia="zh-CN"/>
        </w:rPr>
        <w:t>8.2</w:t>
      </w:r>
      <w:r>
        <w:rPr>
          <w:rFonts w:asciiTheme="minorHAnsi" w:hAnsiTheme="minorHAnsi"/>
          <w:lang w:eastAsia="zh-CN"/>
        </w:rPr>
        <w:tab/>
      </w:r>
      <w:r w:rsidR="0058789B" w:rsidRPr="0058789B">
        <w:rPr>
          <w:rFonts w:eastAsia="SimSun" w:cs="Calibri" w:hint="eastAsia"/>
          <w:lang w:eastAsia="zh-CN"/>
        </w:rPr>
        <w:t>国际电联管理层将努力通过以下方式</w:t>
      </w:r>
      <w:r w:rsidR="0058789B">
        <w:rPr>
          <w:rFonts w:eastAsia="SimSun" w:cs="Calibri" w:hint="eastAsia"/>
          <w:lang w:eastAsia="zh-CN"/>
        </w:rPr>
        <w:t>，</w:t>
      </w:r>
      <w:r w:rsidR="0058789B" w:rsidRPr="0058789B">
        <w:rPr>
          <w:rFonts w:eastAsia="SimSun" w:cs="Calibri" w:hint="eastAsia"/>
          <w:lang w:eastAsia="zh-CN"/>
        </w:rPr>
        <w:t>确定</w:t>
      </w:r>
      <w:r w:rsidR="0058789B">
        <w:rPr>
          <w:rFonts w:eastAsia="SimSun" w:cs="Calibri" w:hint="eastAsia"/>
          <w:lang w:eastAsia="zh-CN"/>
        </w:rPr>
        <w:t>在</w:t>
      </w:r>
      <w:r w:rsidR="0058789B" w:rsidRPr="0058789B">
        <w:rPr>
          <w:rFonts w:eastAsia="SimSun" w:cs="Calibri" w:hint="eastAsia"/>
          <w:lang w:eastAsia="zh-CN"/>
        </w:rPr>
        <w:t>执行</w:t>
      </w:r>
      <w:r w:rsidR="0058789B" w:rsidRPr="0058789B">
        <w:rPr>
          <w:rFonts w:eastAsia="SimSun" w:cs="Calibri" w:hint="eastAsia"/>
          <w:lang w:eastAsia="zh-CN"/>
        </w:rPr>
        <w:t>2024-2025</w:t>
      </w:r>
      <w:r w:rsidR="0058789B" w:rsidRPr="0058789B">
        <w:rPr>
          <w:rFonts w:eastAsia="SimSun" w:cs="Calibri" w:hint="eastAsia"/>
          <w:lang w:eastAsia="zh-CN"/>
        </w:rPr>
        <w:t>年预算期间</w:t>
      </w:r>
      <w:r w:rsidR="0058789B">
        <w:rPr>
          <w:rFonts w:eastAsia="SimSun" w:cs="Calibri" w:hint="eastAsia"/>
          <w:lang w:eastAsia="zh-CN"/>
        </w:rPr>
        <w:t>出现的</w:t>
      </w:r>
      <w:r w:rsidR="0058789B" w:rsidRPr="0058789B">
        <w:rPr>
          <w:rFonts w:eastAsia="SimSun" w:cs="Calibri" w:hint="eastAsia"/>
          <w:lang w:eastAsia="zh-CN"/>
        </w:rPr>
        <w:t>任何额外资金需求的资金来源</w:t>
      </w:r>
      <w:r w:rsidR="0058789B">
        <w:rPr>
          <w:rFonts w:eastAsia="SimSun" w:cs="Calibri" w:hint="eastAsia"/>
          <w:lang w:eastAsia="zh-CN"/>
        </w:rPr>
        <w:t>：</w:t>
      </w:r>
    </w:p>
    <w:p w14:paraId="52A7EC4D" w14:textId="630C5FCD" w:rsidR="0058789B" w:rsidRPr="0058789B" w:rsidRDefault="006C1507" w:rsidP="006C1507">
      <w:pPr>
        <w:pStyle w:val="enumlev1"/>
        <w:rPr>
          <w:lang w:eastAsia="zh-CN"/>
        </w:rPr>
      </w:pPr>
      <w:r>
        <w:rPr>
          <w:lang w:eastAsia="zh-CN"/>
        </w:rPr>
        <w:t>–</w:t>
      </w:r>
      <w:r>
        <w:rPr>
          <w:lang w:eastAsia="zh-CN"/>
        </w:rPr>
        <w:tab/>
      </w:r>
      <w:r w:rsidR="0058789B">
        <w:rPr>
          <w:rFonts w:hint="eastAsia"/>
          <w:lang w:eastAsia="zh-CN"/>
        </w:rPr>
        <w:t>筹措</w:t>
      </w:r>
      <w:r w:rsidR="0058789B" w:rsidRPr="0058789B">
        <w:rPr>
          <w:rFonts w:hint="eastAsia"/>
          <w:lang w:eastAsia="zh-CN"/>
        </w:rPr>
        <w:t>预算外资金</w:t>
      </w:r>
      <w:r w:rsidR="0058789B">
        <w:rPr>
          <w:rFonts w:hint="eastAsia"/>
          <w:lang w:eastAsia="zh-CN"/>
        </w:rPr>
        <w:t>（</w:t>
      </w:r>
      <w:r w:rsidR="0058789B" w:rsidRPr="0058789B">
        <w:rPr>
          <w:rFonts w:hint="eastAsia"/>
          <w:lang w:eastAsia="zh-CN"/>
        </w:rPr>
        <w:t>自愿捐款</w:t>
      </w:r>
      <w:r w:rsidR="0058789B">
        <w:rPr>
          <w:rFonts w:hint="eastAsia"/>
          <w:lang w:eastAsia="zh-CN"/>
        </w:rPr>
        <w:t>）</w:t>
      </w:r>
      <w:r w:rsidR="0058789B" w:rsidRPr="0058789B">
        <w:rPr>
          <w:rFonts w:hint="eastAsia"/>
          <w:lang w:eastAsia="zh-CN"/>
        </w:rPr>
        <w:t>；</w:t>
      </w:r>
    </w:p>
    <w:p w14:paraId="0F212296" w14:textId="3E1E39EF" w:rsidR="0058789B" w:rsidRPr="0058789B" w:rsidRDefault="006C1507" w:rsidP="006C1507">
      <w:pPr>
        <w:pStyle w:val="enumlev1"/>
        <w:rPr>
          <w:lang w:eastAsia="zh-CN"/>
        </w:rPr>
      </w:pPr>
      <w:r>
        <w:rPr>
          <w:lang w:eastAsia="zh-CN"/>
        </w:rPr>
        <w:t>–</w:t>
      </w:r>
      <w:r>
        <w:rPr>
          <w:lang w:eastAsia="zh-CN"/>
        </w:rPr>
        <w:tab/>
      </w:r>
      <w:r w:rsidR="0058789B" w:rsidRPr="0058789B">
        <w:rPr>
          <w:rFonts w:hint="eastAsia"/>
          <w:lang w:eastAsia="zh-CN"/>
        </w:rPr>
        <w:t>使用因实施自愿离职方案而腾出的资金；</w:t>
      </w:r>
    </w:p>
    <w:p w14:paraId="67B06524" w14:textId="14615FCB" w:rsidR="0058789B" w:rsidRPr="0058789B" w:rsidRDefault="006C1507" w:rsidP="006C1507">
      <w:pPr>
        <w:pStyle w:val="enumlev1"/>
        <w:rPr>
          <w:lang w:eastAsia="zh-CN"/>
        </w:rPr>
      </w:pPr>
      <w:r>
        <w:rPr>
          <w:lang w:eastAsia="zh-CN"/>
        </w:rPr>
        <w:t>–</w:t>
      </w:r>
      <w:r>
        <w:rPr>
          <w:lang w:eastAsia="zh-CN"/>
        </w:rPr>
        <w:tab/>
      </w:r>
      <w:r w:rsidR="0058789B" w:rsidRPr="0058789B">
        <w:rPr>
          <w:rFonts w:hint="eastAsia"/>
          <w:lang w:eastAsia="zh-CN"/>
        </w:rPr>
        <w:t>根据第</w:t>
      </w:r>
      <w:r w:rsidR="0058789B" w:rsidRPr="0058789B">
        <w:rPr>
          <w:rFonts w:hint="eastAsia"/>
          <w:lang w:eastAsia="zh-CN"/>
        </w:rPr>
        <w:t>5</w:t>
      </w:r>
      <w:r w:rsidR="0058789B" w:rsidRPr="0058789B">
        <w:rPr>
          <w:rFonts w:hint="eastAsia"/>
          <w:lang w:eastAsia="zh-CN"/>
        </w:rPr>
        <w:t>号决定（</w:t>
      </w:r>
      <w:r w:rsidR="0058789B" w:rsidRPr="0058789B">
        <w:rPr>
          <w:rFonts w:hint="eastAsia"/>
          <w:lang w:eastAsia="zh-CN"/>
        </w:rPr>
        <w:t>2022</w:t>
      </w:r>
      <w:r w:rsidR="0058789B" w:rsidRPr="0058789B">
        <w:rPr>
          <w:rFonts w:hint="eastAsia"/>
          <w:lang w:eastAsia="zh-CN"/>
        </w:rPr>
        <w:t>年，布加勒斯特，修订版）附件</w:t>
      </w:r>
      <w:r w:rsidR="0058789B" w:rsidRPr="0058789B">
        <w:rPr>
          <w:rFonts w:hint="eastAsia"/>
          <w:lang w:eastAsia="zh-CN"/>
        </w:rPr>
        <w:t>2</w:t>
      </w:r>
      <w:r w:rsidR="0058789B" w:rsidRPr="0058789B">
        <w:rPr>
          <w:rFonts w:hint="eastAsia"/>
          <w:lang w:eastAsia="zh-CN"/>
        </w:rPr>
        <w:t>引入增效措施；</w:t>
      </w:r>
    </w:p>
    <w:p w14:paraId="7524F229" w14:textId="6BF08F12" w:rsidR="0058789B" w:rsidRPr="0058789B" w:rsidRDefault="006C1507" w:rsidP="006C1507">
      <w:pPr>
        <w:pStyle w:val="enumlev1"/>
        <w:rPr>
          <w:lang w:eastAsia="zh-CN"/>
        </w:rPr>
      </w:pPr>
      <w:r>
        <w:rPr>
          <w:lang w:eastAsia="zh-CN"/>
        </w:rPr>
        <w:t>–</w:t>
      </w:r>
      <w:r>
        <w:rPr>
          <w:lang w:eastAsia="zh-CN"/>
        </w:rPr>
        <w:tab/>
      </w:r>
      <w:r w:rsidR="0058789B" w:rsidRPr="0058789B">
        <w:rPr>
          <w:rFonts w:hint="eastAsia"/>
          <w:lang w:eastAsia="zh-CN"/>
        </w:rPr>
        <w:t>确定活动的优先</w:t>
      </w:r>
      <w:r w:rsidR="0058789B">
        <w:rPr>
          <w:rFonts w:hint="eastAsia"/>
          <w:lang w:eastAsia="zh-CN"/>
        </w:rPr>
        <w:t>级</w:t>
      </w:r>
      <w:r w:rsidR="0058789B" w:rsidRPr="0058789B">
        <w:rPr>
          <w:rFonts w:hint="eastAsia"/>
          <w:lang w:eastAsia="zh-CN"/>
        </w:rPr>
        <w:t>，包括</w:t>
      </w:r>
      <w:r w:rsidR="0058789B">
        <w:rPr>
          <w:rFonts w:hint="eastAsia"/>
          <w:lang w:eastAsia="zh-CN"/>
        </w:rPr>
        <w:t>结束部分举措</w:t>
      </w:r>
      <w:r w:rsidR="0058789B" w:rsidRPr="0058789B">
        <w:rPr>
          <w:rFonts w:hint="eastAsia"/>
          <w:lang w:eastAsia="zh-CN"/>
        </w:rPr>
        <w:t>；</w:t>
      </w:r>
    </w:p>
    <w:p w14:paraId="62A2E6CB" w14:textId="284D0E59" w:rsidR="0058789B" w:rsidRPr="0060621F" w:rsidRDefault="006C1507" w:rsidP="006C1507">
      <w:pPr>
        <w:pStyle w:val="enumlev1"/>
        <w:rPr>
          <w:lang w:eastAsia="zh-CN"/>
        </w:rPr>
      </w:pPr>
      <w:r>
        <w:rPr>
          <w:lang w:eastAsia="zh-CN"/>
        </w:rPr>
        <w:t>–</w:t>
      </w:r>
      <w:r>
        <w:rPr>
          <w:lang w:eastAsia="zh-CN"/>
        </w:rPr>
        <w:tab/>
      </w:r>
      <w:r w:rsidR="0058789B" w:rsidRPr="0058789B">
        <w:rPr>
          <w:rFonts w:hint="eastAsia"/>
          <w:lang w:eastAsia="zh-CN"/>
        </w:rPr>
        <w:t>卓越的组织能力。</w:t>
      </w:r>
    </w:p>
    <w:p w14:paraId="3DC4DBDB" w14:textId="77777777" w:rsidR="00DA7CBE" w:rsidRDefault="00DA7CBE">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14:paraId="1BC11501" w14:textId="186D8CF2" w:rsidR="00452D10" w:rsidRDefault="0058789B" w:rsidP="00452D10">
      <w:pPr>
        <w:pStyle w:val="AnnexNo"/>
        <w:rPr>
          <w:lang w:eastAsia="zh-CN"/>
        </w:rPr>
      </w:pPr>
      <w:r>
        <w:rPr>
          <w:rFonts w:hint="eastAsia"/>
          <w:lang w:eastAsia="zh-CN"/>
        </w:rPr>
        <w:lastRenderedPageBreak/>
        <w:t>附件</w:t>
      </w:r>
    </w:p>
    <w:p w14:paraId="594F924A" w14:textId="39CE14A8" w:rsidR="00452D10" w:rsidRDefault="0058789B" w:rsidP="00452D10">
      <w:pPr>
        <w:pStyle w:val="ResNo"/>
        <w:rPr>
          <w:lang w:eastAsia="zh-CN"/>
        </w:rPr>
      </w:pPr>
      <w:r>
        <w:rPr>
          <w:rFonts w:hint="eastAsia"/>
          <w:lang w:eastAsia="zh-CN"/>
        </w:rPr>
        <w:t>第</w:t>
      </w:r>
      <w:r w:rsidR="00452D10">
        <w:rPr>
          <w:lang w:eastAsia="zh-CN"/>
        </w:rPr>
        <w:t>XXX</w:t>
      </w:r>
      <w:r>
        <w:rPr>
          <w:rFonts w:hint="eastAsia"/>
          <w:lang w:eastAsia="zh-CN"/>
        </w:rPr>
        <w:t>号决议草案</w:t>
      </w:r>
    </w:p>
    <w:p w14:paraId="5CAC134C" w14:textId="53851619" w:rsidR="00452D10" w:rsidRPr="008E4E05" w:rsidRDefault="0058789B" w:rsidP="00452D10">
      <w:pPr>
        <w:pStyle w:val="Restitle"/>
        <w:rPr>
          <w:lang w:eastAsia="zh-CN"/>
        </w:rPr>
      </w:pPr>
      <w:r w:rsidRPr="0058789B">
        <w:rPr>
          <w:rFonts w:hint="eastAsia"/>
          <w:lang w:eastAsia="zh-CN"/>
        </w:rPr>
        <w:t>国际电联</w:t>
      </w:r>
      <w:r w:rsidRPr="0058789B">
        <w:rPr>
          <w:rFonts w:hint="eastAsia"/>
          <w:lang w:eastAsia="zh-CN"/>
        </w:rPr>
        <w:t>2024-2025</w:t>
      </w:r>
      <w:r w:rsidRPr="0058789B">
        <w:rPr>
          <w:rFonts w:hint="eastAsia"/>
          <w:lang w:eastAsia="zh-CN"/>
        </w:rPr>
        <w:t>双年度预算</w:t>
      </w:r>
    </w:p>
    <w:p w14:paraId="506D3276" w14:textId="136F216C" w:rsidR="00452D10" w:rsidRPr="0041356C" w:rsidRDefault="0058789B" w:rsidP="00452D10">
      <w:pPr>
        <w:pStyle w:val="Normalaftertitle"/>
        <w:rPr>
          <w:lang w:eastAsia="zh-CN"/>
        </w:rPr>
      </w:pPr>
      <w:r>
        <w:rPr>
          <w:rFonts w:hint="eastAsia"/>
          <w:lang w:eastAsia="zh-CN"/>
        </w:rPr>
        <w:t>国际电联</w:t>
      </w:r>
      <w:r w:rsidRPr="0058789B">
        <w:rPr>
          <w:rFonts w:hint="eastAsia"/>
          <w:lang w:eastAsia="zh-CN"/>
        </w:rPr>
        <w:t>理事会，</w:t>
      </w:r>
    </w:p>
    <w:p w14:paraId="1097C735" w14:textId="77777777" w:rsidR="0058789B" w:rsidRPr="0018745A" w:rsidRDefault="0058789B" w:rsidP="0058789B">
      <w:pPr>
        <w:pStyle w:val="Call"/>
        <w:rPr>
          <w:rFonts w:eastAsia="STKaiti"/>
          <w:lang w:eastAsia="zh-CN"/>
        </w:rPr>
      </w:pPr>
      <w:r w:rsidRPr="0018745A">
        <w:rPr>
          <w:rFonts w:eastAsia="STKaiti" w:hint="eastAsia"/>
          <w:lang w:eastAsia="zh-CN"/>
        </w:rPr>
        <w:t>鉴于</w:t>
      </w:r>
    </w:p>
    <w:p w14:paraId="29C1F799" w14:textId="77777777" w:rsidR="0058789B" w:rsidRPr="00EE181E" w:rsidRDefault="0058789B" w:rsidP="0058789B">
      <w:pPr>
        <w:ind w:firstLineChars="200" w:firstLine="480"/>
        <w:rPr>
          <w:szCs w:val="24"/>
          <w:lang w:eastAsia="zh-CN"/>
        </w:rPr>
      </w:pPr>
      <w:r w:rsidRPr="00EE181E">
        <w:rPr>
          <w:szCs w:val="24"/>
          <w:lang w:eastAsia="zh-CN"/>
        </w:rPr>
        <w:t>国际电信联盟《公约》的相关条款，</w:t>
      </w:r>
    </w:p>
    <w:p w14:paraId="04505FC4" w14:textId="11447D08" w:rsidR="00452D10" w:rsidRPr="0041356C" w:rsidRDefault="0058789B" w:rsidP="0058789B">
      <w:pPr>
        <w:pStyle w:val="Call"/>
        <w:rPr>
          <w:lang w:eastAsia="zh-CN"/>
        </w:rPr>
      </w:pPr>
      <w:r w:rsidRPr="0018745A">
        <w:rPr>
          <w:rFonts w:eastAsia="STKaiti"/>
          <w:lang w:eastAsia="zh-CN"/>
        </w:rPr>
        <w:t>铭记</w:t>
      </w:r>
    </w:p>
    <w:p w14:paraId="1A76A797" w14:textId="797C5554" w:rsidR="00452D10" w:rsidRPr="0041356C" w:rsidRDefault="00452D10" w:rsidP="00452D10">
      <w:pPr>
        <w:rPr>
          <w:lang w:eastAsia="zh-CN"/>
        </w:rPr>
      </w:pPr>
      <w:r w:rsidRPr="0041356C">
        <w:rPr>
          <w:i/>
          <w:iCs/>
          <w:lang w:eastAsia="zh-CN"/>
        </w:rPr>
        <w:t>a)</w:t>
      </w:r>
      <w:r w:rsidRPr="0041356C">
        <w:rPr>
          <w:lang w:eastAsia="zh-CN"/>
        </w:rPr>
        <w:tab/>
      </w:r>
      <w:r w:rsidR="0058789B">
        <w:rPr>
          <w:rFonts w:hint="eastAsia"/>
          <w:szCs w:val="24"/>
          <w:lang w:eastAsia="zh-CN"/>
        </w:rPr>
        <w:t>有关国际电联</w:t>
      </w:r>
      <w:r w:rsidR="0058789B">
        <w:rPr>
          <w:rFonts w:hint="eastAsia"/>
          <w:szCs w:val="24"/>
          <w:lang w:eastAsia="zh-CN"/>
        </w:rPr>
        <w:t>20</w:t>
      </w:r>
      <w:r w:rsidR="0058789B">
        <w:rPr>
          <w:szCs w:val="24"/>
          <w:lang w:eastAsia="zh-CN"/>
        </w:rPr>
        <w:t>24</w:t>
      </w:r>
      <w:r w:rsidR="0058789B">
        <w:rPr>
          <w:rFonts w:hint="eastAsia"/>
          <w:szCs w:val="24"/>
          <w:lang w:eastAsia="zh-CN"/>
        </w:rPr>
        <w:t>-20</w:t>
      </w:r>
      <w:r w:rsidR="0058789B">
        <w:rPr>
          <w:szCs w:val="24"/>
          <w:lang w:eastAsia="zh-CN"/>
        </w:rPr>
        <w:t>27</w:t>
      </w:r>
      <w:r w:rsidR="0058789B">
        <w:rPr>
          <w:rFonts w:hint="eastAsia"/>
          <w:szCs w:val="24"/>
          <w:lang w:eastAsia="zh-CN"/>
        </w:rPr>
        <w:t>年阶段收支的</w:t>
      </w:r>
      <w:r w:rsidR="0058789B" w:rsidRPr="00C70206">
        <w:rPr>
          <w:szCs w:val="24"/>
          <w:lang w:eastAsia="zh-CN"/>
        </w:rPr>
        <w:t>全权代表大会第</w:t>
      </w:r>
      <w:r w:rsidR="0058789B" w:rsidRPr="00C70206">
        <w:rPr>
          <w:szCs w:val="24"/>
          <w:lang w:eastAsia="zh-CN"/>
        </w:rPr>
        <w:t>5</w:t>
      </w:r>
      <w:r w:rsidR="0058789B" w:rsidRPr="00C70206">
        <w:rPr>
          <w:szCs w:val="24"/>
          <w:lang w:eastAsia="zh-CN"/>
        </w:rPr>
        <w:t>号决定（</w:t>
      </w:r>
      <w:r w:rsidR="0058789B">
        <w:rPr>
          <w:lang w:eastAsia="zh-CN"/>
        </w:rPr>
        <w:t>2022</w:t>
      </w:r>
      <w:r w:rsidR="0058789B">
        <w:rPr>
          <w:lang w:eastAsia="zh-CN"/>
        </w:rPr>
        <w:t>年，布加勒斯特，修订版</w:t>
      </w:r>
      <w:r w:rsidR="0058789B">
        <w:rPr>
          <w:rFonts w:hint="eastAsia"/>
          <w:szCs w:val="24"/>
          <w:lang w:eastAsia="zh-CN"/>
        </w:rPr>
        <w:t>）</w:t>
      </w:r>
      <w:r w:rsidR="0058789B" w:rsidRPr="00C70206">
        <w:rPr>
          <w:szCs w:val="24"/>
          <w:lang w:eastAsia="zh-CN"/>
        </w:rPr>
        <w:t>的条款，</w:t>
      </w:r>
      <w:r w:rsidR="0058789B">
        <w:rPr>
          <w:rFonts w:hint="eastAsia"/>
          <w:szCs w:val="24"/>
          <w:lang w:eastAsia="zh-CN"/>
        </w:rPr>
        <w:t>这些条款</w:t>
      </w:r>
      <w:r w:rsidR="0058789B" w:rsidRPr="00C70206">
        <w:rPr>
          <w:szCs w:val="24"/>
          <w:lang w:eastAsia="zh-CN"/>
        </w:rPr>
        <w:t>规定</w:t>
      </w:r>
      <w:r w:rsidR="0058789B" w:rsidRPr="00826354">
        <w:rPr>
          <w:rFonts w:asciiTheme="minorHAnsi" w:hAnsiTheme="minorHAnsi"/>
          <w:snapToGrid w:val="0"/>
          <w:spacing w:val="-4"/>
          <w:lang w:eastAsia="zh-CN"/>
        </w:rPr>
        <w:t>202</w:t>
      </w:r>
      <w:r w:rsidR="0058789B">
        <w:rPr>
          <w:rFonts w:asciiTheme="minorHAnsi" w:hAnsiTheme="minorHAnsi"/>
          <w:snapToGrid w:val="0"/>
          <w:spacing w:val="-4"/>
          <w:lang w:eastAsia="zh-CN"/>
        </w:rPr>
        <w:t>4</w:t>
      </w:r>
      <w:r w:rsidR="0058789B" w:rsidRPr="00826354">
        <w:rPr>
          <w:rFonts w:asciiTheme="minorHAnsi" w:hAnsiTheme="minorHAnsi"/>
          <w:snapToGrid w:val="0"/>
          <w:spacing w:val="-4"/>
          <w:lang w:eastAsia="zh-CN"/>
        </w:rPr>
        <w:t>-202</w:t>
      </w:r>
      <w:r w:rsidR="0058789B">
        <w:rPr>
          <w:rFonts w:asciiTheme="minorHAnsi" w:hAnsiTheme="minorHAnsi"/>
          <w:snapToGrid w:val="0"/>
          <w:spacing w:val="-4"/>
          <w:lang w:eastAsia="zh-CN"/>
        </w:rPr>
        <w:t>5</w:t>
      </w:r>
      <w:r w:rsidR="0058789B" w:rsidRPr="00C70206">
        <w:rPr>
          <w:szCs w:val="24"/>
          <w:lang w:eastAsia="zh-CN"/>
        </w:rPr>
        <w:t>年</w:t>
      </w:r>
      <w:r w:rsidR="0058789B">
        <w:rPr>
          <w:rFonts w:hint="eastAsia"/>
          <w:szCs w:val="24"/>
          <w:lang w:eastAsia="zh-CN"/>
        </w:rPr>
        <w:t>的成员国</w:t>
      </w:r>
      <w:r w:rsidR="0058789B" w:rsidRPr="00C70206">
        <w:rPr>
          <w:szCs w:val="24"/>
          <w:lang w:eastAsia="zh-CN"/>
        </w:rPr>
        <w:t>会费单位金额不得超</w:t>
      </w:r>
      <w:r w:rsidR="0058789B">
        <w:rPr>
          <w:rFonts w:hint="eastAsia"/>
          <w:szCs w:val="24"/>
          <w:lang w:eastAsia="zh-CN"/>
        </w:rPr>
        <w:t>出</w:t>
      </w:r>
      <w:r w:rsidR="0058789B" w:rsidRPr="00C70206">
        <w:rPr>
          <w:szCs w:val="24"/>
          <w:lang w:eastAsia="zh-CN"/>
        </w:rPr>
        <w:t>3</w:t>
      </w:r>
      <w:r w:rsidR="0058789B">
        <w:rPr>
          <w:rFonts w:hint="eastAsia"/>
          <w:szCs w:val="24"/>
          <w:lang w:eastAsia="zh-CN"/>
        </w:rPr>
        <w:t>18</w:t>
      </w:r>
      <w:r w:rsidR="0058789B">
        <w:rPr>
          <w:szCs w:val="24"/>
          <w:lang w:val="en-US" w:eastAsia="zh-CN"/>
        </w:rPr>
        <w:t> </w:t>
      </w:r>
      <w:r w:rsidR="0058789B" w:rsidRPr="00C70206">
        <w:rPr>
          <w:szCs w:val="24"/>
          <w:lang w:eastAsia="zh-CN"/>
        </w:rPr>
        <w:t>000</w:t>
      </w:r>
      <w:r w:rsidR="0058789B">
        <w:rPr>
          <w:szCs w:val="24"/>
          <w:lang w:eastAsia="zh-CN"/>
        </w:rPr>
        <w:t>瑞郎</w:t>
      </w:r>
      <w:r w:rsidR="0058789B">
        <w:rPr>
          <w:rFonts w:hint="eastAsia"/>
          <w:szCs w:val="24"/>
          <w:lang w:eastAsia="zh-CN"/>
        </w:rPr>
        <w:t>；</w:t>
      </w:r>
    </w:p>
    <w:p w14:paraId="550806F9" w14:textId="5ACAF629" w:rsidR="00452D10" w:rsidRPr="0041356C" w:rsidRDefault="00452D10" w:rsidP="00452D10">
      <w:pPr>
        <w:rPr>
          <w:lang w:eastAsia="zh-CN"/>
        </w:rPr>
      </w:pPr>
      <w:r w:rsidRPr="0041356C">
        <w:rPr>
          <w:i/>
          <w:iCs/>
          <w:lang w:eastAsia="zh-CN"/>
        </w:rPr>
        <w:t>b)</w:t>
      </w:r>
      <w:r w:rsidRPr="0041356C">
        <w:rPr>
          <w:lang w:eastAsia="zh-CN"/>
        </w:rPr>
        <w:tab/>
      </w:r>
      <w:r w:rsidR="0058789B">
        <w:rPr>
          <w:rFonts w:hint="eastAsia"/>
          <w:lang w:eastAsia="zh-CN"/>
        </w:rPr>
        <w:t>与拨款转账相关的《财务规则和财务细则》第</w:t>
      </w:r>
      <w:r w:rsidR="0058789B">
        <w:rPr>
          <w:lang w:eastAsia="zh-CN"/>
        </w:rPr>
        <w:t>11</w:t>
      </w:r>
      <w:r w:rsidR="0058789B">
        <w:rPr>
          <w:rFonts w:hint="eastAsia"/>
          <w:lang w:eastAsia="zh-CN"/>
        </w:rPr>
        <w:t>条的规定，</w:t>
      </w:r>
    </w:p>
    <w:p w14:paraId="3000645C" w14:textId="624A0078" w:rsidR="00452D10" w:rsidRPr="00F06177" w:rsidRDefault="0058789B" w:rsidP="00F06177">
      <w:pPr>
        <w:pStyle w:val="Call"/>
        <w:rPr>
          <w:lang w:eastAsia="zh-CN"/>
        </w:rPr>
      </w:pPr>
      <w:r w:rsidRPr="00F06177">
        <w:rPr>
          <w:rFonts w:eastAsia="STKaiti"/>
          <w:lang w:eastAsia="zh-CN"/>
        </w:rPr>
        <w:t>做出决议，批准</w:t>
      </w:r>
    </w:p>
    <w:p w14:paraId="1A16F876" w14:textId="3EC79044" w:rsidR="00452D10" w:rsidRDefault="00F06177" w:rsidP="006C1507">
      <w:pPr>
        <w:ind w:firstLineChars="200" w:firstLine="480"/>
        <w:rPr>
          <w:lang w:eastAsia="zh-CN"/>
        </w:rPr>
      </w:pPr>
      <w:r w:rsidRPr="00EE181E">
        <w:rPr>
          <w:rFonts w:hAnsi="Verdana"/>
          <w:lang w:eastAsia="zh-CN"/>
        </w:rPr>
        <w:t>国际电联</w:t>
      </w:r>
      <w:r w:rsidRPr="00C70206">
        <w:rPr>
          <w:szCs w:val="24"/>
          <w:lang w:eastAsia="zh-CN"/>
        </w:rPr>
        <w:t>20</w:t>
      </w:r>
      <w:r>
        <w:rPr>
          <w:szCs w:val="24"/>
          <w:lang w:eastAsia="zh-CN"/>
        </w:rPr>
        <w:t>24</w:t>
      </w:r>
      <w:r w:rsidRPr="00C70206">
        <w:rPr>
          <w:szCs w:val="24"/>
          <w:lang w:eastAsia="zh-CN"/>
        </w:rPr>
        <w:t>-20</w:t>
      </w:r>
      <w:r>
        <w:rPr>
          <w:szCs w:val="24"/>
          <w:lang w:eastAsia="zh-CN"/>
        </w:rPr>
        <w:t>25</w:t>
      </w:r>
      <w:r w:rsidRPr="00EE181E">
        <w:rPr>
          <w:rFonts w:hAnsi="Verdana"/>
          <w:lang w:eastAsia="zh-CN"/>
        </w:rPr>
        <w:t>双年度预算</w:t>
      </w:r>
      <w:r>
        <w:rPr>
          <w:rFonts w:hAnsi="Verdana" w:hint="eastAsia"/>
          <w:lang w:eastAsia="zh-CN"/>
        </w:rPr>
        <w:t>，</w:t>
      </w:r>
      <w:r w:rsidRPr="00EE181E">
        <w:rPr>
          <w:lang w:eastAsia="zh-CN"/>
        </w:rPr>
        <w:t>20</w:t>
      </w:r>
      <w:r>
        <w:rPr>
          <w:lang w:eastAsia="zh-CN"/>
        </w:rPr>
        <w:t>24</w:t>
      </w:r>
      <w:r>
        <w:rPr>
          <w:rFonts w:hAnsi="Verdana"/>
          <w:lang w:eastAsia="zh-CN"/>
        </w:rPr>
        <w:t>年的</w:t>
      </w:r>
      <w:r>
        <w:rPr>
          <w:rFonts w:hAnsi="Verdana" w:hint="eastAsia"/>
          <w:lang w:eastAsia="zh-CN"/>
        </w:rPr>
        <w:t>金</w:t>
      </w:r>
      <w:r w:rsidRPr="00EE181E">
        <w:rPr>
          <w:rFonts w:hAnsi="Verdana"/>
          <w:lang w:eastAsia="zh-CN"/>
        </w:rPr>
        <w:t>额为</w:t>
      </w:r>
      <w:r>
        <w:rPr>
          <w:rFonts w:asciiTheme="minorHAnsi" w:hAnsiTheme="minorHAnsi" w:cstheme="minorHAnsi"/>
          <w:lang w:eastAsia="zh-CN"/>
        </w:rPr>
        <w:t>164 933 000</w:t>
      </w:r>
      <w:r>
        <w:rPr>
          <w:rFonts w:hAnsi="Verdana"/>
          <w:lang w:eastAsia="zh-CN"/>
        </w:rPr>
        <w:t>瑞郎</w:t>
      </w:r>
      <w:r w:rsidRPr="00EE181E">
        <w:rPr>
          <w:rFonts w:hAnsi="Verdana"/>
          <w:lang w:eastAsia="zh-CN"/>
        </w:rPr>
        <w:t>，</w:t>
      </w:r>
      <w:r w:rsidRPr="00EE181E">
        <w:rPr>
          <w:lang w:eastAsia="zh-CN"/>
        </w:rPr>
        <w:t>20</w:t>
      </w:r>
      <w:r>
        <w:rPr>
          <w:lang w:eastAsia="zh-CN"/>
        </w:rPr>
        <w:t>25</w:t>
      </w:r>
      <w:r>
        <w:rPr>
          <w:rFonts w:hAnsi="Verdana"/>
          <w:lang w:eastAsia="zh-CN"/>
        </w:rPr>
        <w:t>年的</w:t>
      </w:r>
      <w:r>
        <w:rPr>
          <w:rFonts w:hAnsi="Verdana" w:hint="eastAsia"/>
          <w:lang w:eastAsia="zh-CN"/>
        </w:rPr>
        <w:t>金</w:t>
      </w:r>
      <w:r w:rsidRPr="00EE181E">
        <w:rPr>
          <w:rFonts w:hAnsi="Verdana"/>
          <w:lang w:eastAsia="zh-CN"/>
        </w:rPr>
        <w:t>额为</w:t>
      </w:r>
      <w:r>
        <w:rPr>
          <w:rFonts w:asciiTheme="minorHAnsi" w:hAnsiTheme="minorHAnsi" w:cstheme="minorHAnsi"/>
          <w:lang w:eastAsia="zh-CN"/>
        </w:rPr>
        <w:t>164 134 000</w:t>
      </w:r>
      <w:r>
        <w:rPr>
          <w:rFonts w:hAnsi="Verdana"/>
          <w:lang w:eastAsia="zh-CN"/>
        </w:rPr>
        <w:t>瑞郎</w:t>
      </w:r>
      <w:r w:rsidRPr="00EE181E">
        <w:rPr>
          <w:rFonts w:hAnsi="Verdana"/>
          <w:lang w:eastAsia="zh-CN"/>
        </w:rPr>
        <w:t>，或</w:t>
      </w:r>
      <w:r w:rsidRPr="00C70206">
        <w:rPr>
          <w:szCs w:val="24"/>
          <w:lang w:eastAsia="zh-CN"/>
        </w:rPr>
        <w:t>20</w:t>
      </w:r>
      <w:r>
        <w:rPr>
          <w:szCs w:val="24"/>
          <w:lang w:eastAsia="zh-CN"/>
        </w:rPr>
        <w:t>24</w:t>
      </w:r>
      <w:r w:rsidRPr="00C70206">
        <w:rPr>
          <w:szCs w:val="24"/>
          <w:lang w:eastAsia="zh-CN"/>
        </w:rPr>
        <w:t>-20</w:t>
      </w:r>
      <w:r>
        <w:rPr>
          <w:szCs w:val="24"/>
          <w:lang w:eastAsia="zh-CN"/>
        </w:rPr>
        <w:t>25</w:t>
      </w:r>
      <w:r w:rsidRPr="00EE181E">
        <w:rPr>
          <w:lang w:eastAsia="zh-CN"/>
        </w:rPr>
        <w:t>双年度总额为</w:t>
      </w:r>
      <w:r>
        <w:rPr>
          <w:rFonts w:asciiTheme="minorHAnsi" w:hAnsiTheme="minorHAnsi" w:cstheme="minorHAnsi"/>
          <w:lang w:eastAsia="zh-CN"/>
        </w:rPr>
        <w:t>329 067 000</w:t>
      </w:r>
      <w:r>
        <w:rPr>
          <w:rFonts w:hAnsi="Verdana"/>
          <w:lang w:eastAsia="zh-CN"/>
        </w:rPr>
        <w:t>瑞郎</w:t>
      </w:r>
      <w:r>
        <w:rPr>
          <w:rFonts w:hAnsi="Verdana" w:hint="eastAsia"/>
          <w:lang w:eastAsia="zh-CN"/>
        </w:rPr>
        <w:t>，具体</w:t>
      </w:r>
      <w:r w:rsidRPr="00EE181E">
        <w:rPr>
          <w:rFonts w:hAnsi="Verdana"/>
          <w:lang w:eastAsia="zh-CN"/>
        </w:rPr>
        <w:t>拨款如下：</w:t>
      </w:r>
    </w:p>
    <w:p w14:paraId="45186E2E" w14:textId="11FAC720" w:rsidR="00A70E3F" w:rsidRPr="0041356C" w:rsidRDefault="00E328F9" w:rsidP="00B73E8B">
      <w:pPr>
        <w:jc w:val="center"/>
        <w:rPr>
          <w:lang w:eastAsia="zh-CN"/>
        </w:rPr>
      </w:pPr>
      <w:r w:rsidRPr="00E328F9">
        <w:rPr>
          <w:rFonts w:hint="eastAsia"/>
          <w:noProof/>
        </w:rPr>
        <w:drawing>
          <wp:inline distT="0" distB="0" distL="0" distR="0" wp14:anchorId="4AA15996" wp14:editId="0A4E1C53">
            <wp:extent cx="5978106" cy="1992702"/>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3542" cy="1994514"/>
                    </a:xfrm>
                    <a:prstGeom prst="rect">
                      <a:avLst/>
                    </a:prstGeom>
                    <a:noFill/>
                    <a:ln>
                      <a:noFill/>
                    </a:ln>
                  </pic:spPr>
                </pic:pic>
              </a:graphicData>
            </a:graphic>
          </wp:inline>
        </w:drawing>
      </w:r>
    </w:p>
    <w:p w14:paraId="74CCC5BA" w14:textId="6040DC72" w:rsidR="00452D10" w:rsidRPr="00F06177" w:rsidRDefault="00F06177" w:rsidP="006C1507">
      <w:pPr>
        <w:pStyle w:val="Call"/>
        <w:rPr>
          <w:i/>
          <w:iCs/>
          <w:lang w:eastAsia="zh-CN"/>
        </w:rPr>
      </w:pPr>
      <w:r w:rsidRPr="00F06177">
        <w:rPr>
          <w:rFonts w:eastAsia="STKaiti" w:hint="eastAsia"/>
          <w:iCs/>
          <w:lang w:eastAsia="zh-CN"/>
        </w:rPr>
        <w:t>进一步做出决议</w:t>
      </w:r>
    </w:p>
    <w:p w14:paraId="6ECA6B3A" w14:textId="08F9F7D3" w:rsidR="00452D10" w:rsidRPr="00655E8C" w:rsidRDefault="00452D10" w:rsidP="00452D10">
      <w:pPr>
        <w:rPr>
          <w:lang w:eastAsia="zh-CN"/>
        </w:rPr>
      </w:pPr>
      <w:r w:rsidRPr="00655E8C">
        <w:rPr>
          <w:lang w:eastAsia="zh-CN"/>
        </w:rPr>
        <w:t>1</w:t>
      </w:r>
      <w:r w:rsidRPr="00655E8C">
        <w:rPr>
          <w:lang w:eastAsia="zh-CN"/>
        </w:rPr>
        <w:tab/>
      </w:r>
      <w:r w:rsidR="00F06177" w:rsidRPr="00EE181E">
        <w:rPr>
          <w:rFonts w:hint="eastAsia"/>
          <w:lang w:eastAsia="zh-CN"/>
        </w:rPr>
        <w:t>根据成员国依照国际电信联盟《组织法》第</w:t>
      </w:r>
      <w:r w:rsidR="00F06177" w:rsidRPr="00EE181E">
        <w:rPr>
          <w:lang w:eastAsia="zh-CN"/>
        </w:rPr>
        <w:t>160</w:t>
      </w:r>
      <w:r w:rsidR="00F06177" w:rsidRPr="00EE181E">
        <w:rPr>
          <w:rFonts w:hint="eastAsia"/>
          <w:lang w:eastAsia="zh-CN"/>
        </w:rPr>
        <w:t>款和《公约》第</w:t>
      </w:r>
      <w:r w:rsidR="00F06177" w:rsidRPr="00EE181E">
        <w:rPr>
          <w:lang w:eastAsia="zh-CN"/>
        </w:rPr>
        <w:t>468</w:t>
      </w:r>
      <w:r w:rsidR="00F06177" w:rsidRPr="00EE181E">
        <w:rPr>
          <w:rFonts w:hint="eastAsia"/>
          <w:lang w:eastAsia="zh-CN"/>
        </w:rPr>
        <w:t>款所选会费等级，即，在总数为</w:t>
      </w:r>
      <w:r w:rsidR="00F06177" w:rsidRPr="00655E8C">
        <w:rPr>
          <w:lang w:eastAsia="zh-CN"/>
        </w:rPr>
        <w:t>3</w:t>
      </w:r>
      <w:r w:rsidR="00F06177">
        <w:rPr>
          <w:lang w:eastAsia="zh-CN"/>
        </w:rPr>
        <w:t>55 </w:t>
      </w:r>
      <w:r w:rsidR="00F06177" w:rsidRPr="00655E8C">
        <w:rPr>
          <w:lang w:eastAsia="zh-CN"/>
        </w:rPr>
        <w:t>1</w:t>
      </w:r>
      <w:r w:rsidR="00F06177">
        <w:rPr>
          <w:lang w:eastAsia="zh-CN"/>
        </w:rPr>
        <w:t>5</w:t>
      </w:r>
      <w:r w:rsidR="00F06177" w:rsidRPr="00655E8C">
        <w:rPr>
          <w:lang w:eastAsia="zh-CN"/>
        </w:rPr>
        <w:t>/16</w:t>
      </w:r>
      <w:r w:rsidR="00F06177" w:rsidRPr="00EE181E">
        <w:rPr>
          <w:rFonts w:hint="eastAsia"/>
          <w:lang w:eastAsia="zh-CN"/>
        </w:rPr>
        <w:t>个会费单位的基础上，确定</w:t>
      </w:r>
      <w:r w:rsidR="00F06177" w:rsidRPr="00EE181E">
        <w:rPr>
          <w:lang w:eastAsia="zh-CN"/>
        </w:rPr>
        <w:t>20</w:t>
      </w:r>
      <w:r w:rsidR="00F06177">
        <w:rPr>
          <w:lang w:eastAsia="zh-CN"/>
        </w:rPr>
        <w:t>24</w:t>
      </w:r>
      <w:r w:rsidR="00F06177" w:rsidRPr="00EE181E">
        <w:rPr>
          <w:rFonts w:hint="eastAsia"/>
          <w:lang w:eastAsia="zh-CN"/>
        </w:rPr>
        <w:t>和</w:t>
      </w:r>
      <w:r w:rsidR="00F06177" w:rsidRPr="00EE181E">
        <w:rPr>
          <w:lang w:eastAsia="zh-CN"/>
        </w:rPr>
        <w:t>20</w:t>
      </w:r>
      <w:r w:rsidR="00F06177">
        <w:rPr>
          <w:lang w:eastAsia="zh-CN"/>
        </w:rPr>
        <w:t>25</w:t>
      </w:r>
      <w:r w:rsidR="00F06177" w:rsidRPr="00EE181E">
        <w:rPr>
          <w:rFonts w:hint="eastAsia"/>
          <w:lang w:eastAsia="zh-CN"/>
        </w:rPr>
        <w:t>年</w:t>
      </w:r>
      <w:r w:rsidR="00F06177">
        <w:rPr>
          <w:rFonts w:hint="eastAsia"/>
          <w:lang w:eastAsia="zh-CN"/>
        </w:rPr>
        <w:t>的</w:t>
      </w:r>
      <w:r w:rsidR="00F06177" w:rsidRPr="00EE181E">
        <w:rPr>
          <w:rFonts w:hint="eastAsia"/>
          <w:lang w:eastAsia="zh-CN"/>
        </w:rPr>
        <w:t>年度会费单位金额为</w:t>
      </w:r>
      <w:r w:rsidR="00F06177" w:rsidRPr="00A72126">
        <w:rPr>
          <w:lang w:eastAsia="zh-CN"/>
        </w:rPr>
        <w:t>318</w:t>
      </w:r>
      <w:r w:rsidR="00F06177">
        <w:rPr>
          <w:lang w:val="en-US" w:eastAsia="zh-CN"/>
        </w:rPr>
        <w:t> </w:t>
      </w:r>
      <w:r w:rsidR="00F06177" w:rsidRPr="00A72126">
        <w:rPr>
          <w:lang w:eastAsia="zh-CN"/>
        </w:rPr>
        <w:t>000</w:t>
      </w:r>
      <w:r w:rsidR="00F06177">
        <w:rPr>
          <w:rFonts w:hint="eastAsia"/>
          <w:lang w:eastAsia="zh-CN"/>
        </w:rPr>
        <w:t>瑞郎</w:t>
      </w:r>
      <w:r w:rsidR="00F06177" w:rsidRPr="00A72126">
        <w:rPr>
          <w:rFonts w:hint="eastAsia"/>
          <w:lang w:eastAsia="zh-CN"/>
        </w:rPr>
        <w:t>；</w:t>
      </w:r>
    </w:p>
    <w:p w14:paraId="6680773F" w14:textId="39DB366E" w:rsidR="00452D10" w:rsidRDefault="00452D10" w:rsidP="00452D10">
      <w:pPr>
        <w:rPr>
          <w:lang w:eastAsia="zh-CN"/>
        </w:rPr>
      </w:pPr>
      <w:r w:rsidRPr="00655E8C">
        <w:rPr>
          <w:lang w:eastAsia="zh-CN"/>
        </w:rPr>
        <w:t>2</w:t>
      </w:r>
      <w:r w:rsidRPr="00655E8C">
        <w:rPr>
          <w:lang w:eastAsia="zh-CN"/>
        </w:rPr>
        <w:tab/>
      </w:r>
      <w:r w:rsidR="00F06177" w:rsidRPr="00C70206">
        <w:rPr>
          <w:lang w:eastAsia="zh-CN"/>
        </w:rPr>
        <w:t>根据国际电信联盟《公约》第</w:t>
      </w:r>
      <w:r w:rsidR="00F06177" w:rsidRPr="00C70206">
        <w:rPr>
          <w:lang w:eastAsia="zh-CN"/>
        </w:rPr>
        <w:t>480</w:t>
      </w:r>
      <w:r w:rsidR="00F06177" w:rsidRPr="00C70206">
        <w:rPr>
          <w:lang w:eastAsia="zh-CN"/>
        </w:rPr>
        <w:t>款，</w:t>
      </w:r>
      <w:r w:rsidR="00F06177">
        <w:rPr>
          <w:rFonts w:hint="eastAsia"/>
          <w:lang w:eastAsia="zh-CN"/>
        </w:rPr>
        <w:t>将</w:t>
      </w:r>
      <w:r w:rsidR="00F06177" w:rsidRPr="00C70206">
        <w:rPr>
          <w:lang w:eastAsia="zh-CN"/>
        </w:rPr>
        <w:t>部门成员在</w:t>
      </w:r>
      <w:r w:rsidR="00F06177" w:rsidRPr="00C70206">
        <w:rPr>
          <w:lang w:eastAsia="zh-CN"/>
        </w:rPr>
        <w:t>20</w:t>
      </w:r>
      <w:r w:rsidR="00F06177">
        <w:rPr>
          <w:lang w:eastAsia="zh-CN"/>
        </w:rPr>
        <w:t>24</w:t>
      </w:r>
      <w:r w:rsidR="00F06177" w:rsidRPr="00C70206">
        <w:rPr>
          <w:lang w:eastAsia="zh-CN"/>
        </w:rPr>
        <w:t>和</w:t>
      </w:r>
      <w:r w:rsidR="00F06177" w:rsidRPr="00C70206">
        <w:rPr>
          <w:lang w:eastAsia="zh-CN"/>
        </w:rPr>
        <w:t>20</w:t>
      </w:r>
      <w:r w:rsidR="00F06177">
        <w:rPr>
          <w:lang w:eastAsia="zh-CN"/>
        </w:rPr>
        <w:t>25</w:t>
      </w:r>
      <w:r w:rsidR="00F06177" w:rsidRPr="00C70206">
        <w:rPr>
          <w:lang w:eastAsia="zh-CN"/>
        </w:rPr>
        <w:t>年摊付无线电通信部门（</w:t>
      </w:r>
      <w:r w:rsidR="00F06177" w:rsidRPr="00C70206">
        <w:rPr>
          <w:lang w:eastAsia="zh-CN"/>
        </w:rPr>
        <w:t>ITU-R</w:t>
      </w:r>
      <w:r w:rsidR="00F06177" w:rsidRPr="00C70206">
        <w:rPr>
          <w:lang w:eastAsia="zh-CN"/>
        </w:rPr>
        <w:t>）、电信标准化部门（</w:t>
      </w:r>
      <w:r w:rsidR="00F06177" w:rsidRPr="00C70206">
        <w:rPr>
          <w:lang w:eastAsia="zh-CN"/>
        </w:rPr>
        <w:t>ITU-T</w:t>
      </w:r>
      <w:r w:rsidR="00F06177" w:rsidRPr="00C70206">
        <w:rPr>
          <w:lang w:eastAsia="zh-CN"/>
        </w:rPr>
        <w:t>）和电信发展部门（</w:t>
      </w:r>
      <w:r w:rsidR="00F06177" w:rsidRPr="00C70206">
        <w:rPr>
          <w:lang w:eastAsia="zh-CN"/>
        </w:rPr>
        <w:t>ITU-D</w:t>
      </w:r>
      <w:r w:rsidR="00F06177">
        <w:rPr>
          <w:lang w:eastAsia="zh-CN"/>
        </w:rPr>
        <w:t>）会议</w:t>
      </w:r>
      <w:r w:rsidR="00F06177">
        <w:rPr>
          <w:rFonts w:hint="eastAsia"/>
          <w:lang w:eastAsia="zh-CN"/>
        </w:rPr>
        <w:t>支出</w:t>
      </w:r>
      <w:r w:rsidR="00F06177" w:rsidRPr="00C70206">
        <w:rPr>
          <w:lang w:eastAsia="zh-CN"/>
        </w:rPr>
        <w:t>的年度会费单位金额确定为</w:t>
      </w:r>
      <w:r w:rsidR="00F06177" w:rsidRPr="00C70206">
        <w:rPr>
          <w:lang w:eastAsia="zh-CN"/>
        </w:rPr>
        <w:t>63</w:t>
      </w:r>
      <w:r w:rsidR="00F06177">
        <w:rPr>
          <w:lang w:val="en-US" w:eastAsia="zh-CN"/>
        </w:rPr>
        <w:t> </w:t>
      </w:r>
      <w:r w:rsidR="00F06177">
        <w:rPr>
          <w:lang w:eastAsia="zh-CN"/>
        </w:rPr>
        <w:t>600</w:t>
      </w:r>
      <w:r w:rsidR="00F06177">
        <w:rPr>
          <w:lang w:eastAsia="zh-CN"/>
        </w:rPr>
        <w:t>瑞郎</w:t>
      </w:r>
      <w:r w:rsidR="00F06177" w:rsidRPr="00C70206">
        <w:rPr>
          <w:lang w:eastAsia="zh-CN"/>
        </w:rPr>
        <w:t>；</w:t>
      </w:r>
    </w:p>
    <w:p w14:paraId="696B8A5E" w14:textId="3C5E3E12" w:rsidR="00452D10" w:rsidRPr="00655E8C" w:rsidRDefault="00452D10" w:rsidP="006C1507">
      <w:pPr>
        <w:keepNext/>
        <w:keepLines/>
        <w:overflowPunct/>
        <w:autoSpaceDE/>
        <w:autoSpaceDN/>
        <w:adjustRightInd/>
        <w:snapToGrid w:val="0"/>
        <w:textAlignment w:val="auto"/>
        <w:rPr>
          <w:lang w:eastAsia="zh-CN"/>
        </w:rPr>
      </w:pPr>
      <w:r>
        <w:rPr>
          <w:lang w:eastAsia="zh-CN"/>
        </w:rPr>
        <w:lastRenderedPageBreak/>
        <w:t>3</w:t>
      </w:r>
      <w:r>
        <w:rPr>
          <w:lang w:eastAsia="zh-CN"/>
        </w:rPr>
        <w:tab/>
      </w:r>
      <w:r w:rsidR="00F06177">
        <w:rPr>
          <w:rFonts w:hint="eastAsia"/>
          <w:lang w:eastAsia="zh-CN"/>
        </w:rPr>
        <w:t>将</w:t>
      </w:r>
      <w:r w:rsidR="00F06177" w:rsidRPr="00C70206">
        <w:rPr>
          <w:lang w:eastAsia="zh-CN"/>
        </w:rPr>
        <w:t>部门准成员</w:t>
      </w:r>
      <w:r w:rsidR="00F06177">
        <w:rPr>
          <w:rFonts w:hint="eastAsia"/>
          <w:lang w:eastAsia="zh-CN"/>
        </w:rPr>
        <w:t>缴</w:t>
      </w:r>
      <w:r w:rsidR="00F06177" w:rsidRPr="00C70206">
        <w:rPr>
          <w:lang w:eastAsia="zh-CN"/>
        </w:rPr>
        <w:t>纳的会费确定如下：</w:t>
      </w:r>
    </w:p>
    <w:p w14:paraId="5DA83A39" w14:textId="3B9500BC" w:rsidR="00452D10" w:rsidRPr="00655E8C" w:rsidRDefault="00F06177" w:rsidP="006C1507">
      <w:pPr>
        <w:keepNext/>
        <w:keepLines/>
        <w:numPr>
          <w:ilvl w:val="0"/>
          <w:numId w:val="34"/>
        </w:numPr>
        <w:tabs>
          <w:tab w:val="clear" w:pos="794"/>
          <w:tab w:val="clear" w:pos="1191"/>
          <w:tab w:val="clear" w:pos="1588"/>
          <w:tab w:val="clear" w:pos="1985"/>
        </w:tabs>
        <w:overflowPunct/>
        <w:autoSpaceDE/>
        <w:autoSpaceDN/>
        <w:adjustRightInd/>
        <w:snapToGrid w:val="0"/>
        <w:spacing w:before="86"/>
        <w:ind w:left="1418" w:hanging="567"/>
        <w:textAlignment w:val="auto"/>
        <w:rPr>
          <w:lang w:eastAsia="zh-CN"/>
        </w:rPr>
      </w:pPr>
      <w:r w:rsidRPr="006C1507">
        <w:rPr>
          <w:lang w:eastAsia="zh-CN"/>
        </w:rPr>
        <w:t>参加</w:t>
      </w:r>
      <w:r w:rsidRPr="00413396">
        <w:rPr>
          <w:lang w:eastAsia="zh-CN"/>
        </w:rPr>
        <w:t>ITU-T</w:t>
      </w:r>
      <w:r w:rsidRPr="00413396">
        <w:rPr>
          <w:lang w:eastAsia="zh-CN"/>
        </w:rPr>
        <w:t>和</w:t>
      </w:r>
      <w:r w:rsidRPr="00413396">
        <w:rPr>
          <w:lang w:eastAsia="zh-CN"/>
        </w:rPr>
        <w:t>ITU-R</w:t>
      </w:r>
      <w:r w:rsidRPr="00413396">
        <w:rPr>
          <w:lang w:eastAsia="zh-CN"/>
        </w:rPr>
        <w:t>工作的部门准成员</w:t>
      </w:r>
      <w:r>
        <w:rPr>
          <w:rFonts w:hint="eastAsia"/>
          <w:lang w:eastAsia="zh-CN"/>
        </w:rPr>
        <w:t>为</w:t>
      </w:r>
      <w:r w:rsidR="00452D10" w:rsidRPr="00655E8C">
        <w:rPr>
          <w:lang w:eastAsia="zh-CN"/>
        </w:rPr>
        <w:t>10</w:t>
      </w:r>
      <w:r w:rsidR="00452D10">
        <w:rPr>
          <w:lang w:eastAsia="zh-CN"/>
        </w:rPr>
        <w:t> </w:t>
      </w:r>
      <w:r w:rsidR="00452D10" w:rsidRPr="00655E8C">
        <w:rPr>
          <w:lang w:eastAsia="zh-CN"/>
        </w:rPr>
        <w:t>600</w:t>
      </w:r>
      <w:r>
        <w:rPr>
          <w:rFonts w:hint="eastAsia"/>
          <w:lang w:eastAsia="zh-CN"/>
        </w:rPr>
        <w:t>瑞郎；</w:t>
      </w:r>
    </w:p>
    <w:p w14:paraId="19CE8323" w14:textId="75D55C38" w:rsidR="00452D10" w:rsidRPr="00655E8C" w:rsidRDefault="00F06177" w:rsidP="006C1507">
      <w:pPr>
        <w:keepNext/>
        <w:keepLines/>
        <w:numPr>
          <w:ilvl w:val="0"/>
          <w:numId w:val="34"/>
        </w:numPr>
        <w:tabs>
          <w:tab w:val="clear" w:pos="794"/>
          <w:tab w:val="clear" w:pos="1191"/>
          <w:tab w:val="clear" w:pos="1588"/>
          <w:tab w:val="clear" w:pos="1985"/>
        </w:tabs>
        <w:overflowPunct/>
        <w:autoSpaceDE/>
        <w:autoSpaceDN/>
        <w:adjustRightInd/>
        <w:snapToGrid w:val="0"/>
        <w:spacing w:before="86"/>
        <w:ind w:left="1418" w:hanging="567"/>
        <w:textAlignment w:val="auto"/>
        <w:rPr>
          <w:lang w:eastAsia="zh-CN"/>
        </w:rPr>
      </w:pPr>
      <w:r w:rsidRPr="000A489E">
        <w:rPr>
          <w:lang w:eastAsia="zh-CN"/>
        </w:rPr>
        <w:t>参加</w:t>
      </w:r>
      <w:r>
        <w:rPr>
          <w:lang w:eastAsia="zh-CN"/>
        </w:rPr>
        <w:t>ITU-D</w:t>
      </w:r>
      <w:r w:rsidRPr="00413396">
        <w:rPr>
          <w:lang w:eastAsia="zh-CN"/>
        </w:rPr>
        <w:t>工作的部门准成员</w:t>
      </w:r>
      <w:r>
        <w:rPr>
          <w:rFonts w:hint="eastAsia"/>
          <w:lang w:eastAsia="zh-CN"/>
        </w:rPr>
        <w:t>为</w:t>
      </w:r>
      <w:r w:rsidR="00452D10" w:rsidRPr="00655E8C">
        <w:rPr>
          <w:lang w:eastAsia="zh-CN"/>
        </w:rPr>
        <w:t>3</w:t>
      </w:r>
      <w:r w:rsidR="00452D10">
        <w:rPr>
          <w:lang w:eastAsia="zh-CN"/>
        </w:rPr>
        <w:t> </w:t>
      </w:r>
      <w:r w:rsidR="00452D10" w:rsidRPr="00655E8C">
        <w:rPr>
          <w:lang w:eastAsia="zh-CN"/>
        </w:rPr>
        <w:t>975</w:t>
      </w:r>
      <w:r>
        <w:rPr>
          <w:rFonts w:hint="eastAsia"/>
          <w:lang w:eastAsia="zh-CN"/>
        </w:rPr>
        <w:t>瑞郎；</w:t>
      </w:r>
    </w:p>
    <w:p w14:paraId="228994CE" w14:textId="0E14B7CF" w:rsidR="00452D10" w:rsidRPr="00655E8C" w:rsidRDefault="00F06177" w:rsidP="006C1507">
      <w:pPr>
        <w:numPr>
          <w:ilvl w:val="0"/>
          <w:numId w:val="34"/>
        </w:numPr>
        <w:tabs>
          <w:tab w:val="clear" w:pos="794"/>
          <w:tab w:val="clear" w:pos="1191"/>
          <w:tab w:val="clear" w:pos="1588"/>
          <w:tab w:val="clear" w:pos="1985"/>
        </w:tabs>
        <w:overflowPunct/>
        <w:autoSpaceDE/>
        <w:autoSpaceDN/>
        <w:adjustRightInd/>
        <w:snapToGrid w:val="0"/>
        <w:spacing w:before="86"/>
        <w:ind w:left="1418" w:hanging="567"/>
        <w:textAlignment w:val="auto"/>
        <w:rPr>
          <w:lang w:eastAsia="zh-CN"/>
        </w:rPr>
      </w:pPr>
      <w:r w:rsidRPr="000A489E">
        <w:rPr>
          <w:lang w:eastAsia="zh-CN"/>
        </w:rPr>
        <w:t>参加</w:t>
      </w:r>
      <w:r w:rsidRPr="00413396">
        <w:rPr>
          <w:lang w:eastAsia="zh-CN"/>
        </w:rPr>
        <w:t>ITU-D</w:t>
      </w:r>
      <w:r w:rsidRPr="00413396">
        <w:rPr>
          <w:lang w:eastAsia="zh-CN"/>
        </w:rPr>
        <w:t>工作的来自发展中国家的部门准成员</w:t>
      </w:r>
      <w:r>
        <w:rPr>
          <w:rFonts w:hint="eastAsia"/>
          <w:lang w:eastAsia="zh-CN"/>
        </w:rPr>
        <w:t>为</w:t>
      </w:r>
      <w:r w:rsidR="00452D10" w:rsidRPr="00655E8C">
        <w:rPr>
          <w:lang w:eastAsia="zh-CN"/>
        </w:rPr>
        <w:t>1</w:t>
      </w:r>
      <w:r w:rsidR="00452D10">
        <w:rPr>
          <w:lang w:eastAsia="zh-CN"/>
        </w:rPr>
        <w:t> </w:t>
      </w:r>
      <w:r w:rsidR="00452D10" w:rsidRPr="00655E8C">
        <w:rPr>
          <w:lang w:eastAsia="zh-CN"/>
        </w:rPr>
        <w:t>987.50</w:t>
      </w:r>
      <w:r>
        <w:rPr>
          <w:rFonts w:hint="eastAsia"/>
          <w:lang w:eastAsia="zh-CN"/>
        </w:rPr>
        <w:t>瑞郎；</w:t>
      </w:r>
    </w:p>
    <w:p w14:paraId="131E7A6E" w14:textId="67484C06" w:rsidR="00452D10" w:rsidRPr="00C145EA" w:rsidRDefault="00452D10" w:rsidP="00452D10">
      <w:pPr>
        <w:rPr>
          <w:lang w:eastAsia="zh-CN"/>
        </w:rPr>
      </w:pPr>
      <w:r>
        <w:rPr>
          <w:lang w:eastAsia="zh-CN"/>
        </w:rPr>
        <w:t>4</w:t>
      </w:r>
      <w:r>
        <w:rPr>
          <w:lang w:eastAsia="zh-CN"/>
        </w:rPr>
        <w:tab/>
      </w:r>
      <w:r w:rsidR="00F06177">
        <w:rPr>
          <w:rFonts w:hint="eastAsia"/>
          <w:lang w:eastAsia="zh-CN"/>
        </w:rPr>
        <w:t>将学术成员、大学及其相关研究机构的年费确定为：</w:t>
      </w:r>
    </w:p>
    <w:p w14:paraId="134B8E67" w14:textId="23DC5C70" w:rsidR="00452D10" w:rsidRPr="00655E8C" w:rsidRDefault="00F06177" w:rsidP="006C1507">
      <w:pPr>
        <w:numPr>
          <w:ilvl w:val="0"/>
          <w:numId w:val="34"/>
        </w:numPr>
        <w:tabs>
          <w:tab w:val="clear" w:pos="794"/>
          <w:tab w:val="clear" w:pos="1191"/>
          <w:tab w:val="clear" w:pos="1588"/>
          <w:tab w:val="clear" w:pos="1985"/>
        </w:tabs>
        <w:overflowPunct/>
        <w:autoSpaceDE/>
        <w:autoSpaceDN/>
        <w:adjustRightInd/>
        <w:snapToGrid w:val="0"/>
        <w:spacing w:before="86"/>
        <w:ind w:left="1418" w:hanging="567"/>
        <w:textAlignment w:val="auto"/>
        <w:rPr>
          <w:lang w:eastAsia="zh-CN"/>
        </w:rPr>
      </w:pPr>
      <w:r w:rsidRPr="000A489E">
        <w:rPr>
          <w:rFonts w:hint="eastAsia"/>
          <w:lang w:eastAsia="zh-CN"/>
        </w:rPr>
        <w:t>参加三个部门工作的来自发达国家的</w:t>
      </w:r>
      <w:r>
        <w:rPr>
          <w:rFonts w:hint="eastAsia"/>
          <w:lang w:eastAsia="zh-CN"/>
        </w:rPr>
        <w:t>学术成员为</w:t>
      </w:r>
      <w:r w:rsidR="00452D10">
        <w:rPr>
          <w:lang w:eastAsia="zh-CN"/>
        </w:rPr>
        <w:t> </w:t>
      </w:r>
      <w:r w:rsidR="00452D10" w:rsidRPr="00655E8C">
        <w:rPr>
          <w:lang w:eastAsia="zh-CN"/>
        </w:rPr>
        <w:t>3</w:t>
      </w:r>
      <w:r w:rsidR="00452D10">
        <w:rPr>
          <w:lang w:eastAsia="zh-CN"/>
        </w:rPr>
        <w:t> </w:t>
      </w:r>
      <w:r w:rsidR="00452D10" w:rsidRPr="00655E8C">
        <w:rPr>
          <w:lang w:eastAsia="zh-CN"/>
        </w:rPr>
        <w:t>975</w:t>
      </w:r>
      <w:r>
        <w:rPr>
          <w:rFonts w:hint="eastAsia"/>
          <w:lang w:eastAsia="zh-CN"/>
        </w:rPr>
        <w:t>瑞郎；</w:t>
      </w:r>
    </w:p>
    <w:p w14:paraId="54A2C0FC" w14:textId="4E932919" w:rsidR="00452D10" w:rsidRPr="00655E8C" w:rsidRDefault="00F06177" w:rsidP="006C1507">
      <w:pPr>
        <w:numPr>
          <w:ilvl w:val="0"/>
          <w:numId w:val="34"/>
        </w:numPr>
        <w:tabs>
          <w:tab w:val="clear" w:pos="794"/>
          <w:tab w:val="clear" w:pos="1191"/>
          <w:tab w:val="clear" w:pos="1588"/>
          <w:tab w:val="clear" w:pos="1985"/>
        </w:tabs>
        <w:overflowPunct/>
        <w:autoSpaceDE/>
        <w:autoSpaceDN/>
        <w:adjustRightInd/>
        <w:snapToGrid w:val="0"/>
        <w:spacing w:before="86"/>
        <w:ind w:left="1418" w:hanging="567"/>
        <w:textAlignment w:val="auto"/>
        <w:rPr>
          <w:lang w:eastAsia="zh-CN"/>
        </w:rPr>
      </w:pPr>
      <w:r w:rsidRPr="000A489E">
        <w:rPr>
          <w:rFonts w:hint="eastAsia"/>
          <w:lang w:eastAsia="zh-CN"/>
        </w:rPr>
        <w:t>参加三个部门工作的来自发</w:t>
      </w:r>
      <w:r>
        <w:rPr>
          <w:rFonts w:hint="eastAsia"/>
          <w:lang w:eastAsia="zh-CN"/>
        </w:rPr>
        <w:t>展中</w:t>
      </w:r>
      <w:r w:rsidRPr="000A489E">
        <w:rPr>
          <w:rFonts w:hint="eastAsia"/>
          <w:lang w:eastAsia="zh-CN"/>
        </w:rPr>
        <w:t>国家的</w:t>
      </w:r>
      <w:r>
        <w:rPr>
          <w:rFonts w:hint="eastAsia"/>
          <w:lang w:eastAsia="zh-CN"/>
        </w:rPr>
        <w:t>学术成员为</w:t>
      </w:r>
      <w:r>
        <w:rPr>
          <w:lang w:eastAsia="zh-CN"/>
        </w:rPr>
        <w:t> </w:t>
      </w:r>
      <w:r w:rsidRPr="00655E8C">
        <w:rPr>
          <w:lang w:eastAsia="zh-CN"/>
        </w:rPr>
        <w:t>1</w:t>
      </w:r>
      <w:r>
        <w:rPr>
          <w:lang w:eastAsia="zh-CN"/>
        </w:rPr>
        <w:t> </w:t>
      </w:r>
      <w:r w:rsidRPr="00655E8C">
        <w:rPr>
          <w:lang w:eastAsia="zh-CN"/>
        </w:rPr>
        <w:t>987.50</w:t>
      </w:r>
      <w:r>
        <w:rPr>
          <w:rFonts w:hint="eastAsia"/>
          <w:lang w:eastAsia="zh-CN"/>
        </w:rPr>
        <w:t>瑞郎；</w:t>
      </w:r>
    </w:p>
    <w:p w14:paraId="02D26CE6" w14:textId="2F6B2EA4" w:rsidR="00452D10" w:rsidRPr="00C145EA" w:rsidRDefault="00452D10" w:rsidP="00452D10">
      <w:pPr>
        <w:rPr>
          <w:lang w:eastAsia="zh-CN"/>
        </w:rPr>
      </w:pPr>
      <w:r>
        <w:rPr>
          <w:lang w:eastAsia="zh-CN"/>
        </w:rPr>
        <w:t>5</w:t>
      </w:r>
      <w:r>
        <w:rPr>
          <w:lang w:eastAsia="zh-CN"/>
        </w:rPr>
        <w:tab/>
      </w:r>
      <w:r w:rsidR="00F06177" w:rsidRPr="00C70206">
        <w:rPr>
          <w:lang w:eastAsia="zh-CN"/>
        </w:rPr>
        <w:t>授权秘书长，根据发生的变化</w:t>
      </w:r>
      <w:r w:rsidR="00F06177">
        <w:rPr>
          <w:rFonts w:hint="eastAsia"/>
          <w:lang w:eastAsia="zh-CN"/>
        </w:rPr>
        <w:t>，在执行</w:t>
      </w:r>
      <w:r w:rsidR="00F06177">
        <w:rPr>
          <w:lang w:eastAsia="zh-CN"/>
        </w:rPr>
        <w:t>2024-2025</w:t>
      </w:r>
      <w:r w:rsidR="00F06177">
        <w:rPr>
          <w:rFonts w:hint="eastAsia"/>
          <w:lang w:eastAsia="zh-CN"/>
        </w:rPr>
        <w:t>年预算期间</w:t>
      </w:r>
      <w:r w:rsidR="00F06177" w:rsidRPr="00C70206">
        <w:rPr>
          <w:lang w:eastAsia="zh-CN"/>
        </w:rPr>
        <w:t>通过使用储备金账目，</w:t>
      </w:r>
      <w:r w:rsidR="00F06177">
        <w:rPr>
          <w:rFonts w:hint="eastAsia"/>
          <w:lang w:eastAsia="zh-CN"/>
        </w:rPr>
        <w:t>调整</w:t>
      </w:r>
      <w:r w:rsidR="00F06177" w:rsidRPr="00C70206">
        <w:rPr>
          <w:lang w:eastAsia="zh-CN"/>
        </w:rPr>
        <w:t>对下述</w:t>
      </w:r>
      <w:r w:rsidR="00F06177" w:rsidRPr="00C70206">
        <w:rPr>
          <w:lang w:eastAsia="zh-CN"/>
        </w:rPr>
        <w:t>a</w:t>
      </w:r>
      <w:r w:rsidR="00F06177">
        <w:rPr>
          <w:rFonts w:hint="eastAsia"/>
          <w:lang w:eastAsia="zh-CN"/>
        </w:rPr>
        <w:t>)</w:t>
      </w:r>
      <w:r w:rsidR="00F06177" w:rsidRPr="00C70206">
        <w:rPr>
          <w:lang w:eastAsia="zh-CN"/>
        </w:rPr>
        <w:t>和</w:t>
      </w:r>
      <w:r w:rsidR="00F06177" w:rsidRPr="00C70206">
        <w:rPr>
          <w:lang w:eastAsia="zh-CN"/>
        </w:rPr>
        <w:t>b</w:t>
      </w:r>
      <w:r w:rsidR="00F06177">
        <w:rPr>
          <w:rFonts w:hint="eastAsia"/>
          <w:lang w:eastAsia="zh-CN"/>
        </w:rPr>
        <w:t>)</w:t>
      </w:r>
      <w:r w:rsidR="00F06177">
        <w:rPr>
          <w:lang w:eastAsia="zh-CN"/>
        </w:rPr>
        <w:t>项</w:t>
      </w:r>
      <w:r w:rsidR="00F06177" w:rsidRPr="00C70206">
        <w:rPr>
          <w:lang w:eastAsia="zh-CN"/>
        </w:rPr>
        <w:t>支出</w:t>
      </w:r>
      <w:r w:rsidR="00F06177">
        <w:rPr>
          <w:rFonts w:hint="eastAsia"/>
          <w:lang w:eastAsia="zh-CN"/>
        </w:rPr>
        <w:t>的</w:t>
      </w:r>
      <w:r w:rsidR="00F06177">
        <w:rPr>
          <w:lang w:eastAsia="zh-CN"/>
        </w:rPr>
        <w:t>拨款，</w:t>
      </w:r>
      <w:r w:rsidR="00F06177">
        <w:rPr>
          <w:rFonts w:hint="eastAsia"/>
          <w:lang w:eastAsia="zh-CN"/>
        </w:rPr>
        <w:t>并且前提是</w:t>
      </w:r>
      <w:r w:rsidR="00F06177" w:rsidRPr="00C70206">
        <w:rPr>
          <w:lang w:eastAsia="zh-CN"/>
        </w:rPr>
        <w:t>储备金账目保持在第</w:t>
      </w:r>
      <w:r w:rsidR="00F06177" w:rsidRPr="00C70206">
        <w:rPr>
          <w:lang w:eastAsia="zh-CN"/>
        </w:rPr>
        <w:t>5</w:t>
      </w:r>
      <w:r w:rsidR="00F06177" w:rsidRPr="00C70206">
        <w:rPr>
          <w:lang w:eastAsia="zh-CN"/>
        </w:rPr>
        <w:t>号决定（</w:t>
      </w:r>
      <w:r w:rsidR="00F06177" w:rsidRPr="00F06177">
        <w:rPr>
          <w:rFonts w:hint="eastAsia"/>
          <w:lang w:eastAsia="zh-CN"/>
        </w:rPr>
        <w:t>2022</w:t>
      </w:r>
      <w:r w:rsidR="00F06177" w:rsidRPr="00F06177">
        <w:rPr>
          <w:rFonts w:hint="eastAsia"/>
          <w:lang w:eastAsia="zh-CN"/>
        </w:rPr>
        <w:t>年，布加勒斯特，修订版</w:t>
      </w:r>
      <w:r w:rsidR="00F06177">
        <w:rPr>
          <w:lang w:eastAsia="zh-CN"/>
        </w:rPr>
        <w:t>）</w:t>
      </w:r>
      <w:r w:rsidR="00F06177">
        <w:rPr>
          <w:rFonts w:hint="eastAsia"/>
          <w:lang w:eastAsia="zh-CN"/>
        </w:rPr>
        <w:t>规定</w:t>
      </w:r>
      <w:r w:rsidR="00F06177" w:rsidRPr="00C70206">
        <w:rPr>
          <w:lang w:eastAsia="zh-CN"/>
        </w:rPr>
        <w:t>的水平</w:t>
      </w:r>
      <w:r w:rsidR="00F06177">
        <w:rPr>
          <w:rFonts w:hint="eastAsia"/>
          <w:lang w:eastAsia="zh-CN"/>
        </w:rPr>
        <w:t>上</w:t>
      </w:r>
      <w:r w:rsidR="00F06177" w:rsidRPr="00C70206">
        <w:rPr>
          <w:lang w:eastAsia="zh-CN"/>
        </w:rPr>
        <w:t>：</w:t>
      </w:r>
    </w:p>
    <w:p w14:paraId="5DA875DD" w14:textId="331ED1A6" w:rsidR="00452D10" w:rsidRPr="00655E8C" w:rsidRDefault="00AB560E" w:rsidP="006C1507">
      <w:pPr>
        <w:numPr>
          <w:ilvl w:val="0"/>
          <w:numId w:val="34"/>
        </w:numPr>
        <w:tabs>
          <w:tab w:val="clear" w:pos="794"/>
          <w:tab w:val="clear" w:pos="1191"/>
          <w:tab w:val="clear" w:pos="1588"/>
          <w:tab w:val="clear" w:pos="1985"/>
        </w:tabs>
        <w:overflowPunct/>
        <w:autoSpaceDE/>
        <w:autoSpaceDN/>
        <w:adjustRightInd/>
        <w:snapToGrid w:val="0"/>
        <w:spacing w:before="86"/>
        <w:ind w:left="1418" w:hanging="567"/>
        <w:textAlignment w:val="auto"/>
        <w:rPr>
          <w:lang w:eastAsia="zh-CN"/>
        </w:rPr>
      </w:pPr>
      <w:r>
        <w:rPr>
          <w:rFonts w:hint="eastAsia"/>
          <w:lang w:eastAsia="zh-CN"/>
        </w:rPr>
        <w:t>提高对</w:t>
      </w:r>
      <w:r w:rsidRPr="00C70206">
        <w:rPr>
          <w:lang w:eastAsia="zh-CN"/>
        </w:rPr>
        <w:t>薪金表</w:t>
      </w:r>
      <w:r>
        <w:rPr>
          <w:rFonts w:hint="eastAsia"/>
          <w:lang w:eastAsia="zh-CN"/>
        </w:rPr>
        <w:t>、</w:t>
      </w:r>
      <w:r w:rsidRPr="00C70206">
        <w:rPr>
          <w:lang w:eastAsia="zh-CN"/>
        </w:rPr>
        <w:t>养恤金的</w:t>
      </w:r>
      <w:r>
        <w:rPr>
          <w:rFonts w:hint="eastAsia"/>
          <w:lang w:eastAsia="zh-CN"/>
        </w:rPr>
        <w:t>缴</w:t>
      </w:r>
      <w:r w:rsidRPr="00C70206">
        <w:rPr>
          <w:lang w:eastAsia="zh-CN"/>
        </w:rPr>
        <w:t>款部分和津贴</w:t>
      </w:r>
      <w:r>
        <w:rPr>
          <w:rFonts w:hint="eastAsia"/>
          <w:lang w:eastAsia="zh-CN"/>
        </w:rPr>
        <w:t>的拨款</w:t>
      </w:r>
      <w:r w:rsidRPr="00C70206">
        <w:rPr>
          <w:lang w:eastAsia="zh-CN"/>
        </w:rPr>
        <w:t>，其中包括联合国共同</w:t>
      </w:r>
      <w:r>
        <w:rPr>
          <w:rFonts w:hint="eastAsia"/>
          <w:lang w:eastAsia="zh-CN"/>
        </w:rPr>
        <w:t>制度</w:t>
      </w:r>
      <w:r w:rsidRPr="00C70206">
        <w:rPr>
          <w:lang w:eastAsia="zh-CN"/>
        </w:rPr>
        <w:t>通过的、适用于日内瓦地区的任职地点补贴调整数</w:t>
      </w:r>
      <w:r>
        <w:rPr>
          <w:rFonts w:hint="eastAsia"/>
          <w:lang w:eastAsia="zh-CN"/>
        </w:rPr>
        <w:t>；</w:t>
      </w:r>
    </w:p>
    <w:p w14:paraId="22BE95FA" w14:textId="25F6DDBF" w:rsidR="00452D10" w:rsidRDefault="00AB560E" w:rsidP="006C1507">
      <w:pPr>
        <w:numPr>
          <w:ilvl w:val="0"/>
          <w:numId w:val="34"/>
        </w:numPr>
        <w:tabs>
          <w:tab w:val="clear" w:pos="794"/>
          <w:tab w:val="clear" w:pos="1191"/>
          <w:tab w:val="clear" w:pos="1588"/>
          <w:tab w:val="clear" w:pos="1985"/>
        </w:tabs>
        <w:overflowPunct/>
        <w:autoSpaceDE/>
        <w:autoSpaceDN/>
        <w:adjustRightInd/>
        <w:snapToGrid w:val="0"/>
        <w:spacing w:before="86"/>
        <w:ind w:left="1418" w:hanging="567"/>
        <w:textAlignment w:val="auto"/>
        <w:rPr>
          <w:lang w:eastAsia="zh-CN"/>
        </w:rPr>
      </w:pPr>
      <w:r>
        <w:rPr>
          <w:rFonts w:hint="eastAsia"/>
          <w:lang w:eastAsia="zh-CN"/>
        </w:rPr>
        <w:t>当</w:t>
      </w:r>
      <w:r w:rsidRPr="00C70206">
        <w:rPr>
          <w:lang w:eastAsia="zh-CN"/>
        </w:rPr>
        <w:t>美元和</w:t>
      </w:r>
      <w:r>
        <w:rPr>
          <w:lang w:eastAsia="zh-CN"/>
        </w:rPr>
        <w:t>瑞郎</w:t>
      </w:r>
      <w:r w:rsidRPr="00C70206">
        <w:rPr>
          <w:lang w:eastAsia="zh-CN"/>
        </w:rPr>
        <w:t>的兑换率浮动</w:t>
      </w:r>
      <w:r>
        <w:rPr>
          <w:rFonts w:hint="eastAsia"/>
          <w:lang w:eastAsia="zh-CN"/>
        </w:rPr>
        <w:t>影响到</w:t>
      </w:r>
      <w:r w:rsidRPr="00C70206">
        <w:rPr>
          <w:lang w:eastAsia="zh-CN"/>
        </w:rPr>
        <w:t>联合国薪金表上职员</w:t>
      </w:r>
      <w:r w:rsidRPr="00EE181E">
        <w:rPr>
          <w:lang w:eastAsia="zh-CN"/>
        </w:rPr>
        <w:t>相关</w:t>
      </w:r>
      <w:r w:rsidRPr="00C70206">
        <w:rPr>
          <w:lang w:eastAsia="zh-CN"/>
        </w:rPr>
        <w:t>人员费用</w:t>
      </w:r>
      <w:r>
        <w:rPr>
          <w:rFonts w:hint="eastAsia"/>
          <w:lang w:eastAsia="zh-CN"/>
        </w:rPr>
        <w:t>时，调整拨款。</w:t>
      </w:r>
    </w:p>
    <w:p w14:paraId="048C5783" w14:textId="65625AAA" w:rsidR="00452D10" w:rsidRDefault="00452D10" w:rsidP="00452D10">
      <w:pPr>
        <w:rPr>
          <w:lang w:eastAsia="zh-CN"/>
        </w:rPr>
      </w:pPr>
      <w:r>
        <w:rPr>
          <w:lang w:eastAsia="zh-CN"/>
        </w:rPr>
        <w:t>6</w:t>
      </w:r>
      <w:r>
        <w:rPr>
          <w:lang w:eastAsia="zh-CN"/>
        </w:rPr>
        <w:tab/>
      </w:r>
      <w:r w:rsidR="00906206">
        <w:rPr>
          <w:rFonts w:hint="eastAsia"/>
          <w:lang w:eastAsia="zh-CN"/>
        </w:rPr>
        <w:t>责成</w:t>
      </w:r>
      <w:r w:rsidR="00906206" w:rsidRPr="00906206">
        <w:rPr>
          <w:rFonts w:hint="eastAsia"/>
          <w:lang w:eastAsia="zh-CN"/>
        </w:rPr>
        <w:t>秘书长每年向理事会提交一份全面报告，</w:t>
      </w:r>
      <w:r w:rsidR="00906206">
        <w:rPr>
          <w:rFonts w:hint="eastAsia"/>
          <w:lang w:val="en-US" w:eastAsia="zh-CN"/>
        </w:rPr>
        <w:t>内容</w:t>
      </w:r>
      <w:r w:rsidR="00906206" w:rsidRPr="00906206">
        <w:rPr>
          <w:rFonts w:hint="eastAsia"/>
          <w:lang w:eastAsia="zh-CN"/>
        </w:rPr>
        <w:t>包括说明</w:t>
      </w:r>
      <w:r w:rsidR="00906206">
        <w:rPr>
          <w:rFonts w:hint="eastAsia"/>
          <w:lang w:eastAsia="zh-CN"/>
        </w:rPr>
        <w:t>已</w:t>
      </w:r>
      <w:r w:rsidR="00906206" w:rsidRPr="00906206">
        <w:rPr>
          <w:rFonts w:hint="eastAsia"/>
          <w:lang w:eastAsia="zh-CN"/>
        </w:rPr>
        <w:t>采取行动理由的所有文件，以及</w:t>
      </w:r>
      <w:r w:rsidR="00906206">
        <w:rPr>
          <w:rFonts w:hint="eastAsia"/>
          <w:lang w:eastAsia="zh-CN"/>
        </w:rPr>
        <w:t>一份有关</w:t>
      </w:r>
      <w:r w:rsidR="00906206" w:rsidRPr="00906206">
        <w:rPr>
          <w:rFonts w:hint="eastAsia"/>
          <w:lang w:eastAsia="zh-CN"/>
        </w:rPr>
        <w:t>上文</w:t>
      </w:r>
      <w:r w:rsidR="00906206" w:rsidRPr="00906206">
        <w:rPr>
          <w:rFonts w:eastAsia="STKaiti" w:hint="eastAsia"/>
          <w:lang w:eastAsia="zh-CN"/>
        </w:rPr>
        <w:t>进一步做出决议</w:t>
      </w:r>
      <w:r w:rsidR="00906206" w:rsidRPr="00E1742D">
        <w:rPr>
          <w:lang w:eastAsia="zh-CN"/>
        </w:rPr>
        <w:t>5</w:t>
      </w:r>
      <w:r w:rsidR="00906206">
        <w:rPr>
          <w:lang w:eastAsia="zh-CN"/>
        </w:rPr>
        <w:t>)</w:t>
      </w:r>
      <w:r w:rsidR="00906206">
        <w:rPr>
          <w:rFonts w:hint="eastAsia"/>
          <w:lang w:eastAsia="zh-CN"/>
        </w:rPr>
        <w:t>所造成财务影响的</w:t>
      </w:r>
      <w:r w:rsidR="00307EC0">
        <w:rPr>
          <w:rFonts w:hint="eastAsia"/>
          <w:lang w:eastAsia="zh-CN"/>
        </w:rPr>
        <w:t>报表</w:t>
      </w:r>
      <w:r w:rsidR="00906206">
        <w:rPr>
          <w:rFonts w:hint="eastAsia"/>
          <w:lang w:eastAsia="zh-CN"/>
        </w:rPr>
        <w:t>；</w:t>
      </w:r>
    </w:p>
    <w:p w14:paraId="1705FF34" w14:textId="12993BFD" w:rsidR="00452D10" w:rsidRPr="00655E8C" w:rsidRDefault="00452D10" w:rsidP="00452D10">
      <w:pPr>
        <w:rPr>
          <w:lang w:eastAsia="zh-CN"/>
        </w:rPr>
      </w:pPr>
      <w:r>
        <w:rPr>
          <w:lang w:eastAsia="zh-CN"/>
        </w:rPr>
        <w:t>7</w:t>
      </w:r>
      <w:r>
        <w:rPr>
          <w:lang w:eastAsia="zh-CN"/>
        </w:rPr>
        <w:tab/>
      </w:r>
      <w:r w:rsidR="00AB560E">
        <w:rPr>
          <w:rFonts w:hint="eastAsia"/>
          <w:lang w:eastAsia="zh-CN"/>
        </w:rPr>
        <w:t>在</w:t>
      </w:r>
      <w:r w:rsidR="00AB560E" w:rsidRPr="00826354">
        <w:rPr>
          <w:rFonts w:asciiTheme="minorHAnsi" w:hAnsiTheme="minorHAnsi" w:cs="Calibri"/>
          <w:lang w:eastAsia="zh-CN"/>
        </w:rPr>
        <w:t>202</w:t>
      </w:r>
      <w:r w:rsidR="00AB560E">
        <w:rPr>
          <w:rFonts w:asciiTheme="minorHAnsi" w:hAnsiTheme="minorHAnsi" w:cs="Calibri"/>
          <w:lang w:eastAsia="zh-CN"/>
        </w:rPr>
        <w:t>4</w:t>
      </w:r>
      <w:r w:rsidR="00AB560E" w:rsidRPr="00826354">
        <w:rPr>
          <w:rFonts w:asciiTheme="minorHAnsi" w:hAnsiTheme="minorHAnsi" w:cs="Calibri"/>
          <w:lang w:eastAsia="zh-CN"/>
        </w:rPr>
        <w:t>-202</w:t>
      </w:r>
      <w:r w:rsidR="00AB560E">
        <w:rPr>
          <w:rFonts w:asciiTheme="minorHAnsi" w:hAnsiTheme="minorHAnsi" w:cs="Calibri"/>
          <w:lang w:eastAsia="zh-CN"/>
        </w:rPr>
        <w:t>5</w:t>
      </w:r>
      <w:r w:rsidR="00AB560E">
        <w:rPr>
          <w:rFonts w:hint="eastAsia"/>
          <w:lang w:eastAsia="zh-CN"/>
        </w:rPr>
        <w:t>双年度，根据《财务规则和财务细则》</w:t>
      </w:r>
      <w:r w:rsidR="00AB560E" w:rsidRPr="005E431F">
        <w:rPr>
          <w:rFonts w:eastAsia="STKaiti"/>
          <w:lang w:eastAsia="zh-CN"/>
        </w:rPr>
        <w:t>规则</w:t>
      </w:r>
      <w:r w:rsidR="00AB560E" w:rsidRPr="005E431F">
        <w:rPr>
          <w:rFonts w:eastAsia="STKaiti"/>
          <w:lang w:eastAsia="zh-CN"/>
        </w:rPr>
        <w:t>6.1</w:t>
      </w:r>
      <w:r w:rsidR="00AB560E">
        <w:rPr>
          <w:rFonts w:hint="eastAsia"/>
          <w:lang w:eastAsia="zh-CN"/>
        </w:rPr>
        <w:t>给予秘书长必要的灵活性，利用第</w:t>
      </w:r>
      <w:r w:rsidR="00AB560E">
        <w:rPr>
          <w:rFonts w:hint="eastAsia"/>
          <w:lang w:eastAsia="zh-CN"/>
        </w:rPr>
        <w:t>3</w:t>
      </w:r>
      <w:r w:rsidR="00AB560E">
        <w:rPr>
          <w:rFonts w:hint="eastAsia"/>
          <w:lang w:eastAsia="zh-CN"/>
        </w:rPr>
        <w:t>至第</w:t>
      </w:r>
      <w:r w:rsidR="00AB560E">
        <w:rPr>
          <w:rFonts w:hint="eastAsia"/>
          <w:lang w:eastAsia="zh-CN"/>
        </w:rPr>
        <w:t>9</w:t>
      </w:r>
      <w:r w:rsidR="00AB560E">
        <w:rPr>
          <w:rFonts w:hint="eastAsia"/>
          <w:lang w:eastAsia="zh-CN"/>
        </w:rPr>
        <w:t>类（非人员费用）节余补偿第</w:t>
      </w:r>
      <w:r w:rsidR="00AB560E">
        <w:rPr>
          <w:rFonts w:hint="eastAsia"/>
          <w:lang w:eastAsia="zh-CN"/>
        </w:rPr>
        <w:t>1</w:t>
      </w:r>
      <w:r w:rsidR="00AB560E">
        <w:rPr>
          <w:rFonts w:hint="eastAsia"/>
          <w:lang w:eastAsia="zh-CN"/>
        </w:rPr>
        <w:t>和第</w:t>
      </w:r>
      <w:r w:rsidR="00AB560E">
        <w:rPr>
          <w:rFonts w:hint="eastAsia"/>
          <w:lang w:eastAsia="zh-CN"/>
        </w:rPr>
        <w:t>2</w:t>
      </w:r>
      <w:r w:rsidR="00AB560E">
        <w:rPr>
          <w:rFonts w:hint="eastAsia"/>
          <w:lang w:eastAsia="zh-CN"/>
        </w:rPr>
        <w:t>类（人员费用）的超支，并在需要时进行必要的转账；</w:t>
      </w:r>
    </w:p>
    <w:p w14:paraId="5C1C33B9" w14:textId="6FC22654" w:rsidR="00452D10" w:rsidRPr="00655E8C" w:rsidRDefault="00452D10" w:rsidP="00452D10">
      <w:pPr>
        <w:rPr>
          <w:lang w:eastAsia="zh-CN"/>
        </w:rPr>
      </w:pPr>
      <w:r>
        <w:rPr>
          <w:lang w:eastAsia="zh-CN"/>
        </w:rPr>
        <w:t>8</w:t>
      </w:r>
      <w:r>
        <w:rPr>
          <w:lang w:eastAsia="zh-CN"/>
        </w:rPr>
        <w:tab/>
      </w:r>
      <w:r w:rsidR="00AB560E">
        <w:rPr>
          <w:rFonts w:hint="eastAsia"/>
          <w:lang w:eastAsia="zh-CN"/>
        </w:rPr>
        <w:t>授权在必要时使用收入节余平衡</w:t>
      </w:r>
      <w:r w:rsidR="00AB560E" w:rsidRPr="00826354">
        <w:rPr>
          <w:rFonts w:asciiTheme="minorHAnsi" w:hAnsiTheme="minorHAnsi" w:cs="Calibri"/>
          <w:lang w:eastAsia="zh-CN"/>
        </w:rPr>
        <w:t>202</w:t>
      </w:r>
      <w:r w:rsidR="00AB560E">
        <w:rPr>
          <w:rFonts w:asciiTheme="minorHAnsi" w:hAnsiTheme="minorHAnsi" w:cs="Calibri"/>
          <w:lang w:eastAsia="zh-CN"/>
        </w:rPr>
        <w:t>4</w:t>
      </w:r>
      <w:r w:rsidR="00AB560E" w:rsidRPr="00826354">
        <w:rPr>
          <w:rFonts w:asciiTheme="minorHAnsi" w:hAnsiTheme="minorHAnsi" w:cs="Calibri"/>
          <w:lang w:eastAsia="zh-CN"/>
        </w:rPr>
        <w:t>-202</w:t>
      </w:r>
      <w:r w:rsidR="00AB560E">
        <w:rPr>
          <w:rFonts w:asciiTheme="minorHAnsi" w:hAnsiTheme="minorHAnsi" w:cs="Calibri"/>
          <w:lang w:eastAsia="zh-CN"/>
        </w:rPr>
        <w:t>5</w:t>
      </w:r>
      <w:r w:rsidR="00AB560E">
        <w:rPr>
          <w:rFonts w:hint="eastAsia"/>
          <w:lang w:eastAsia="zh-CN"/>
        </w:rPr>
        <w:t>年账目；</w:t>
      </w:r>
    </w:p>
    <w:p w14:paraId="40F92523" w14:textId="1729ED82" w:rsidR="00452D10" w:rsidRPr="00655E8C" w:rsidRDefault="00452D10" w:rsidP="00452D10">
      <w:pPr>
        <w:rPr>
          <w:lang w:eastAsia="zh-CN"/>
        </w:rPr>
      </w:pPr>
      <w:r>
        <w:rPr>
          <w:lang w:eastAsia="zh-CN"/>
        </w:rPr>
        <w:t>9</w:t>
      </w:r>
      <w:r>
        <w:rPr>
          <w:lang w:eastAsia="zh-CN"/>
        </w:rPr>
        <w:tab/>
      </w:r>
      <w:r w:rsidR="00AB560E">
        <w:rPr>
          <w:rFonts w:cs="Calibri" w:hint="eastAsia"/>
          <w:szCs w:val="24"/>
          <w:lang w:eastAsia="zh-CN"/>
        </w:rPr>
        <w:t>责</w:t>
      </w:r>
      <w:r w:rsidR="00AB560E">
        <w:rPr>
          <w:rFonts w:cs="Calibri"/>
          <w:szCs w:val="24"/>
          <w:lang w:eastAsia="zh-CN"/>
        </w:rPr>
        <w:t>成秘书长于</w:t>
      </w:r>
      <w:r w:rsidR="00AB560E">
        <w:rPr>
          <w:rFonts w:cs="Calibri"/>
          <w:szCs w:val="24"/>
          <w:lang w:eastAsia="zh-CN"/>
        </w:rPr>
        <w:t>202</w:t>
      </w:r>
      <w:r w:rsidR="00AB560E">
        <w:rPr>
          <w:rFonts w:asciiTheme="minorHAnsi" w:hAnsiTheme="minorHAnsi" w:cs="Calibri"/>
          <w:lang w:eastAsia="zh-CN"/>
        </w:rPr>
        <w:t>4</w:t>
      </w:r>
      <w:r w:rsidR="00AB560E">
        <w:rPr>
          <w:rFonts w:cs="Calibri"/>
          <w:szCs w:val="24"/>
          <w:lang w:eastAsia="zh-CN"/>
        </w:rPr>
        <w:t>年</w:t>
      </w:r>
      <w:r w:rsidR="00AB560E">
        <w:rPr>
          <w:rFonts w:cs="Calibri"/>
          <w:szCs w:val="24"/>
          <w:lang w:eastAsia="zh-CN"/>
        </w:rPr>
        <w:t>1</w:t>
      </w:r>
      <w:r w:rsidR="00AB560E">
        <w:rPr>
          <w:rFonts w:cs="Calibri"/>
          <w:szCs w:val="24"/>
          <w:lang w:eastAsia="zh-CN"/>
        </w:rPr>
        <w:t>月从储备金账目转账</w:t>
      </w:r>
      <w:r w:rsidR="00AB560E">
        <w:rPr>
          <w:rFonts w:cs="Calibri" w:hint="eastAsia"/>
          <w:szCs w:val="24"/>
          <w:lang w:val="en-US" w:eastAsia="zh-CN"/>
        </w:rPr>
        <w:t>1</w:t>
      </w:r>
      <w:r w:rsidR="00AB560E">
        <w:rPr>
          <w:rFonts w:cs="Calibri"/>
          <w:szCs w:val="24"/>
          <w:lang w:val="en-US" w:eastAsia="zh-CN"/>
        </w:rPr>
        <w:t xml:space="preserve"> 000 000</w:t>
      </w:r>
      <w:r w:rsidR="00AB560E">
        <w:rPr>
          <w:rFonts w:cs="Calibri"/>
          <w:szCs w:val="24"/>
          <w:lang w:val="en-US" w:eastAsia="zh-CN"/>
        </w:rPr>
        <w:t>瑞郎至</w:t>
      </w:r>
      <w:r w:rsidR="00AB560E">
        <w:rPr>
          <w:rFonts w:cs="Calibri"/>
          <w:szCs w:val="24"/>
          <w:lang w:val="en-US" w:eastAsia="zh-CN"/>
        </w:rPr>
        <w:t>ASHI</w:t>
      </w:r>
      <w:r w:rsidR="00AB560E">
        <w:rPr>
          <w:rFonts w:cs="Calibri"/>
          <w:szCs w:val="24"/>
          <w:lang w:val="en-US" w:eastAsia="zh-CN"/>
        </w:rPr>
        <w:t>基</w:t>
      </w:r>
      <w:r w:rsidR="00AB560E">
        <w:rPr>
          <w:rFonts w:cs="Calibri" w:hint="eastAsia"/>
          <w:szCs w:val="24"/>
          <w:lang w:val="en-US" w:eastAsia="zh-CN"/>
        </w:rPr>
        <w:t>金</w:t>
      </w:r>
      <w:r w:rsidR="00AB560E">
        <w:rPr>
          <w:rFonts w:cs="Calibri"/>
          <w:szCs w:val="24"/>
          <w:lang w:val="en-US" w:eastAsia="zh-CN"/>
        </w:rPr>
        <w:t>，以解决无资金准备的长期负债问题。</w:t>
      </w:r>
    </w:p>
    <w:p w14:paraId="2D4E141E" w14:textId="6593EC44" w:rsidR="00452D10" w:rsidRPr="00655E8C" w:rsidRDefault="00AB560E" w:rsidP="00452D10">
      <w:pPr>
        <w:overflowPunct/>
        <w:autoSpaceDE/>
        <w:autoSpaceDN/>
        <w:adjustRightInd/>
        <w:snapToGrid w:val="0"/>
        <w:spacing w:before="1560"/>
        <w:textAlignment w:val="auto"/>
        <w:sectPr w:rsidR="00452D10" w:rsidRPr="00655E8C" w:rsidSect="00DA7CBE">
          <w:footerReference w:type="default" r:id="rId26"/>
          <w:headerReference w:type="first" r:id="rId27"/>
          <w:footerReference w:type="first" r:id="rId28"/>
          <w:footnotePr>
            <w:numRestart w:val="eachPage"/>
          </w:footnotePr>
          <w:pgSz w:w="11906" w:h="16838"/>
          <w:pgMar w:top="1418" w:right="1418" w:bottom="1418" w:left="1418" w:header="709" w:footer="709" w:gutter="0"/>
          <w:cols w:space="708"/>
          <w:titlePg/>
          <w:docGrid w:linePitch="360"/>
        </w:sectPr>
      </w:pPr>
      <w:r w:rsidRPr="00AB560E">
        <w:rPr>
          <w:rFonts w:ascii="STKaiti" w:eastAsia="STKaiti" w:hAnsi="STKaiti" w:hint="eastAsia"/>
          <w:b/>
          <w:bCs/>
          <w:lang w:eastAsia="zh-CN"/>
        </w:rPr>
        <w:t>附件：</w:t>
      </w:r>
      <w:r>
        <w:rPr>
          <w:rFonts w:hint="eastAsia"/>
          <w:lang w:eastAsia="zh-CN"/>
        </w:rPr>
        <w:t>表</w:t>
      </w:r>
      <w:r w:rsidR="00452D10" w:rsidRPr="00655E8C">
        <w:t>1-1</w:t>
      </w:r>
      <w:r w:rsidR="00452D10">
        <w:t>2</w:t>
      </w:r>
    </w:p>
    <w:p w14:paraId="27667BD9" w14:textId="77777777" w:rsidR="00452D10" w:rsidRDefault="00452D10" w:rsidP="00452D10">
      <w:pPr>
        <w:overflowPunct/>
        <w:autoSpaceDE/>
        <w:autoSpaceDN/>
        <w:adjustRightInd/>
        <w:spacing w:before="0"/>
        <w:jc w:val="center"/>
        <w:textAlignment w:val="auto"/>
        <w:rPr>
          <w:rFonts w:ascii="Gill Sans MT" w:hAnsi="Gill Sans MT"/>
          <w:szCs w:val="24"/>
        </w:rPr>
      </w:pPr>
    </w:p>
    <w:p w14:paraId="21A9E91C" w14:textId="6E362CE4" w:rsidR="00452D10" w:rsidRDefault="00E328F9" w:rsidP="00452D10">
      <w:pPr>
        <w:overflowPunct/>
        <w:autoSpaceDE/>
        <w:autoSpaceDN/>
        <w:adjustRightInd/>
        <w:spacing w:before="0"/>
        <w:jc w:val="center"/>
        <w:textAlignment w:val="auto"/>
        <w:rPr>
          <w:rFonts w:ascii="Gill Sans MT" w:hAnsi="Gill Sans MT"/>
          <w:szCs w:val="24"/>
        </w:rPr>
      </w:pPr>
      <w:r w:rsidRPr="00E328F9">
        <w:rPr>
          <w:noProof/>
        </w:rPr>
        <w:drawing>
          <wp:inline distT="0" distB="0" distL="0" distR="0" wp14:anchorId="347542B5" wp14:editId="1D46DF1B">
            <wp:extent cx="7509753" cy="274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10658" cy="2743531"/>
                    </a:xfrm>
                    <a:prstGeom prst="rect">
                      <a:avLst/>
                    </a:prstGeom>
                    <a:noFill/>
                    <a:ln>
                      <a:noFill/>
                    </a:ln>
                  </pic:spPr>
                </pic:pic>
              </a:graphicData>
            </a:graphic>
          </wp:inline>
        </w:drawing>
      </w:r>
    </w:p>
    <w:p w14:paraId="298B6A47" w14:textId="457C4AEC" w:rsidR="00452D10" w:rsidRPr="00655E8C" w:rsidRDefault="00452D10" w:rsidP="00452D10">
      <w:pPr>
        <w:overflowPunct/>
        <w:autoSpaceDE/>
        <w:autoSpaceDN/>
        <w:adjustRightInd/>
        <w:spacing w:before="0"/>
        <w:jc w:val="center"/>
        <w:textAlignment w:val="auto"/>
        <w:rPr>
          <w:rFonts w:ascii="Gill Sans MT" w:hAnsi="Gill Sans MT"/>
          <w:szCs w:val="24"/>
        </w:rPr>
      </w:pPr>
      <w:r w:rsidRPr="00655E8C">
        <w:rPr>
          <w:rFonts w:ascii="Gill Sans MT" w:hAnsi="Gill Sans MT"/>
          <w:szCs w:val="24"/>
        </w:rPr>
        <w:br w:type="page"/>
      </w:r>
    </w:p>
    <w:p w14:paraId="330B566B" w14:textId="62350548" w:rsidR="00FA0768" w:rsidRDefault="0080217E" w:rsidP="00452D10">
      <w:pPr>
        <w:overflowPunct/>
        <w:autoSpaceDE/>
        <w:autoSpaceDN/>
        <w:adjustRightInd/>
        <w:spacing w:before="0" w:after="160" w:line="259" w:lineRule="auto"/>
        <w:jc w:val="center"/>
        <w:textAlignment w:val="auto"/>
        <w:rPr>
          <w:noProof/>
        </w:rPr>
      </w:pPr>
      <w:r w:rsidRPr="0080217E">
        <w:rPr>
          <w:noProof/>
        </w:rPr>
        <w:lastRenderedPageBreak/>
        <w:drawing>
          <wp:inline distT="0" distB="0" distL="0" distR="0" wp14:anchorId="39264886" wp14:editId="696B670A">
            <wp:extent cx="6590581" cy="5807573"/>
            <wp:effectExtent l="0" t="0" r="127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92995" cy="5809700"/>
                    </a:xfrm>
                    <a:prstGeom prst="rect">
                      <a:avLst/>
                    </a:prstGeom>
                    <a:noFill/>
                    <a:ln>
                      <a:noFill/>
                    </a:ln>
                  </pic:spPr>
                </pic:pic>
              </a:graphicData>
            </a:graphic>
          </wp:inline>
        </w:drawing>
      </w:r>
    </w:p>
    <w:p w14:paraId="3DA9785D" w14:textId="3C46B7DB" w:rsidR="000122DE" w:rsidRDefault="00807DFB" w:rsidP="00452D10">
      <w:pPr>
        <w:overflowPunct/>
        <w:autoSpaceDE/>
        <w:autoSpaceDN/>
        <w:adjustRightInd/>
        <w:spacing w:before="0" w:after="160" w:line="259" w:lineRule="auto"/>
        <w:jc w:val="center"/>
        <w:textAlignment w:val="auto"/>
      </w:pPr>
      <w:r w:rsidRPr="00807DFB">
        <w:rPr>
          <w:noProof/>
        </w:rPr>
        <w:lastRenderedPageBreak/>
        <w:drawing>
          <wp:inline distT="0" distB="0" distL="0" distR="0" wp14:anchorId="38F87837" wp14:editId="43700A44">
            <wp:extent cx="7510145" cy="5760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10145" cy="5760085"/>
                    </a:xfrm>
                    <a:prstGeom prst="rect">
                      <a:avLst/>
                    </a:prstGeom>
                    <a:noFill/>
                    <a:ln>
                      <a:noFill/>
                    </a:ln>
                  </pic:spPr>
                </pic:pic>
              </a:graphicData>
            </a:graphic>
          </wp:inline>
        </w:drawing>
      </w:r>
      <w:r w:rsidR="00452D10" w:rsidRPr="00655E8C">
        <w:br w:type="page"/>
      </w:r>
    </w:p>
    <w:p w14:paraId="108F200E" w14:textId="69E9918C" w:rsidR="00452D10" w:rsidRPr="00655E8C" w:rsidRDefault="0080217E" w:rsidP="00452D10">
      <w:pPr>
        <w:overflowPunct/>
        <w:autoSpaceDE/>
        <w:autoSpaceDN/>
        <w:adjustRightInd/>
        <w:spacing w:before="0" w:after="160" w:line="259" w:lineRule="auto"/>
        <w:jc w:val="center"/>
        <w:textAlignment w:val="auto"/>
      </w:pPr>
      <w:r w:rsidRPr="0080217E">
        <w:rPr>
          <w:noProof/>
        </w:rPr>
        <w:lastRenderedPageBreak/>
        <w:drawing>
          <wp:inline distT="0" distB="0" distL="0" distR="0" wp14:anchorId="3E0920E0" wp14:editId="4D26F09D">
            <wp:extent cx="8888730" cy="573405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88730" cy="5734050"/>
                    </a:xfrm>
                    <a:prstGeom prst="rect">
                      <a:avLst/>
                    </a:prstGeom>
                    <a:noFill/>
                    <a:ln>
                      <a:noFill/>
                    </a:ln>
                  </pic:spPr>
                </pic:pic>
              </a:graphicData>
            </a:graphic>
          </wp:inline>
        </w:drawing>
      </w:r>
      <w:r w:rsidR="00452D10" w:rsidRPr="00655E8C">
        <w:br w:type="page"/>
      </w:r>
    </w:p>
    <w:p w14:paraId="2B57D2AB" w14:textId="408191E2" w:rsidR="00452D10" w:rsidRPr="00655E8C" w:rsidRDefault="0080217E" w:rsidP="00A208A6">
      <w:pPr>
        <w:overflowPunct/>
        <w:autoSpaceDE/>
        <w:autoSpaceDN/>
        <w:adjustRightInd/>
        <w:spacing w:before="0" w:after="160" w:line="259" w:lineRule="auto"/>
        <w:jc w:val="center"/>
        <w:textAlignment w:val="auto"/>
      </w:pPr>
      <w:r w:rsidRPr="0080217E">
        <w:rPr>
          <w:noProof/>
        </w:rPr>
        <w:lastRenderedPageBreak/>
        <w:drawing>
          <wp:inline distT="0" distB="0" distL="0" distR="0" wp14:anchorId="76736EE2" wp14:editId="1AAD7090">
            <wp:extent cx="8888730" cy="5731510"/>
            <wp:effectExtent l="0" t="0" r="762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88730" cy="5731510"/>
                    </a:xfrm>
                    <a:prstGeom prst="rect">
                      <a:avLst/>
                    </a:prstGeom>
                    <a:noFill/>
                    <a:ln>
                      <a:noFill/>
                    </a:ln>
                  </pic:spPr>
                </pic:pic>
              </a:graphicData>
            </a:graphic>
          </wp:inline>
        </w:drawing>
      </w:r>
      <w:r w:rsidR="00452D10" w:rsidRPr="00655E8C">
        <w:br w:type="page"/>
      </w:r>
    </w:p>
    <w:p w14:paraId="393C7042" w14:textId="47EEBC90" w:rsidR="00452D10" w:rsidRPr="00655E8C" w:rsidRDefault="00DE64E7" w:rsidP="00DE64E7">
      <w:pPr>
        <w:overflowPunct/>
        <w:autoSpaceDE/>
        <w:autoSpaceDN/>
        <w:adjustRightInd/>
        <w:spacing w:before="0" w:after="160" w:line="259" w:lineRule="auto"/>
        <w:jc w:val="center"/>
        <w:textAlignment w:val="auto"/>
      </w:pPr>
      <w:r w:rsidRPr="00DE64E7">
        <w:rPr>
          <w:noProof/>
        </w:rPr>
        <w:lastRenderedPageBreak/>
        <w:drawing>
          <wp:inline distT="0" distB="0" distL="0" distR="0" wp14:anchorId="6D4EFACA" wp14:editId="4D612074">
            <wp:extent cx="8677275" cy="576008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77275" cy="5760085"/>
                    </a:xfrm>
                    <a:prstGeom prst="rect">
                      <a:avLst/>
                    </a:prstGeom>
                    <a:noFill/>
                    <a:ln>
                      <a:noFill/>
                    </a:ln>
                  </pic:spPr>
                </pic:pic>
              </a:graphicData>
            </a:graphic>
          </wp:inline>
        </w:drawing>
      </w:r>
      <w:r w:rsidR="00452D10" w:rsidRPr="00655E8C">
        <w:br w:type="page"/>
      </w:r>
    </w:p>
    <w:p w14:paraId="5EAB59A9" w14:textId="75373F5E" w:rsidR="00452D10" w:rsidRPr="00655E8C" w:rsidRDefault="00DE64E7" w:rsidP="00452D10">
      <w:pPr>
        <w:overflowPunct/>
        <w:autoSpaceDE/>
        <w:autoSpaceDN/>
        <w:adjustRightInd/>
        <w:spacing w:before="0" w:after="160" w:line="259" w:lineRule="auto"/>
        <w:jc w:val="center"/>
        <w:textAlignment w:val="auto"/>
      </w:pPr>
      <w:r w:rsidRPr="00DE64E7">
        <w:rPr>
          <w:noProof/>
        </w:rPr>
        <w:lastRenderedPageBreak/>
        <w:drawing>
          <wp:inline distT="0" distB="0" distL="0" distR="0" wp14:anchorId="7ADA3CCC" wp14:editId="748FFB0D">
            <wp:extent cx="8651637" cy="4968815"/>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54911" cy="4970695"/>
                    </a:xfrm>
                    <a:prstGeom prst="rect">
                      <a:avLst/>
                    </a:prstGeom>
                    <a:noFill/>
                    <a:ln>
                      <a:noFill/>
                    </a:ln>
                  </pic:spPr>
                </pic:pic>
              </a:graphicData>
            </a:graphic>
          </wp:inline>
        </w:drawing>
      </w:r>
    </w:p>
    <w:p w14:paraId="5E72CE62" w14:textId="77777777" w:rsidR="00452D10" w:rsidRPr="00655E8C" w:rsidRDefault="00452D10" w:rsidP="00452D10">
      <w:pPr>
        <w:overflowPunct/>
        <w:autoSpaceDE/>
        <w:autoSpaceDN/>
        <w:adjustRightInd/>
        <w:spacing w:before="0"/>
        <w:jc w:val="center"/>
        <w:textAlignment w:val="auto"/>
        <w:rPr>
          <w:rFonts w:ascii="Gill Sans MT" w:hAnsi="Gill Sans MT"/>
          <w:szCs w:val="24"/>
        </w:rPr>
      </w:pPr>
    </w:p>
    <w:p w14:paraId="75646223" w14:textId="77777777" w:rsidR="00452D10" w:rsidRPr="00655E8C" w:rsidRDefault="00452D10" w:rsidP="00452D10">
      <w:pPr>
        <w:overflowPunct/>
        <w:autoSpaceDE/>
        <w:autoSpaceDN/>
        <w:adjustRightInd/>
        <w:spacing w:before="0" w:after="160" w:line="259" w:lineRule="auto"/>
        <w:textAlignment w:val="auto"/>
        <w:rPr>
          <w:rFonts w:ascii="Gill Sans MT" w:hAnsi="Gill Sans MT"/>
          <w:szCs w:val="24"/>
        </w:rPr>
      </w:pPr>
      <w:r w:rsidRPr="00655E8C">
        <w:rPr>
          <w:rFonts w:ascii="Gill Sans MT" w:hAnsi="Gill Sans MT"/>
          <w:szCs w:val="24"/>
        </w:rPr>
        <w:br w:type="page"/>
      </w:r>
    </w:p>
    <w:p w14:paraId="789767D8" w14:textId="4D2FC7FE" w:rsidR="00452D10" w:rsidRPr="00655E8C" w:rsidRDefault="00435A2E" w:rsidP="00435A2E">
      <w:pPr>
        <w:overflowPunct/>
        <w:autoSpaceDE/>
        <w:autoSpaceDN/>
        <w:adjustRightInd/>
        <w:spacing w:before="0" w:after="160" w:line="259" w:lineRule="auto"/>
        <w:jc w:val="center"/>
        <w:textAlignment w:val="auto"/>
      </w:pPr>
      <w:r w:rsidRPr="00435A2E">
        <w:rPr>
          <w:noProof/>
        </w:rPr>
        <w:lastRenderedPageBreak/>
        <w:drawing>
          <wp:inline distT="0" distB="0" distL="0" distR="0" wp14:anchorId="17229D3C" wp14:editId="3730336B">
            <wp:extent cx="8888730" cy="55098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88730" cy="5509895"/>
                    </a:xfrm>
                    <a:prstGeom prst="rect">
                      <a:avLst/>
                    </a:prstGeom>
                    <a:noFill/>
                    <a:ln>
                      <a:noFill/>
                    </a:ln>
                  </pic:spPr>
                </pic:pic>
              </a:graphicData>
            </a:graphic>
          </wp:inline>
        </w:drawing>
      </w:r>
      <w:r w:rsidR="00452D10" w:rsidRPr="00655E8C">
        <w:br w:type="page"/>
      </w:r>
    </w:p>
    <w:p w14:paraId="6377CE04" w14:textId="0F063348" w:rsidR="00452D10" w:rsidRPr="00655E8C" w:rsidRDefault="00004C46" w:rsidP="00452D10">
      <w:pPr>
        <w:overflowPunct/>
        <w:autoSpaceDE/>
        <w:autoSpaceDN/>
        <w:adjustRightInd/>
        <w:spacing w:before="0" w:after="160" w:line="259" w:lineRule="auto"/>
        <w:jc w:val="center"/>
        <w:textAlignment w:val="auto"/>
      </w:pPr>
      <w:r w:rsidRPr="00004C46">
        <w:rPr>
          <w:noProof/>
        </w:rPr>
        <w:lastRenderedPageBreak/>
        <w:drawing>
          <wp:inline distT="0" distB="0" distL="0" distR="0" wp14:anchorId="208440D2" wp14:editId="770F1957">
            <wp:extent cx="8888730" cy="5428615"/>
            <wp:effectExtent l="0" t="0" r="762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88730" cy="5428615"/>
                    </a:xfrm>
                    <a:prstGeom prst="rect">
                      <a:avLst/>
                    </a:prstGeom>
                    <a:noFill/>
                    <a:ln>
                      <a:noFill/>
                    </a:ln>
                  </pic:spPr>
                </pic:pic>
              </a:graphicData>
            </a:graphic>
          </wp:inline>
        </w:drawing>
      </w:r>
    </w:p>
    <w:p w14:paraId="062755BC" w14:textId="77777777" w:rsidR="00452D10" w:rsidRPr="00655E8C" w:rsidRDefault="00452D10" w:rsidP="00452D10">
      <w:pPr>
        <w:overflowPunct/>
        <w:autoSpaceDE/>
        <w:autoSpaceDN/>
        <w:adjustRightInd/>
        <w:spacing w:before="0" w:after="160" w:line="259" w:lineRule="auto"/>
        <w:textAlignment w:val="auto"/>
      </w:pPr>
      <w:r w:rsidRPr="00655E8C">
        <w:br w:type="page"/>
      </w:r>
    </w:p>
    <w:p w14:paraId="5367219C" w14:textId="6AA8AA8A" w:rsidR="00452D10" w:rsidRPr="00655E8C" w:rsidRDefault="00004C46" w:rsidP="00004C46">
      <w:pPr>
        <w:overflowPunct/>
        <w:autoSpaceDE/>
        <w:autoSpaceDN/>
        <w:adjustRightInd/>
        <w:spacing w:before="0" w:after="160" w:line="259" w:lineRule="auto"/>
        <w:jc w:val="center"/>
        <w:textAlignment w:val="auto"/>
        <w:rPr>
          <w:rFonts w:ascii="Gill Sans MT" w:hAnsi="Gill Sans MT"/>
          <w:szCs w:val="24"/>
        </w:rPr>
      </w:pPr>
      <w:r w:rsidRPr="00004C46">
        <w:rPr>
          <w:noProof/>
        </w:rPr>
        <w:lastRenderedPageBreak/>
        <w:drawing>
          <wp:inline distT="0" distB="0" distL="0" distR="0" wp14:anchorId="5BE3AFDC" wp14:editId="7DACD65D">
            <wp:extent cx="8888730" cy="5480050"/>
            <wp:effectExtent l="0" t="0" r="762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88730" cy="5480050"/>
                    </a:xfrm>
                    <a:prstGeom prst="rect">
                      <a:avLst/>
                    </a:prstGeom>
                    <a:noFill/>
                    <a:ln>
                      <a:noFill/>
                    </a:ln>
                  </pic:spPr>
                </pic:pic>
              </a:graphicData>
            </a:graphic>
          </wp:inline>
        </w:drawing>
      </w:r>
      <w:r w:rsidR="00452D10" w:rsidRPr="00655E8C">
        <w:rPr>
          <w:rFonts w:ascii="Gill Sans MT" w:hAnsi="Gill Sans MT"/>
          <w:szCs w:val="24"/>
        </w:rPr>
        <w:br w:type="page"/>
      </w:r>
    </w:p>
    <w:p w14:paraId="368143BA" w14:textId="24C134B4" w:rsidR="00452D10" w:rsidRPr="00655E8C" w:rsidRDefault="00DE64E7" w:rsidP="00452D10">
      <w:pPr>
        <w:overflowPunct/>
        <w:autoSpaceDE/>
        <w:autoSpaceDN/>
        <w:adjustRightInd/>
        <w:spacing w:before="0" w:after="160" w:line="259" w:lineRule="auto"/>
        <w:jc w:val="center"/>
        <w:textAlignment w:val="auto"/>
      </w:pPr>
      <w:r w:rsidRPr="00DE64E7">
        <w:rPr>
          <w:noProof/>
        </w:rPr>
        <w:lastRenderedPageBreak/>
        <w:drawing>
          <wp:inline distT="0" distB="0" distL="0" distR="0" wp14:anchorId="0B182515" wp14:editId="69B90613">
            <wp:extent cx="8888730" cy="387540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88730" cy="3875405"/>
                    </a:xfrm>
                    <a:prstGeom prst="rect">
                      <a:avLst/>
                    </a:prstGeom>
                    <a:noFill/>
                    <a:ln>
                      <a:noFill/>
                    </a:ln>
                  </pic:spPr>
                </pic:pic>
              </a:graphicData>
            </a:graphic>
          </wp:inline>
        </w:drawing>
      </w:r>
    </w:p>
    <w:p w14:paraId="180FF92F" w14:textId="77777777" w:rsidR="00452D10" w:rsidRPr="00655E8C" w:rsidRDefault="00452D10" w:rsidP="00452D10">
      <w:pPr>
        <w:overflowPunct/>
        <w:autoSpaceDE/>
        <w:autoSpaceDN/>
        <w:adjustRightInd/>
        <w:spacing w:before="0" w:after="160" w:line="259" w:lineRule="auto"/>
        <w:jc w:val="center"/>
        <w:textAlignment w:val="auto"/>
      </w:pPr>
    </w:p>
    <w:p w14:paraId="37D745E9" w14:textId="77777777" w:rsidR="00452D10" w:rsidRPr="00655E8C" w:rsidRDefault="00452D10" w:rsidP="00452D10">
      <w:pPr>
        <w:overflowPunct/>
        <w:autoSpaceDE/>
        <w:autoSpaceDN/>
        <w:adjustRightInd/>
        <w:spacing w:before="0" w:after="160" w:line="259" w:lineRule="auto"/>
        <w:jc w:val="center"/>
        <w:textAlignment w:val="auto"/>
      </w:pPr>
      <w:r w:rsidRPr="00655E8C">
        <w:br w:type="page"/>
      </w:r>
    </w:p>
    <w:p w14:paraId="4F7176CB" w14:textId="2489DF95" w:rsidR="00452D10" w:rsidRPr="00655E8C" w:rsidRDefault="00751D29" w:rsidP="00452D10">
      <w:pPr>
        <w:overflowPunct/>
        <w:autoSpaceDE/>
        <w:autoSpaceDN/>
        <w:adjustRightInd/>
        <w:spacing w:before="0" w:after="160" w:line="259" w:lineRule="auto"/>
        <w:jc w:val="center"/>
        <w:textAlignment w:val="auto"/>
        <w:rPr>
          <w:b/>
          <w:color w:val="000000"/>
        </w:rPr>
      </w:pPr>
      <w:r w:rsidRPr="00751D29">
        <w:rPr>
          <w:noProof/>
        </w:rPr>
        <w:lastRenderedPageBreak/>
        <w:drawing>
          <wp:inline distT="0" distB="0" distL="0" distR="0" wp14:anchorId="0AECD655" wp14:editId="5B1CC066">
            <wp:extent cx="8636635" cy="57600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36635" cy="5760085"/>
                    </a:xfrm>
                    <a:prstGeom prst="rect">
                      <a:avLst/>
                    </a:prstGeom>
                    <a:noFill/>
                    <a:ln>
                      <a:noFill/>
                    </a:ln>
                  </pic:spPr>
                </pic:pic>
              </a:graphicData>
            </a:graphic>
          </wp:inline>
        </w:drawing>
      </w:r>
      <w:r w:rsidR="00452D10" w:rsidRPr="00655E8C">
        <w:rPr>
          <w:b/>
          <w:color w:val="000000"/>
        </w:rPr>
        <w:br w:type="page"/>
      </w:r>
    </w:p>
    <w:p w14:paraId="14D13D38" w14:textId="6A3F097D" w:rsidR="00452D10" w:rsidRDefault="00751D29" w:rsidP="00751D29">
      <w:pPr>
        <w:overflowPunct/>
        <w:autoSpaceDE/>
        <w:autoSpaceDN/>
        <w:adjustRightInd/>
        <w:spacing w:before="0" w:after="160" w:line="259" w:lineRule="auto"/>
        <w:jc w:val="center"/>
        <w:textAlignment w:val="auto"/>
        <w:rPr>
          <w:szCs w:val="24"/>
        </w:rPr>
      </w:pPr>
      <w:r w:rsidRPr="00751D29">
        <w:rPr>
          <w:noProof/>
        </w:rPr>
        <w:lastRenderedPageBreak/>
        <w:drawing>
          <wp:inline distT="0" distB="0" distL="0" distR="0" wp14:anchorId="2268CDFF" wp14:editId="014DA0CF">
            <wp:extent cx="8834755" cy="5760085"/>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34755" cy="5760085"/>
                    </a:xfrm>
                    <a:prstGeom prst="rect">
                      <a:avLst/>
                    </a:prstGeom>
                    <a:noFill/>
                    <a:ln>
                      <a:noFill/>
                    </a:ln>
                  </pic:spPr>
                </pic:pic>
              </a:graphicData>
            </a:graphic>
          </wp:inline>
        </w:drawing>
      </w:r>
    </w:p>
    <w:p w14:paraId="68D686DB" w14:textId="0DB011B3" w:rsidR="00452D10" w:rsidRDefault="00751D29" w:rsidP="00751D29">
      <w:pPr>
        <w:overflowPunct/>
        <w:autoSpaceDE/>
        <w:autoSpaceDN/>
        <w:adjustRightInd/>
        <w:spacing w:before="840"/>
        <w:jc w:val="center"/>
        <w:textAlignment w:val="auto"/>
        <w:rPr>
          <w:szCs w:val="24"/>
        </w:rPr>
      </w:pPr>
      <w:r w:rsidRPr="00751D29">
        <w:rPr>
          <w:noProof/>
        </w:rPr>
        <w:lastRenderedPageBreak/>
        <w:drawing>
          <wp:inline distT="0" distB="0" distL="0" distR="0" wp14:anchorId="693EBB38" wp14:editId="6315354C">
            <wp:extent cx="8499475" cy="57600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499475" cy="5760085"/>
                    </a:xfrm>
                    <a:prstGeom prst="rect">
                      <a:avLst/>
                    </a:prstGeom>
                    <a:noFill/>
                    <a:ln>
                      <a:noFill/>
                    </a:ln>
                  </pic:spPr>
                </pic:pic>
              </a:graphicData>
            </a:graphic>
          </wp:inline>
        </w:drawing>
      </w:r>
      <w:r w:rsidR="00452D10">
        <w:rPr>
          <w:szCs w:val="24"/>
        </w:rPr>
        <w:br w:type="page"/>
      </w:r>
    </w:p>
    <w:p w14:paraId="09006923" w14:textId="5FD5E505" w:rsidR="00452D10" w:rsidRDefault="00A31990" w:rsidP="00452D10">
      <w:pPr>
        <w:overflowPunct/>
        <w:autoSpaceDE/>
        <w:autoSpaceDN/>
        <w:adjustRightInd/>
        <w:spacing w:before="0"/>
        <w:jc w:val="center"/>
        <w:textAlignment w:val="auto"/>
        <w:rPr>
          <w:szCs w:val="24"/>
        </w:rPr>
      </w:pPr>
      <w:r w:rsidRPr="00A31990">
        <w:rPr>
          <w:noProof/>
        </w:rPr>
        <w:lastRenderedPageBreak/>
        <w:drawing>
          <wp:inline distT="0" distB="0" distL="0" distR="0" wp14:anchorId="308C340A" wp14:editId="2E0A651D">
            <wp:extent cx="8592185" cy="4563110"/>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92185" cy="4563110"/>
                    </a:xfrm>
                    <a:prstGeom prst="rect">
                      <a:avLst/>
                    </a:prstGeom>
                    <a:noFill/>
                    <a:ln>
                      <a:noFill/>
                    </a:ln>
                  </pic:spPr>
                </pic:pic>
              </a:graphicData>
            </a:graphic>
          </wp:inline>
        </w:drawing>
      </w:r>
    </w:p>
    <w:p w14:paraId="6FCE1491" w14:textId="77777777" w:rsidR="00452D10" w:rsidRDefault="00452D10" w:rsidP="00452D10">
      <w:pPr>
        <w:overflowPunct/>
        <w:autoSpaceDE/>
        <w:autoSpaceDN/>
        <w:adjustRightInd/>
        <w:spacing w:before="0"/>
        <w:textAlignment w:val="auto"/>
        <w:rPr>
          <w:szCs w:val="24"/>
        </w:rPr>
      </w:pPr>
      <w:r>
        <w:rPr>
          <w:szCs w:val="24"/>
        </w:rPr>
        <w:br w:type="page"/>
      </w:r>
    </w:p>
    <w:p w14:paraId="74B2753F" w14:textId="4F03472D" w:rsidR="00452D10" w:rsidRDefault="00196FE9" w:rsidP="00196FE9">
      <w:pPr>
        <w:overflowPunct/>
        <w:autoSpaceDE/>
        <w:autoSpaceDN/>
        <w:adjustRightInd/>
        <w:spacing w:before="0"/>
        <w:jc w:val="center"/>
        <w:textAlignment w:val="auto"/>
        <w:rPr>
          <w:szCs w:val="24"/>
        </w:rPr>
      </w:pPr>
      <w:r w:rsidRPr="00196FE9">
        <w:rPr>
          <w:noProof/>
        </w:rPr>
        <w:lastRenderedPageBreak/>
        <w:drawing>
          <wp:inline distT="0" distB="0" distL="0" distR="0" wp14:anchorId="0355739B" wp14:editId="60E1972E">
            <wp:extent cx="8473440" cy="5760085"/>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473440" cy="5760085"/>
                    </a:xfrm>
                    <a:prstGeom prst="rect">
                      <a:avLst/>
                    </a:prstGeom>
                    <a:noFill/>
                    <a:ln>
                      <a:noFill/>
                    </a:ln>
                  </pic:spPr>
                </pic:pic>
              </a:graphicData>
            </a:graphic>
          </wp:inline>
        </w:drawing>
      </w:r>
      <w:r w:rsidR="00452D10">
        <w:rPr>
          <w:szCs w:val="24"/>
        </w:rPr>
        <w:br w:type="page"/>
      </w:r>
    </w:p>
    <w:p w14:paraId="6FD2ECD3" w14:textId="6442DC06" w:rsidR="00452D10" w:rsidRDefault="00196FE9" w:rsidP="00196FE9">
      <w:pPr>
        <w:overflowPunct/>
        <w:autoSpaceDE/>
        <w:autoSpaceDN/>
        <w:adjustRightInd/>
        <w:spacing w:before="840"/>
        <w:jc w:val="center"/>
        <w:textAlignment w:val="auto"/>
        <w:rPr>
          <w:szCs w:val="24"/>
        </w:rPr>
      </w:pPr>
      <w:r w:rsidRPr="00196FE9">
        <w:rPr>
          <w:noProof/>
        </w:rPr>
        <w:lastRenderedPageBreak/>
        <w:drawing>
          <wp:inline distT="0" distB="0" distL="0" distR="0" wp14:anchorId="42EB26D4" wp14:editId="6F92E906">
            <wp:extent cx="8640445" cy="5760085"/>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40445" cy="5760085"/>
                    </a:xfrm>
                    <a:prstGeom prst="rect">
                      <a:avLst/>
                    </a:prstGeom>
                    <a:noFill/>
                    <a:ln>
                      <a:noFill/>
                    </a:ln>
                  </pic:spPr>
                </pic:pic>
              </a:graphicData>
            </a:graphic>
          </wp:inline>
        </w:drawing>
      </w:r>
      <w:r w:rsidR="00452D10">
        <w:rPr>
          <w:szCs w:val="24"/>
        </w:rPr>
        <w:br w:type="page"/>
      </w:r>
    </w:p>
    <w:p w14:paraId="319A61B9" w14:textId="09D32E79" w:rsidR="00452D10" w:rsidRDefault="00196FE9" w:rsidP="00196FE9">
      <w:pPr>
        <w:overflowPunct/>
        <w:autoSpaceDE/>
        <w:autoSpaceDN/>
        <w:adjustRightInd/>
        <w:spacing w:before="0"/>
        <w:jc w:val="center"/>
        <w:textAlignment w:val="auto"/>
        <w:rPr>
          <w:szCs w:val="24"/>
        </w:rPr>
      </w:pPr>
      <w:r w:rsidRPr="00196FE9">
        <w:rPr>
          <w:noProof/>
        </w:rPr>
        <w:lastRenderedPageBreak/>
        <w:drawing>
          <wp:inline distT="0" distB="0" distL="0" distR="0" wp14:anchorId="58A3A109" wp14:editId="0DD034AC">
            <wp:extent cx="8595995" cy="57600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595995" cy="5760085"/>
                    </a:xfrm>
                    <a:prstGeom prst="rect">
                      <a:avLst/>
                    </a:prstGeom>
                    <a:noFill/>
                    <a:ln>
                      <a:noFill/>
                    </a:ln>
                  </pic:spPr>
                </pic:pic>
              </a:graphicData>
            </a:graphic>
          </wp:inline>
        </w:drawing>
      </w:r>
      <w:r w:rsidR="00452D10">
        <w:rPr>
          <w:szCs w:val="24"/>
        </w:rPr>
        <w:br w:type="page"/>
      </w:r>
    </w:p>
    <w:p w14:paraId="4677704D" w14:textId="011A339F" w:rsidR="00452D10" w:rsidRDefault="008B2CF7" w:rsidP="008B2CF7">
      <w:pPr>
        <w:overflowPunct/>
        <w:autoSpaceDE/>
        <w:autoSpaceDN/>
        <w:adjustRightInd/>
        <w:spacing w:before="0"/>
        <w:jc w:val="center"/>
        <w:textAlignment w:val="auto"/>
        <w:rPr>
          <w:szCs w:val="24"/>
        </w:rPr>
      </w:pPr>
      <w:r w:rsidRPr="008B2CF7">
        <w:rPr>
          <w:noProof/>
        </w:rPr>
        <w:lastRenderedPageBreak/>
        <w:drawing>
          <wp:inline distT="0" distB="0" distL="0" distR="0" wp14:anchorId="2380C660" wp14:editId="33B5A53D">
            <wp:extent cx="7918450" cy="576008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918450" cy="5760085"/>
                    </a:xfrm>
                    <a:prstGeom prst="rect">
                      <a:avLst/>
                    </a:prstGeom>
                    <a:noFill/>
                    <a:ln>
                      <a:noFill/>
                    </a:ln>
                  </pic:spPr>
                </pic:pic>
              </a:graphicData>
            </a:graphic>
          </wp:inline>
        </w:drawing>
      </w:r>
      <w:r w:rsidR="00452D10">
        <w:rPr>
          <w:szCs w:val="24"/>
        </w:rPr>
        <w:br w:type="page"/>
      </w:r>
    </w:p>
    <w:p w14:paraId="25CEA61A" w14:textId="0F065702" w:rsidR="00452D10" w:rsidRDefault="008B2CF7" w:rsidP="008B2CF7">
      <w:pPr>
        <w:overflowPunct/>
        <w:autoSpaceDE/>
        <w:autoSpaceDN/>
        <w:adjustRightInd/>
        <w:spacing w:before="0"/>
        <w:jc w:val="center"/>
        <w:textAlignment w:val="auto"/>
        <w:rPr>
          <w:szCs w:val="24"/>
        </w:rPr>
      </w:pPr>
      <w:r w:rsidRPr="008B2CF7">
        <w:rPr>
          <w:noProof/>
        </w:rPr>
        <w:lastRenderedPageBreak/>
        <w:drawing>
          <wp:inline distT="0" distB="0" distL="0" distR="0" wp14:anchorId="2C0C80CA" wp14:editId="2F8E465F">
            <wp:extent cx="7908925" cy="57600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908925" cy="5760085"/>
                    </a:xfrm>
                    <a:prstGeom prst="rect">
                      <a:avLst/>
                    </a:prstGeom>
                    <a:noFill/>
                    <a:ln>
                      <a:noFill/>
                    </a:ln>
                  </pic:spPr>
                </pic:pic>
              </a:graphicData>
            </a:graphic>
          </wp:inline>
        </w:drawing>
      </w:r>
      <w:r w:rsidR="00452D10">
        <w:rPr>
          <w:szCs w:val="24"/>
        </w:rPr>
        <w:br w:type="page"/>
      </w:r>
    </w:p>
    <w:p w14:paraId="03C70BCA" w14:textId="1DF7D397" w:rsidR="00452D10" w:rsidRDefault="008B2CF7" w:rsidP="00452D10">
      <w:pPr>
        <w:overflowPunct/>
        <w:autoSpaceDE/>
        <w:autoSpaceDN/>
        <w:adjustRightInd/>
        <w:spacing w:before="840"/>
        <w:jc w:val="center"/>
        <w:textAlignment w:val="auto"/>
        <w:rPr>
          <w:szCs w:val="24"/>
        </w:rPr>
      </w:pPr>
      <w:r w:rsidRPr="008B2CF7">
        <w:rPr>
          <w:noProof/>
        </w:rPr>
        <w:lastRenderedPageBreak/>
        <w:drawing>
          <wp:inline distT="0" distB="0" distL="0" distR="0" wp14:anchorId="76D76F79" wp14:editId="36816B22">
            <wp:extent cx="7809865" cy="576008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809865" cy="5760085"/>
                    </a:xfrm>
                    <a:prstGeom prst="rect">
                      <a:avLst/>
                    </a:prstGeom>
                    <a:noFill/>
                    <a:ln>
                      <a:noFill/>
                    </a:ln>
                  </pic:spPr>
                </pic:pic>
              </a:graphicData>
            </a:graphic>
          </wp:inline>
        </w:drawing>
      </w:r>
    </w:p>
    <w:p w14:paraId="061BFDC8" w14:textId="519F832B" w:rsidR="00452D10" w:rsidRDefault="008B2CF7" w:rsidP="00452D10">
      <w:pPr>
        <w:overflowPunct/>
        <w:autoSpaceDE/>
        <w:autoSpaceDN/>
        <w:adjustRightInd/>
        <w:spacing w:before="840"/>
        <w:jc w:val="center"/>
        <w:textAlignment w:val="auto"/>
        <w:rPr>
          <w:szCs w:val="24"/>
        </w:rPr>
      </w:pPr>
      <w:r w:rsidRPr="008B2CF7">
        <w:rPr>
          <w:noProof/>
        </w:rPr>
        <w:lastRenderedPageBreak/>
        <w:drawing>
          <wp:inline distT="0" distB="0" distL="0" distR="0" wp14:anchorId="6B4D7AF0" wp14:editId="2091B73C">
            <wp:extent cx="7212483" cy="3083442"/>
            <wp:effectExtent l="0" t="0" r="762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14956" cy="3084499"/>
                    </a:xfrm>
                    <a:prstGeom prst="rect">
                      <a:avLst/>
                    </a:prstGeom>
                    <a:noFill/>
                    <a:ln>
                      <a:noFill/>
                    </a:ln>
                  </pic:spPr>
                </pic:pic>
              </a:graphicData>
            </a:graphic>
          </wp:inline>
        </w:drawing>
      </w:r>
    </w:p>
    <w:p w14:paraId="7AE39A60" w14:textId="77777777" w:rsidR="00452D10" w:rsidRPr="00891958" w:rsidRDefault="00452D10" w:rsidP="00452D10">
      <w:pPr>
        <w:overflowPunct/>
        <w:autoSpaceDE/>
        <w:autoSpaceDN/>
        <w:adjustRightInd/>
        <w:spacing w:before="840"/>
        <w:jc w:val="center"/>
        <w:textAlignment w:val="auto"/>
        <w:rPr>
          <w:szCs w:val="24"/>
        </w:rPr>
      </w:pPr>
      <w:r w:rsidRPr="00891958">
        <w:rPr>
          <w:szCs w:val="24"/>
        </w:rPr>
        <w:t>________________</w:t>
      </w:r>
    </w:p>
    <w:p w14:paraId="4F555B1E" w14:textId="1818286C" w:rsidR="00D64DA0" w:rsidRDefault="00D64DA0" w:rsidP="00452D10">
      <w:pPr>
        <w:rPr>
          <w:b/>
          <w:bCs/>
          <w:lang w:val="en-US" w:eastAsia="zh-CN"/>
        </w:rPr>
      </w:pPr>
    </w:p>
    <w:sectPr w:rsidR="00D64DA0" w:rsidSect="00452D10">
      <w:footerReference w:type="default" r:id="rId51"/>
      <w:headerReference w:type="first" r:id="rId52"/>
      <w:footerReference w:type="first" r:id="rId53"/>
      <w:pgSz w:w="16834" w:h="11907" w:orient="landscape"/>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85F6" w14:textId="77777777" w:rsidR="00271F1E" w:rsidRDefault="00271F1E">
      <w:r>
        <w:separator/>
      </w:r>
    </w:p>
  </w:endnote>
  <w:endnote w:type="continuationSeparator" w:id="0">
    <w:p w14:paraId="1DC2DDBD" w14:textId="77777777" w:rsidR="00271F1E" w:rsidRDefault="0027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52D10" w:rsidRPr="00784011" w14:paraId="355D7DA8" w14:textId="77777777" w:rsidTr="00F2477C">
      <w:trPr>
        <w:jc w:val="center"/>
      </w:trPr>
      <w:tc>
        <w:tcPr>
          <w:tcW w:w="1803" w:type="dxa"/>
          <w:vAlign w:val="center"/>
        </w:tcPr>
        <w:p w14:paraId="281E55CB" w14:textId="77777777" w:rsidR="00452D10" w:rsidRDefault="00452D10" w:rsidP="00CC2AC3">
          <w:pPr>
            <w:pStyle w:val="Header"/>
            <w:jc w:val="left"/>
            <w:rPr>
              <w:noProof/>
            </w:rPr>
          </w:pPr>
          <w:r w:rsidRPr="00ED6DED">
            <w:t>DPS 521094</w:t>
          </w:r>
        </w:p>
      </w:tc>
      <w:tc>
        <w:tcPr>
          <w:tcW w:w="8261" w:type="dxa"/>
        </w:tcPr>
        <w:p w14:paraId="2ECE2490" w14:textId="1B301AB6" w:rsidR="00452D10" w:rsidRPr="00E06FD5" w:rsidRDefault="00452D10" w:rsidP="00CC2AC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60</w:t>
          </w:r>
          <w:r w:rsidRPr="00623AE3">
            <w:rPr>
              <w:bCs/>
            </w:rPr>
            <w:t>-</w:t>
          </w:r>
          <w:r w:rsidR="008B2CF7" w:rsidRPr="009A3ABF">
            <w:rPr>
              <w:rFonts w:asciiTheme="minorHAnsi" w:eastAsiaTheme="minorEastAsia" w:hAnsiTheme="minorHAnsi" w:cstheme="minorHAnsi"/>
              <w:bCs/>
              <w:lang w:eastAsia="zh-CN"/>
            </w:rPr>
            <w:t>C</w:t>
          </w:r>
          <w:r>
            <w:rPr>
              <w:bCs/>
            </w:rPr>
            <w:tab/>
          </w:r>
          <w:r>
            <w:fldChar w:fldCharType="begin"/>
          </w:r>
          <w:r>
            <w:instrText>PAGE</w:instrText>
          </w:r>
          <w:r>
            <w:fldChar w:fldCharType="separate"/>
          </w:r>
          <w:r>
            <w:t>1</w:t>
          </w:r>
          <w:r>
            <w:rPr>
              <w:noProof/>
            </w:rPr>
            <w:fldChar w:fldCharType="end"/>
          </w:r>
        </w:p>
      </w:tc>
    </w:tr>
  </w:tbl>
  <w:p w14:paraId="5EAA6B99" w14:textId="77777777" w:rsidR="00452D10" w:rsidRDefault="00452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A7CBE" w:rsidRPr="00784011" w14:paraId="43B74BC0" w14:textId="77777777" w:rsidTr="0052032D">
      <w:trPr>
        <w:jc w:val="center"/>
      </w:trPr>
      <w:tc>
        <w:tcPr>
          <w:tcW w:w="1803" w:type="dxa"/>
          <w:vAlign w:val="center"/>
        </w:tcPr>
        <w:p w14:paraId="719BC4B1" w14:textId="77777777" w:rsidR="00DA7CBE" w:rsidRDefault="002850B7" w:rsidP="00DA7CBE">
          <w:pPr>
            <w:pStyle w:val="Header"/>
            <w:jc w:val="left"/>
            <w:rPr>
              <w:noProof/>
            </w:rPr>
          </w:pPr>
          <w:hyperlink r:id="rId1" w:history="1">
            <w:r w:rsidR="00DA7CBE" w:rsidRPr="00A514A4">
              <w:rPr>
                <w:rStyle w:val="Hyperlink"/>
                <w:szCs w:val="14"/>
              </w:rPr>
              <w:t>www.itu.int/council</w:t>
            </w:r>
          </w:hyperlink>
        </w:p>
      </w:tc>
      <w:tc>
        <w:tcPr>
          <w:tcW w:w="8261" w:type="dxa"/>
        </w:tcPr>
        <w:p w14:paraId="7FD5AF69" w14:textId="2B232BFD" w:rsidR="00DA7CBE" w:rsidRPr="00E06FD5" w:rsidRDefault="00DA7CBE" w:rsidP="00DA7CBE">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850B7">
            <w:rPr>
              <w:bCs/>
            </w:rPr>
            <w:t>60</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673AB15" w14:textId="77777777" w:rsidR="00452D10" w:rsidRPr="00DA7CBE" w:rsidRDefault="00452D10" w:rsidP="00DA7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71F1E" w:rsidRPr="00784011" w14:paraId="25652288" w14:textId="77777777" w:rsidTr="00777A2D">
      <w:trPr>
        <w:jc w:val="center"/>
      </w:trPr>
      <w:tc>
        <w:tcPr>
          <w:tcW w:w="1803" w:type="dxa"/>
          <w:vAlign w:val="center"/>
        </w:tcPr>
        <w:p w14:paraId="2E33C152" w14:textId="37D595E6" w:rsidR="00271F1E" w:rsidRDefault="00271F1E" w:rsidP="00E24D59">
          <w:pPr>
            <w:pStyle w:val="Header"/>
            <w:jc w:val="left"/>
            <w:rPr>
              <w:noProof/>
            </w:rPr>
          </w:pPr>
          <w:r>
            <w:rPr>
              <w:noProof/>
            </w:rPr>
            <w:t xml:space="preserve">DPS </w:t>
          </w:r>
          <w:r w:rsidR="00452D10">
            <w:rPr>
              <w:noProof/>
            </w:rPr>
            <w:t>521094</w:t>
          </w:r>
        </w:p>
      </w:tc>
      <w:tc>
        <w:tcPr>
          <w:tcW w:w="8261" w:type="dxa"/>
        </w:tcPr>
        <w:p w14:paraId="128C249C" w14:textId="65DD9EEC" w:rsidR="00271F1E" w:rsidRPr="00E06FD5" w:rsidRDefault="00271F1E"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02677A">
            <w:rPr>
              <w:bCs/>
            </w:rPr>
            <w:t>/</w:t>
          </w:r>
          <w:r w:rsidR="00452D10">
            <w:rPr>
              <w:bCs/>
            </w:rPr>
            <w:t>60</w:t>
          </w:r>
          <w:r w:rsidRPr="00623AE3">
            <w:rPr>
              <w:bCs/>
            </w:rPr>
            <w:t>-</w:t>
          </w:r>
          <w:r>
            <w:rPr>
              <w:bCs/>
            </w:rPr>
            <w:t>C</w:t>
          </w:r>
          <w:r>
            <w:rPr>
              <w:bCs/>
            </w:rPr>
            <w:tab/>
          </w:r>
          <w:r>
            <w:fldChar w:fldCharType="begin"/>
          </w:r>
          <w:r>
            <w:instrText>PAGE</w:instrText>
          </w:r>
          <w:r>
            <w:fldChar w:fldCharType="separate"/>
          </w:r>
          <w:r w:rsidR="00901CAB">
            <w:rPr>
              <w:noProof/>
            </w:rPr>
            <w:t>3</w:t>
          </w:r>
          <w:r>
            <w:rPr>
              <w:noProof/>
            </w:rPr>
            <w:fldChar w:fldCharType="end"/>
          </w:r>
        </w:p>
      </w:tc>
    </w:tr>
  </w:tbl>
  <w:p w14:paraId="33EA752D" w14:textId="77777777" w:rsidR="00271F1E" w:rsidRPr="00E24D59" w:rsidRDefault="00271F1E" w:rsidP="00E24D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B2CF7" w:rsidRPr="00784011" w14:paraId="1C66CD21" w14:textId="77777777" w:rsidTr="003E7AB5">
      <w:trPr>
        <w:jc w:val="center"/>
      </w:trPr>
      <w:tc>
        <w:tcPr>
          <w:tcW w:w="1803" w:type="dxa"/>
          <w:vAlign w:val="center"/>
        </w:tcPr>
        <w:p w14:paraId="2268825E" w14:textId="77777777" w:rsidR="008B2CF7" w:rsidRDefault="008B2CF7" w:rsidP="008B2CF7">
          <w:pPr>
            <w:pStyle w:val="Header"/>
            <w:jc w:val="left"/>
            <w:rPr>
              <w:noProof/>
            </w:rPr>
          </w:pPr>
          <w:r w:rsidRPr="00ED6DED">
            <w:t>DPS 521094</w:t>
          </w:r>
        </w:p>
      </w:tc>
      <w:tc>
        <w:tcPr>
          <w:tcW w:w="8261" w:type="dxa"/>
        </w:tcPr>
        <w:p w14:paraId="1E5E22B9" w14:textId="77777777" w:rsidR="008B2CF7" w:rsidRPr="00E06FD5" w:rsidRDefault="008B2CF7" w:rsidP="008B2CF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60</w:t>
          </w:r>
          <w:r w:rsidRPr="00623AE3">
            <w:rPr>
              <w:bCs/>
            </w:rPr>
            <w:t>-</w:t>
          </w:r>
          <w:r w:rsidRPr="009A3ABF">
            <w:rPr>
              <w:rFonts w:asciiTheme="minorHAnsi" w:eastAsiaTheme="minorEastAsia" w:hAnsiTheme="minorHAnsi" w:cstheme="minorHAnsi"/>
              <w:bCs/>
              <w:lang w:eastAsia="zh-CN"/>
            </w:rPr>
            <w:t>C</w:t>
          </w:r>
          <w:r>
            <w:rPr>
              <w:bCs/>
            </w:rPr>
            <w:tab/>
          </w:r>
          <w:r>
            <w:fldChar w:fldCharType="begin"/>
          </w:r>
          <w:r>
            <w:instrText>PAGE</w:instrText>
          </w:r>
          <w:r>
            <w:fldChar w:fldCharType="separate"/>
          </w:r>
          <w:r>
            <w:t>14</w:t>
          </w:r>
          <w:r>
            <w:rPr>
              <w:noProof/>
            </w:rPr>
            <w:fldChar w:fldCharType="end"/>
          </w:r>
        </w:p>
      </w:tc>
    </w:tr>
  </w:tbl>
  <w:p w14:paraId="3F5B853B" w14:textId="77777777" w:rsidR="00271F1E" w:rsidRPr="008B2CF7" w:rsidRDefault="00271F1E" w:rsidP="008B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22D6" w14:textId="77777777" w:rsidR="00271F1E" w:rsidRDefault="00271F1E">
      <w:r>
        <w:t>____________________</w:t>
      </w:r>
    </w:p>
  </w:footnote>
  <w:footnote w:type="continuationSeparator" w:id="0">
    <w:p w14:paraId="646C0718" w14:textId="77777777" w:rsidR="00271F1E" w:rsidRDefault="0027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A7CBE" w:rsidRPr="00784011" w14:paraId="058132FD" w14:textId="77777777" w:rsidTr="0052032D">
      <w:trPr>
        <w:trHeight w:val="1104"/>
        <w:jc w:val="center"/>
      </w:trPr>
      <w:tc>
        <w:tcPr>
          <w:tcW w:w="4390" w:type="dxa"/>
          <w:vAlign w:val="center"/>
        </w:tcPr>
        <w:p w14:paraId="596930A5" w14:textId="77777777" w:rsidR="00DA7CBE" w:rsidRPr="009621F8" w:rsidRDefault="00DA7CBE" w:rsidP="00DA7CBE">
          <w:pPr>
            <w:pStyle w:val="Header"/>
            <w:jc w:val="left"/>
            <w:rPr>
              <w:rFonts w:ascii="Arial" w:hAnsi="Arial" w:cs="Arial"/>
              <w:b/>
              <w:bCs/>
              <w:color w:val="009CD6"/>
              <w:sz w:val="36"/>
              <w:szCs w:val="36"/>
            </w:rPr>
          </w:pPr>
          <w:bookmarkStart w:id="17" w:name="_Hlk133422111"/>
          <w:r>
            <w:rPr>
              <w:noProof/>
            </w:rPr>
            <w:drawing>
              <wp:inline distT="0" distB="0" distL="0" distR="0" wp14:anchorId="043ABAB7" wp14:editId="5C19B660">
                <wp:extent cx="1918260" cy="539086"/>
                <wp:effectExtent l="0" t="0" r="0" b="0"/>
                <wp:docPr id="28" name="Picture 28"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font, logo, graphics,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337C0B59" w14:textId="77777777" w:rsidR="00DA7CBE" w:rsidRDefault="00DA7CBE" w:rsidP="00DA7CBE">
          <w:pPr>
            <w:pStyle w:val="Header"/>
            <w:jc w:val="right"/>
            <w:rPr>
              <w:rFonts w:ascii="Arial" w:hAnsi="Arial" w:cs="Arial"/>
              <w:b/>
              <w:bCs/>
              <w:color w:val="009CD6"/>
              <w:szCs w:val="18"/>
            </w:rPr>
          </w:pPr>
        </w:p>
        <w:p w14:paraId="38CC3444" w14:textId="77777777" w:rsidR="00DA7CBE" w:rsidRDefault="00DA7CBE" w:rsidP="00DA7CBE">
          <w:pPr>
            <w:pStyle w:val="Header"/>
            <w:jc w:val="right"/>
            <w:rPr>
              <w:rFonts w:ascii="Arial" w:hAnsi="Arial" w:cs="Arial"/>
              <w:b/>
              <w:bCs/>
              <w:color w:val="009CD6"/>
              <w:szCs w:val="18"/>
            </w:rPr>
          </w:pPr>
        </w:p>
        <w:p w14:paraId="0CFDF3DE" w14:textId="77777777" w:rsidR="00DA7CBE" w:rsidRPr="00784011" w:rsidRDefault="00DA7CBE" w:rsidP="00DA7CBE">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7"/>
  <w:p w14:paraId="42F17232" w14:textId="7FB04483" w:rsidR="00452D10" w:rsidRDefault="00DA7CBE">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1766E0B" wp14:editId="17688ECA">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E1DDC"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AFA3" w14:textId="06603AF2" w:rsidR="00271F1E" w:rsidRPr="008B2CF7" w:rsidRDefault="00271F1E" w:rsidP="008B2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161AD"/>
    <w:multiLevelType w:val="hybridMultilevel"/>
    <w:tmpl w:val="0A443B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41D4"/>
    <w:multiLevelType w:val="hybridMultilevel"/>
    <w:tmpl w:val="303E42A8"/>
    <w:lvl w:ilvl="0" w:tplc="ADE60106">
      <w:start w:val="1"/>
      <w:numFmt w:val="decimal"/>
      <w:lvlText w:val="%1."/>
      <w:lvlJc w:val="left"/>
      <w:pPr>
        <w:ind w:left="36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5810A5"/>
    <w:multiLevelType w:val="hybridMultilevel"/>
    <w:tmpl w:val="95D22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7B1273"/>
    <w:multiLevelType w:val="hybridMultilevel"/>
    <w:tmpl w:val="129E9D26"/>
    <w:lvl w:ilvl="0" w:tplc="1D3A9D5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7502B5E"/>
    <w:multiLevelType w:val="hybridMultilevel"/>
    <w:tmpl w:val="85D6F0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616FA7"/>
    <w:multiLevelType w:val="hybridMultilevel"/>
    <w:tmpl w:val="2FB24D1A"/>
    <w:lvl w:ilvl="0" w:tplc="7E30572E">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15:restartNumberingAfterBreak="0">
    <w:nsid w:val="3B2D5BB5"/>
    <w:multiLevelType w:val="hybridMultilevel"/>
    <w:tmpl w:val="0D3642C0"/>
    <w:lvl w:ilvl="0" w:tplc="7E30572E">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CE77E2"/>
    <w:multiLevelType w:val="hybridMultilevel"/>
    <w:tmpl w:val="F0D6DB62"/>
    <w:lvl w:ilvl="0" w:tplc="1D3A9D5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F3E4F97"/>
    <w:multiLevelType w:val="hybridMultilevel"/>
    <w:tmpl w:val="350A2558"/>
    <w:lvl w:ilvl="0" w:tplc="4DAAD9D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66D26"/>
    <w:multiLevelType w:val="hybridMultilevel"/>
    <w:tmpl w:val="3120F988"/>
    <w:lvl w:ilvl="0" w:tplc="7E30572E">
      <w:start w:val="1"/>
      <w:numFmt w:val="lowerLetter"/>
      <w:lvlText w:val="%1)"/>
      <w:lvlJc w:val="left"/>
      <w:pPr>
        <w:ind w:left="2771" w:hanging="360"/>
      </w:pPr>
      <w:rPr>
        <w:rFonts w:hint="default"/>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22"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51894"/>
    <w:multiLevelType w:val="multilevel"/>
    <w:tmpl w:val="6CFC717C"/>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b w:val="0"/>
        <w:bCs w:val="0"/>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24"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27" w15:restartNumberingAfterBreak="0">
    <w:nsid w:val="64531053"/>
    <w:multiLevelType w:val="hybridMultilevel"/>
    <w:tmpl w:val="FBA23ED0"/>
    <w:lvl w:ilvl="0" w:tplc="1D3A9D5C">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9A36DF"/>
    <w:multiLevelType w:val="hybridMultilevel"/>
    <w:tmpl w:val="7C5EA5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925268">
    <w:abstractNumId w:val="0"/>
  </w:num>
  <w:num w:numId="2" w16cid:durableId="1881702144">
    <w:abstractNumId w:val="9"/>
  </w:num>
  <w:num w:numId="3" w16cid:durableId="864516616">
    <w:abstractNumId w:val="10"/>
  </w:num>
  <w:num w:numId="4" w16cid:durableId="1497069990">
    <w:abstractNumId w:val="29"/>
  </w:num>
  <w:num w:numId="5" w16cid:durableId="466708731">
    <w:abstractNumId w:val="32"/>
  </w:num>
  <w:num w:numId="6" w16cid:durableId="776481679">
    <w:abstractNumId w:val="31"/>
  </w:num>
  <w:num w:numId="7" w16cid:durableId="1384062518">
    <w:abstractNumId w:val="5"/>
  </w:num>
  <w:num w:numId="8" w16cid:durableId="1599101302">
    <w:abstractNumId w:val="2"/>
  </w:num>
  <w:num w:numId="9" w16cid:durableId="1302463980">
    <w:abstractNumId w:val="13"/>
  </w:num>
  <w:num w:numId="10" w16cid:durableId="1481532629">
    <w:abstractNumId w:val="18"/>
  </w:num>
  <w:num w:numId="11" w16cid:durableId="1343557076">
    <w:abstractNumId w:val="28"/>
  </w:num>
  <w:num w:numId="12" w16cid:durableId="2044668740">
    <w:abstractNumId w:val="25"/>
  </w:num>
  <w:num w:numId="13" w16cid:durableId="1147167169">
    <w:abstractNumId w:val="30"/>
  </w:num>
  <w:num w:numId="14" w16cid:durableId="857701042">
    <w:abstractNumId w:val="19"/>
  </w:num>
  <w:num w:numId="15" w16cid:durableId="852720661">
    <w:abstractNumId w:val="26"/>
  </w:num>
  <w:num w:numId="16" w16cid:durableId="1012997330">
    <w:abstractNumId w:val="17"/>
  </w:num>
  <w:num w:numId="17" w16cid:durableId="2087921034">
    <w:abstractNumId w:val="15"/>
  </w:num>
  <w:num w:numId="18" w16cid:durableId="955022485">
    <w:abstractNumId w:val="7"/>
  </w:num>
  <w:num w:numId="19" w16cid:durableId="1636789049">
    <w:abstractNumId w:val="8"/>
  </w:num>
  <w:num w:numId="20" w16cid:durableId="60059048">
    <w:abstractNumId w:val="24"/>
  </w:num>
  <w:num w:numId="21" w16cid:durableId="2071344289">
    <w:abstractNumId w:val="3"/>
  </w:num>
  <w:num w:numId="22" w16cid:durableId="1339429601">
    <w:abstractNumId w:val="22"/>
  </w:num>
  <w:num w:numId="23" w16cid:durableId="598877929">
    <w:abstractNumId w:val="20"/>
  </w:num>
  <w:num w:numId="24" w16cid:durableId="905188724">
    <w:abstractNumId w:val="23"/>
  </w:num>
  <w:num w:numId="25" w16cid:durableId="625964834">
    <w:abstractNumId w:val="27"/>
  </w:num>
  <w:num w:numId="26" w16cid:durableId="706948179">
    <w:abstractNumId w:val="6"/>
  </w:num>
  <w:num w:numId="27" w16cid:durableId="971835243">
    <w:abstractNumId w:val="16"/>
  </w:num>
  <w:num w:numId="28" w16cid:durableId="1033068341">
    <w:abstractNumId w:val="11"/>
  </w:num>
  <w:num w:numId="29" w16cid:durableId="1151674822">
    <w:abstractNumId w:val="33"/>
  </w:num>
  <w:num w:numId="30" w16cid:durableId="1572428175">
    <w:abstractNumId w:val="4"/>
  </w:num>
  <w:num w:numId="31" w16cid:durableId="363018592">
    <w:abstractNumId w:val="1"/>
  </w:num>
  <w:num w:numId="32" w16cid:durableId="1280256312">
    <w:abstractNumId w:val="12"/>
  </w:num>
  <w:num w:numId="33" w16cid:durableId="9526102">
    <w:abstractNumId w:val="21"/>
  </w:num>
  <w:num w:numId="34" w16cid:durableId="9355556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5"/>
    <w:rsid w:val="00001B77"/>
    <w:rsid w:val="00004C46"/>
    <w:rsid w:val="0000517A"/>
    <w:rsid w:val="000122DE"/>
    <w:rsid w:val="0002677A"/>
    <w:rsid w:val="00031E72"/>
    <w:rsid w:val="000404D2"/>
    <w:rsid w:val="000853C0"/>
    <w:rsid w:val="0009409E"/>
    <w:rsid w:val="000A1C21"/>
    <w:rsid w:val="000C0BC5"/>
    <w:rsid w:val="000D15EA"/>
    <w:rsid w:val="00100D84"/>
    <w:rsid w:val="00124C9D"/>
    <w:rsid w:val="00133C54"/>
    <w:rsid w:val="00157773"/>
    <w:rsid w:val="0018251A"/>
    <w:rsid w:val="00190272"/>
    <w:rsid w:val="00193244"/>
    <w:rsid w:val="00195C6C"/>
    <w:rsid w:val="00195FED"/>
    <w:rsid w:val="00196FE9"/>
    <w:rsid w:val="001A4BD6"/>
    <w:rsid w:val="001D5A18"/>
    <w:rsid w:val="001D7C8B"/>
    <w:rsid w:val="001E0DF5"/>
    <w:rsid w:val="002004C5"/>
    <w:rsid w:val="0020161F"/>
    <w:rsid w:val="00271F1E"/>
    <w:rsid w:val="00280EB8"/>
    <w:rsid w:val="002850B7"/>
    <w:rsid w:val="002950E3"/>
    <w:rsid w:val="002A6670"/>
    <w:rsid w:val="002C3E51"/>
    <w:rsid w:val="002D3328"/>
    <w:rsid w:val="002E459B"/>
    <w:rsid w:val="002E6A4F"/>
    <w:rsid w:val="002F0AB3"/>
    <w:rsid w:val="00303502"/>
    <w:rsid w:val="00307EC0"/>
    <w:rsid w:val="00325C25"/>
    <w:rsid w:val="00344CC0"/>
    <w:rsid w:val="00372C8F"/>
    <w:rsid w:val="00380ECE"/>
    <w:rsid w:val="00393DDF"/>
    <w:rsid w:val="00397F55"/>
    <w:rsid w:val="003B4454"/>
    <w:rsid w:val="003C2E37"/>
    <w:rsid w:val="003F1415"/>
    <w:rsid w:val="003F2292"/>
    <w:rsid w:val="003F5B06"/>
    <w:rsid w:val="0040144C"/>
    <w:rsid w:val="00403EB7"/>
    <w:rsid w:val="004100EA"/>
    <w:rsid w:val="00430BF0"/>
    <w:rsid w:val="00435A2E"/>
    <w:rsid w:val="00452D10"/>
    <w:rsid w:val="004672E6"/>
    <w:rsid w:val="00474ED1"/>
    <w:rsid w:val="00493085"/>
    <w:rsid w:val="004A36EC"/>
    <w:rsid w:val="004C7947"/>
    <w:rsid w:val="004D163F"/>
    <w:rsid w:val="004E4BFF"/>
    <w:rsid w:val="004F2598"/>
    <w:rsid w:val="004F2717"/>
    <w:rsid w:val="0051105B"/>
    <w:rsid w:val="005403F7"/>
    <w:rsid w:val="00540632"/>
    <w:rsid w:val="00541CF4"/>
    <w:rsid w:val="005451E8"/>
    <w:rsid w:val="005507F2"/>
    <w:rsid w:val="005759CC"/>
    <w:rsid w:val="0058789B"/>
    <w:rsid w:val="005A2A63"/>
    <w:rsid w:val="005A72E1"/>
    <w:rsid w:val="005B03E3"/>
    <w:rsid w:val="005C6632"/>
    <w:rsid w:val="005C786C"/>
    <w:rsid w:val="005D1C9E"/>
    <w:rsid w:val="00630DD5"/>
    <w:rsid w:val="00650E60"/>
    <w:rsid w:val="00654257"/>
    <w:rsid w:val="0065435A"/>
    <w:rsid w:val="00682AF5"/>
    <w:rsid w:val="00683D84"/>
    <w:rsid w:val="006A2DD3"/>
    <w:rsid w:val="006A5AF8"/>
    <w:rsid w:val="006C1507"/>
    <w:rsid w:val="006C36CD"/>
    <w:rsid w:val="006E044E"/>
    <w:rsid w:val="006E343F"/>
    <w:rsid w:val="00700D1F"/>
    <w:rsid w:val="007205CB"/>
    <w:rsid w:val="00725FAD"/>
    <w:rsid w:val="00726073"/>
    <w:rsid w:val="00734FE8"/>
    <w:rsid w:val="007360CE"/>
    <w:rsid w:val="00751D29"/>
    <w:rsid w:val="00772315"/>
    <w:rsid w:val="00774E4D"/>
    <w:rsid w:val="00775157"/>
    <w:rsid w:val="00777A2D"/>
    <w:rsid w:val="007813AE"/>
    <w:rsid w:val="007A37DB"/>
    <w:rsid w:val="007E189D"/>
    <w:rsid w:val="007E3090"/>
    <w:rsid w:val="007E6BEE"/>
    <w:rsid w:val="0080217E"/>
    <w:rsid w:val="00807DFB"/>
    <w:rsid w:val="00811259"/>
    <w:rsid w:val="00813AA2"/>
    <w:rsid w:val="008173A3"/>
    <w:rsid w:val="008418F5"/>
    <w:rsid w:val="0086059C"/>
    <w:rsid w:val="00864589"/>
    <w:rsid w:val="00890AFB"/>
    <w:rsid w:val="00890FC4"/>
    <w:rsid w:val="00895905"/>
    <w:rsid w:val="00897F4D"/>
    <w:rsid w:val="008B2CF7"/>
    <w:rsid w:val="00901CAB"/>
    <w:rsid w:val="00906206"/>
    <w:rsid w:val="00911867"/>
    <w:rsid w:val="0091531B"/>
    <w:rsid w:val="00915889"/>
    <w:rsid w:val="009164A9"/>
    <w:rsid w:val="009258CB"/>
    <w:rsid w:val="00925DD2"/>
    <w:rsid w:val="0093362E"/>
    <w:rsid w:val="00940F83"/>
    <w:rsid w:val="00944563"/>
    <w:rsid w:val="00953160"/>
    <w:rsid w:val="009625D8"/>
    <w:rsid w:val="00983F9A"/>
    <w:rsid w:val="0098459B"/>
    <w:rsid w:val="00997185"/>
    <w:rsid w:val="009A3ABF"/>
    <w:rsid w:val="009C2458"/>
    <w:rsid w:val="009C39F9"/>
    <w:rsid w:val="009C4A7B"/>
    <w:rsid w:val="009C6123"/>
    <w:rsid w:val="009E1F06"/>
    <w:rsid w:val="009F1E3E"/>
    <w:rsid w:val="00A1213C"/>
    <w:rsid w:val="00A208A6"/>
    <w:rsid w:val="00A272FF"/>
    <w:rsid w:val="00A31990"/>
    <w:rsid w:val="00A454B5"/>
    <w:rsid w:val="00A5354B"/>
    <w:rsid w:val="00A61835"/>
    <w:rsid w:val="00A70E3F"/>
    <w:rsid w:val="00A71B57"/>
    <w:rsid w:val="00A81ECB"/>
    <w:rsid w:val="00AB42C1"/>
    <w:rsid w:val="00AB560E"/>
    <w:rsid w:val="00AC516F"/>
    <w:rsid w:val="00AD4931"/>
    <w:rsid w:val="00AE195F"/>
    <w:rsid w:val="00AE2926"/>
    <w:rsid w:val="00B0184B"/>
    <w:rsid w:val="00B035CD"/>
    <w:rsid w:val="00B0769D"/>
    <w:rsid w:val="00B217F8"/>
    <w:rsid w:val="00B332EA"/>
    <w:rsid w:val="00B40A53"/>
    <w:rsid w:val="00B45365"/>
    <w:rsid w:val="00B46A65"/>
    <w:rsid w:val="00B60184"/>
    <w:rsid w:val="00B62D20"/>
    <w:rsid w:val="00B7083E"/>
    <w:rsid w:val="00B73E8B"/>
    <w:rsid w:val="00B81E75"/>
    <w:rsid w:val="00BD0954"/>
    <w:rsid w:val="00BD1A5A"/>
    <w:rsid w:val="00BD7A9B"/>
    <w:rsid w:val="00BD7BE1"/>
    <w:rsid w:val="00BF416B"/>
    <w:rsid w:val="00C05C1D"/>
    <w:rsid w:val="00C16583"/>
    <w:rsid w:val="00C30B96"/>
    <w:rsid w:val="00C64E4E"/>
    <w:rsid w:val="00C66E64"/>
    <w:rsid w:val="00C761A0"/>
    <w:rsid w:val="00C85F7E"/>
    <w:rsid w:val="00C90D53"/>
    <w:rsid w:val="00CA0B2E"/>
    <w:rsid w:val="00CB3666"/>
    <w:rsid w:val="00CD47F0"/>
    <w:rsid w:val="00CD5566"/>
    <w:rsid w:val="00CD64D7"/>
    <w:rsid w:val="00CE6F22"/>
    <w:rsid w:val="00CF41F6"/>
    <w:rsid w:val="00CF7D3E"/>
    <w:rsid w:val="00D02B4E"/>
    <w:rsid w:val="00D11704"/>
    <w:rsid w:val="00D21F11"/>
    <w:rsid w:val="00D36817"/>
    <w:rsid w:val="00D453EE"/>
    <w:rsid w:val="00D5666C"/>
    <w:rsid w:val="00D64DA0"/>
    <w:rsid w:val="00D666BC"/>
    <w:rsid w:val="00D83542"/>
    <w:rsid w:val="00D9075F"/>
    <w:rsid w:val="00D92F45"/>
    <w:rsid w:val="00D94637"/>
    <w:rsid w:val="00D9725C"/>
    <w:rsid w:val="00DA7006"/>
    <w:rsid w:val="00DA7CBE"/>
    <w:rsid w:val="00DB3621"/>
    <w:rsid w:val="00DC100A"/>
    <w:rsid w:val="00DC6427"/>
    <w:rsid w:val="00DD66A1"/>
    <w:rsid w:val="00DE196D"/>
    <w:rsid w:val="00DE64E7"/>
    <w:rsid w:val="00DE6887"/>
    <w:rsid w:val="00DF6B49"/>
    <w:rsid w:val="00E067C5"/>
    <w:rsid w:val="00E06E0B"/>
    <w:rsid w:val="00E24D59"/>
    <w:rsid w:val="00E265BF"/>
    <w:rsid w:val="00E328F9"/>
    <w:rsid w:val="00E378D8"/>
    <w:rsid w:val="00E43A12"/>
    <w:rsid w:val="00E447FD"/>
    <w:rsid w:val="00E67C67"/>
    <w:rsid w:val="00E75A17"/>
    <w:rsid w:val="00E77476"/>
    <w:rsid w:val="00E8228B"/>
    <w:rsid w:val="00EA7630"/>
    <w:rsid w:val="00EC18C4"/>
    <w:rsid w:val="00EE0D32"/>
    <w:rsid w:val="00EE5706"/>
    <w:rsid w:val="00EF373D"/>
    <w:rsid w:val="00F06177"/>
    <w:rsid w:val="00F11595"/>
    <w:rsid w:val="00F13BC9"/>
    <w:rsid w:val="00F357B2"/>
    <w:rsid w:val="00F36556"/>
    <w:rsid w:val="00F41711"/>
    <w:rsid w:val="00F44F03"/>
    <w:rsid w:val="00F705DF"/>
    <w:rsid w:val="00F70622"/>
    <w:rsid w:val="00F708D3"/>
    <w:rsid w:val="00F85624"/>
    <w:rsid w:val="00F87C05"/>
    <w:rsid w:val="00F93191"/>
    <w:rsid w:val="00F93A17"/>
    <w:rsid w:val="00FA0768"/>
    <w:rsid w:val="00FA1B0C"/>
    <w:rsid w:val="00FA2AF6"/>
    <w:rsid w:val="00FB073D"/>
    <w:rsid w:val="00FB771F"/>
    <w:rsid w:val="00FC5386"/>
    <w:rsid w:val="00FF4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encabezad,he"/>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link w:val="Title3Char"/>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1,encabezad Char,he Char1"/>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DE6887"/>
    <w:pPr>
      <w:framePr w:hSpace="180" w:wrap="around" w:hAnchor="page" w:x="1821" w:y="2317"/>
      <w:spacing w:before="120" w:after="160"/>
      <w:jc w:val="left"/>
    </w:pPr>
    <w:rPr>
      <w:caps w:val="0"/>
      <w:sz w:val="34"/>
    </w:rPr>
  </w:style>
  <w:style w:type="paragraph" w:customStyle="1" w:styleId="firstfooter0">
    <w:name w:val="firstfooter"/>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D64DA0"/>
    <w:pPr>
      <w:keepNext/>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D64DA0"/>
  </w:style>
  <w:style w:type="character" w:customStyle="1" w:styleId="Heading3Char">
    <w:name w:val="Heading 3 Char"/>
    <w:basedOn w:val="DefaultParagraphFont"/>
    <w:link w:val="Heading3"/>
    <w:rsid w:val="00D64DA0"/>
    <w:rPr>
      <w:rFonts w:ascii="Calibri" w:hAnsi="Calibri"/>
      <w:b/>
      <w:i/>
      <w:sz w:val="24"/>
      <w:lang w:val="en-GB" w:eastAsia="en-US"/>
    </w:rPr>
  </w:style>
  <w:style w:type="character" w:customStyle="1" w:styleId="Heading4Char">
    <w:name w:val="Heading 4 Char"/>
    <w:basedOn w:val="DefaultParagraphFont"/>
    <w:link w:val="Heading4"/>
    <w:rsid w:val="00D64DA0"/>
    <w:rPr>
      <w:rFonts w:ascii="Calibri" w:hAnsi="Calibri"/>
      <w:i/>
      <w:sz w:val="24"/>
      <w:lang w:val="en-GB" w:eastAsia="en-US"/>
    </w:rPr>
  </w:style>
  <w:style w:type="character" w:customStyle="1" w:styleId="Heading5Char">
    <w:name w:val="Heading 5 Char"/>
    <w:basedOn w:val="DefaultParagraphFont"/>
    <w:link w:val="Heading5"/>
    <w:rsid w:val="00D64DA0"/>
    <w:rPr>
      <w:rFonts w:ascii="Calibri" w:hAnsi="Calibri"/>
      <w:i/>
      <w:sz w:val="24"/>
      <w:lang w:val="en-GB" w:eastAsia="en-US"/>
    </w:rPr>
  </w:style>
  <w:style w:type="character" w:customStyle="1" w:styleId="Heading6Char">
    <w:name w:val="Heading 6 Char"/>
    <w:basedOn w:val="DefaultParagraphFont"/>
    <w:link w:val="Heading6"/>
    <w:rsid w:val="00D64DA0"/>
    <w:rPr>
      <w:rFonts w:ascii="Calibri" w:hAnsi="Calibri"/>
      <w:i/>
      <w:sz w:val="24"/>
      <w:lang w:val="en-GB" w:eastAsia="en-US"/>
    </w:rPr>
  </w:style>
  <w:style w:type="character" w:customStyle="1" w:styleId="Heading7Char">
    <w:name w:val="Heading 7 Char"/>
    <w:basedOn w:val="DefaultParagraphFont"/>
    <w:link w:val="Heading7"/>
    <w:rsid w:val="00D64DA0"/>
    <w:rPr>
      <w:rFonts w:ascii="Calibri" w:hAnsi="Calibri"/>
      <w:i/>
      <w:sz w:val="24"/>
      <w:lang w:val="en-GB" w:eastAsia="en-US"/>
    </w:rPr>
  </w:style>
  <w:style w:type="character" w:customStyle="1" w:styleId="Heading8Char">
    <w:name w:val="Heading 8 Char"/>
    <w:basedOn w:val="DefaultParagraphFont"/>
    <w:link w:val="Heading8"/>
    <w:rsid w:val="00D64DA0"/>
    <w:rPr>
      <w:rFonts w:ascii="Calibri" w:hAnsi="Calibri"/>
      <w:i/>
      <w:sz w:val="24"/>
      <w:lang w:val="en-GB" w:eastAsia="en-US"/>
    </w:rPr>
  </w:style>
  <w:style w:type="character" w:customStyle="1" w:styleId="Heading9Char">
    <w:name w:val="Heading 9 Char"/>
    <w:basedOn w:val="DefaultParagraphFont"/>
    <w:link w:val="Heading9"/>
    <w:rsid w:val="00D64DA0"/>
    <w:rPr>
      <w:rFonts w:ascii="Calibri" w:hAnsi="Calibri"/>
      <w:i/>
      <w:sz w:val="24"/>
      <w:lang w:val="en-GB" w:eastAsia="en-US"/>
    </w:rPr>
  </w:style>
  <w:style w:type="paragraph" w:customStyle="1" w:styleId="AHRNormal">
    <w:name w:val="AHR_Normal"/>
    <w:basedOn w:val="Normal"/>
    <w:rsid w:val="00D64DA0"/>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character" w:customStyle="1" w:styleId="HeaderChar1">
    <w:name w:val="Header Char1"/>
    <w:aliases w:val="encabezado Char,encabezad Char1,he Char"/>
    <w:basedOn w:val="DefaultParagraphFont"/>
    <w:rsid w:val="00D64DA0"/>
    <w:rPr>
      <w:rFonts w:ascii="Calibri" w:hAnsi="Calibri"/>
      <w:sz w:val="18"/>
      <w:lang w:val="fr-FR" w:eastAsia="en-US"/>
    </w:rPr>
  </w:style>
  <w:style w:type="paragraph" w:styleId="Title">
    <w:name w:val="Title"/>
    <w:basedOn w:val="Normal"/>
    <w:link w:val="TitleChar"/>
    <w:qFormat/>
    <w:rsid w:val="00D64DA0"/>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64DA0"/>
    <w:rPr>
      <w:rFonts w:ascii="Arial" w:eastAsia="Times New Roman" w:hAnsi="Arial" w:cs="Arial"/>
      <w:b/>
      <w:bCs/>
      <w:kern w:val="28"/>
      <w:sz w:val="32"/>
      <w:szCs w:val="32"/>
      <w:lang w:val="en-GB" w:eastAsia="en-US"/>
    </w:rPr>
  </w:style>
  <w:style w:type="character" w:customStyle="1" w:styleId="enumlev1Char">
    <w:name w:val="enumlev1 Char"/>
    <w:basedOn w:val="DefaultParagraphFont"/>
    <w:link w:val="enumlev1"/>
    <w:rsid w:val="00D64DA0"/>
    <w:rPr>
      <w:rFonts w:ascii="Calibri" w:hAnsi="Calibri"/>
      <w:sz w:val="24"/>
      <w:lang w:val="en-GB" w:eastAsia="en-US"/>
    </w:rPr>
  </w:style>
  <w:style w:type="paragraph" w:customStyle="1" w:styleId="Normal2">
    <w:name w:val="Normal2"/>
    <w:basedOn w:val="Normal"/>
    <w:link w:val="Normal2Char"/>
    <w:rsid w:val="00D64DA0"/>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D64DA0"/>
    <w:rPr>
      <w:rFonts w:ascii="Gill Sans MT" w:eastAsia="Times New Roman" w:hAnsi="Gill Sans MT"/>
      <w:sz w:val="24"/>
      <w:lang w:eastAsia="en-US"/>
    </w:rPr>
  </w:style>
  <w:style w:type="paragraph" w:customStyle="1" w:styleId="normalaftertitle0">
    <w:name w:val="normalaftertitle"/>
    <w:basedOn w:val="Normal"/>
    <w:rsid w:val="00D64DA0"/>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styleId="NormalWeb">
    <w:name w:val="Normal (Web)"/>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hAnsi="Times New Roman"/>
      <w:color w:val="000000"/>
      <w:szCs w:val="24"/>
      <w:lang w:val="en-US" w:eastAsia="zh-CN"/>
    </w:rPr>
  </w:style>
  <w:style w:type="paragraph" w:styleId="BalloonText">
    <w:name w:val="Balloon Text"/>
    <w:basedOn w:val="Normal"/>
    <w:link w:val="BalloonTextChar"/>
    <w:unhideWhenUsed/>
    <w:rsid w:val="00D64DA0"/>
    <w:pPr>
      <w:spacing w:before="0"/>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D64DA0"/>
    <w:rPr>
      <w:rFonts w:ascii="Tahoma" w:eastAsia="Times New Roman" w:hAnsi="Tahoma" w:cs="Tahoma"/>
      <w:sz w:val="16"/>
      <w:szCs w:val="16"/>
      <w:lang w:val="en-GB" w:eastAsia="en-US"/>
    </w:rPr>
  </w:style>
  <w:style w:type="paragraph" w:customStyle="1" w:styleId="xl24">
    <w:name w:val="xl24"/>
    <w:basedOn w:val="Normal"/>
    <w:rsid w:val="00D64DA0"/>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D64DA0"/>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D64DA0"/>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D64DA0"/>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D64DA0"/>
    <w:pPr>
      <w:numPr>
        <w:numId w:val="10"/>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D64DA0"/>
    <w:pPr>
      <w:numPr>
        <w:ilvl w:val="1"/>
        <w:numId w:val="16"/>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uiPriority w:val="99"/>
    <w:rsid w:val="00D64DA0"/>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uiPriority w:val="99"/>
    <w:rsid w:val="00D64DA0"/>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D64DA0"/>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D64DA0"/>
    <w:rPr>
      <w:rFonts w:ascii="Times New Roman" w:eastAsia="Times New Roman" w:hAnsi="Times New Roman"/>
      <w:b/>
      <w:bCs/>
      <w:sz w:val="24"/>
      <w:szCs w:val="24"/>
      <w:lang w:eastAsia="en-US"/>
    </w:rPr>
  </w:style>
  <w:style w:type="paragraph" w:customStyle="1" w:styleId="Rec">
    <w:name w:val="Rec_#"/>
    <w:basedOn w:val="Normal"/>
    <w:next w:val="RecTitle0"/>
    <w:rsid w:val="00D64DA0"/>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D64DA0"/>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64DA0"/>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D64DA0"/>
    <w:pPr>
      <w:keepNext/>
      <w:keepLine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
    <w:basedOn w:val="DefaultParagraphFont"/>
    <w:uiPriority w:val="99"/>
    <w:rsid w:val="00D64DA0"/>
    <w:rPr>
      <w:rFonts w:ascii="Calibri" w:hAnsi="Calibri"/>
      <w:sz w:val="24"/>
      <w:lang w:val="en-GB" w:eastAsia="en-US"/>
    </w:rPr>
  </w:style>
  <w:style w:type="paragraph" w:customStyle="1" w:styleId="TableLegend0">
    <w:name w:val="Table_Legend"/>
    <w:basedOn w:val="TableText0"/>
    <w:rsid w:val="00D64DA0"/>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D64DA0"/>
    <w:pPr>
      <w:keepLines/>
      <w:spacing w:before="0"/>
    </w:pPr>
    <w:rPr>
      <w:b/>
      <w:bCs/>
      <w:caps w:val="0"/>
    </w:rPr>
  </w:style>
  <w:style w:type="paragraph" w:customStyle="1" w:styleId="FigureLegend0">
    <w:name w:val="Figure_Legend"/>
    <w:basedOn w:val="Normal"/>
    <w:rsid w:val="00D64DA0"/>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D64DA0"/>
    <w:pPr>
      <w:spacing w:before="480"/>
    </w:pPr>
  </w:style>
  <w:style w:type="paragraph" w:customStyle="1" w:styleId="FigureTitle0">
    <w:name w:val="Figure_Title"/>
    <w:basedOn w:val="TableTitle0"/>
    <w:next w:val="Normal"/>
    <w:rsid w:val="00D64DA0"/>
    <w:pPr>
      <w:keepNext w:val="0"/>
      <w:spacing w:after="480"/>
    </w:pPr>
  </w:style>
  <w:style w:type="paragraph" w:customStyle="1" w:styleId="AnnexRef0">
    <w:name w:val="Annex_Ref"/>
    <w:basedOn w:val="Normal"/>
    <w:next w:val="AnnexTitle0"/>
    <w:rsid w:val="00D64DA0"/>
    <w:pPr>
      <w:keepNext/>
      <w:keepLines/>
      <w:jc w:val="center"/>
    </w:pPr>
    <w:rPr>
      <w:rFonts w:ascii="Times New Roman" w:eastAsia="Times New Roman" w:hAnsi="Times New Roman"/>
    </w:rPr>
  </w:style>
  <w:style w:type="paragraph" w:customStyle="1" w:styleId="AnnexTitle0">
    <w:name w:val="Annex_Title"/>
    <w:basedOn w:val="Normal"/>
    <w:next w:val="Normalaftertitle"/>
    <w:rsid w:val="00D64DA0"/>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D64DA0"/>
    <w:rPr>
      <w:szCs w:val="28"/>
    </w:rPr>
  </w:style>
  <w:style w:type="paragraph" w:customStyle="1" w:styleId="AppendixRef0">
    <w:name w:val="Appendix_Ref"/>
    <w:basedOn w:val="AnnexRef0"/>
    <w:next w:val="AppendixTitle0"/>
    <w:rsid w:val="00D64DA0"/>
  </w:style>
  <w:style w:type="paragraph" w:customStyle="1" w:styleId="AppendixTitle0">
    <w:name w:val="Appendix_Title"/>
    <w:basedOn w:val="AnnexTitle0"/>
    <w:next w:val="Normalaftertitle"/>
    <w:rsid w:val="00D64DA0"/>
  </w:style>
  <w:style w:type="paragraph" w:customStyle="1" w:styleId="RefTitle0">
    <w:name w:val="Ref_Title"/>
    <w:basedOn w:val="Normal"/>
    <w:next w:val="RefText0"/>
    <w:rsid w:val="00D64DA0"/>
    <w:pPr>
      <w:spacing w:before="480"/>
      <w:jc w:val="center"/>
    </w:pPr>
    <w:rPr>
      <w:rFonts w:ascii="Times New Roman" w:eastAsia="Times New Roman" w:hAnsi="Times New Roman"/>
      <w:caps/>
    </w:rPr>
  </w:style>
  <w:style w:type="paragraph" w:customStyle="1" w:styleId="RefText0">
    <w:name w:val="Ref_Text"/>
    <w:basedOn w:val="Normal"/>
    <w:rsid w:val="00D64DA0"/>
    <w:pPr>
      <w:ind w:left="794" w:hanging="794"/>
      <w:jc w:val="both"/>
    </w:pPr>
    <w:rPr>
      <w:rFonts w:ascii="Times New Roman" w:eastAsia="Times New Roman" w:hAnsi="Times New Roman"/>
    </w:rPr>
  </w:style>
  <w:style w:type="paragraph" w:customStyle="1" w:styleId="Infodoc">
    <w:name w:val="Infodoc"/>
    <w:basedOn w:val="Normal"/>
    <w:rsid w:val="00D64DA0"/>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D64DA0"/>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D64DA0"/>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D64DA0"/>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D64DA0"/>
    <w:pPr>
      <w:spacing w:before="0"/>
      <w:jc w:val="both"/>
    </w:pPr>
    <w:rPr>
      <w:rFonts w:ascii="Times New Roman" w:eastAsia="Times New Roman" w:hAnsi="Times New Roman"/>
    </w:rPr>
  </w:style>
  <w:style w:type="paragraph" w:customStyle="1" w:styleId="docnottitle">
    <w:name w:val="docnot_title"/>
    <w:basedOn w:val="docnoted"/>
    <w:next w:val="docnoted"/>
    <w:rsid w:val="00D64DA0"/>
    <w:pPr>
      <w:jc w:val="center"/>
    </w:pPr>
    <w:rPr>
      <w:rFonts w:ascii="Times New Roman" w:eastAsia="Times New Roman" w:hAnsi="Times New Roman"/>
    </w:rPr>
  </w:style>
  <w:style w:type="paragraph" w:customStyle="1" w:styleId="Qlist">
    <w:name w:val="Qlist"/>
    <w:basedOn w:val="Normal"/>
    <w:rsid w:val="00D64DA0"/>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D64DA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rsid w:val="00D64DA0"/>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D64DA0"/>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D64DA0"/>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D64DA0"/>
    <w:rPr>
      <w:rFonts w:ascii="Times New Roman" w:eastAsia="Times New Roman" w:hAnsi="Times New Roman"/>
      <w:sz w:val="24"/>
      <w:lang w:val="en-GB" w:eastAsia="en-US"/>
    </w:rPr>
  </w:style>
  <w:style w:type="paragraph" w:styleId="BodyTextIndent2">
    <w:name w:val="Body Text Indent 2"/>
    <w:basedOn w:val="Normal"/>
    <w:link w:val="BodyTextIndent2Char"/>
    <w:rsid w:val="00D64DA0"/>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D64DA0"/>
    <w:rPr>
      <w:rFonts w:ascii="Times New Roman" w:eastAsia="Times New Roman" w:hAnsi="Times New Roman"/>
      <w:sz w:val="24"/>
      <w:lang w:val="en-GB" w:eastAsia="en-US"/>
    </w:rPr>
  </w:style>
  <w:style w:type="paragraph" w:customStyle="1" w:styleId="numbered">
    <w:name w:val="numbered"/>
    <w:basedOn w:val="Normal"/>
    <w:rsid w:val="00D64DA0"/>
    <w:pPr>
      <w:numPr>
        <w:numId w:val="9"/>
      </w:numPr>
      <w:tabs>
        <w:tab w:val="clear" w:pos="794"/>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D64DA0"/>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D64DA0"/>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D64DA0"/>
    <w:rPr>
      <w:rFonts w:ascii="Times New Roman" w:eastAsia="Times New Roman" w:hAnsi="Times New Roman"/>
      <w:sz w:val="22"/>
      <w:szCs w:val="22"/>
      <w:lang w:val="en-GB" w:eastAsia="en-US"/>
    </w:rPr>
  </w:style>
  <w:style w:type="paragraph" w:styleId="BlockText">
    <w:name w:val="Block Text"/>
    <w:basedOn w:val="Normal"/>
    <w:rsid w:val="00D64DA0"/>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D64DA0"/>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D64DA0"/>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D64DA0"/>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D64DA0"/>
    <w:rPr>
      <w:rFonts w:ascii="Times New Roman" w:eastAsia="Times New Roman" w:hAnsi="Times New Roman"/>
      <w:sz w:val="24"/>
      <w:lang w:val="en-GB" w:eastAsia="en-US"/>
    </w:rPr>
  </w:style>
  <w:style w:type="paragraph" w:styleId="Closing">
    <w:name w:val="Closing"/>
    <w:basedOn w:val="Normal"/>
    <w:link w:val="ClosingChar"/>
    <w:rsid w:val="00D64DA0"/>
    <w:pPr>
      <w:ind w:left="4320"/>
      <w:jc w:val="both"/>
    </w:pPr>
    <w:rPr>
      <w:rFonts w:ascii="Times New Roman" w:eastAsia="Times New Roman" w:hAnsi="Times New Roman"/>
    </w:rPr>
  </w:style>
  <w:style w:type="character" w:customStyle="1" w:styleId="ClosingChar">
    <w:name w:val="Closing Char"/>
    <w:basedOn w:val="DefaultParagraphFont"/>
    <w:link w:val="Closing"/>
    <w:rsid w:val="00D64DA0"/>
    <w:rPr>
      <w:rFonts w:ascii="Times New Roman" w:eastAsia="Times New Roman" w:hAnsi="Times New Roman"/>
      <w:sz w:val="24"/>
      <w:lang w:val="en-GB" w:eastAsia="en-US"/>
    </w:rPr>
  </w:style>
  <w:style w:type="paragraph" w:styleId="Date">
    <w:name w:val="Date"/>
    <w:basedOn w:val="Normal"/>
    <w:next w:val="Normal"/>
    <w:link w:val="DateChar"/>
    <w:rsid w:val="00D64DA0"/>
    <w:pPr>
      <w:jc w:val="both"/>
    </w:pPr>
    <w:rPr>
      <w:rFonts w:ascii="Times New Roman" w:eastAsia="Times New Roman" w:hAnsi="Times New Roman"/>
    </w:rPr>
  </w:style>
  <w:style w:type="character" w:customStyle="1" w:styleId="DateChar">
    <w:name w:val="Date Char"/>
    <w:basedOn w:val="DefaultParagraphFont"/>
    <w:link w:val="Date"/>
    <w:rsid w:val="00D64DA0"/>
    <w:rPr>
      <w:rFonts w:ascii="Times New Roman" w:eastAsia="Times New Roman" w:hAnsi="Times New Roman"/>
      <w:sz w:val="24"/>
      <w:lang w:val="en-GB" w:eastAsia="en-US"/>
    </w:rPr>
  </w:style>
  <w:style w:type="paragraph" w:styleId="E-mailSignature">
    <w:name w:val="E-mail Signature"/>
    <w:basedOn w:val="Normal"/>
    <w:link w:val="E-mailSignatureChar"/>
    <w:rsid w:val="00D64DA0"/>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D64DA0"/>
    <w:rPr>
      <w:rFonts w:ascii="Times New Roman" w:eastAsia="Times New Roman" w:hAnsi="Times New Roman"/>
      <w:sz w:val="24"/>
      <w:lang w:val="en-GB" w:eastAsia="en-US"/>
    </w:rPr>
  </w:style>
  <w:style w:type="character" w:styleId="Emphasis">
    <w:name w:val="Emphasis"/>
    <w:basedOn w:val="DefaultParagraphFont"/>
    <w:uiPriority w:val="20"/>
    <w:qFormat/>
    <w:rsid w:val="00D64DA0"/>
    <w:rPr>
      <w:i/>
      <w:iCs/>
    </w:rPr>
  </w:style>
  <w:style w:type="paragraph" w:styleId="EnvelopeAddress">
    <w:name w:val="envelope address"/>
    <w:basedOn w:val="Normal"/>
    <w:rsid w:val="00D64DA0"/>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D64DA0"/>
    <w:pPr>
      <w:jc w:val="both"/>
    </w:pPr>
    <w:rPr>
      <w:rFonts w:ascii="Arial" w:eastAsia="Times New Roman" w:hAnsi="Arial" w:cs="Arial"/>
      <w:sz w:val="20"/>
    </w:rPr>
  </w:style>
  <w:style w:type="character" w:styleId="HTMLAcronym">
    <w:name w:val="HTML Acronym"/>
    <w:basedOn w:val="DefaultParagraphFont"/>
    <w:rsid w:val="00D64DA0"/>
  </w:style>
  <w:style w:type="paragraph" w:styleId="HTMLAddress">
    <w:name w:val="HTML Address"/>
    <w:basedOn w:val="Normal"/>
    <w:link w:val="HTMLAddressChar"/>
    <w:rsid w:val="00D64DA0"/>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D64DA0"/>
    <w:rPr>
      <w:rFonts w:ascii="Times New Roman" w:eastAsia="Times New Roman" w:hAnsi="Times New Roman"/>
      <w:i/>
      <w:iCs/>
      <w:sz w:val="24"/>
      <w:lang w:val="en-GB" w:eastAsia="en-US"/>
    </w:rPr>
  </w:style>
  <w:style w:type="character" w:styleId="HTMLCite">
    <w:name w:val="HTML Cite"/>
    <w:basedOn w:val="DefaultParagraphFont"/>
    <w:rsid w:val="00D64DA0"/>
    <w:rPr>
      <w:i/>
      <w:iCs/>
    </w:rPr>
  </w:style>
  <w:style w:type="character" w:styleId="HTMLCode">
    <w:name w:val="HTML Code"/>
    <w:basedOn w:val="DefaultParagraphFont"/>
    <w:rsid w:val="00D64DA0"/>
    <w:rPr>
      <w:rFonts w:ascii="Courier New" w:hAnsi="Courier New" w:cs="Courier New"/>
      <w:sz w:val="20"/>
      <w:szCs w:val="20"/>
    </w:rPr>
  </w:style>
  <w:style w:type="character" w:styleId="HTMLDefinition">
    <w:name w:val="HTML Definition"/>
    <w:basedOn w:val="DefaultParagraphFont"/>
    <w:rsid w:val="00D64DA0"/>
    <w:rPr>
      <w:i/>
      <w:iCs/>
    </w:rPr>
  </w:style>
  <w:style w:type="character" w:styleId="HTMLKeyboard">
    <w:name w:val="HTML Keyboard"/>
    <w:basedOn w:val="DefaultParagraphFont"/>
    <w:rsid w:val="00D64DA0"/>
    <w:rPr>
      <w:rFonts w:ascii="Courier New" w:hAnsi="Courier New" w:cs="Courier New"/>
      <w:sz w:val="20"/>
      <w:szCs w:val="20"/>
    </w:rPr>
  </w:style>
  <w:style w:type="paragraph" w:styleId="HTMLPreformatted">
    <w:name w:val="HTML Preformatted"/>
    <w:basedOn w:val="Normal"/>
    <w:link w:val="HTMLPreformattedChar"/>
    <w:rsid w:val="00D64DA0"/>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D64DA0"/>
    <w:rPr>
      <w:rFonts w:ascii="Courier New" w:eastAsia="Times New Roman" w:hAnsi="Courier New" w:cs="Courier New"/>
      <w:lang w:val="en-GB" w:eastAsia="en-US"/>
    </w:rPr>
  </w:style>
  <w:style w:type="character" w:styleId="HTMLSample">
    <w:name w:val="HTML Sample"/>
    <w:basedOn w:val="DefaultParagraphFont"/>
    <w:rsid w:val="00D64DA0"/>
    <w:rPr>
      <w:rFonts w:ascii="Courier New" w:hAnsi="Courier New" w:cs="Courier New"/>
    </w:rPr>
  </w:style>
  <w:style w:type="character" w:styleId="HTMLTypewriter">
    <w:name w:val="HTML Typewriter"/>
    <w:basedOn w:val="DefaultParagraphFont"/>
    <w:rsid w:val="00D64DA0"/>
    <w:rPr>
      <w:rFonts w:ascii="Courier New" w:hAnsi="Courier New" w:cs="Courier New"/>
      <w:sz w:val="20"/>
      <w:szCs w:val="20"/>
    </w:rPr>
  </w:style>
  <w:style w:type="character" w:styleId="HTMLVariable">
    <w:name w:val="HTML Variable"/>
    <w:basedOn w:val="DefaultParagraphFont"/>
    <w:rsid w:val="00D64DA0"/>
    <w:rPr>
      <w:i/>
      <w:iCs/>
    </w:rPr>
  </w:style>
  <w:style w:type="paragraph" w:styleId="List2">
    <w:name w:val="List 2"/>
    <w:basedOn w:val="Normal"/>
    <w:rsid w:val="00D64DA0"/>
    <w:pPr>
      <w:ind w:left="720" w:hanging="360"/>
      <w:jc w:val="both"/>
    </w:pPr>
    <w:rPr>
      <w:rFonts w:ascii="Times New Roman" w:eastAsia="Times New Roman" w:hAnsi="Times New Roman"/>
    </w:rPr>
  </w:style>
  <w:style w:type="paragraph" w:styleId="List3">
    <w:name w:val="List 3"/>
    <w:basedOn w:val="Normal"/>
    <w:rsid w:val="00D64DA0"/>
    <w:pPr>
      <w:ind w:left="1080" w:hanging="360"/>
      <w:jc w:val="both"/>
    </w:pPr>
    <w:rPr>
      <w:rFonts w:ascii="Times New Roman" w:eastAsia="Times New Roman" w:hAnsi="Times New Roman"/>
    </w:rPr>
  </w:style>
  <w:style w:type="paragraph" w:styleId="List4">
    <w:name w:val="List 4"/>
    <w:basedOn w:val="Normal"/>
    <w:rsid w:val="00D64DA0"/>
    <w:pPr>
      <w:ind w:left="1440" w:hanging="360"/>
      <w:jc w:val="both"/>
    </w:pPr>
    <w:rPr>
      <w:rFonts w:ascii="Times New Roman" w:eastAsia="Times New Roman" w:hAnsi="Times New Roman"/>
    </w:rPr>
  </w:style>
  <w:style w:type="paragraph" w:styleId="List5">
    <w:name w:val="List 5"/>
    <w:basedOn w:val="Normal"/>
    <w:rsid w:val="00D64DA0"/>
    <w:pPr>
      <w:ind w:left="1800" w:hanging="360"/>
      <w:jc w:val="both"/>
    </w:pPr>
    <w:rPr>
      <w:rFonts w:ascii="Times New Roman" w:eastAsia="Times New Roman" w:hAnsi="Times New Roman"/>
    </w:rPr>
  </w:style>
  <w:style w:type="paragraph" w:styleId="ListBullet">
    <w:name w:val="List Bullet"/>
    <w:basedOn w:val="Normal"/>
    <w:autoRedefine/>
    <w:rsid w:val="00D64DA0"/>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D64DA0"/>
    <w:pPr>
      <w:numPr>
        <w:numId w:val="11"/>
      </w:numPr>
      <w:jc w:val="both"/>
    </w:pPr>
    <w:rPr>
      <w:rFonts w:ascii="Times New Roman" w:eastAsia="Times New Roman" w:hAnsi="Times New Roman"/>
    </w:rPr>
  </w:style>
  <w:style w:type="paragraph" w:styleId="ListBullet3">
    <w:name w:val="List Bullet 3"/>
    <w:basedOn w:val="Normal"/>
    <w:autoRedefine/>
    <w:rsid w:val="00D64DA0"/>
    <w:pPr>
      <w:numPr>
        <w:numId w:val="12"/>
      </w:numPr>
      <w:jc w:val="both"/>
    </w:pPr>
    <w:rPr>
      <w:rFonts w:ascii="Times New Roman" w:eastAsia="Times New Roman" w:hAnsi="Times New Roman"/>
    </w:rPr>
  </w:style>
  <w:style w:type="paragraph" w:styleId="ListBullet4">
    <w:name w:val="List Bullet 4"/>
    <w:basedOn w:val="Normal"/>
    <w:autoRedefine/>
    <w:rsid w:val="00D64DA0"/>
    <w:pPr>
      <w:numPr>
        <w:numId w:val="13"/>
      </w:numPr>
      <w:jc w:val="both"/>
    </w:pPr>
    <w:rPr>
      <w:rFonts w:ascii="Times New Roman" w:eastAsia="Times New Roman" w:hAnsi="Times New Roman"/>
    </w:rPr>
  </w:style>
  <w:style w:type="paragraph" w:styleId="ListBullet5">
    <w:name w:val="List Bullet 5"/>
    <w:basedOn w:val="Normal"/>
    <w:autoRedefine/>
    <w:rsid w:val="00D64DA0"/>
    <w:pPr>
      <w:numPr>
        <w:numId w:val="14"/>
      </w:numPr>
      <w:jc w:val="both"/>
    </w:pPr>
    <w:rPr>
      <w:rFonts w:ascii="Times New Roman" w:eastAsia="Times New Roman" w:hAnsi="Times New Roman"/>
    </w:rPr>
  </w:style>
  <w:style w:type="paragraph" w:styleId="ListContinue">
    <w:name w:val="List Continue"/>
    <w:basedOn w:val="Normal"/>
    <w:rsid w:val="00D64DA0"/>
    <w:pPr>
      <w:spacing w:after="120"/>
      <w:ind w:left="360"/>
      <w:jc w:val="both"/>
    </w:pPr>
    <w:rPr>
      <w:rFonts w:ascii="Times New Roman" w:eastAsia="Times New Roman" w:hAnsi="Times New Roman"/>
    </w:rPr>
  </w:style>
  <w:style w:type="paragraph" w:styleId="ListContinue2">
    <w:name w:val="List Continue 2"/>
    <w:basedOn w:val="Normal"/>
    <w:rsid w:val="00D64DA0"/>
    <w:pPr>
      <w:spacing w:after="120"/>
      <w:ind w:left="720"/>
      <w:jc w:val="both"/>
    </w:pPr>
    <w:rPr>
      <w:rFonts w:ascii="Times New Roman" w:eastAsia="Times New Roman" w:hAnsi="Times New Roman"/>
    </w:rPr>
  </w:style>
  <w:style w:type="paragraph" w:styleId="ListContinue3">
    <w:name w:val="List Continue 3"/>
    <w:basedOn w:val="Normal"/>
    <w:rsid w:val="00D64DA0"/>
    <w:pPr>
      <w:spacing w:after="120"/>
      <w:ind w:left="1080"/>
      <w:jc w:val="both"/>
    </w:pPr>
    <w:rPr>
      <w:rFonts w:ascii="Times New Roman" w:eastAsia="Times New Roman" w:hAnsi="Times New Roman"/>
    </w:rPr>
  </w:style>
  <w:style w:type="paragraph" w:styleId="ListContinue4">
    <w:name w:val="List Continue 4"/>
    <w:basedOn w:val="Normal"/>
    <w:rsid w:val="00D64DA0"/>
    <w:pPr>
      <w:spacing w:after="120"/>
      <w:ind w:left="1440"/>
      <w:jc w:val="both"/>
    </w:pPr>
    <w:rPr>
      <w:rFonts w:ascii="Times New Roman" w:eastAsia="Times New Roman" w:hAnsi="Times New Roman"/>
    </w:rPr>
  </w:style>
  <w:style w:type="paragraph" w:styleId="ListContinue5">
    <w:name w:val="List Continue 5"/>
    <w:basedOn w:val="Normal"/>
    <w:rsid w:val="00D64DA0"/>
    <w:pPr>
      <w:spacing w:after="120"/>
      <w:ind w:left="1800"/>
      <w:jc w:val="both"/>
    </w:pPr>
    <w:rPr>
      <w:rFonts w:ascii="Times New Roman" w:eastAsia="Times New Roman" w:hAnsi="Times New Roman"/>
    </w:rPr>
  </w:style>
  <w:style w:type="paragraph" w:styleId="ListNumber">
    <w:name w:val="List Number"/>
    <w:basedOn w:val="Normal"/>
    <w:rsid w:val="00D64DA0"/>
    <w:pPr>
      <w:numPr>
        <w:numId w:val="15"/>
      </w:numPr>
      <w:jc w:val="both"/>
    </w:pPr>
    <w:rPr>
      <w:rFonts w:ascii="Times New Roman" w:eastAsia="Times New Roman" w:hAnsi="Times New Roman"/>
    </w:rPr>
  </w:style>
  <w:style w:type="paragraph" w:styleId="ListNumber2">
    <w:name w:val="List Number 2"/>
    <w:basedOn w:val="Normal"/>
    <w:rsid w:val="00D64DA0"/>
    <w:pPr>
      <w:numPr>
        <w:numId w:val="16"/>
      </w:numPr>
      <w:jc w:val="both"/>
    </w:pPr>
    <w:rPr>
      <w:rFonts w:ascii="Times New Roman" w:eastAsia="Times New Roman" w:hAnsi="Times New Roman"/>
    </w:rPr>
  </w:style>
  <w:style w:type="paragraph" w:styleId="ListNumber3">
    <w:name w:val="List Number 3"/>
    <w:basedOn w:val="Normal"/>
    <w:rsid w:val="00D64DA0"/>
    <w:pPr>
      <w:numPr>
        <w:numId w:val="17"/>
      </w:numPr>
      <w:jc w:val="both"/>
    </w:pPr>
    <w:rPr>
      <w:rFonts w:ascii="Times New Roman" w:eastAsia="Times New Roman" w:hAnsi="Times New Roman"/>
    </w:rPr>
  </w:style>
  <w:style w:type="paragraph" w:styleId="ListNumber4">
    <w:name w:val="List Number 4"/>
    <w:basedOn w:val="Normal"/>
    <w:rsid w:val="00D64DA0"/>
    <w:pPr>
      <w:numPr>
        <w:numId w:val="18"/>
      </w:numPr>
      <w:jc w:val="both"/>
    </w:pPr>
    <w:rPr>
      <w:rFonts w:ascii="Times New Roman" w:eastAsia="Times New Roman" w:hAnsi="Times New Roman"/>
    </w:rPr>
  </w:style>
  <w:style w:type="paragraph" w:styleId="ListNumber5">
    <w:name w:val="List Number 5"/>
    <w:basedOn w:val="Normal"/>
    <w:rsid w:val="00D64DA0"/>
    <w:pPr>
      <w:numPr>
        <w:numId w:val="19"/>
      </w:numPr>
      <w:jc w:val="both"/>
    </w:pPr>
    <w:rPr>
      <w:rFonts w:ascii="Times New Roman" w:eastAsia="Times New Roman" w:hAnsi="Times New Roman"/>
    </w:rPr>
  </w:style>
  <w:style w:type="paragraph" w:styleId="MessageHeader">
    <w:name w:val="Message Header"/>
    <w:basedOn w:val="Normal"/>
    <w:link w:val="MessageHeaderChar"/>
    <w:rsid w:val="00D64DA0"/>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D64DA0"/>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D64DA0"/>
    <w:pPr>
      <w:jc w:val="both"/>
    </w:pPr>
    <w:rPr>
      <w:rFonts w:ascii="Times New Roman" w:eastAsia="Times New Roman" w:hAnsi="Times New Roman"/>
    </w:rPr>
  </w:style>
  <w:style w:type="character" w:customStyle="1" w:styleId="NoteHeadingChar">
    <w:name w:val="Note Heading Char"/>
    <w:basedOn w:val="DefaultParagraphFont"/>
    <w:link w:val="NoteHeading"/>
    <w:rsid w:val="00D64DA0"/>
    <w:rPr>
      <w:rFonts w:ascii="Times New Roman" w:eastAsia="Times New Roman" w:hAnsi="Times New Roman"/>
      <w:sz w:val="24"/>
      <w:lang w:val="en-GB" w:eastAsia="en-US"/>
    </w:rPr>
  </w:style>
  <w:style w:type="paragraph" w:styleId="PlainText">
    <w:name w:val="Plain Text"/>
    <w:basedOn w:val="Normal"/>
    <w:link w:val="PlainTextChar"/>
    <w:rsid w:val="00D64DA0"/>
    <w:pPr>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D64DA0"/>
    <w:rPr>
      <w:rFonts w:ascii="Courier New" w:eastAsia="Times New Roman" w:hAnsi="Courier New" w:cs="Courier New"/>
      <w:lang w:val="en-GB" w:eastAsia="en-US"/>
    </w:rPr>
  </w:style>
  <w:style w:type="paragraph" w:styleId="Salutation">
    <w:name w:val="Salutation"/>
    <w:basedOn w:val="Normal"/>
    <w:next w:val="Normal"/>
    <w:link w:val="SalutationChar"/>
    <w:rsid w:val="00D64DA0"/>
    <w:pPr>
      <w:jc w:val="both"/>
    </w:pPr>
    <w:rPr>
      <w:rFonts w:ascii="Times New Roman" w:eastAsia="Times New Roman" w:hAnsi="Times New Roman"/>
    </w:rPr>
  </w:style>
  <w:style w:type="character" w:customStyle="1" w:styleId="SalutationChar">
    <w:name w:val="Salutation Char"/>
    <w:basedOn w:val="DefaultParagraphFont"/>
    <w:link w:val="Salutation"/>
    <w:rsid w:val="00D64DA0"/>
    <w:rPr>
      <w:rFonts w:ascii="Times New Roman" w:eastAsia="Times New Roman" w:hAnsi="Times New Roman"/>
      <w:sz w:val="24"/>
      <w:lang w:val="en-GB" w:eastAsia="en-US"/>
    </w:rPr>
  </w:style>
  <w:style w:type="paragraph" w:styleId="Signature">
    <w:name w:val="Signature"/>
    <w:basedOn w:val="Normal"/>
    <w:link w:val="SignatureChar"/>
    <w:rsid w:val="00D64DA0"/>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D64DA0"/>
    <w:rPr>
      <w:rFonts w:ascii="Times New Roman" w:eastAsia="Times New Roman" w:hAnsi="Times New Roman"/>
      <w:sz w:val="24"/>
      <w:lang w:val="en-GB" w:eastAsia="en-US"/>
    </w:rPr>
  </w:style>
  <w:style w:type="character" w:styleId="Strong">
    <w:name w:val="Strong"/>
    <w:basedOn w:val="DefaultParagraphFont"/>
    <w:qFormat/>
    <w:rsid w:val="00D64DA0"/>
    <w:rPr>
      <w:b/>
      <w:bCs/>
    </w:rPr>
  </w:style>
  <w:style w:type="paragraph" w:styleId="Subtitle0">
    <w:name w:val="Subtitle"/>
    <w:basedOn w:val="Normal"/>
    <w:link w:val="SubtitleChar"/>
    <w:qFormat/>
    <w:rsid w:val="00D64DA0"/>
    <w:pPr>
      <w:spacing w:after="60"/>
      <w:jc w:val="center"/>
      <w:outlineLvl w:val="1"/>
    </w:pPr>
    <w:rPr>
      <w:rFonts w:ascii="Arial" w:eastAsia="Times New Roman" w:hAnsi="Arial" w:cs="Arial"/>
    </w:rPr>
  </w:style>
  <w:style w:type="character" w:customStyle="1" w:styleId="SubtitleChar">
    <w:name w:val="Subtitle Char"/>
    <w:basedOn w:val="DefaultParagraphFont"/>
    <w:link w:val="Subtitle0"/>
    <w:rsid w:val="00D64DA0"/>
    <w:rPr>
      <w:rFonts w:ascii="Arial" w:eastAsia="Times New Roman" w:hAnsi="Arial" w:cs="Arial"/>
      <w:sz w:val="24"/>
      <w:lang w:val="en-GB" w:eastAsia="en-US"/>
    </w:rPr>
  </w:style>
  <w:style w:type="paragraph" w:customStyle="1" w:styleId="NormalTab">
    <w:name w:val="NormalTab"/>
    <w:basedOn w:val="Normal"/>
    <w:next w:val="Normal"/>
    <w:rsid w:val="00D64DA0"/>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D64D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D64DA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D64DA0"/>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D64DA0"/>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D64DA0"/>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D64DA0"/>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D64DA0"/>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D64DA0"/>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D64DA0"/>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D64DA0"/>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D64DA0"/>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D64DA0"/>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D64DA0"/>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D64DA0"/>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D64DA0"/>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D64DA0"/>
    <w:rPr>
      <w:rFonts w:ascii="Arial" w:eastAsia="Times New Roman" w:hAnsi="Arial" w:cs="Arial"/>
      <w:color w:val="000000"/>
      <w:lang w:val="en-GB" w:eastAsia="en-US"/>
    </w:rPr>
  </w:style>
  <w:style w:type="character" w:customStyle="1" w:styleId="TableheadChar">
    <w:name w:val="Table_head Char"/>
    <w:basedOn w:val="DefaultParagraphFont"/>
    <w:rsid w:val="00D64DA0"/>
    <w:rPr>
      <w:rFonts w:ascii="Zurich BT" w:hAnsi="Zurich BT"/>
      <w:color w:val="000066"/>
      <w:sz w:val="18"/>
      <w:szCs w:val="18"/>
      <w:lang w:val="en-GB" w:eastAsia="en-US" w:bidi="ar-SA"/>
    </w:rPr>
  </w:style>
  <w:style w:type="paragraph" w:customStyle="1" w:styleId="Normalbox">
    <w:name w:val="Normal box"/>
    <w:rsid w:val="00D64DA0"/>
    <w:pPr>
      <w:spacing w:before="100" w:after="60"/>
      <w:ind w:right="28"/>
      <w:jc w:val="both"/>
    </w:pPr>
    <w:rPr>
      <w:rFonts w:ascii="Times New Roman" w:eastAsia="Times New Roman" w:hAnsi="Times New Roman"/>
      <w:lang w:val="en-GB"/>
    </w:rPr>
  </w:style>
  <w:style w:type="paragraph" w:customStyle="1" w:styleId="Tabletext1">
    <w:name w:val="Table text"/>
    <w:rsid w:val="00D64DA0"/>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D64DA0"/>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D64DA0"/>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D64DA0"/>
    <w:rPr>
      <w:rFonts w:ascii="Cambria" w:eastAsia="SimSun" w:hAnsi="Cambria" w:cs="Times New Roman"/>
      <w:b/>
      <w:bCs/>
      <w:i/>
      <w:iCs/>
      <w:sz w:val="28"/>
      <w:szCs w:val="28"/>
      <w:lang w:val="en-GB" w:eastAsia="en-US"/>
    </w:rPr>
  </w:style>
  <w:style w:type="character" w:customStyle="1" w:styleId="CharChar1">
    <w:name w:val="Char Char1"/>
    <w:basedOn w:val="DefaultParagraphFont"/>
    <w:rsid w:val="00D64DA0"/>
    <w:rPr>
      <w:rFonts w:eastAsia="Times New Roman"/>
      <w:sz w:val="24"/>
      <w:lang w:val="en-GB" w:eastAsia="en-US"/>
    </w:rPr>
  </w:style>
  <w:style w:type="character" w:customStyle="1" w:styleId="CharChar">
    <w:name w:val="Char Char"/>
    <w:basedOn w:val="DefaultParagraphFont"/>
    <w:rsid w:val="00D64DA0"/>
    <w:rPr>
      <w:rFonts w:eastAsia="Times New Roman"/>
      <w:sz w:val="24"/>
      <w:lang w:val="en-GB" w:eastAsia="en-US"/>
    </w:rPr>
  </w:style>
  <w:style w:type="paragraph" w:styleId="CommentText">
    <w:name w:val="annotation text"/>
    <w:basedOn w:val="Normal"/>
    <w:link w:val="CommentTextChar"/>
    <w:rsid w:val="00D64DA0"/>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D64DA0"/>
    <w:rPr>
      <w:rFonts w:ascii="Times New Roman" w:eastAsia="Times New Roman" w:hAnsi="Times New Roman"/>
      <w:lang w:val="en-GB" w:eastAsia="en-US"/>
    </w:rPr>
  </w:style>
  <w:style w:type="paragraph" w:customStyle="1" w:styleId="CEONormal">
    <w:name w:val="CEO_Normal"/>
    <w:link w:val="CEONormalChar"/>
    <w:rsid w:val="00D64DA0"/>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D64DA0"/>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D64DA0"/>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D64DA0"/>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D64DA0"/>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D64DA0"/>
    <w:rPr>
      <w:rFonts w:ascii="Tahoma" w:eastAsia="Times New Roman" w:hAnsi="Tahoma" w:cs="Tahoma"/>
      <w:sz w:val="16"/>
      <w:szCs w:val="16"/>
      <w:lang w:val="en-GB" w:eastAsia="en-US"/>
    </w:rPr>
  </w:style>
  <w:style w:type="character" w:styleId="CommentReference">
    <w:name w:val="annotation reference"/>
    <w:basedOn w:val="DefaultParagraphFont"/>
    <w:rsid w:val="00D64DA0"/>
    <w:rPr>
      <w:sz w:val="16"/>
      <w:szCs w:val="16"/>
    </w:rPr>
  </w:style>
  <w:style w:type="paragraph" w:styleId="CommentSubject">
    <w:name w:val="annotation subject"/>
    <w:basedOn w:val="CommentText"/>
    <w:next w:val="CommentText"/>
    <w:link w:val="CommentSubjectChar"/>
    <w:rsid w:val="00D64DA0"/>
    <w:rPr>
      <w:b/>
      <w:bCs/>
    </w:rPr>
  </w:style>
  <w:style w:type="character" w:customStyle="1" w:styleId="CommentSubjectChar">
    <w:name w:val="Comment Subject Char"/>
    <w:basedOn w:val="CommentTextChar"/>
    <w:link w:val="CommentSubject"/>
    <w:rsid w:val="00D64DA0"/>
    <w:rPr>
      <w:rFonts w:ascii="Times New Roman" w:eastAsia="Times New Roman" w:hAnsi="Times New Roman"/>
      <w:b/>
      <w:bCs/>
      <w:lang w:val="en-GB" w:eastAsia="en-US"/>
    </w:rPr>
  </w:style>
  <w:style w:type="paragraph" w:customStyle="1" w:styleId="CEOIndent-bulletsblackdot">
    <w:name w:val="CEO_Indent-bulletsblackdot"/>
    <w:basedOn w:val="Normal"/>
    <w:rsid w:val="00D64DA0"/>
    <w:pPr>
      <w:numPr>
        <w:numId w:val="20"/>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D64DA0"/>
    <w:pPr>
      <w:numPr>
        <w:numId w:val="21"/>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D64DA0"/>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D64D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semiHidden/>
    <w:rsid w:val="00D64DA0"/>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semiHidden/>
    <w:unhideWhenUsed/>
    <w:rsid w:val="00D64DA0"/>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semiHidden/>
    <w:rsid w:val="00D64DA0"/>
    <w:rPr>
      <w:rFonts w:ascii="Times New Roman" w:eastAsia="Times New Roman" w:hAnsi="Times New Roman"/>
      <w:lang w:val="en-GB" w:eastAsia="en-US"/>
    </w:rPr>
  </w:style>
  <w:style w:type="paragraph" w:styleId="NoSpacing">
    <w:name w:val="No Spacing"/>
    <w:uiPriority w:val="1"/>
    <w:qFormat/>
    <w:rsid w:val="00D64DA0"/>
    <w:rPr>
      <w:rFonts w:ascii="Calibri" w:hAnsi="Calibri" w:cs="Arial"/>
      <w:sz w:val="22"/>
      <w:szCs w:val="22"/>
    </w:rPr>
  </w:style>
  <w:style w:type="paragraph" w:customStyle="1" w:styleId="Enumlev10">
    <w:name w:val="Enumlev1"/>
    <w:basedOn w:val="Normal"/>
    <w:link w:val="Enumlev1Char0"/>
    <w:uiPriority w:val="99"/>
    <w:qFormat/>
    <w:rsid w:val="00D64DA0"/>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D64DA0"/>
    <w:rPr>
      <w:rFonts w:ascii="Calibri" w:hAnsi="Calibri" w:cs="Arial"/>
      <w:sz w:val="22"/>
      <w:szCs w:val="22"/>
    </w:rPr>
  </w:style>
  <w:style w:type="table" w:customStyle="1" w:styleId="TableauNorm">
    <w:name w:val="Tableau Norm"/>
    <w:uiPriority w:val="99"/>
    <w:semiHidden/>
    <w:rsid w:val="00D64DA0"/>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D64DA0"/>
  </w:style>
  <w:style w:type="numbering" w:customStyle="1" w:styleId="NoList11">
    <w:name w:val="No List11"/>
    <w:next w:val="NoList"/>
    <w:uiPriority w:val="99"/>
    <w:semiHidden/>
    <w:unhideWhenUsed/>
    <w:rsid w:val="00D64DA0"/>
  </w:style>
  <w:style w:type="table" w:customStyle="1" w:styleId="TableGrid1">
    <w:name w:val="Table Grid1"/>
    <w:basedOn w:val="TableNormal"/>
    <w:next w:val="TableGrid"/>
    <w:rsid w:val="00D64DA0"/>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D64DA0"/>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D64DA0"/>
  </w:style>
  <w:style w:type="table" w:customStyle="1" w:styleId="TableGrid2">
    <w:name w:val="Table Grid2"/>
    <w:basedOn w:val="TableNormal"/>
    <w:next w:val="TableGrid"/>
    <w:rsid w:val="00D64DA0"/>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D64DA0"/>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D64DA0"/>
  </w:style>
  <w:style w:type="table" w:customStyle="1" w:styleId="TableGrid11">
    <w:name w:val="Table Grid11"/>
    <w:basedOn w:val="TableNormal"/>
    <w:next w:val="TableGrid"/>
    <w:rsid w:val="00D64DA0"/>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D64DA0"/>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D64DA0"/>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D64DA0"/>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D64DA0"/>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D64DA0"/>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D64DA0"/>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D64DA0"/>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D64DA0"/>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D64DA0"/>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D64DA0"/>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D64DA0"/>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D64DA0"/>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65">
    <w:name w:val="xl65"/>
    <w:basedOn w:val="Normal"/>
    <w:rsid w:val="00D64DA0"/>
    <w:pPr>
      <w:pBdr>
        <w:top w:val="single" w:sz="8"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8"/>
      <w:szCs w:val="18"/>
      <w:lang w:val="en-US" w:eastAsia="zh-CN"/>
    </w:rPr>
  </w:style>
  <w:style w:type="paragraph" w:customStyle="1" w:styleId="xl66">
    <w:name w:val="xl66"/>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16"/>
      <w:szCs w:val="16"/>
      <w:lang w:val="en-US" w:eastAsia="zh-CN"/>
    </w:rPr>
  </w:style>
  <w:style w:type="paragraph" w:customStyle="1" w:styleId="xl67">
    <w:name w:val="xl6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68">
    <w:name w:val="xl6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FF0000"/>
      <w:szCs w:val="24"/>
      <w:lang w:val="en-US" w:eastAsia="zh-CN"/>
    </w:rPr>
  </w:style>
  <w:style w:type="paragraph" w:customStyle="1" w:styleId="xl69">
    <w:name w:val="xl69"/>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70">
    <w:name w:val="xl70"/>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339966"/>
      <w:szCs w:val="24"/>
      <w:lang w:val="en-US" w:eastAsia="zh-CN"/>
    </w:rPr>
  </w:style>
  <w:style w:type="paragraph" w:customStyle="1" w:styleId="xl71">
    <w:name w:val="xl71"/>
    <w:basedOn w:val="Normal"/>
    <w:rsid w:val="00D64DA0"/>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72">
    <w:name w:val="xl72"/>
    <w:basedOn w:val="Normal"/>
    <w:rsid w:val="00D64DA0"/>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3">
    <w:name w:val="xl73"/>
    <w:basedOn w:val="Normal"/>
    <w:rsid w:val="00D64DA0"/>
    <w:pPr>
      <w:pBdr>
        <w:left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74">
    <w:name w:val="xl74"/>
    <w:basedOn w:val="Normal"/>
    <w:rsid w:val="00D64DA0"/>
    <w:pPr>
      <w:pBdr>
        <w:left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75">
    <w:name w:val="xl75"/>
    <w:basedOn w:val="Normal"/>
    <w:rsid w:val="00D64DA0"/>
    <w:pPr>
      <w:pBdr>
        <w:left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76">
    <w:name w:val="xl76"/>
    <w:basedOn w:val="Normal"/>
    <w:rsid w:val="00D64DA0"/>
    <w:pPr>
      <w:pBdr>
        <w:top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7">
    <w:name w:val="xl77"/>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FF"/>
      <w:szCs w:val="24"/>
      <w:lang w:val="en-US" w:eastAsia="zh-CN"/>
    </w:rPr>
  </w:style>
  <w:style w:type="paragraph" w:customStyle="1" w:styleId="xl78">
    <w:name w:val="xl7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color w:val="FF0000"/>
      <w:szCs w:val="24"/>
      <w:lang w:val="en-US" w:eastAsia="zh-CN"/>
    </w:rPr>
  </w:style>
  <w:style w:type="paragraph" w:customStyle="1" w:styleId="xl79">
    <w:name w:val="xl79"/>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00"/>
      <w:szCs w:val="24"/>
      <w:lang w:val="en-US" w:eastAsia="zh-CN"/>
    </w:rPr>
  </w:style>
  <w:style w:type="paragraph" w:customStyle="1" w:styleId="xl80">
    <w:name w:val="xl80"/>
    <w:basedOn w:val="Normal"/>
    <w:rsid w:val="00D64DA0"/>
    <w:pPr>
      <w:pBdr>
        <w:top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2">
    <w:name w:val="xl82"/>
    <w:basedOn w:val="Normal"/>
    <w:rsid w:val="00D64DA0"/>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Times New Roman" w:eastAsia="Times New Roman" w:hAnsi="Times New Roman"/>
      <w:b/>
      <w:bCs/>
      <w:sz w:val="16"/>
      <w:szCs w:val="16"/>
      <w:lang w:val="en-US" w:eastAsia="zh-CN"/>
    </w:rPr>
  </w:style>
  <w:style w:type="paragraph" w:customStyle="1" w:styleId="xl83">
    <w:name w:val="xl83"/>
    <w:basedOn w:val="Normal"/>
    <w:rsid w:val="00D64DA0"/>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84">
    <w:name w:val="xl84"/>
    <w:basedOn w:val="Normal"/>
    <w:rsid w:val="00D64DA0"/>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5">
    <w:name w:val="xl85"/>
    <w:basedOn w:val="Normal"/>
    <w:rsid w:val="00D64DA0"/>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6">
    <w:name w:val="xl86"/>
    <w:basedOn w:val="Normal"/>
    <w:rsid w:val="00D64D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87">
    <w:name w:val="xl87"/>
    <w:basedOn w:val="Normal"/>
    <w:rsid w:val="00D64DA0"/>
    <w:pPr>
      <w:pBdr>
        <w:left w:val="single" w:sz="4" w:space="0" w:color="auto"/>
        <w:bottom w:val="single" w:sz="8"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8">
    <w:name w:val="xl88"/>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89">
    <w:name w:val="xl89"/>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B0F0"/>
      <w:sz w:val="16"/>
      <w:szCs w:val="16"/>
      <w:lang w:val="en-US" w:eastAsia="zh-CN"/>
    </w:rPr>
  </w:style>
  <w:style w:type="paragraph" w:customStyle="1" w:styleId="xl90">
    <w:name w:val="xl90"/>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16"/>
      <w:szCs w:val="16"/>
      <w:lang w:val="en-US" w:eastAsia="zh-CN"/>
    </w:rPr>
  </w:style>
  <w:style w:type="paragraph" w:customStyle="1" w:styleId="xl91">
    <w:name w:val="xl91"/>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92">
    <w:name w:val="xl92"/>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3">
    <w:name w:val="xl93"/>
    <w:basedOn w:val="Normal"/>
    <w:rsid w:val="00D64DA0"/>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4">
    <w:name w:val="xl94"/>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95">
    <w:name w:val="xl95"/>
    <w:basedOn w:val="Normal"/>
    <w:rsid w:val="00D64DA0"/>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6">
    <w:name w:val="xl96"/>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7">
    <w:name w:val="xl97"/>
    <w:basedOn w:val="Normal"/>
    <w:rsid w:val="00D64DA0"/>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8">
    <w:name w:val="xl98"/>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9">
    <w:name w:val="xl99"/>
    <w:basedOn w:val="Normal"/>
    <w:rsid w:val="00D64DA0"/>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100">
    <w:name w:val="xl100"/>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 w:val="16"/>
      <w:szCs w:val="16"/>
      <w:lang w:val="en-US" w:eastAsia="zh-CN"/>
    </w:rPr>
  </w:style>
  <w:style w:type="paragraph" w:customStyle="1" w:styleId="xl101">
    <w:name w:val="xl101"/>
    <w:basedOn w:val="Normal"/>
    <w:rsid w:val="00D64DA0"/>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102">
    <w:name w:val="xl102"/>
    <w:basedOn w:val="Normal"/>
    <w:rsid w:val="00D64D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character" w:customStyle="1" w:styleId="labellist">
    <w:name w:val="label_list"/>
    <w:basedOn w:val="DefaultParagraphFont"/>
    <w:rsid w:val="00D64DA0"/>
  </w:style>
  <w:style w:type="character" w:customStyle="1" w:styleId="st1">
    <w:name w:val="st1"/>
    <w:basedOn w:val="DefaultParagraphFont"/>
    <w:rsid w:val="00D64DA0"/>
  </w:style>
  <w:style w:type="paragraph" w:customStyle="1" w:styleId="msonormal0">
    <w:name w:val="msonormal"/>
    <w:basedOn w:val="Normal"/>
    <w:rsid w:val="00D64D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styleId="Revision">
    <w:name w:val="Revision"/>
    <w:hidden/>
    <w:uiPriority w:val="99"/>
    <w:semiHidden/>
    <w:rsid w:val="00D64DA0"/>
    <w:rPr>
      <w:rFonts w:ascii="Calibri" w:eastAsia="Times New Roman" w:hAnsi="Calibri"/>
      <w:sz w:val="24"/>
      <w:lang w:val="en-GB" w:eastAsia="en-US"/>
    </w:rPr>
  </w:style>
  <w:style w:type="character" w:customStyle="1" w:styleId="UnresolvedMention1">
    <w:name w:val="Unresolved Mention1"/>
    <w:basedOn w:val="DefaultParagraphFont"/>
    <w:uiPriority w:val="99"/>
    <w:semiHidden/>
    <w:unhideWhenUsed/>
    <w:rsid w:val="00D64DA0"/>
    <w:rPr>
      <w:color w:val="605E5C"/>
      <w:shd w:val="clear" w:color="auto" w:fill="E1DFDD"/>
    </w:rPr>
  </w:style>
  <w:style w:type="character" w:customStyle="1" w:styleId="Title3Char">
    <w:name w:val="Title 3 Char"/>
    <w:link w:val="Title3"/>
    <w:locked/>
    <w:rsid w:val="0058789B"/>
    <w:rPr>
      <w:rFonts w:ascii="Calibri" w:hAnsi="Calibri"/>
      <w:sz w:val="28"/>
      <w:lang w:val="en-GB" w:eastAsia="en-US"/>
    </w:rPr>
  </w:style>
  <w:style w:type="character" w:styleId="UnresolvedMention">
    <w:name w:val="Unresolved Mention"/>
    <w:basedOn w:val="DefaultParagraphFont"/>
    <w:uiPriority w:val="99"/>
    <w:semiHidden/>
    <w:unhideWhenUsed/>
    <w:rsid w:val="0028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23950202">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footer" Target="footer1.xml"/><Relationship Id="rId39" Type="http://schemas.openxmlformats.org/officeDocument/2006/relationships/image" Target="media/image25.emf"/><Relationship Id="rId21" Type="http://schemas.openxmlformats.org/officeDocument/2006/relationships/image" Target="media/image9.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5.emf"/><Relationship Id="rId11" Type="http://schemas.openxmlformats.org/officeDocument/2006/relationships/hyperlink" Target="https://www.itu.int/en/council/Documents/basic-texts-2023/RES-071-C.pdf" TargetMode="External"/><Relationship Id="rId24" Type="http://schemas.openxmlformats.org/officeDocument/2006/relationships/image" Target="media/image12.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yperlink" Target="https://www.itu.int/en/council/Documents/basic-texts-2023/DEC-005-C.pdf" TargetMode="External"/><Relationship Id="rId19" Type="http://schemas.openxmlformats.org/officeDocument/2006/relationships/image" Target="media/image7.emf"/><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2023/Convention-C.pdf" TargetMode="Externa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header" Target="header1.xml"/><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8" Type="http://schemas.openxmlformats.org/officeDocument/2006/relationships/hyperlink" Target="https://www.itu.int/en/council/Documents/basic-texts-2023/Constitution-C.pdf"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en/council/Documents/basic-texts-2023/RES-151-C.pdf"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0" Type="http://schemas.openxmlformats.org/officeDocument/2006/relationships/image" Target="media/image8.png"/><Relationship Id="rId41" Type="http://schemas.openxmlformats.org/officeDocument/2006/relationships/image" Target="media/image27.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footer" Target="footer2.xml"/><Relationship Id="rId36" Type="http://schemas.openxmlformats.org/officeDocument/2006/relationships/image" Target="media/image22.emf"/><Relationship Id="rId49" Type="http://schemas.openxmlformats.org/officeDocument/2006/relationships/image" Target="media/image35.emf"/></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3C3C1-CDED-4DFB-9EE5-9462C92D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2918</Words>
  <Characters>1623</Characters>
  <Application>Microsoft Office Word</Application>
  <DocSecurity>4</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biennial budget of the ITU for 2024-2025</dc:title>
  <dc:subject>Council 2023</dc:subject>
  <dc:creator>Xue, Kun</dc:creator>
  <cp:keywords>C2023, C23, Council-23</cp:keywords>
  <dc:description/>
  <cp:lastModifiedBy>Xue, Kun</cp:lastModifiedBy>
  <cp:revision>2</cp:revision>
  <cp:lastPrinted>2015-02-24T13:23:00Z</cp:lastPrinted>
  <dcterms:created xsi:type="dcterms:W3CDTF">2023-06-28T19:55:00Z</dcterms:created>
  <dcterms:modified xsi:type="dcterms:W3CDTF">2023-06-28T19:55:00Z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