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0378" w14:paraId="1591300A" w14:textId="77777777" w:rsidTr="08A18AAE">
        <w:trPr>
          <w:cantSplit/>
          <w:trHeight w:val="23"/>
        </w:trPr>
        <w:tc>
          <w:tcPr>
            <w:tcW w:w="3969" w:type="dxa"/>
            <w:vMerge w:val="restart"/>
            <w:tcMar>
              <w:left w:w="0" w:type="dxa"/>
            </w:tcMar>
          </w:tcPr>
          <w:p w14:paraId="4F2DE73B" w14:textId="63718CF6" w:rsidR="00AD3606" w:rsidRPr="00F30378" w:rsidRDefault="00DC1CC4" w:rsidP="00472BAD">
            <w:pPr>
              <w:tabs>
                <w:tab w:val="left" w:pos="851"/>
              </w:tabs>
              <w:spacing w:before="0" w:line="240" w:lineRule="atLeast"/>
              <w:rPr>
                <w:b/>
                <w:lang w:val="es-ES_tradnl"/>
              </w:rPr>
            </w:pPr>
            <w:bookmarkStart w:id="0" w:name="dmeeting" w:colFirst="0" w:colLast="0"/>
            <w:bookmarkStart w:id="1" w:name="dnum" w:colFirst="1" w:colLast="1"/>
            <w:r w:rsidRPr="00F30378">
              <w:rPr>
                <w:b/>
                <w:lang w:val="es-ES_tradnl"/>
              </w:rPr>
              <w:t xml:space="preserve">Punto del orden del </w:t>
            </w:r>
            <w:proofErr w:type="gramStart"/>
            <w:r w:rsidRPr="00F30378">
              <w:rPr>
                <w:b/>
                <w:lang w:val="es-ES_tradnl"/>
              </w:rPr>
              <w:t xml:space="preserve">día </w:t>
            </w:r>
            <w:r w:rsidR="00AD3606" w:rsidRPr="00F30378">
              <w:rPr>
                <w:b/>
                <w:lang w:val="es-ES_tradnl"/>
              </w:rPr>
              <w:t>:</w:t>
            </w:r>
            <w:proofErr w:type="gramEnd"/>
            <w:r w:rsidR="00AD3606" w:rsidRPr="00F30378">
              <w:rPr>
                <w:b/>
                <w:lang w:val="es-ES_tradnl"/>
              </w:rPr>
              <w:t xml:space="preserve"> </w:t>
            </w:r>
            <w:r w:rsidR="008C02F7" w:rsidRPr="00F30378">
              <w:rPr>
                <w:b/>
                <w:lang w:val="es-ES_tradnl"/>
              </w:rPr>
              <w:t>PL 2</w:t>
            </w:r>
          </w:p>
        </w:tc>
        <w:tc>
          <w:tcPr>
            <w:tcW w:w="5245" w:type="dxa"/>
          </w:tcPr>
          <w:p w14:paraId="2F0CB53A" w14:textId="72EF82D1" w:rsidR="00AD3606" w:rsidRPr="00F30378" w:rsidRDefault="00AD3606" w:rsidP="00DC1CC4">
            <w:pPr>
              <w:tabs>
                <w:tab w:val="left" w:pos="851"/>
              </w:tabs>
              <w:spacing w:before="0" w:line="240" w:lineRule="atLeast"/>
              <w:jc w:val="right"/>
              <w:rPr>
                <w:b/>
                <w:lang w:val="es-ES_tradnl"/>
              </w:rPr>
            </w:pPr>
            <w:r w:rsidRPr="00F30378">
              <w:rPr>
                <w:b/>
                <w:lang w:val="es-ES_tradnl"/>
              </w:rPr>
              <w:t>Document</w:t>
            </w:r>
            <w:r w:rsidR="00DC1CC4" w:rsidRPr="00F30378">
              <w:rPr>
                <w:b/>
                <w:lang w:val="es-ES_tradnl"/>
              </w:rPr>
              <w:t>o</w:t>
            </w:r>
            <w:r w:rsidRPr="00F30378">
              <w:rPr>
                <w:b/>
                <w:lang w:val="es-ES_tradnl"/>
              </w:rPr>
              <w:t xml:space="preserve"> C23/</w:t>
            </w:r>
            <w:r w:rsidR="00B3032D" w:rsidRPr="00F30378">
              <w:rPr>
                <w:b/>
                <w:lang w:val="es-ES_tradnl"/>
              </w:rPr>
              <w:t>59</w:t>
            </w:r>
            <w:r w:rsidRPr="00F30378">
              <w:rPr>
                <w:b/>
                <w:lang w:val="es-ES_tradnl"/>
              </w:rPr>
              <w:t>-</w:t>
            </w:r>
            <w:r w:rsidR="00DC1CC4" w:rsidRPr="00F30378">
              <w:rPr>
                <w:b/>
                <w:lang w:val="es-ES_tradnl"/>
              </w:rPr>
              <w:t>S</w:t>
            </w:r>
          </w:p>
        </w:tc>
      </w:tr>
      <w:tr w:rsidR="00AD3606" w:rsidRPr="00F30378" w14:paraId="777833CB" w14:textId="77777777" w:rsidTr="08A18AAE">
        <w:trPr>
          <w:cantSplit/>
        </w:trPr>
        <w:tc>
          <w:tcPr>
            <w:tcW w:w="3969" w:type="dxa"/>
            <w:vMerge/>
          </w:tcPr>
          <w:p w14:paraId="7DECAB6C" w14:textId="77777777" w:rsidR="00AD3606" w:rsidRPr="00F30378" w:rsidRDefault="00AD3606" w:rsidP="00AD3606">
            <w:pPr>
              <w:tabs>
                <w:tab w:val="left" w:pos="851"/>
              </w:tabs>
              <w:spacing w:line="240" w:lineRule="atLeast"/>
              <w:rPr>
                <w:b/>
                <w:lang w:val="es-ES_tradnl"/>
              </w:rPr>
            </w:pPr>
            <w:bookmarkStart w:id="2" w:name="ddate" w:colFirst="1" w:colLast="1"/>
            <w:bookmarkEnd w:id="0"/>
            <w:bookmarkEnd w:id="1"/>
          </w:p>
        </w:tc>
        <w:tc>
          <w:tcPr>
            <w:tcW w:w="5245" w:type="dxa"/>
          </w:tcPr>
          <w:p w14:paraId="7B794C7C" w14:textId="7A5BE8F5" w:rsidR="00AD3606" w:rsidRPr="00F30378" w:rsidRDefault="00715D7B" w:rsidP="00DC1CC4">
            <w:pPr>
              <w:tabs>
                <w:tab w:val="left" w:pos="851"/>
              </w:tabs>
              <w:spacing w:before="0"/>
              <w:jc w:val="right"/>
              <w:rPr>
                <w:b/>
                <w:lang w:val="es-ES_tradnl"/>
              </w:rPr>
            </w:pPr>
            <w:r w:rsidRPr="00F30378">
              <w:rPr>
                <w:b/>
                <w:lang w:val="es-ES_tradnl"/>
              </w:rPr>
              <w:t>12</w:t>
            </w:r>
            <w:r w:rsidR="004B65E8" w:rsidRPr="00F30378">
              <w:rPr>
                <w:b/>
                <w:lang w:val="es-ES_tradnl"/>
              </w:rPr>
              <w:t xml:space="preserve"> </w:t>
            </w:r>
            <w:r w:rsidR="00DC1CC4" w:rsidRPr="00F30378">
              <w:rPr>
                <w:b/>
                <w:lang w:val="es-ES_tradnl"/>
              </w:rPr>
              <w:t xml:space="preserve">de junio de </w:t>
            </w:r>
            <w:r w:rsidR="00AD3606" w:rsidRPr="00F30378">
              <w:rPr>
                <w:b/>
                <w:lang w:val="es-ES_tradnl"/>
              </w:rPr>
              <w:t>2023</w:t>
            </w:r>
          </w:p>
        </w:tc>
      </w:tr>
      <w:tr w:rsidR="00AD3606" w:rsidRPr="00F30378" w14:paraId="082C2282" w14:textId="77777777" w:rsidTr="08A18AAE">
        <w:trPr>
          <w:cantSplit/>
          <w:trHeight w:val="23"/>
        </w:trPr>
        <w:tc>
          <w:tcPr>
            <w:tcW w:w="3969" w:type="dxa"/>
            <w:vMerge/>
          </w:tcPr>
          <w:p w14:paraId="5967F199" w14:textId="77777777" w:rsidR="00AD3606" w:rsidRPr="00F30378" w:rsidRDefault="00AD3606" w:rsidP="00AD3606">
            <w:pPr>
              <w:tabs>
                <w:tab w:val="left" w:pos="851"/>
              </w:tabs>
              <w:spacing w:line="240" w:lineRule="atLeast"/>
              <w:rPr>
                <w:b/>
                <w:lang w:val="es-ES_tradnl"/>
              </w:rPr>
            </w:pPr>
            <w:bookmarkStart w:id="3" w:name="dorlang" w:colFirst="1" w:colLast="1"/>
            <w:bookmarkEnd w:id="2"/>
          </w:p>
        </w:tc>
        <w:tc>
          <w:tcPr>
            <w:tcW w:w="5245" w:type="dxa"/>
          </w:tcPr>
          <w:p w14:paraId="03AC685B" w14:textId="4FCF35D3" w:rsidR="00AD3606" w:rsidRPr="00F30378" w:rsidRDefault="00AD3606" w:rsidP="00DC1CC4">
            <w:pPr>
              <w:tabs>
                <w:tab w:val="left" w:pos="851"/>
              </w:tabs>
              <w:spacing w:before="0" w:line="240" w:lineRule="atLeast"/>
              <w:jc w:val="right"/>
              <w:rPr>
                <w:b/>
                <w:lang w:val="es-ES_tradnl"/>
              </w:rPr>
            </w:pPr>
            <w:r w:rsidRPr="00F30378">
              <w:rPr>
                <w:b/>
                <w:lang w:val="es-ES_tradnl"/>
              </w:rPr>
              <w:t xml:space="preserve">Original: </w:t>
            </w:r>
            <w:r w:rsidR="00DC1CC4" w:rsidRPr="00F30378">
              <w:rPr>
                <w:b/>
                <w:lang w:val="es-ES_tradnl"/>
              </w:rPr>
              <w:t>inglés</w:t>
            </w:r>
          </w:p>
        </w:tc>
      </w:tr>
      <w:tr w:rsidR="00472BAD" w:rsidRPr="00F30378" w14:paraId="3C9C7706" w14:textId="77777777" w:rsidTr="08A18AAE">
        <w:trPr>
          <w:cantSplit/>
          <w:trHeight w:val="23"/>
        </w:trPr>
        <w:tc>
          <w:tcPr>
            <w:tcW w:w="3969" w:type="dxa"/>
          </w:tcPr>
          <w:p w14:paraId="20349897" w14:textId="77777777" w:rsidR="00472BAD" w:rsidRPr="00F30378" w:rsidRDefault="00472BAD" w:rsidP="00AD3606">
            <w:pPr>
              <w:tabs>
                <w:tab w:val="left" w:pos="851"/>
              </w:tabs>
              <w:spacing w:line="240" w:lineRule="atLeast"/>
              <w:rPr>
                <w:b/>
                <w:lang w:val="es-ES_tradnl"/>
              </w:rPr>
            </w:pPr>
          </w:p>
        </w:tc>
        <w:tc>
          <w:tcPr>
            <w:tcW w:w="5245" w:type="dxa"/>
          </w:tcPr>
          <w:p w14:paraId="1CCE97A6" w14:textId="77777777" w:rsidR="00472BAD" w:rsidRPr="00F30378" w:rsidRDefault="00472BAD" w:rsidP="00AD3606">
            <w:pPr>
              <w:tabs>
                <w:tab w:val="left" w:pos="851"/>
              </w:tabs>
              <w:spacing w:before="0" w:line="240" w:lineRule="atLeast"/>
              <w:jc w:val="right"/>
              <w:rPr>
                <w:b/>
                <w:lang w:val="es-ES_tradnl"/>
              </w:rPr>
            </w:pPr>
          </w:p>
        </w:tc>
      </w:tr>
      <w:tr w:rsidR="00AD3606" w:rsidRPr="00E0785D" w14:paraId="5BEAAFE0" w14:textId="77777777" w:rsidTr="08A18AAE">
        <w:trPr>
          <w:cantSplit/>
        </w:trPr>
        <w:tc>
          <w:tcPr>
            <w:tcW w:w="9214" w:type="dxa"/>
            <w:gridSpan w:val="2"/>
            <w:tcMar>
              <w:left w:w="0" w:type="dxa"/>
            </w:tcMar>
          </w:tcPr>
          <w:p w14:paraId="598EF21A" w14:textId="194E5D50" w:rsidR="00AD3606" w:rsidRPr="00F30378" w:rsidRDefault="00DC1CC4" w:rsidP="00AD3606">
            <w:pPr>
              <w:pStyle w:val="Source"/>
              <w:framePr w:hSpace="0" w:wrap="auto" w:vAnchor="margin" w:hAnchor="text" w:yAlign="inline"/>
              <w:rPr>
                <w:lang w:val="es-ES_tradnl"/>
              </w:rPr>
            </w:pPr>
            <w:bookmarkStart w:id="4" w:name="dsource" w:colFirst="0" w:colLast="0"/>
            <w:bookmarkEnd w:id="3"/>
            <w:r w:rsidRPr="00F30378">
              <w:rPr>
                <w:lang w:val="es-ES_tradnl"/>
              </w:rPr>
              <w:t xml:space="preserve">Informe de la </w:t>
            </w:r>
            <w:proofErr w:type="gramStart"/>
            <w:r w:rsidRPr="00F30378">
              <w:rPr>
                <w:lang w:val="es-ES_tradnl"/>
              </w:rPr>
              <w:t>Secretaria General</w:t>
            </w:r>
            <w:proofErr w:type="gramEnd"/>
          </w:p>
        </w:tc>
      </w:tr>
      <w:tr w:rsidR="00AD3606" w:rsidRPr="00E0785D" w14:paraId="62B9C291" w14:textId="77777777" w:rsidTr="08A18AAE">
        <w:trPr>
          <w:cantSplit/>
        </w:trPr>
        <w:tc>
          <w:tcPr>
            <w:tcW w:w="9214" w:type="dxa"/>
            <w:gridSpan w:val="2"/>
            <w:tcMar>
              <w:left w:w="0" w:type="dxa"/>
            </w:tcMar>
          </w:tcPr>
          <w:p w14:paraId="556A1BCF" w14:textId="26A07FD0" w:rsidR="00AD3606" w:rsidRPr="00F30378" w:rsidRDefault="00DC1CC4" w:rsidP="000F086F">
            <w:pPr>
              <w:pStyle w:val="Subtitle1"/>
              <w:framePr w:hSpace="0" w:wrap="auto" w:hAnchor="text" w:xAlign="left" w:yAlign="inline"/>
              <w:rPr>
                <w:lang w:val="es-ES_tradnl"/>
              </w:rPr>
            </w:pPr>
            <w:bookmarkStart w:id="5" w:name="_Hlk137124864"/>
            <w:bookmarkStart w:id="6" w:name="dtitle1" w:colFirst="0" w:colLast="0"/>
            <w:bookmarkEnd w:id="4"/>
            <w:r w:rsidRPr="00F30378">
              <w:rPr>
                <w:lang w:val="es-ES_tradnl"/>
              </w:rPr>
              <w:t xml:space="preserve">ACTUALIZACIÓN SOBRE LA APLICACIÓN DE LA RESOLUCIÓN 1408 DEL CONSEJO DE LA UIT SOBRE ASISTENCIA Y </w:t>
            </w:r>
            <w:r w:rsidR="000F086F" w:rsidRPr="00F30378">
              <w:rPr>
                <w:lang w:val="es-ES_tradnl"/>
              </w:rPr>
              <w:t xml:space="preserve">AYUDA </w:t>
            </w:r>
            <w:r w:rsidRPr="00F30378">
              <w:rPr>
                <w:lang w:val="es-ES_tradnl"/>
              </w:rPr>
              <w:t>A UCRANIA PARA LA RECONSTRUCCIÓN DE SU SECTOR DE TELECOMUNICACIONES</w:t>
            </w:r>
            <w:bookmarkEnd w:id="5"/>
          </w:p>
        </w:tc>
      </w:tr>
      <w:tr w:rsidR="00AD3606" w:rsidRPr="00E0785D" w14:paraId="59287389" w14:textId="77777777" w:rsidTr="08A18AAE">
        <w:trPr>
          <w:cantSplit/>
        </w:trPr>
        <w:tc>
          <w:tcPr>
            <w:tcW w:w="9214" w:type="dxa"/>
            <w:gridSpan w:val="2"/>
            <w:tcBorders>
              <w:top w:val="single" w:sz="4" w:space="0" w:color="auto"/>
              <w:bottom w:val="single" w:sz="4" w:space="0" w:color="auto"/>
            </w:tcBorders>
            <w:tcMar>
              <w:left w:w="0" w:type="dxa"/>
            </w:tcMar>
          </w:tcPr>
          <w:p w14:paraId="0B6A23DF" w14:textId="457B88DB" w:rsidR="00AD3606" w:rsidRPr="00F30378" w:rsidRDefault="00DC1CC4" w:rsidP="00D75E72">
            <w:pPr>
              <w:pStyle w:val="Headingb"/>
              <w:rPr>
                <w:lang w:val="es-ES_tradnl"/>
              </w:rPr>
            </w:pPr>
            <w:r w:rsidRPr="00F30378">
              <w:rPr>
                <w:lang w:val="es-ES_tradnl"/>
              </w:rPr>
              <w:t>Finalidad</w:t>
            </w:r>
          </w:p>
          <w:p w14:paraId="2AD93719" w14:textId="44CF058C" w:rsidR="00DC1CC4" w:rsidRPr="00F30378" w:rsidRDefault="00DC1CC4" w:rsidP="00F16BAB">
            <w:pPr>
              <w:rPr>
                <w:lang w:val="es-ES_tradnl"/>
              </w:rPr>
            </w:pPr>
            <w:r w:rsidRPr="00F30378">
              <w:rPr>
                <w:lang w:val="es-ES_tradnl"/>
              </w:rPr>
              <w:t xml:space="preserve">Este Informe describe las actividades y </w:t>
            </w:r>
            <w:r w:rsidR="0056639D" w:rsidRPr="00F30378">
              <w:rPr>
                <w:lang w:val="es-ES_tradnl"/>
              </w:rPr>
              <w:t>la evolución</w:t>
            </w:r>
            <w:r w:rsidRPr="00F30378">
              <w:rPr>
                <w:lang w:val="es-ES_tradnl"/>
              </w:rPr>
              <w:t xml:space="preserve"> desde la Conferencia de Plenipotenciarios (Bucarest, 2022) </w:t>
            </w:r>
            <w:r w:rsidR="0056639D" w:rsidRPr="00F30378">
              <w:rPr>
                <w:lang w:val="es-ES_tradnl"/>
              </w:rPr>
              <w:t xml:space="preserve">de </w:t>
            </w:r>
            <w:r w:rsidR="004E1333" w:rsidRPr="00F30378">
              <w:rPr>
                <w:lang w:val="es-ES_tradnl"/>
              </w:rPr>
              <w:t xml:space="preserve">la prestación de asistencia y </w:t>
            </w:r>
            <w:r w:rsidR="0056639D" w:rsidRPr="00F30378">
              <w:rPr>
                <w:lang w:val="es-ES_tradnl"/>
              </w:rPr>
              <w:t xml:space="preserve">la </w:t>
            </w:r>
            <w:r w:rsidR="000F086F" w:rsidRPr="00F30378">
              <w:rPr>
                <w:lang w:val="es-ES_tradnl"/>
              </w:rPr>
              <w:t>ayuda</w:t>
            </w:r>
            <w:r w:rsidR="004E1333" w:rsidRPr="00F30378">
              <w:rPr>
                <w:lang w:val="es-ES_tradnl"/>
              </w:rPr>
              <w:t xml:space="preserve"> a Ucrania para la reconstrucción de su sector de telecomunicaciones en respuesta a </w:t>
            </w:r>
            <w:r w:rsidRPr="00F30378">
              <w:rPr>
                <w:lang w:val="es-ES_tradnl"/>
              </w:rPr>
              <w:t xml:space="preserve">los </w:t>
            </w:r>
            <w:r w:rsidRPr="00F30378">
              <w:rPr>
                <w:i/>
                <w:lang w:val="es-ES_tradnl"/>
              </w:rPr>
              <w:t>resuelve</w:t>
            </w:r>
            <w:r w:rsidRPr="00F30378">
              <w:rPr>
                <w:lang w:val="es-ES_tradnl"/>
              </w:rPr>
              <w:t xml:space="preserve"> de </w:t>
            </w:r>
            <w:r w:rsidR="004E1333" w:rsidRPr="00F30378">
              <w:rPr>
                <w:lang w:val="es-ES_tradnl"/>
              </w:rPr>
              <w:t>la Resolución 1408</w:t>
            </w:r>
            <w:r w:rsidR="000F086F" w:rsidRPr="00F30378">
              <w:rPr>
                <w:lang w:val="es-ES_tradnl"/>
              </w:rPr>
              <w:t xml:space="preserve"> (C22</w:t>
            </w:r>
            <w:r w:rsidR="0013098F" w:rsidRPr="00F30378">
              <w:rPr>
                <w:lang w:val="es-ES_tradnl"/>
              </w:rPr>
              <w:t>) del</w:t>
            </w:r>
            <w:r w:rsidR="004E1333" w:rsidRPr="00F30378">
              <w:rPr>
                <w:lang w:val="es-ES_tradnl"/>
              </w:rPr>
              <w:t xml:space="preserve"> Consejo de la </w:t>
            </w:r>
            <w:r w:rsidR="006C039B" w:rsidRPr="00F30378">
              <w:rPr>
                <w:lang w:val="es-ES_tradnl"/>
              </w:rPr>
              <w:t>UIT,</w:t>
            </w:r>
            <w:r w:rsidRPr="00F30378">
              <w:rPr>
                <w:lang w:val="es-ES_tradnl"/>
              </w:rPr>
              <w:t xml:space="preserve"> en particular en lo que respecta a la supervisión y presentación de informes, los mecanismos de coordinación, la facilitación de la asistencia técnica y la movilización de recursos. </w:t>
            </w:r>
          </w:p>
          <w:p w14:paraId="45B1495A" w14:textId="143740E9" w:rsidR="00AD3606" w:rsidRPr="00F30378" w:rsidRDefault="00DC1CC4" w:rsidP="00D75E72">
            <w:pPr>
              <w:pStyle w:val="Headingb"/>
              <w:rPr>
                <w:lang w:val="es-ES_tradnl"/>
              </w:rPr>
            </w:pPr>
            <w:r w:rsidRPr="00F30378">
              <w:rPr>
                <w:lang w:val="es-ES_tradnl"/>
              </w:rPr>
              <w:t>Acción solicitada por el Consejo</w:t>
            </w:r>
          </w:p>
          <w:p w14:paraId="3D57EDF8" w14:textId="6ADB36EA" w:rsidR="00AD3606" w:rsidRPr="00F30378" w:rsidRDefault="00DC1CC4" w:rsidP="00AD3606">
            <w:pPr>
              <w:rPr>
                <w:lang w:val="es-ES_tradnl"/>
              </w:rPr>
            </w:pPr>
            <w:r w:rsidRPr="00F30378">
              <w:rPr>
                <w:szCs w:val="24"/>
                <w:lang w:val="es-ES_tradnl"/>
              </w:rPr>
              <w:t xml:space="preserve">Se invita al Consejo a </w:t>
            </w:r>
            <w:r w:rsidRPr="00F30378">
              <w:rPr>
                <w:b/>
                <w:bCs/>
                <w:szCs w:val="24"/>
                <w:lang w:val="es-ES_tradnl"/>
              </w:rPr>
              <w:t xml:space="preserve">tomar nota </w:t>
            </w:r>
            <w:r w:rsidRPr="00F30378">
              <w:rPr>
                <w:szCs w:val="24"/>
                <w:lang w:val="es-ES_tradnl"/>
              </w:rPr>
              <w:t xml:space="preserve">de este </w:t>
            </w:r>
            <w:r w:rsidR="004E1333" w:rsidRPr="00F30378">
              <w:rPr>
                <w:szCs w:val="24"/>
                <w:lang w:val="es-ES_tradnl"/>
              </w:rPr>
              <w:t>Informe.</w:t>
            </w:r>
          </w:p>
          <w:p w14:paraId="71511FA1" w14:textId="36ACBB74" w:rsidR="00F16BAB" w:rsidRPr="00F30378" w:rsidRDefault="00DC1CC4" w:rsidP="00D75E72">
            <w:pPr>
              <w:pStyle w:val="Headingb"/>
              <w:rPr>
                <w:lang w:val="es-ES_tradnl"/>
              </w:rPr>
            </w:pPr>
            <w:r w:rsidRPr="00F30378">
              <w:rPr>
                <w:lang w:val="es-ES_tradnl"/>
              </w:rPr>
              <w:t>Vínculos pertinentes con el Plan Estratégico</w:t>
            </w:r>
          </w:p>
          <w:p w14:paraId="503749D7" w14:textId="5290FAED" w:rsidR="00F16BAB" w:rsidRPr="00F30378" w:rsidRDefault="004E1333" w:rsidP="00F16BAB">
            <w:pPr>
              <w:rPr>
                <w:lang w:val="es-ES_tradnl"/>
              </w:rPr>
            </w:pPr>
            <w:r w:rsidRPr="00F30378">
              <w:rPr>
                <w:lang w:val="es-ES_tradnl"/>
              </w:rPr>
              <w:t xml:space="preserve">Prestación de asistencia </w:t>
            </w:r>
            <w:r w:rsidR="006C039B" w:rsidRPr="00F30378">
              <w:rPr>
                <w:lang w:val="es-ES_tradnl"/>
              </w:rPr>
              <w:t>técnica.</w:t>
            </w:r>
          </w:p>
          <w:p w14:paraId="74189BBD" w14:textId="508DC163" w:rsidR="00F16BAB" w:rsidRPr="00F30378" w:rsidRDefault="00DC1CC4" w:rsidP="00D75E72">
            <w:pPr>
              <w:pStyle w:val="Headingb"/>
              <w:rPr>
                <w:lang w:val="es-ES_tradnl"/>
              </w:rPr>
            </w:pPr>
            <w:r w:rsidRPr="00F30378">
              <w:rPr>
                <w:lang w:val="es-ES_tradnl"/>
              </w:rPr>
              <w:t>Consecuencias financieras</w:t>
            </w:r>
            <w:r w:rsidR="00F30378">
              <w:rPr>
                <w:lang w:val="es-ES_tradnl"/>
              </w:rPr>
              <w:t xml:space="preserve"> </w:t>
            </w:r>
          </w:p>
          <w:p w14:paraId="2BE827A2" w14:textId="068B7CB7" w:rsidR="004E1333" w:rsidRPr="00F30378" w:rsidRDefault="004E1333" w:rsidP="00D75E72">
            <w:pPr>
              <w:rPr>
                <w:lang w:val="es-ES_tradnl"/>
              </w:rPr>
            </w:pPr>
            <w:r w:rsidRPr="00F30378">
              <w:rPr>
                <w:lang w:val="es-ES_tradnl"/>
              </w:rPr>
              <w:t>140 000 CHF, que incluyen 20 000 CHF del presupuesto de la UIT, 100 000 CHF en contribuciones monetarias voluntarias y 20 000 CHF de contribuciones en especies</w:t>
            </w:r>
            <w:r w:rsidR="00FE4E63">
              <w:rPr>
                <w:lang w:val="es-ES_tradnl"/>
              </w:rPr>
              <w:t>.</w:t>
            </w:r>
          </w:p>
          <w:p w14:paraId="6F1B8B4E" w14:textId="32601A92" w:rsidR="00AD3606" w:rsidRPr="00F30378" w:rsidRDefault="00AD3606" w:rsidP="00F16BAB">
            <w:pPr>
              <w:spacing w:before="160"/>
              <w:rPr>
                <w:caps/>
                <w:sz w:val="22"/>
                <w:lang w:val="es-ES_tradnl"/>
              </w:rPr>
            </w:pPr>
            <w:r w:rsidRPr="00F30378">
              <w:rPr>
                <w:sz w:val="22"/>
                <w:lang w:val="es-ES_tradnl"/>
              </w:rPr>
              <w:t>__________________</w:t>
            </w:r>
          </w:p>
          <w:p w14:paraId="0EBC340A" w14:textId="14B8D3B5" w:rsidR="00AD3606" w:rsidRPr="00F30378" w:rsidRDefault="00AD3606" w:rsidP="00D75E72">
            <w:pPr>
              <w:pStyle w:val="Headingb"/>
              <w:rPr>
                <w:lang w:val="es-ES_tradnl"/>
              </w:rPr>
            </w:pPr>
            <w:r w:rsidRPr="00F30378">
              <w:rPr>
                <w:lang w:val="es-ES_tradnl"/>
              </w:rPr>
              <w:t>Referenc</w:t>
            </w:r>
            <w:r w:rsidR="00DC1CC4" w:rsidRPr="00F30378">
              <w:rPr>
                <w:lang w:val="es-ES_tradnl"/>
              </w:rPr>
              <w:t>ia</w:t>
            </w:r>
            <w:r w:rsidRPr="00F30378">
              <w:rPr>
                <w:lang w:val="es-ES_tradnl"/>
              </w:rPr>
              <w:t>s</w:t>
            </w:r>
          </w:p>
          <w:p w14:paraId="65250B1E" w14:textId="6235E70F" w:rsidR="00AD3606" w:rsidRPr="00F30378" w:rsidRDefault="00E0785D" w:rsidP="00D75E72">
            <w:pPr>
              <w:rPr>
                <w:lang w:val="es-ES_tradnl"/>
              </w:rPr>
            </w:pPr>
            <w:hyperlink r:id="rId11" w:history="1">
              <w:r w:rsidR="004B65E8" w:rsidRPr="00F30378">
                <w:rPr>
                  <w:rStyle w:val="Hyperlink"/>
                  <w:lang w:val="es-ES_tradnl"/>
                </w:rPr>
                <w:t>Resolu</w:t>
              </w:r>
              <w:r w:rsidR="006C039B" w:rsidRPr="00F30378">
                <w:rPr>
                  <w:rStyle w:val="Hyperlink"/>
                  <w:lang w:val="es-ES_tradnl"/>
                </w:rPr>
                <w:t>ció</w:t>
              </w:r>
              <w:r w:rsidR="004B65E8" w:rsidRPr="00F30378">
                <w:rPr>
                  <w:rStyle w:val="Hyperlink"/>
                  <w:lang w:val="es-ES_tradnl"/>
                </w:rPr>
                <w:t>n 1408 (C22)</w:t>
              </w:r>
            </w:hyperlink>
            <w:r w:rsidR="004E1333" w:rsidRPr="00F30378">
              <w:rPr>
                <w:lang w:val="es-ES_tradnl"/>
              </w:rPr>
              <w:t xml:space="preserve"> del Consejo; </w:t>
            </w:r>
            <w:r w:rsidR="004B65E8" w:rsidRPr="00F30378">
              <w:rPr>
                <w:lang w:val="es-ES_tradnl"/>
              </w:rPr>
              <w:t>document</w:t>
            </w:r>
            <w:r w:rsidR="004E1333" w:rsidRPr="00F30378">
              <w:rPr>
                <w:lang w:val="es-ES_tradnl"/>
              </w:rPr>
              <w:t>o</w:t>
            </w:r>
            <w:r w:rsidR="004B65E8" w:rsidRPr="00F30378">
              <w:rPr>
                <w:lang w:val="es-ES_tradnl"/>
              </w:rPr>
              <w:t xml:space="preserve"> </w:t>
            </w:r>
            <w:hyperlink r:id="rId12" w:history="1">
              <w:r w:rsidR="004B65E8" w:rsidRPr="00F30378">
                <w:rPr>
                  <w:rStyle w:val="Hyperlink"/>
                  <w:lang w:val="es-ES_tradnl"/>
                </w:rPr>
                <w:t>PP-22/70</w:t>
              </w:r>
            </w:hyperlink>
            <w:r w:rsidR="004B65E8" w:rsidRPr="00F30378">
              <w:rPr>
                <w:lang w:val="es-ES_tradnl"/>
              </w:rPr>
              <w:t xml:space="preserve"> </w:t>
            </w:r>
            <w:r w:rsidR="004E1333" w:rsidRPr="00F30378">
              <w:rPr>
                <w:lang w:val="es-ES_tradnl"/>
              </w:rPr>
              <w:t>de la Conferencia de Plenipotenciarios</w:t>
            </w:r>
          </w:p>
        </w:tc>
      </w:tr>
      <w:bookmarkEnd w:id="6"/>
    </w:tbl>
    <w:p w14:paraId="7FE52F59" w14:textId="77777777" w:rsidR="0090147A" w:rsidRPr="00F30378"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_tradnl"/>
        </w:rPr>
      </w:pPr>
      <w:r w:rsidRPr="00F30378">
        <w:rPr>
          <w:lang w:val="es-ES_tradnl"/>
        </w:rPr>
        <w:br w:type="page"/>
      </w:r>
    </w:p>
    <w:p w14:paraId="1EEEFC31" w14:textId="439BB45C" w:rsidR="004B65E8" w:rsidRPr="00F30378" w:rsidRDefault="00D75E72" w:rsidP="00D75E72">
      <w:pPr>
        <w:pStyle w:val="Heading1"/>
        <w:rPr>
          <w:lang w:val="es-ES_tradnl" w:eastAsia="zh-CN"/>
        </w:rPr>
      </w:pPr>
      <w:r w:rsidRPr="00F30378">
        <w:rPr>
          <w:lang w:val="es-ES_tradnl" w:eastAsia="zh-CN"/>
        </w:rPr>
        <w:lastRenderedPageBreak/>
        <w:t>1</w:t>
      </w:r>
      <w:r w:rsidRPr="00F30378">
        <w:rPr>
          <w:lang w:val="es-ES_tradnl" w:eastAsia="zh-CN"/>
        </w:rPr>
        <w:tab/>
      </w:r>
      <w:proofErr w:type="gramStart"/>
      <w:r w:rsidR="000F086F" w:rsidRPr="00F30378">
        <w:rPr>
          <w:lang w:val="es-ES_tradnl" w:eastAsia="zh-CN"/>
        </w:rPr>
        <w:t>Introducción</w:t>
      </w:r>
      <w:proofErr w:type="gramEnd"/>
    </w:p>
    <w:p w14:paraId="514DA776" w14:textId="7B5162D9" w:rsidR="004B65E8" w:rsidRPr="00F30378" w:rsidRDefault="000F086F" w:rsidP="00D75E72">
      <w:pPr>
        <w:rPr>
          <w:rFonts w:cs="Calibri"/>
          <w:lang w:val="es-ES_tradnl" w:eastAsia="zh-CN"/>
        </w:rPr>
      </w:pPr>
      <w:r w:rsidRPr="00F30378">
        <w:rPr>
          <w:lang w:val="es-ES_tradnl"/>
        </w:rPr>
        <w:t xml:space="preserve">Este Informe describe las actividades que la Secretaría ha estado llevando a cabo en respuesta a los </w:t>
      </w:r>
      <w:r w:rsidRPr="00F30378">
        <w:rPr>
          <w:i/>
          <w:lang w:val="es-ES_tradnl"/>
        </w:rPr>
        <w:t>resuelve</w:t>
      </w:r>
      <w:r w:rsidRPr="00F30378">
        <w:rPr>
          <w:lang w:val="es-ES_tradnl"/>
        </w:rPr>
        <w:t xml:space="preserve"> de la </w:t>
      </w:r>
      <w:hyperlink r:id="rId13" w:history="1">
        <w:r w:rsidRPr="00F30378">
          <w:rPr>
            <w:rStyle w:val="Hyperlink"/>
            <w:rFonts w:cs="Segoe UI"/>
            <w:lang w:val="es-ES_tradnl"/>
          </w:rPr>
          <w:t>Resolución 1408</w:t>
        </w:r>
      </w:hyperlink>
      <w:r w:rsidRPr="00F30378">
        <w:rPr>
          <w:lang w:val="es-ES_tradnl"/>
        </w:rPr>
        <w:t xml:space="preserve"> del Consejo de la UIT sobre </w:t>
      </w:r>
      <w:r w:rsidR="00F30378">
        <w:rPr>
          <w:lang w:val="es-ES_tradnl"/>
        </w:rPr>
        <w:t>"</w:t>
      </w:r>
      <w:r w:rsidRPr="00F30378">
        <w:rPr>
          <w:b/>
          <w:lang w:val="es-ES_tradnl"/>
        </w:rPr>
        <w:t>Asistencia y ayuda a Ucrania para la reconstrucción de su sector de telecomunicaciones</w:t>
      </w:r>
      <w:r w:rsidR="00F30378">
        <w:rPr>
          <w:lang w:val="es-ES_tradnl"/>
        </w:rPr>
        <w:t>"</w:t>
      </w:r>
      <w:r w:rsidRPr="00F30378">
        <w:rPr>
          <w:lang w:val="es-ES_tradnl"/>
        </w:rPr>
        <w:t>, en particular en lo que respecta a la supervisión y presentación de informes, los mecanismos de coordinación, la facilitación de la asistencia técnica y la movilización de recursos, y que se ha</w:t>
      </w:r>
      <w:r w:rsidR="0013098F" w:rsidRPr="00F30378">
        <w:rPr>
          <w:lang w:val="es-ES_tradnl"/>
        </w:rPr>
        <w:t>n</w:t>
      </w:r>
      <w:r w:rsidRPr="00F30378">
        <w:rPr>
          <w:lang w:val="es-ES_tradnl"/>
        </w:rPr>
        <w:t xml:space="preserve"> realizado desde el último Informe presentado a la Conferencia de Plenipotenciarios </w:t>
      </w:r>
      <w:r w:rsidR="00457D53" w:rsidRPr="00F30378">
        <w:rPr>
          <w:lang w:val="es-ES_tradnl"/>
        </w:rPr>
        <w:t>(</w:t>
      </w:r>
      <w:r w:rsidR="004B65E8" w:rsidRPr="00F30378">
        <w:rPr>
          <w:rFonts w:asciiTheme="minorHAnsi" w:hAnsiTheme="minorHAnsi" w:cstheme="minorHAnsi"/>
          <w:szCs w:val="24"/>
          <w:bdr w:val="none" w:sz="0" w:space="0" w:color="auto" w:frame="1"/>
          <w:lang w:val="es-ES_tradnl"/>
        </w:rPr>
        <w:t>Document</w:t>
      </w:r>
      <w:r w:rsidRPr="00F30378">
        <w:rPr>
          <w:rFonts w:asciiTheme="minorHAnsi" w:hAnsiTheme="minorHAnsi" w:cstheme="minorHAnsi"/>
          <w:szCs w:val="24"/>
          <w:bdr w:val="none" w:sz="0" w:space="0" w:color="auto" w:frame="1"/>
          <w:lang w:val="es-ES_tradnl"/>
        </w:rPr>
        <w:t>o</w:t>
      </w:r>
      <w:r w:rsidR="004B65E8" w:rsidRPr="00F30378">
        <w:rPr>
          <w:rFonts w:asciiTheme="minorHAnsi" w:hAnsiTheme="minorHAnsi" w:cstheme="minorHAnsi"/>
          <w:szCs w:val="24"/>
          <w:bdr w:val="none" w:sz="0" w:space="0" w:color="auto" w:frame="1"/>
          <w:lang w:val="es-ES_tradnl"/>
        </w:rPr>
        <w:t xml:space="preserve"> </w:t>
      </w:r>
      <w:hyperlink r:id="rId14" w:history="1">
        <w:r w:rsidR="004B65E8" w:rsidRPr="00F30378">
          <w:rPr>
            <w:rStyle w:val="Hyperlink"/>
            <w:rFonts w:asciiTheme="minorHAnsi" w:hAnsiTheme="minorHAnsi" w:cstheme="minorHAnsi"/>
            <w:szCs w:val="24"/>
            <w:bdr w:val="none" w:sz="0" w:space="0" w:color="auto" w:frame="1"/>
            <w:lang w:val="es-ES_tradnl"/>
          </w:rPr>
          <w:t>PP-22/70</w:t>
        </w:r>
      </w:hyperlink>
      <w:r w:rsidR="00457D53" w:rsidRPr="00F30378">
        <w:rPr>
          <w:rStyle w:val="Hyperlink"/>
          <w:rFonts w:asciiTheme="minorHAnsi" w:hAnsiTheme="minorHAnsi" w:cstheme="minorHAnsi"/>
          <w:color w:val="auto"/>
          <w:szCs w:val="24"/>
          <w:u w:val="none"/>
          <w:bdr w:val="none" w:sz="0" w:space="0" w:color="auto" w:frame="1"/>
          <w:lang w:val="es-ES_tradnl"/>
        </w:rPr>
        <w:t>)</w:t>
      </w:r>
      <w:r w:rsidR="004B65E8" w:rsidRPr="00F30378">
        <w:rPr>
          <w:rFonts w:cs="Calibri"/>
          <w:lang w:val="es-ES_tradnl" w:eastAsia="zh-CN"/>
        </w:rPr>
        <w:t>.</w:t>
      </w:r>
    </w:p>
    <w:p w14:paraId="2B1E3488" w14:textId="2B9D3B9E" w:rsidR="004B65E8" w:rsidRPr="00F30378" w:rsidRDefault="004B65E8" w:rsidP="00D75E72">
      <w:pPr>
        <w:pStyle w:val="Heading1"/>
        <w:rPr>
          <w:lang w:val="es-ES_tradnl" w:eastAsia="zh-CN"/>
        </w:rPr>
      </w:pPr>
      <w:r w:rsidRPr="00F30378">
        <w:rPr>
          <w:lang w:val="es-ES_tradnl" w:eastAsia="zh-CN"/>
        </w:rPr>
        <w:t>2</w:t>
      </w:r>
      <w:r w:rsidRPr="00F30378">
        <w:rPr>
          <w:lang w:val="es-ES_tradnl" w:eastAsia="zh-CN"/>
        </w:rPr>
        <w:tab/>
      </w:r>
      <w:proofErr w:type="gramStart"/>
      <w:r w:rsidR="000F086F" w:rsidRPr="00F30378">
        <w:rPr>
          <w:lang w:val="es-ES_tradnl" w:eastAsia="zh-CN"/>
        </w:rPr>
        <w:t>Supervisión</w:t>
      </w:r>
      <w:proofErr w:type="gramEnd"/>
      <w:r w:rsidR="000F086F" w:rsidRPr="00F30378">
        <w:rPr>
          <w:lang w:val="es-ES_tradnl" w:eastAsia="zh-CN"/>
        </w:rPr>
        <w:t xml:space="preserve"> y presentación de informes</w:t>
      </w:r>
    </w:p>
    <w:p w14:paraId="63E01438" w14:textId="76A29857" w:rsidR="0013098F" w:rsidRPr="00F30378" w:rsidRDefault="0013098F" w:rsidP="0013098F">
      <w:pPr>
        <w:rPr>
          <w:lang w:val="es-ES_tradnl"/>
        </w:rPr>
      </w:pPr>
      <w:r w:rsidRPr="00F30378">
        <w:rPr>
          <w:lang w:val="es-ES_tradnl"/>
        </w:rPr>
        <w:t xml:space="preserve">A fin de facilitar una asistencia técnica eficaz, se mantuvo una supervisión constante de la resiliencia digital en Ucrania. Se ha creado un sitio web especial dedicado a la aplicación de la Resolución 1408, disponible </w:t>
      </w:r>
      <w:hyperlink r:id="rId15" w:history="1">
        <w:r w:rsidRPr="00F30378">
          <w:rPr>
            <w:color w:val="0000FF"/>
            <w:u w:val="single"/>
            <w:lang w:val="es-ES_tradnl"/>
          </w:rPr>
          <w:t>aquí</w:t>
        </w:r>
      </w:hyperlink>
      <w:r w:rsidRPr="00F30378">
        <w:rPr>
          <w:lang w:val="es-ES_tradnl"/>
        </w:rPr>
        <w:t>.</w:t>
      </w:r>
    </w:p>
    <w:p w14:paraId="56C953C9" w14:textId="0DDCB9C9" w:rsidR="004B65E8" w:rsidRPr="00F30378" w:rsidRDefault="0013098F" w:rsidP="00D75E72">
      <w:pPr>
        <w:rPr>
          <w:rFonts w:cs="Calibri"/>
          <w:lang w:val="es-ES_tradnl" w:eastAsia="zh-CN"/>
        </w:rPr>
      </w:pPr>
      <w:r w:rsidRPr="00F30378">
        <w:rPr>
          <w:b/>
          <w:bCs/>
          <w:lang w:val="es-ES_tradnl"/>
        </w:rPr>
        <w:t xml:space="preserve">A. La evaluación provisional de los daños causados a las telecomunicaciones y la resiliencia del ecosistema de las TIC en Ucrania </w:t>
      </w:r>
      <w:r w:rsidRPr="00F30378">
        <w:rPr>
          <w:bCs/>
          <w:lang w:val="es-ES_tradnl"/>
        </w:rPr>
        <w:t>se publicó</w:t>
      </w:r>
      <w:r w:rsidRPr="00F30378">
        <w:rPr>
          <w:b/>
          <w:bCs/>
          <w:lang w:val="es-ES_tradnl"/>
        </w:rPr>
        <w:t xml:space="preserve"> </w:t>
      </w:r>
      <w:r w:rsidRPr="00F30378">
        <w:rPr>
          <w:bCs/>
          <w:lang w:val="es-ES_tradnl"/>
        </w:rPr>
        <w:t xml:space="preserve">en diciembre de 2022 con el fin de utilizarlo para la </w:t>
      </w:r>
      <w:r w:rsidRPr="00F30378">
        <w:rPr>
          <w:lang w:val="es-ES_tradnl"/>
        </w:rPr>
        <w:t>programación</w:t>
      </w:r>
      <w:r w:rsidRPr="00F30378">
        <w:rPr>
          <w:bCs/>
          <w:lang w:val="es-ES_tradnl"/>
        </w:rPr>
        <w:t xml:space="preserve"> de una asistencia efectiva para Ucrania y para facilitar la movilización de recursos para la reconstrucción de las infraestructuras de telecomunicaciones en</w:t>
      </w:r>
      <w:r w:rsidR="00FE4E63">
        <w:rPr>
          <w:bCs/>
          <w:lang w:val="es-ES_tradnl"/>
        </w:rPr>
        <w:t> </w:t>
      </w:r>
      <w:r w:rsidRPr="00F30378">
        <w:rPr>
          <w:bCs/>
          <w:lang w:val="es-ES_tradnl"/>
        </w:rPr>
        <w:t>Ucrania</w:t>
      </w:r>
      <w:r w:rsidR="004B65E8" w:rsidRPr="00F30378">
        <w:rPr>
          <w:rStyle w:val="FootnoteReference"/>
          <w:rFonts w:cs="Calibri"/>
          <w:sz w:val="18"/>
          <w:szCs w:val="18"/>
          <w:vertAlign w:val="superscript"/>
          <w:lang w:val="es-ES_tradnl" w:eastAsia="zh-CN"/>
        </w:rPr>
        <w:footnoteReference w:id="1"/>
      </w:r>
      <w:r w:rsidR="004B65E8" w:rsidRPr="00F30378">
        <w:rPr>
          <w:rFonts w:cs="Calibri"/>
          <w:lang w:val="es-ES_tradnl" w:eastAsia="zh-CN"/>
        </w:rPr>
        <w:t>.</w:t>
      </w:r>
    </w:p>
    <w:p w14:paraId="04A0185F" w14:textId="1AF697F5" w:rsidR="004B65E8" w:rsidRPr="00F30378" w:rsidRDefault="00A9702A" w:rsidP="00D75E72">
      <w:pPr>
        <w:rPr>
          <w:rFonts w:cs="Calibri"/>
          <w:szCs w:val="24"/>
          <w:lang w:val="es-ES_tradnl" w:eastAsia="zh-CN"/>
        </w:rPr>
      </w:pPr>
      <w:r w:rsidRPr="00F30378">
        <w:rPr>
          <w:rFonts w:cs="Calibri"/>
          <w:lang w:val="es-ES_tradnl" w:eastAsia="zh-CN"/>
        </w:rPr>
        <w:t xml:space="preserve">El Informe abarca el periodo de los seis primeros meses de la guerra y señala </w:t>
      </w:r>
      <w:r w:rsidR="00EF082B" w:rsidRPr="00F30378">
        <w:rPr>
          <w:rFonts w:cs="Calibri"/>
          <w:lang w:val="es-ES_tradnl" w:eastAsia="zh-CN"/>
        </w:rPr>
        <w:t>que,</w:t>
      </w:r>
      <w:r w:rsidRPr="00F30378">
        <w:rPr>
          <w:rFonts w:cs="Calibri"/>
          <w:lang w:val="es-ES_tradnl" w:eastAsia="zh-CN"/>
        </w:rPr>
        <w:t xml:space="preserve"> a nivel de políticas públicas y privadas, y de medidas de emergencia, el sector de las telecomunicaciones </w:t>
      </w:r>
      <w:r w:rsidR="004A1A2C" w:rsidRPr="00F30378">
        <w:rPr>
          <w:rFonts w:cs="Calibri"/>
          <w:lang w:val="es-ES_tradnl" w:eastAsia="zh-CN"/>
        </w:rPr>
        <w:t xml:space="preserve">de Ucrania </w:t>
      </w:r>
      <w:r w:rsidRPr="00F30378">
        <w:rPr>
          <w:rFonts w:cs="Calibri"/>
          <w:lang w:val="es-ES_tradnl" w:eastAsia="zh-CN"/>
        </w:rPr>
        <w:t>ha demostrado ser resiliente, sin embargo</w:t>
      </w:r>
      <w:r w:rsidR="004B65E8" w:rsidRPr="00F30378">
        <w:rPr>
          <w:rFonts w:cs="Calibri"/>
          <w:lang w:val="es-ES_tradnl" w:eastAsia="zh-CN"/>
        </w:rPr>
        <w:t xml:space="preserve">: </w:t>
      </w:r>
    </w:p>
    <w:p w14:paraId="0CD39988" w14:textId="692F412C"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4A1A2C" w:rsidRPr="00F30378">
        <w:rPr>
          <w:rFonts w:eastAsia="SimSun"/>
          <w:lang w:val="es-ES_tradnl"/>
        </w:rPr>
        <w:t>la</w:t>
      </w:r>
      <w:r w:rsidR="00A9702A" w:rsidRPr="00F30378">
        <w:rPr>
          <w:rFonts w:eastAsia="SimSun"/>
          <w:lang w:val="es-ES_tradnl"/>
        </w:rPr>
        <w:t xml:space="preserve">s redes TIC de los operadores </w:t>
      </w:r>
      <w:r w:rsidR="00EF082B" w:rsidRPr="00F30378">
        <w:rPr>
          <w:rFonts w:eastAsia="SimSun"/>
          <w:lang w:val="es-ES_tradnl"/>
        </w:rPr>
        <w:t>han quedado</w:t>
      </w:r>
      <w:r w:rsidR="00A9702A" w:rsidRPr="00F30378">
        <w:rPr>
          <w:rFonts w:eastAsia="SimSun"/>
          <w:lang w:val="es-ES_tradnl"/>
        </w:rPr>
        <w:t xml:space="preserve"> parcial y, en algunos casos</w:t>
      </w:r>
      <w:r w:rsidR="004A1A2C" w:rsidRPr="00F30378">
        <w:rPr>
          <w:rFonts w:eastAsia="SimSun"/>
          <w:lang w:val="es-ES_tradnl"/>
        </w:rPr>
        <w:t>,</w:t>
      </w:r>
      <w:r w:rsidR="00A9702A" w:rsidRPr="00F30378">
        <w:rPr>
          <w:rFonts w:eastAsia="SimSun"/>
          <w:lang w:val="es-ES_tradnl"/>
        </w:rPr>
        <w:t xml:space="preserve"> totalmente destruidas u ocupadas</w:t>
      </w:r>
      <w:r w:rsidR="004B65E8" w:rsidRPr="00F30378">
        <w:rPr>
          <w:rFonts w:eastAsia="SimSun"/>
          <w:lang w:val="es-ES_tradnl"/>
        </w:rPr>
        <w:t>;</w:t>
      </w:r>
    </w:p>
    <w:p w14:paraId="2CB59F8B" w14:textId="67D0088B"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A9702A" w:rsidRPr="00F30378">
        <w:rPr>
          <w:rFonts w:eastAsia="SimSun"/>
          <w:lang w:val="es-ES_tradnl"/>
        </w:rPr>
        <w:t>en un periodo de seis meses de guerra, se denunciaron 1</w:t>
      </w:r>
      <w:r w:rsidR="00FE4E63">
        <w:rPr>
          <w:rFonts w:eastAsia="SimSun"/>
          <w:lang w:val="es-ES_tradnl"/>
        </w:rPr>
        <w:t> </w:t>
      </w:r>
      <w:r w:rsidR="00A9702A" w:rsidRPr="00F30378">
        <w:rPr>
          <w:rFonts w:eastAsia="SimSun"/>
          <w:lang w:val="es-ES_tradnl"/>
        </w:rPr>
        <w:t>123 ciberataques dirigidos a todos los sectores de la economía de Ucrania, incluidas las TI y las telecomunicaciones</w:t>
      </w:r>
      <w:r w:rsidR="004B65E8" w:rsidRPr="00F30378">
        <w:rPr>
          <w:rFonts w:eastAsia="SimSun"/>
          <w:lang w:val="es-ES_tradnl"/>
        </w:rPr>
        <w:t>;</w:t>
      </w:r>
    </w:p>
    <w:p w14:paraId="4EB6669F" w14:textId="0358800E"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A9702A" w:rsidRPr="00F30378">
        <w:rPr>
          <w:rFonts w:eastAsia="SimSun"/>
          <w:lang w:val="es-ES_tradnl"/>
        </w:rPr>
        <w:t>hasta julio de 2022, el 12,2% de los hogares habían perdido el acceso a los servicios de comunicaciones móviles (el 3,1% parcialmente), el 11% de las estaciones de base de los operadores móviles estaban fuera de servicio y el 20% de la infraestructura de telecomunicaciones del país estaba dañada o destruida</w:t>
      </w:r>
      <w:r w:rsidR="004B65E8" w:rsidRPr="00F30378">
        <w:rPr>
          <w:rFonts w:eastAsia="SimSun"/>
          <w:lang w:val="es-ES_tradnl"/>
        </w:rPr>
        <w:t>;</w:t>
      </w:r>
    </w:p>
    <w:p w14:paraId="468BB468" w14:textId="75353BA0"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A9702A" w:rsidRPr="00F30378">
        <w:rPr>
          <w:rFonts w:eastAsia="SimSun"/>
          <w:lang w:val="es-ES_tradnl"/>
        </w:rPr>
        <w:t>las pérdidas económicas del sector de las telecomunicaciones se han estimado en más de 100 millones USD</w:t>
      </w:r>
      <w:r w:rsidR="004B65E8" w:rsidRPr="00F30378">
        <w:rPr>
          <w:rFonts w:eastAsia="SimSun"/>
          <w:lang w:val="es-ES_tradnl"/>
        </w:rPr>
        <w:t xml:space="preserve">; </w:t>
      </w:r>
    </w:p>
    <w:p w14:paraId="7894E108" w14:textId="163D5F37"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A9702A" w:rsidRPr="00F30378">
        <w:rPr>
          <w:rFonts w:eastAsia="SimSun"/>
          <w:lang w:val="es-ES_tradnl"/>
        </w:rPr>
        <w:t>las empresas de telecomunicaciones prestan un 22% menos de servicios, lo que se ha traducido en una disminución de la facturación y los ingresos</w:t>
      </w:r>
      <w:r w:rsidR="004B65E8" w:rsidRPr="00F30378">
        <w:rPr>
          <w:rFonts w:eastAsia="SimSun"/>
          <w:lang w:val="es-ES_tradnl"/>
        </w:rPr>
        <w:t xml:space="preserve">; </w:t>
      </w:r>
    </w:p>
    <w:p w14:paraId="0289D54A" w14:textId="4B7A7EA5" w:rsidR="004B65E8" w:rsidRPr="00F30378" w:rsidRDefault="00F30378" w:rsidP="00CF651A">
      <w:pPr>
        <w:pStyle w:val="enumlev1"/>
        <w:rPr>
          <w:rFonts w:eastAsia="SimSun" w:cs="Arial"/>
          <w:lang w:val="es-ES_tradnl"/>
        </w:rPr>
      </w:pPr>
      <w:r w:rsidRPr="00F30378">
        <w:rPr>
          <w:rFonts w:eastAsia="SimSun"/>
          <w:lang w:val="es-ES_tradnl"/>
        </w:rPr>
        <w:t>•</w:t>
      </w:r>
      <w:r w:rsidRPr="00F30378">
        <w:rPr>
          <w:rFonts w:eastAsia="SimSun"/>
          <w:lang w:val="es-ES_tradnl"/>
        </w:rPr>
        <w:tab/>
      </w:r>
      <w:r w:rsidR="004A1A2C" w:rsidRPr="00F30378">
        <w:rPr>
          <w:rFonts w:eastAsia="SimSun"/>
          <w:lang w:val="es-ES_tradnl"/>
        </w:rPr>
        <w:t>s</w:t>
      </w:r>
      <w:r w:rsidR="00A9702A" w:rsidRPr="00F30378">
        <w:rPr>
          <w:rFonts w:eastAsia="SimSun"/>
          <w:lang w:val="es-ES_tradnl"/>
        </w:rPr>
        <w:t xml:space="preserve">e necesitan 1 790 millones de dólares para </w:t>
      </w:r>
      <w:r w:rsidR="00EF082B" w:rsidRPr="00F30378">
        <w:rPr>
          <w:rFonts w:eastAsia="SimSun"/>
          <w:lang w:val="es-ES_tradnl"/>
        </w:rPr>
        <w:t>reestablecer</w:t>
      </w:r>
      <w:r w:rsidR="00A9702A" w:rsidRPr="00F30378">
        <w:rPr>
          <w:rFonts w:eastAsia="SimSun"/>
          <w:lang w:val="es-ES_tradnl"/>
        </w:rPr>
        <w:t xml:space="preserve"> el sector de las telecomunicaciones</w:t>
      </w:r>
      <w:r w:rsidR="004B65E8" w:rsidRPr="00F30378">
        <w:rPr>
          <w:rFonts w:eastAsia="SimSun"/>
          <w:lang w:val="es-ES_tradnl"/>
        </w:rPr>
        <w:t>.</w:t>
      </w:r>
    </w:p>
    <w:p w14:paraId="2DC038C8" w14:textId="2BCD938F" w:rsidR="00A9702A" w:rsidRPr="00F30378" w:rsidRDefault="004B65E8" w:rsidP="00D75E72">
      <w:pPr>
        <w:rPr>
          <w:bCs/>
          <w:lang w:val="es-ES_tradnl"/>
        </w:rPr>
      </w:pPr>
      <w:r w:rsidRPr="00F30378">
        <w:rPr>
          <w:b/>
          <w:bCs/>
          <w:lang w:val="es-ES_tradnl"/>
        </w:rPr>
        <w:t xml:space="preserve">B. </w:t>
      </w:r>
      <w:r w:rsidR="00A9702A" w:rsidRPr="00F30378">
        <w:rPr>
          <w:bCs/>
          <w:lang w:val="es-ES_tradnl"/>
        </w:rPr>
        <w:t xml:space="preserve">La UIT ha elaborado el </w:t>
      </w:r>
      <w:r w:rsidR="00EF082B" w:rsidRPr="00F30378">
        <w:rPr>
          <w:b/>
          <w:bCs/>
          <w:lang w:val="es-ES_tradnl"/>
        </w:rPr>
        <w:t xml:space="preserve">Perfil </w:t>
      </w:r>
      <w:r w:rsidR="00A9702A" w:rsidRPr="00F30378">
        <w:rPr>
          <w:b/>
          <w:bCs/>
          <w:lang w:val="es-ES_tradnl"/>
        </w:rPr>
        <w:t xml:space="preserve">de país en </w:t>
      </w:r>
      <w:r w:rsidR="00EF082B" w:rsidRPr="00F30378">
        <w:rPr>
          <w:b/>
          <w:bCs/>
          <w:lang w:val="es-ES_tradnl"/>
        </w:rPr>
        <w:t>materia de</w:t>
      </w:r>
      <w:r w:rsidR="00A9702A" w:rsidRPr="00F30378">
        <w:rPr>
          <w:b/>
          <w:bCs/>
          <w:lang w:val="es-ES_tradnl"/>
        </w:rPr>
        <w:t xml:space="preserve"> desarrollo digital de Ucrania</w:t>
      </w:r>
      <w:r w:rsidR="00A9702A" w:rsidRPr="00F30378">
        <w:rPr>
          <w:bCs/>
          <w:lang w:val="es-ES_tradnl"/>
        </w:rPr>
        <w:t xml:space="preserve">, </w:t>
      </w:r>
      <w:proofErr w:type="gramStart"/>
      <w:r w:rsidR="00EF082B" w:rsidRPr="00F30378">
        <w:rPr>
          <w:bCs/>
          <w:lang w:val="es-ES_tradnl"/>
        </w:rPr>
        <w:t xml:space="preserve">conjuntamente </w:t>
      </w:r>
      <w:r w:rsidR="00EF082B" w:rsidRPr="00F30378">
        <w:rPr>
          <w:lang w:val="es-ES_tradnl"/>
        </w:rPr>
        <w:t>con</w:t>
      </w:r>
      <w:proofErr w:type="gramEnd"/>
      <w:r w:rsidR="00EF082B" w:rsidRPr="00F30378">
        <w:rPr>
          <w:bCs/>
          <w:lang w:val="es-ES_tradnl"/>
        </w:rPr>
        <w:t xml:space="preserve"> </w:t>
      </w:r>
      <w:r w:rsidR="004A1A2C" w:rsidRPr="00F30378">
        <w:rPr>
          <w:bCs/>
          <w:lang w:val="es-ES_tradnl"/>
        </w:rPr>
        <w:t xml:space="preserve">la </w:t>
      </w:r>
      <w:r w:rsidR="00EF082B" w:rsidRPr="00F30378">
        <w:rPr>
          <w:bCs/>
          <w:lang w:val="es-ES_tradnl"/>
        </w:rPr>
        <w:t xml:space="preserve">UIT, </w:t>
      </w:r>
      <w:r w:rsidR="00A9702A" w:rsidRPr="00F30378">
        <w:rPr>
          <w:bCs/>
          <w:lang w:val="es-ES_tradnl"/>
        </w:rPr>
        <w:t xml:space="preserve">la Oficina de Coordinadores Residentes de las Naciones Unidas y </w:t>
      </w:r>
      <w:r w:rsidR="00A9702A" w:rsidRPr="00F30378">
        <w:rPr>
          <w:bCs/>
          <w:lang w:val="es-ES_tradnl"/>
        </w:rPr>
        <w:lastRenderedPageBreak/>
        <w:t>todos los miembros del Grupo de Transformación Digital de las Naciones Unidas para Europa y Asia Central</w:t>
      </w:r>
      <w:r w:rsidR="00EF082B" w:rsidRPr="00F30378">
        <w:rPr>
          <w:bCs/>
          <w:lang w:val="es-ES_tradnl"/>
        </w:rPr>
        <w:t xml:space="preserve">. Se ha utilizado como base para el análisis común de país de las Naciones Unidas y el Marco de </w:t>
      </w:r>
      <w:r w:rsidR="00EF082B" w:rsidRPr="00F30378">
        <w:rPr>
          <w:lang w:val="es-ES_tradnl"/>
        </w:rPr>
        <w:t>Desarrollo</w:t>
      </w:r>
      <w:r w:rsidR="00EF082B" w:rsidRPr="00F30378">
        <w:rPr>
          <w:bCs/>
          <w:lang w:val="es-ES_tradnl"/>
        </w:rPr>
        <w:t xml:space="preserve"> Sostenible provisional (2023-2024).</w:t>
      </w:r>
    </w:p>
    <w:p w14:paraId="24D589E0" w14:textId="4675EEAB" w:rsidR="004B65E8" w:rsidRPr="00F30378" w:rsidRDefault="00EF082B" w:rsidP="00D75E72">
      <w:pPr>
        <w:rPr>
          <w:lang w:val="es-ES_tradnl"/>
        </w:rPr>
      </w:pPr>
      <w:r w:rsidRPr="00F30378">
        <w:rPr>
          <w:lang w:val="es-ES_tradnl"/>
        </w:rPr>
        <w:t xml:space="preserve">El informe ofrece el diagnóstico de la resiliencia digital del país siguiendo la metodología de la rueda de la transformación digital, </w:t>
      </w:r>
      <w:r w:rsidR="00CC73E4" w:rsidRPr="00F30378">
        <w:rPr>
          <w:lang w:val="es-ES_tradnl"/>
        </w:rPr>
        <w:t>qu</w:t>
      </w:r>
      <w:r w:rsidRPr="00F30378">
        <w:rPr>
          <w:lang w:val="es-ES_tradnl"/>
        </w:rPr>
        <w:t xml:space="preserve">e incluye el acceso, la adopción y la creación de valor. Cada uno de los </w:t>
      </w:r>
      <w:r w:rsidR="00CC73E4" w:rsidRPr="00F30378">
        <w:rPr>
          <w:lang w:val="es-ES_tradnl"/>
        </w:rPr>
        <w:t>componentes de los tres ejes</w:t>
      </w:r>
      <w:r w:rsidRPr="00F30378">
        <w:rPr>
          <w:lang w:val="es-ES_tradnl"/>
        </w:rPr>
        <w:t xml:space="preserve"> cuenta con un análisis del efecto de la guerra.</w:t>
      </w:r>
    </w:p>
    <w:p w14:paraId="2F172487" w14:textId="3127C31C" w:rsidR="004B65E8" w:rsidRPr="00F30378" w:rsidRDefault="5EE1E762" w:rsidP="00D75E72">
      <w:pPr>
        <w:rPr>
          <w:lang w:val="es-ES_tradnl"/>
        </w:rPr>
      </w:pPr>
      <w:r w:rsidRPr="00F30378">
        <w:rPr>
          <w:b/>
          <w:bCs/>
          <w:lang w:val="es-ES_tradnl"/>
        </w:rPr>
        <w:t>C.</w:t>
      </w:r>
      <w:r w:rsidRPr="00F30378">
        <w:rPr>
          <w:lang w:val="es-ES_tradnl"/>
        </w:rPr>
        <w:t xml:space="preserve"> </w:t>
      </w:r>
      <w:r w:rsidR="00CC73E4" w:rsidRPr="00F30378">
        <w:rPr>
          <w:lang w:val="es-ES_tradnl"/>
        </w:rPr>
        <w:t xml:space="preserve">La UIT se </w:t>
      </w:r>
      <w:r w:rsidR="004A1A2C" w:rsidRPr="00F30378">
        <w:rPr>
          <w:lang w:val="es-ES_tradnl"/>
        </w:rPr>
        <w:t>ha unido</w:t>
      </w:r>
      <w:r w:rsidR="00CC73E4" w:rsidRPr="00F30378">
        <w:rPr>
          <w:lang w:val="es-ES_tradnl"/>
        </w:rPr>
        <w:t xml:space="preserve"> al consorcio dirigido por las Naciones Unidas, el Banco Mundial y la Comisión Europea, que lleva a cabo las </w:t>
      </w:r>
      <w:r w:rsidR="00CC73E4" w:rsidRPr="00F30378">
        <w:rPr>
          <w:b/>
          <w:lang w:val="es-ES_tradnl"/>
        </w:rPr>
        <w:t xml:space="preserve">Evaluaciones Rápidas de Daños y Necesidades </w:t>
      </w:r>
      <w:r w:rsidR="00184609" w:rsidRPr="00F30378">
        <w:rPr>
          <w:b/>
          <w:lang w:val="es-ES_tradnl"/>
        </w:rPr>
        <w:t>(RDNA)</w:t>
      </w:r>
      <w:r w:rsidR="00184609" w:rsidRPr="00F30378">
        <w:rPr>
          <w:lang w:val="es-ES_tradnl"/>
        </w:rPr>
        <w:t xml:space="preserve"> </w:t>
      </w:r>
      <w:r w:rsidR="00CC73E4" w:rsidRPr="00F30378">
        <w:rPr>
          <w:lang w:val="es-ES_tradnl"/>
        </w:rPr>
        <w:t xml:space="preserve">periódicas, y </w:t>
      </w:r>
      <w:r w:rsidR="004A1A2C" w:rsidRPr="00F30378">
        <w:rPr>
          <w:lang w:val="es-ES_tradnl"/>
        </w:rPr>
        <w:t>ha realizado</w:t>
      </w:r>
      <w:r w:rsidR="00CC73E4" w:rsidRPr="00F30378">
        <w:rPr>
          <w:lang w:val="es-ES_tradnl"/>
        </w:rPr>
        <w:t xml:space="preserve"> contribuciones para su 2ª edición, publicada en marzo de</w:t>
      </w:r>
      <w:r w:rsidR="00FE4E63">
        <w:rPr>
          <w:lang w:val="es-ES_tradnl"/>
        </w:rPr>
        <w:t> </w:t>
      </w:r>
      <w:r w:rsidR="00CC73E4" w:rsidRPr="00F30378">
        <w:rPr>
          <w:lang w:val="es-ES_tradnl"/>
        </w:rPr>
        <w:t>2023</w:t>
      </w:r>
      <w:r w:rsidR="004B65E8" w:rsidRPr="00F30378">
        <w:rPr>
          <w:rStyle w:val="FootnoteReference"/>
          <w:sz w:val="18"/>
          <w:szCs w:val="18"/>
          <w:vertAlign w:val="superscript"/>
          <w:lang w:val="es-ES_tradnl"/>
        </w:rPr>
        <w:footnoteReference w:id="2"/>
      </w:r>
      <w:r w:rsidRPr="00F30378">
        <w:rPr>
          <w:lang w:val="es-ES_tradnl"/>
        </w:rPr>
        <w:t xml:space="preserve">. </w:t>
      </w:r>
      <w:r w:rsidR="00184609" w:rsidRPr="00F30378">
        <w:rPr>
          <w:lang w:val="es-ES_tradnl"/>
        </w:rPr>
        <w:t>A continuación, se incluye un resumen de los daños, las pérdidas y las necesidades</w:t>
      </w:r>
      <w:r w:rsidRPr="00F30378">
        <w:rPr>
          <w:lang w:val="es-ES_tradnl"/>
        </w:rPr>
        <w:t>:</w:t>
      </w:r>
    </w:p>
    <w:p w14:paraId="25E113D4" w14:textId="74B37E76"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00184609" w:rsidRPr="00F30378">
        <w:rPr>
          <w:rFonts w:eastAsia="SimSun"/>
          <w:lang w:val="es-ES_tradnl"/>
        </w:rPr>
        <w:t>daños totales en todos los sectores contemplados en la RDNA2 se estiman en aproximadamente 135 000 millones USD</w:t>
      </w:r>
      <w:r w:rsidR="004B65E8" w:rsidRPr="00F30378">
        <w:rPr>
          <w:rFonts w:eastAsia="SimSun"/>
          <w:lang w:val="es-ES_tradnl"/>
        </w:rPr>
        <w:t>;</w:t>
      </w:r>
    </w:p>
    <w:p w14:paraId="46C27C1D" w14:textId="3B89891F"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t>l</w:t>
      </w:r>
      <w:r w:rsidR="00184609" w:rsidRPr="00F30378">
        <w:rPr>
          <w:rFonts w:eastAsia="SimSun"/>
          <w:lang w:val="es-ES_tradnl"/>
        </w:rPr>
        <w:t>as pérdidas económicas, sociales y monetarias acumuladas ascienden a casi 290</w:t>
      </w:r>
      <w:r w:rsidRPr="00F30378">
        <w:rPr>
          <w:rFonts w:eastAsia="SimSun"/>
          <w:lang w:val="es-ES_tradnl"/>
        </w:rPr>
        <w:t> </w:t>
      </w:r>
      <w:r w:rsidR="00184609" w:rsidRPr="00F30378">
        <w:rPr>
          <w:rFonts w:eastAsia="SimSun"/>
          <w:lang w:val="es-ES_tradnl"/>
        </w:rPr>
        <w:t>000</w:t>
      </w:r>
      <w:r w:rsidRPr="00F30378">
        <w:rPr>
          <w:rFonts w:eastAsia="SimSun"/>
          <w:lang w:val="es-ES_tradnl"/>
        </w:rPr>
        <w:t> </w:t>
      </w:r>
      <w:r w:rsidR="00184609" w:rsidRPr="00F30378">
        <w:rPr>
          <w:rFonts w:eastAsia="SimSun"/>
          <w:lang w:val="es-ES_tradnl"/>
        </w:rPr>
        <w:t>millones USD</w:t>
      </w:r>
      <w:r w:rsidR="004B65E8" w:rsidRPr="00F30378">
        <w:rPr>
          <w:rFonts w:eastAsia="SimSun"/>
          <w:lang w:val="es-ES_tradnl"/>
        </w:rPr>
        <w:t>;</w:t>
      </w:r>
    </w:p>
    <w:p w14:paraId="2E20450B" w14:textId="46F48B8F" w:rsidR="004B65E8" w:rsidRPr="00F30378" w:rsidRDefault="00F30378" w:rsidP="00F30378">
      <w:pPr>
        <w:pStyle w:val="enumlev1"/>
        <w:rPr>
          <w:rFonts w:eastAsia="SimSun"/>
          <w:lang w:val="es-ES_tradnl"/>
        </w:rPr>
      </w:pPr>
      <w:r w:rsidRPr="00F30378">
        <w:rPr>
          <w:rFonts w:eastAsia="SimSun"/>
          <w:lang w:val="es-ES_tradnl"/>
        </w:rPr>
        <w:t>•</w:t>
      </w:r>
      <w:r w:rsidRPr="00F30378">
        <w:rPr>
          <w:rFonts w:eastAsia="SimSun"/>
          <w:lang w:val="es-ES_tradnl"/>
        </w:rPr>
        <w:tab/>
        <w:t>l</w:t>
      </w:r>
      <w:r w:rsidR="00184609" w:rsidRPr="00F30378">
        <w:rPr>
          <w:rFonts w:eastAsia="SimSun"/>
          <w:lang w:val="es-ES_tradnl"/>
        </w:rPr>
        <w:t>as necesidades totales para la reconstrucción y la recuperación se estiman en unos</w:t>
      </w:r>
      <w:r w:rsidRPr="00F30378">
        <w:rPr>
          <w:rFonts w:eastAsia="SimSun"/>
          <w:lang w:val="es-ES_tradnl"/>
        </w:rPr>
        <w:t> </w:t>
      </w:r>
      <w:r w:rsidR="00184609" w:rsidRPr="00F30378">
        <w:rPr>
          <w:rFonts w:eastAsia="SimSun"/>
          <w:lang w:val="es-ES_tradnl"/>
        </w:rPr>
        <w:t>411 000 millones USD</w:t>
      </w:r>
      <w:r w:rsidR="004B65E8" w:rsidRPr="00F30378">
        <w:rPr>
          <w:rFonts w:eastAsia="SimSun"/>
          <w:lang w:val="es-ES_tradnl"/>
        </w:rPr>
        <w:t>;</w:t>
      </w:r>
    </w:p>
    <w:p w14:paraId="27058F0A" w14:textId="16D8821E" w:rsidR="004B65E8" w:rsidRPr="00F30378" w:rsidRDefault="00F30378" w:rsidP="00F30378">
      <w:pPr>
        <w:pStyle w:val="enumlev1"/>
        <w:rPr>
          <w:rFonts w:eastAsia="SimSun"/>
          <w:lang w:val="es-ES_tradnl"/>
        </w:rPr>
      </w:pPr>
      <w:r w:rsidRPr="00F30378">
        <w:rPr>
          <w:rFonts w:eastAsia="SimSun"/>
          <w:lang w:val="es-ES_tradnl"/>
        </w:rPr>
        <w:t>•</w:t>
      </w:r>
      <w:r w:rsidRPr="00F30378">
        <w:rPr>
          <w:rFonts w:eastAsia="SimSun"/>
          <w:lang w:val="es-ES_tradnl"/>
        </w:rPr>
        <w:tab/>
        <w:t>l</w:t>
      </w:r>
      <w:r w:rsidR="00184609" w:rsidRPr="00F30378">
        <w:rPr>
          <w:rFonts w:eastAsia="SimSun"/>
          <w:lang w:val="es-ES_tradnl"/>
        </w:rPr>
        <w:t xml:space="preserve">as necesidades prioritarias a corto plazo para la recuperación del sector de las TIC ascienden a 3 100 millones USD; de esta cantidad, 1 800 millones USD corresponden a las necesidades de reconstrucción y 1 300 millones USD a las necesidades relacionadas con el restablecimiento de la prestación de </w:t>
      </w:r>
      <w:r w:rsidR="006C039B" w:rsidRPr="00F30378">
        <w:rPr>
          <w:rFonts w:eastAsia="SimSun"/>
          <w:lang w:val="es-ES_tradnl"/>
        </w:rPr>
        <w:t>servicios.</w:t>
      </w:r>
    </w:p>
    <w:p w14:paraId="1B4D3685" w14:textId="4A04F94F" w:rsidR="004B65E8" w:rsidRPr="00F30378" w:rsidRDefault="004B65E8" w:rsidP="00D75E72">
      <w:pPr>
        <w:pStyle w:val="Heading1"/>
        <w:rPr>
          <w:lang w:val="es-ES_tradnl" w:eastAsia="zh-CN"/>
        </w:rPr>
      </w:pPr>
      <w:r w:rsidRPr="00F30378">
        <w:rPr>
          <w:lang w:val="es-ES_tradnl" w:eastAsia="zh-CN"/>
        </w:rPr>
        <w:t>3</w:t>
      </w:r>
      <w:r w:rsidRPr="00F30378">
        <w:rPr>
          <w:lang w:val="es-ES_tradnl" w:eastAsia="zh-CN"/>
        </w:rPr>
        <w:tab/>
      </w:r>
      <w:proofErr w:type="gramStart"/>
      <w:r w:rsidR="00184609" w:rsidRPr="00F30378">
        <w:rPr>
          <w:lang w:val="es-ES_tradnl" w:eastAsia="zh-CN"/>
        </w:rPr>
        <w:t>Mecanismos</w:t>
      </w:r>
      <w:proofErr w:type="gramEnd"/>
      <w:r w:rsidR="00184609" w:rsidRPr="00F30378">
        <w:rPr>
          <w:lang w:val="es-ES_tradnl" w:eastAsia="zh-CN"/>
        </w:rPr>
        <w:t xml:space="preserve"> de coordinación para una aplicación efectiva</w:t>
      </w:r>
    </w:p>
    <w:p w14:paraId="7C315585" w14:textId="105B3BAD" w:rsidR="004B65E8" w:rsidRPr="00F30378" w:rsidRDefault="00184609" w:rsidP="00F30378">
      <w:pPr>
        <w:rPr>
          <w:lang w:val="es-ES_tradnl"/>
        </w:rPr>
      </w:pPr>
      <w:r w:rsidRPr="00F30378">
        <w:rPr>
          <w:lang w:val="es-ES_tradnl"/>
        </w:rPr>
        <w:t>Con objeto de garantizar un enfoque coordinado de las actividades de la UIT en respuesta a la Resolución 1408, la UIT ha seguido llevando a cabo las siguientes acciones</w:t>
      </w:r>
      <w:r w:rsidR="004B65E8" w:rsidRPr="00F30378">
        <w:rPr>
          <w:lang w:val="es-ES_tradnl"/>
        </w:rPr>
        <w:t>:</w:t>
      </w:r>
    </w:p>
    <w:p w14:paraId="0BAABAEB" w14:textId="0B355B8C"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Pr="00F30378">
        <w:rPr>
          <w:lang w:val="es-ES_tradnl"/>
        </w:rPr>
        <w:t>a</w:t>
      </w:r>
      <w:r w:rsidR="001464DE" w:rsidRPr="00F30378">
        <w:rPr>
          <w:lang w:val="es-ES_tradnl"/>
        </w:rPr>
        <w:t xml:space="preserve"> </w:t>
      </w:r>
      <w:r w:rsidR="001464DE" w:rsidRPr="00F30378">
        <w:rPr>
          <w:b/>
          <w:lang w:val="es-ES_tradnl"/>
        </w:rPr>
        <w:t>nivel de la UIT</w:t>
      </w:r>
      <w:r w:rsidR="001464DE" w:rsidRPr="00F30378">
        <w:rPr>
          <w:lang w:val="es-ES_tradnl"/>
        </w:rPr>
        <w:t>, a partir de enero de 2023 se ha designado al Vicesecretario General para dirigir un Grupo de Trabajo Especial sobre la Resolución 1408, compuesto por la Secretaría General y los tres Sectores, que se reúne periódicamente y constituye la plataforma para la coordinación intersectorial. Se ha designado a la Oficina de la UIT para Europa para que desempeñe las funciones de secretaría y dirija la puesta en marcha de todas las acciones llevadas a cabo en el contexto de la Resolución 1408</w:t>
      </w:r>
      <w:r w:rsidR="004B65E8" w:rsidRPr="00F30378">
        <w:rPr>
          <w:lang w:val="es-ES_tradnl"/>
        </w:rPr>
        <w:t>;</w:t>
      </w:r>
    </w:p>
    <w:p w14:paraId="2FD1768E" w14:textId="0CDFE79D"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Pr="00F30378">
        <w:rPr>
          <w:lang w:val="es-ES_tradnl"/>
        </w:rPr>
        <w:t>a</w:t>
      </w:r>
      <w:r w:rsidR="001464DE" w:rsidRPr="00F30378">
        <w:rPr>
          <w:lang w:val="es-ES_tradnl"/>
        </w:rPr>
        <w:t xml:space="preserve"> </w:t>
      </w:r>
      <w:r w:rsidR="001464DE" w:rsidRPr="00F30378">
        <w:rPr>
          <w:b/>
          <w:lang w:val="es-ES_tradnl"/>
        </w:rPr>
        <w:t>nivel del país</w:t>
      </w:r>
      <w:r w:rsidR="001464DE" w:rsidRPr="00F30378">
        <w:rPr>
          <w:lang w:val="es-ES_tradnl"/>
        </w:rPr>
        <w:t>, se han llevado a cabo llamadas periódicas de coordinación con la Administración de Ucrania y otras instituciones públicas</w:t>
      </w:r>
      <w:r w:rsidR="004B65E8" w:rsidRPr="00F30378">
        <w:rPr>
          <w:lang w:val="es-ES_tradnl"/>
        </w:rPr>
        <w:t>;</w:t>
      </w:r>
    </w:p>
    <w:p w14:paraId="11BDED5F" w14:textId="4E40A5F2"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Pr="00F30378">
        <w:rPr>
          <w:lang w:val="es-ES_tradnl"/>
        </w:rPr>
        <w:t>a</w:t>
      </w:r>
      <w:r w:rsidR="001464DE" w:rsidRPr="00F30378">
        <w:rPr>
          <w:lang w:val="es-ES_tradnl"/>
        </w:rPr>
        <w:t xml:space="preserve"> </w:t>
      </w:r>
      <w:r w:rsidR="001464DE" w:rsidRPr="00F30378">
        <w:rPr>
          <w:b/>
          <w:lang w:val="es-ES_tradnl"/>
        </w:rPr>
        <w:t>nivel del sistema de las Naciones Unidas</w:t>
      </w:r>
      <w:r w:rsidR="001464DE" w:rsidRPr="00F30378">
        <w:rPr>
          <w:lang w:val="es-ES_tradnl"/>
        </w:rPr>
        <w:t>, la UIT ha seguido apoyando los trabajos del Coordinador Residente de las Naciones Unidas en Ucrania y del equipo de las Naciones Unidas en el país, contribuyendo a la elaboración de la evaluación común de las Naciones Unidas para el país, el Marco de Desarrollo Sostenible de Transición de las Naciones Unidas y las consultas sobre la adhesión a la UE</w:t>
      </w:r>
      <w:r w:rsidR="004B65E8" w:rsidRPr="00F30378">
        <w:rPr>
          <w:lang w:val="es-ES_tradnl"/>
        </w:rPr>
        <w:t xml:space="preserve">. </w:t>
      </w:r>
    </w:p>
    <w:p w14:paraId="3E480970" w14:textId="3BDD2E88" w:rsidR="004B65E8" w:rsidRPr="00F30378" w:rsidRDefault="004B65E8" w:rsidP="00D75E72">
      <w:pPr>
        <w:pStyle w:val="Heading1"/>
        <w:rPr>
          <w:lang w:val="es-ES_tradnl" w:eastAsia="zh-CN"/>
        </w:rPr>
      </w:pPr>
      <w:r w:rsidRPr="00F30378">
        <w:rPr>
          <w:lang w:val="es-ES_tradnl" w:eastAsia="zh-CN"/>
        </w:rPr>
        <w:lastRenderedPageBreak/>
        <w:t>4</w:t>
      </w:r>
      <w:r w:rsidRPr="00F30378">
        <w:rPr>
          <w:lang w:val="es-ES_tradnl" w:eastAsia="zh-CN"/>
        </w:rPr>
        <w:tab/>
      </w:r>
      <w:proofErr w:type="gramStart"/>
      <w:r w:rsidR="00306E88" w:rsidRPr="00F30378">
        <w:rPr>
          <w:lang w:val="es-ES_tradnl" w:eastAsia="zh-CN"/>
        </w:rPr>
        <w:t>Prestación</w:t>
      </w:r>
      <w:proofErr w:type="gramEnd"/>
      <w:r w:rsidR="00306E88" w:rsidRPr="00F30378">
        <w:rPr>
          <w:lang w:val="es-ES_tradnl" w:eastAsia="zh-CN"/>
        </w:rPr>
        <w:t xml:space="preserve"> de asistencia técnica</w:t>
      </w:r>
    </w:p>
    <w:p w14:paraId="6C9EE2CE" w14:textId="5A66A652" w:rsidR="004B65E8" w:rsidRPr="00F30378" w:rsidRDefault="00306E88" w:rsidP="00D75E72">
      <w:pPr>
        <w:rPr>
          <w:lang w:val="es-ES_tradnl"/>
        </w:rPr>
      </w:pPr>
      <w:r w:rsidRPr="00F30378">
        <w:rPr>
          <w:lang w:val="es-ES_tradnl"/>
        </w:rPr>
        <w:t>Sobre la base de los resultados de la evaluación provisional y tras la coordinación con Ucrania, se ha identificado</w:t>
      </w:r>
      <w:r w:rsidR="00B27E7A" w:rsidRPr="00F30378">
        <w:rPr>
          <w:lang w:val="es-ES_tradnl"/>
        </w:rPr>
        <w:t xml:space="preserve"> que la</w:t>
      </w:r>
      <w:r w:rsidRPr="00F30378">
        <w:rPr>
          <w:lang w:val="es-ES_tradnl"/>
        </w:rPr>
        <w:t xml:space="preserve"> reconstrucción y la recuperación de los </w:t>
      </w:r>
      <w:r w:rsidRPr="00F30378">
        <w:rPr>
          <w:b/>
          <w:lang w:val="es-ES_tradnl"/>
        </w:rPr>
        <w:t>sistemas de radiodifusión</w:t>
      </w:r>
      <w:r w:rsidRPr="00F30378">
        <w:rPr>
          <w:lang w:val="es-ES_tradnl"/>
        </w:rPr>
        <w:t xml:space="preserve"> </w:t>
      </w:r>
      <w:r w:rsidR="00B27E7A" w:rsidRPr="00F30378">
        <w:rPr>
          <w:lang w:val="es-ES_tradnl"/>
        </w:rPr>
        <w:t>son</w:t>
      </w:r>
      <w:r w:rsidRPr="00F30378">
        <w:rPr>
          <w:lang w:val="es-ES_tradnl"/>
        </w:rPr>
        <w:t xml:space="preserve"> la prioridad inmediata para el país. Se consideró el nivel de daños de quince estaciones de radiodifusión y se seleccionaron cinco estaciones para una evaluación inmediata, con vistas a la elaboración de una especificación técnica que incluya una dimensión económica de las inversiones necesarias y un calendario de ejecución</w:t>
      </w:r>
      <w:r w:rsidR="5EE1E762" w:rsidRPr="00F30378">
        <w:rPr>
          <w:lang w:val="es-ES_tradnl"/>
        </w:rPr>
        <w:t xml:space="preserve">. </w:t>
      </w:r>
      <w:r w:rsidRPr="00F30378">
        <w:rPr>
          <w:lang w:val="es-ES_tradnl"/>
        </w:rPr>
        <w:t>Como resultado final de esta actividad, se prevé que el país disponga de documentos de proyecto para facilitar la captación de fondos de la comunidad internacional de donantes.</w:t>
      </w:r>
    </w:p>
    <w:p w14:paraId="266FDFDD" w14:textId="77BDED54" w:rsidR="004B65E8" w:rsidRPr="00F30378" w:rsidRDefault="00306E88" w:rsidP="00D75E72">
      <w:pPr>
        <w:rPr>
          <w:lang w:val="es-ES_tradnl"/>
        </w:rPr>
      </w:pPr>
      <w:r w:rsidRPr="00F30378">
        <w:rPr>
          <w:lang w:val="es-ES_tradnl"/>
        </w:rPr>
        <w:t xml:space="preserve">Además, se han mantenido conversaciones iniciales sobre una ayuda especial destinada a la </w:t>
      </w:r>
      <w:r w:rsidR="00B27E7A" w:rsidRPr="00F30378">
        <w:rPr>
          <w:lang w:val="es-ES_tradnl"/>
        </w:rPr>
        <w:t>elaboración</w:t>
      </w:r>
      <w:r w:rsidRPr="00F30378">
        <w:rPr>
          <w:lang w:val="es-ES_tradnl"/>
        </w:rPr>
        <w:t xml:space="preserve"> del </w:t>
      </w:r>
      <w:r w:rsidRPr="00F30378">
        <w:rPr>
          <w:b/>
          <w:lang w:val="es-ES_tradnl"/>
        </w:rPr>
        <w:t>entorno habilitador</w:t>
      </w:r>
      <w:r w:rsidRPr="00F30378">
        <w:rPr>
          <w:lang w:val="es-ES_tradnl"/>
        </w:rPr>
        <w:t xml:space="preserve"> y el marco nacional para el despliegue de infraestructuras digitales </w:t>
      </w:r>
      <w:r w:rsidR="00B27E7A" w:rsidRPr="00F30378">
        <w:rPr>
          <w:lang w:val="es-ES_tradnl"/>
        </w:rPr>
        <w:t>basándose en ay</w:t>
      </w:r>
      <w:r w:rsidRPr="00F30378">
        <w:rPr>
          <w:lang w:val="es-ES_tradnl"/>
        </w:rPr>
        <w:t xml:space="preserve">udas </w:t>
      </w:r>
      <w:r w:rsidR="00CD669A" w:rsidRPr="00F30378">
        <w:rPr>
          <w:lang w:val="es-ES_tradnl"/>
        </w:rPr>
        <w:t>públicas.</w:t>
      </w:r>
      <w:r w:rsidR="004B65E8" w:rsidRPr="00F30378">
        <w:rPr>
          <w:lang w:val="es-ES_tradnl"/>
        </w:rPr>
        <w:t xml:space="preserve"> </w:t>
      </w:r>
    </w:p>
    <w:p w14:paraId="2CEBF1D6" w14:textId="65DF0E67" w:rsidR="004B65E8" w:rsidRPr="00F30378" w:rsidRDefault="00CD669A" w:rsidP="00D75E72">
      <w:pPr>
        <w:rPr>
          <w:rFonts w:asciiTheme="minorHAnsi" w:hAnsiTheme="minorHAnsi" w:cstheme="minorBidi"/>
          <w:lang w:val="es-ES_tradnl"/>
        </w:rPr>
      </w:pPr>
      <w:r w:rsidRPr="00F30378">
        <w:rPr>
          <w:lang w:val="es-ES_tradnl"/>
        </w:rPr>
        <w:t xml:space="preserve">Además, de acuerdo con el </w:t>
      </w:r>
      <w:r w:rsidRPr="00F30378">
        <w:rPr>
          <w:b/>
          <w:lang w:val="es-ES_tradnl"/>
        </w:rPr>
        <w:t>mecanismo Partner2Connect</w:t>
      </w:r>
      <w:r w:rsidRPr="00F30378">
        <w:rPr>
          <w:lang w:val="es-ES_tradnl"/>
        </w:rPr>
        <w:t>, la Oficina de la UIT para Europa ha vuelto a hacer un llamamiento a las partes interesadas para que presenten sus promesas y compromisos en relación con acciones concretas llevadas a cabo por los países específicamente relacionadas con la aplicación de la Resolución 1408.</w:t>
      </w:r>
      <w:r w:rsidR="004B65E8" w:rsidRPr="00F30378">
        <w:rPr>
          <w:rFonts w:asciiTheme="minorHAnsi" w:hAnsiTheme="minorHAnsi" w:cstheme="minorBidi"/>
          <w:lang w:val="es-ES_tradnl"/>
        </w:rPr>
        <w:t xml:space="preserve"> </w:t>
      </w:r>
    </w:p>
    <w:p w14:paraId="72A95C55" w14:textId="1EF7CEBC" w:rsidR="004B65E8" w:rsidRPr="00F30378" w:rsidRDefault="00CD669A" w:rsidP="00D75E72">
      <w:pPr>
        <w:rPr>
          <w:szCs w:val="24"/>
          <w:lang w:val="es-ES_tradnl"/>
        </w:rPr>
      </w:pPr>
      <w:r w:rsidRPr="00F30378">
        <w:rPr>
          <w:lang w:val="es-ES_tradnl"/>
        </w:rPr>
        <w:t>A fecha de hoy, los siguientes países han contribuido al sistema de promesas Partner2Connect: Estonia, Georgia, Alemania, Japón, Lituania, los Países Bajos, Polonia, Eslovenia, España, Ucrania, el Reino Unido y los Estados Unidos. El valor financiero total estimado de todas las promesas supera los 140 millones USD.</w:t>
      </w:r>
    </w:p>
    <w:p w14:paraId="66480E8E" w14:textId="545C7497" w:rsidR="004B65E8" w:rsidRPr="00F30378" w:rsidRDefault="00CD669A" w:rsidP="00F30378">
      <w:pPr>
        <w:rPr>
          <w:lang w:val="es-ES_tradnl"/>
        </w:rPr>
      </w:pPr>
      <w:r w:rsidRPr="00F30378">
        <w:rPr>
          <w:lang w:val="es-ES_tradnl"/>
        </w:rPr>
        <w:t xml:space="preserve">El </w:t>
      </w:r>
      <w:r w:rsidRPr="00F30378">
        <w:rPr>
          <w:b/>
          <w:lang w:val="es-ES_tradnl"/>
        </w:rPr>
        <w:t>Foro de Desarrollo Regional para Europa de la UIT</w:t>
      </w:r>
      <w:r w:rsidRPr="00F30378">
        <w:rPr>
          <w:lang w:val="es-ES_tradnl"/>
        </w:rPr>
        <w:t xml:space="preserve"> (23 de mayo de 2023) ofreció la oportunidad de celebrar una sesión especial y presentar algunos nuevos compromisos procedentes de Alemania, Lituania, Polonia, España, Suecia y el Reino Unido. Su valor financiero total estimado supera los 43 millones USD</w:t>
      </w:r>
      <w:r w:rsidR="00E251AC" w:rsidRPr="00F30378">
        <w:rPr>
          <w:szCs w:val="24"/>
          <w:lang w:val="es-ES_tradnl"/>
        </w:rPr>
        <w:t>.</w:t>
      </w:r>
    </w:p>
    <w:p w14:paraId="75634A27" w14:textId="1A25D837" w:rsidR="004B65E8" w:rsidRPr="00F30378" w:rsidRDefault="00CD669A" w:rsidP="00F30378">
      <w:pPr>
        <w:rPr>
          <w:lang w:val="es-ES_tradnl"/>
        </w:rPr>
      </w:pPr>
      <w:r w:rsidRPr="00F30378">
        <w:rPr>
          <w:lang w:val="es-ES_tradnl"/>
        </w:rPr>
        <w:t xml:space="preserve">La UIT espera contribuir a la </w:t>
      </w:r>
      <w:r w:rsidRPr="00F30378">
        <w:rPr>
          <w:b/>
          <w:lang w:val="es-ES_tradnl"/>
        </w:rPr>
        <w:t>Conferencia para la Reconstrucción de Ucrania (URC)</w:t>
      </w:r>
      <w:r w:rsidRPr="00F30378">
        <w:rPr>
          <w:lang w:val="es-ES_tradnl"/>
        </w:rPr>
        <w:t>, que se celebrará del 21 al 22 de junio de 2023 en Londres (Reino Unido). La UIT aprovechará esta oportunidad para pedir una mayor participación en las actividades relacionadas con la Resolución 1408 del Consejo de la UIT</w:t>
      </w:r>
      <w:r w:rsidR="004B65E8" w:rsidRPr="00F30378">
        <w:rPr>
          <w:lang w:val="es-ES_tradnl"/>
        </w:rPr>
        <w:t>.</w:t>
      </w:r>
    </w:p>
    <w:p w14:paraId="7D20C1EF" w14:textId="4ADD0548" w:rsidR="004B65E8" w:rsidRPr="00F30378" w:rsidRDefault="00CD669A" w:rsidP="00F30378">
      <w:pPr>
        <w:rPr>
          <w:lang w:val="es-ES_tradnl"/>
        </w:rPr>
      </w:pPr>
      <w:r w:rsidRPr="00F30378">
        <w:rPr>
          <w:lang w:val="es-ES_tradnl"/>
        </w:rPr>
        <w:t xml:space="preserve">Sigue realizándose un seguimiento </w:t>
      </w:r>
      <w:r w:rsidR="00556ED3" w:rsidRPr="00F30378">
        <w:rPr>
          <w:lang w:val="es-ES_tradnl"/>
        </w:rPr>
        <w:t>específico</w:t>
      </w:r>
      <w:r w:rsidRPr="00F30378">
        <w:rPr>
          <w:lang w:val="es-ES_tradnl"/>
        </w:rPr>
        <w:t xml:space="preserve"> con los Estados Miembros y otras partes interesadas y se están identificando nuevos compromisos</w:t>
      </w:r>
      <w:r w:rsidR="004B65E8" w:rsidRPr="00F30378">
        <w:rPr>
          <w:lang w:val="es-ES_tradnl"/>
        </w:rPr>
        <w:t>.</w:t>
      </w:r>
    </w:p>
    <w:p w14:paraId="6CBCF31F" w14:textId="7B9F6EA4" w:rsidR="004B65E8" w:rsidRPr="00F30378" w:rsidRDefault="004B65E8" w:rsidP="00D75E72">
      <w:pPr>
        <w:pStyle w:val="Heading1"/>
        <w:rPr>
          <w:lang w:val="es-ES_tradnl" w:eastAsia="zh-CN"/>
        </w:rPr>
      </w:pPr>
      <w:r w:rsidRPr="00F30378">
        <w:rPr>
          <w:lang w:val="es-ES_tradnl" w:eastAsia="zh-CN"/>
        </w:rPr>
        <w:t>5</w:t>
      </w:r>
      <w:r w:rsidRPr="00F30378">
        <w:rPr>
          <w:lang w:val="es-ES_tradnl" w:eastAsia="zh-CN"/>
        </w:rPr>
        <w:tab/>
      </w:r>
      <w:proofErr w:type="gramStart"/>
      <w:r w:rsidR="00306E88" w:rsidRPr="00F30378">
        <w:rPr>
          <w:lang w:val="es-ES_tradnl" w:eastAsia="zh-CN"/>
        </w:rPr>
        <w:t>Movilización</w:t>
      </w:r>
      <w:proofErr w:type="gramEnd"/>
      <w:r w:rsidR="00306E88" w:rsidRPr="00F30378">
        <w:rPr>
          <w:lang w:val="es-ES_tradnl" w:eastAsia="zh-CN"/>
        </w:rPr>
        <w:t xml:space="preserve"> de recursos</w:t>
      </w:r>
    </w:p>
    <w:p w14:paraId="27C7CB7F" w14:textId="307EE7C9" w:rsidR="004B65E8" w:rsidRPr="00F30378" w:rsidRDefault="00556ED3" w:rsidP="00D75E72">
      <w:pPr>
        <w:rPr>
          <w:lang w:val="es-ES_tradnl"/>
        </w:rPr>
      </w:pPr>
      <w:r w:rsidRPr="00F30378">
        <w:rPr>
          <w:lang w:val="es-ES_tradnl"/>
        </w:rPr>
        <w:t xml:space="preserve">A fin de garantizar la disponibilidad de recursos humanos y financieros necesarios para aplicar el </w:t>
      </w:r>
      <w:r w:rsidRPr="00F30378">
        <w:rPr>
          <w:i/>
          <w:lang w:val="es-ES_tradnl"/>
        </w:rPr>
        <w:t>resuelve</w:t>
      </w:r>
      <w:r w:rsidRPr="00F30378">
        <w:rPr>
          <w:lang w:val="es-ES_tradnl"/>
        </w:rPr>
        <w:t xml:space="preserve"> de la Resolución 1408, se han tomado una serie de medidas</w:t>
      </w:r>
      <w:r w:rsidR="004B65E8" w:rsidRPr="00F30378">
        <w:rPr>
          <w:lang w:val="es-ES_tradnl"/>
        </w:rPr>
        <w:t>:</w:t>
      </w:r>
    </w:p>
    <w:p w14:paraId="4FA51D0A" w14:textId="0EBB8135" w:rsidR="00556ED3" w:rsidRPr="00F30378" w:rsidRDefault="00F30378" w:rsidP="00F30378">
      <w:pPr>
        <w:pStyle w:val="enumlev1"/>
        <w:rPr>
          <w:rFonts w:cstheme="minorHAnsi"/>
          <w:lang w:val="es-ES_tradnl"/>
        </w:rPr>
      </w:pPr>
      <w:r w:rsidRPr="00F30378">
        <w:rPr>
          <w:rFonts w:eastAsia="SimSun"/>
          <w:lang w:val="es-ES_tradnl"/>
        </w:rPr>
        <w:t>•</w:t>
      </w:r>
      <w:r w:rsidRPr="00F30378">
        <w:rPr>
          <w:rFonts w:eastAsia="SimSun"/>
          <w:lang w:val="es-ES_tradnl"/>
        </w:rPr>
        <w:tab/>
      </w:r>
      <w:r w:rsidRPr="00F30378">
        <w:rPr>
          <w:lang w:val="es-ES_tradnl"/>
        </w:rPr>
        <w:t>s</w:t>
      </w:r>
      <w:r w:rsidR="00556ED3" w:rsidRPr="00F30378">
        <w:rPr>
          <w:lang w:val="es-ES_tradnl"/>
        </w:rPr>
        <w:t xml:space="preserve">e ha efectuado un examen del presupuesto interno y la BDT ha asignado recursos financieros adicionales </w:t>
      </w:r>
      <w:r w:rsidR="004B65E8" w:rsidRPr="00F30378">
        <w:rPr>
          <w:lang w:val="es-ES_tradnl"/>
        </w:rPr>
        <w:t>(20</w:t>
      </w:r>
      <w:r w:rsidR="008C02F7" w:rsidRPr="00F30378">
        <w:rPr>
          <w:lang w:val="es-ES_tradnl"/>
        </w:rPr>
        <w:t> </w:t>
      </w:r>
      <w:r w:rsidR="004B65E8" w:rsidRPr="00F30378">
        <w:rPr>
          <w:lang w:val="es-ES_tradnl"/>
        </w:rPr>
        <w:t xml:space="preserve">000 CHF) </w:t>
      </w:r>
      <w:r w:rsidR="00556ED3" w:rsidRPr="00F30378">
        <w:rPr>
          <w:lang w:val="es-ES_tradnl"/>
        </w:rPr>
        <w:t xml:space="preserve">para fortalecer la capacidad de ejecución de la Oficina de la UIT para Europa en relación con la Resolución 1408 del Consejo de la UIT; </w:t>
      </w:r>
    </w:p>
    <w:p w14:paraId="6226F149" w14:textId="36939A80"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00556ED3" w:rsidRPr="00F30378">
        <w:rPr>
          <w:lang w:val="es-ES_tradnl"/>
        </w:rPr>
        <w:t xml:space="preserve">se ha </w:t>
      </w:r>
      <w:r w:rsidR="00275461" w:rsidRPr="00F30378">
        <w:rPr>
          <w:lang w:val="es-ES_tradnl"/>
        </w:rPr>
        <w:t>vuelto a realizar un llamamiento</w:t>
      </w:r>
      <w:r w:rsidR="00556ED3" w:rsidRPr="00F30378">
        <w:rPr>
          <w:lang w:val="es-ES_tradnl"/>
        </w:rPr>
        <w:t xml:space="preserve"> a contribuir </w:t>
      </w:r>
      <w:r w:rsidR="00275461" w:rsidRPr="00F30378">
        <w:rPr>
          <w:lang w:val="es-ES_tradnl"/>
        </w:rPr>
        <w:t>al</w:t>
      </w:r>
      <w:r w:rsidR="00556ED3" w:rsidRPr="00F30378">
        <w:rPr>
          <w:lang w:val="es-ES_tradnl"/>
        </w:rPr>
        <w:t xml:space="preserve"> Fondo Fiduciario Especial dedicado a la aplicación de la Resolución 1408, que se ha incorporado a la comunicación habitual de la UIT</w:t>
      </w:r>
      <w:r w:rsidR="004B65E8" w:rsidRPr="00F30378">
        <w:rPr>
          <w:lang w:val="es-ES_tradnl"/>
        </w:rPr>
        <w:t>;</w:t>
      </w:r>
    </w:p>
    <w:p w14:paraId="5B73E5E0" w14:textId="5D74DA2B" w:rsidR="00556ED3"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00556ED3" w:rsidRPr="00F30378">
        <w:rPr>
          <w:lang w:val="es-ES_tradnl"/>
        </w:rPr>
        <w:t>los recursos recibidos de Japón (100 000 CHF) y Lituania (contribución en especies por valor de 20 000 CHF) se están utilizando para la ejecución de las operaciones</w:t>
      </w:r>
      <w:r w:rsidR="00FE4E63">
        <w:rPr>
          <w:lang w:val="es-ES_tradnl"/>
        </w:rPr>
        <w:t>.</w:t>
      </w:r>
    </w:p>
    <w:p w14:paraId="1BEA62B3" w14:textId="2E6478EC" w:rsidR="004B65E8" w:rsidRPr="00F30378" w:rsidRDefault="004B65E8" w:rsidP="00D75E72">
      <w:pPr>
        <w:pStyle w:val="Heading1"/>
        <w:rPr>
          <w:lang w:val="es-ES_tradnl" w:eastAsia="zh-CN"/>
        </w:rPr>
      </w:pPr>
      <w:r w:rsidRPr="00F30378">
        <w:rPr>
          <w:lang w:val="es-ES_tradnl" w:eastAsia="zh-CN"/>
        </w:rPr>
        <w:lastRenderedPageBreak/>
        <w:t>6</w:t>
      </w:r>
      <w:r w:rsidRPr="00F30378">
        <w:rPr>
          <w:lang w:val="es-ES_tradnl" w:eastAsia="zh-CN"/>
        </w:rPr>
        <w:tab/>
      </w:r>
      <w:proofErr w:type="gramStart"/>
      <w:r w:rsidRPr="00F30378">
        <w:rPr>
          <w:lang w:val="es-ES_tradnl" w:eastAsia="zh-CN"/>
        </w:rPr>
        <w:t>Conclusion</w:t>
      </w:r>
      <w:r w:rsidR="00306E88" w:rsidRPr="00F30378">
        <w:rPr>
          <w:lang w:val="es-ES_tradnl" w:eastAsia="zh-CN"/>
        </w:rPr>
        <w:t>e</w:t>
      </w:r>
      <w:r w:rsidRPr="00F30378">
        <w:rPr>
          <w:lang w:val="es-ES_tradnl" w:eastAsia="zh-CN"/>
        </w:rPr>
        <w:t>s</w:t>
      </w:r>
      <w:proofErr w:type="gramEnd"/>
    </w:p>
    <w:p w14:paraId="09D91BB6" w14:textId="24E06251" w:rsidR="004B65E8" w:rsidRPr="00F30378" w:rsidRDefault="008B0BCE" w:rsidP="00D75E72">
      <w:pPr>
        <w:rPr>
          <w:lang w:val="es-ES_tradnl"/>
        </w:rPr>
      </w:pPr>
      <w:r w:rsidRPr="00F30378">
        <w:rPr>
          <w:lang w:val="es-ES_tradnl"/>
        </w:rPr>
        <w:t>Teniendo en cuenta el nivel de daños y las necesidades financieras para la reconstrucción de la infraestructura de telecomunicaciones y el fortalecimiento de la resiliencia digital del país, se invita cordialmente a todas las partes interesadas a que apoyen las actividades de la UIT en respuesta a la Resolución 1408, y en particular las siguientes</w:t>
      </w:r>
      <w:r w:rsidR="004B65E8" w:rsidRPr="00F30378">
        <w:rPr>
          <w:spacing w:val="-2"/>
          <w:lang w:val="es-ES_tradnl"/>
        </w:rPr>
        <w:t>:</w:t>
      </w:r>
    </w:p>
    <w:p w14:paraId="6908CECF" w14:textId="69461753" w:rsidR="004B65E8" w:rsidRPr="00F30378" w:rsidRDefault="00F30378" w:rsidP="00F30378">
      <w:pPr>
        <w:pStyle w:val="enumlev1"/>
        <w:rPr>
          <w:rFonts w:cstheme="minorHAnsi"/>
          <w:lang w:val="es-ES_tradnl"/>
        </w:rPr>
      </w:pPr>
      <w:r w:rsidRPr="00F30378">
        <w:rPr>
          <w:rFonts w:eastAsia="SimSun"/>
          <w:lang w:val="es-ES_tradnl"/>
        </w:rPr>
        <w:t>•</w:t>
      </w:r>
      <w:r w:rsidRPr="00F30378">
        <w:rPr>
          <w:rFonts w:eastAsia="SimSun"/>
          <w:lang w:val="es-ES_tradnl"/>
        </w:rPr>
        <w:tab/>
      </w:r>
      <w:r w:rsidR="00275461" w:rsidRPr="00F30378">
        <w:rPr>
          <w:lang w:val="es-ES_tradnl"/>
        </w:rPr>
        <w:t>a</w:t>
      </w:r>
      <w:r w:rsidR="008B0BCE" w:rsidRPr="00F30378">
        <w:rPr>
          <w:lang w:val="es-ES_tradnl"/>
        </w:rPr>
        <w:t xml:space="preserve"> comprometerse a prestar asistencia técnica y apoyo a Ucrania para la reconstrucción de su sector de telecomunicaciones</w:t>
      </w:r>
      <w:r w:rsidR="004B65E8" w:rsidRPr="00F30378">
        <w:rPr>
          <w:lang w:val="es-ES_tradnl"/>
        </w:rPr>
        <w:t>;</w:t>
      </w:r>
    </w:p>
    <w:p w14:paraId="11F2D629" w14:textId="4E2E95D8"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00275461" w:rsidRPr="00F30378">
        <w:rPr>
          <w:lang w:val="es-ES_tradnl"/>
        </w:rPr>
        <w:t xml:space="preserve">a </w:t>
      </w:r>
      <w:r w:rsidR="008B0BCE" w:rsidRPr="00F30378">
        <w:rPr>
          <w:lang w:val="es-ES_tradnl"/>
        </w:rPr>
        <w:t>adherirse a la iniciativa Partner2Connect y formular compromisos centrados en Ucrania a través del sistema en línea</w:t>
      </w:r>
      <w:r w:rsidRPr="00F30378">
        <w:rPr>
          <w:rStyle w:val="FootnoteReference"/>
          <w:lang w:val="es-ES_tradnl"/>
        </w:rPr>
        <w:footnoteReference w:id="3"/>
      </w:r>
    </w:p>
    <w:p w14:paraId="2C0E9925" w14:textId="464F3E05" w:rsidR="004B65E8" w:rsidRPr="00F30378" w:rsidRDefault="00F30378" w:rsidP="00F30378">
      <w:pPr>
        <w:pStyle w:val="enumlev1"/>
        <w:rPr>
          <w:lang w:val="es-ES_tradnl"/>
        </w:rPr>
      </w:pPr>
      <w:r w:rsidRPr="00F30378">
        <w:rPr>
          <w:rFonts w:eastAsia="SimSun"/>
          <w:lang w:val="es-ES_tradnl"/>
        </w:rPr>
        <w:t>•</w:t>
      </w:r>
      <w:r w:rsidRPr="00F30378">
        <w:rPr>
          <w:rFonts w:eastAsia="SimSun"/>
          <w:lang w:val="es-ES_tradnl"/>
        </w:rPr>
        <w:tab/>
      </w:r>
      <w:r w:rsidR="00275461" w:rsidRPr="00F30378">
        <w:rPr>
          <w:lang w:val="es-ES_tradnl"/>
        </w:rPr>
        <w:t>a</w:t>
      </w:r>
      <w:r w:rsidR="008B0BCE" w:rsidRPr="00F30378">
        <w:rPr>
          <w:lang w:val="es-ES_tradnl"/>
        </w:rPr>
        <w:t xml:space="preserve"> aportar una contribución financiera al Fondo Fiduciario Especial que permita aumentar la aplicación de la Resolución 1408</w:t>
      </w:r>
      <w:r w:rsidR="004B65E8" w:rsidRPr="00F30378">
        <w:rPr>
          <w:lang w:val="es-ES_tradnl"/>
        </w:rPr>
        <w:t>.</w:t>
      </w:r>
    </w:p>
    <w:p w14:paraId="16566EB5" w14:textId="2E5B0E6B" w:rsidR="00A514A4" w:rsidRPr="00F30378" w:rsidRDefault="004B65E8" w:rsidP="005B38C8">
      <w:pPr>
        <w:tabs>
          <w:tab w:val="clear" w:pos="567"/>
          <w:tab w:val="clear" w:pos="1134"/>
          <w:tab w:val="clear" w:pos="1701"/>
          <w:tab w:val="clear" w:pos="2268"/>
          <w:tab w:val="clear" w:pos="2835"/>
        </w:tabs>
        <w:overflowPunct/>
        <w:autoSpaceDE/>
        <w:autoSpaceDN/>
        <w:adjustRightInd/>
        <w:spacing w:before="840"/>
        <w:jc w:val="center"/>
        <w:textAlignment w:val="auto"/>
        <w:rPr>
          <w:lang w:val="es-ES_tradnl"/>
        </w:rPr>
      </w:pPr>
      <w:r w:rsidRPr="00F30378">
        <w:rPr>
          <w:lang w:val="es-ES_tradnl"/>
        </w:rPr>
        <w:t>____________________</w:t>
      </w:r>
    </w:p>
    <w:sectPr w:rsidR="00A514A4" w:rsidRPr="00F30378"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2A78" w14:textId="77777777" w:rsidR="002027B4" w:rsidRDefault="002027B4">
      <w:r>
        <w:separator/>
      </w:r>
    </w:p>
  </w:endnote>
  <w:endnote w:type="continuationSeparator" w:id="0">
    <w:p w14:paraId="3CB8DC81" w14:textId="77777777" w:rsidR="002027B4" w:rsidRDefault="0020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F9F542E" w:rsidR="00EE49E8" w:rsidRDefault="00EE49E8" w:rsidP="00EE49E8">
          <w:pPr>
            <w:pStyle w:val="Header"/>
            <w:jc w:val="left"/>
            <w:rPr>
              <w:noProof/>
            </w:rPr>
          </w:pPr>
          <w:r>
            <w:rPr>
              <w:noProof/>
            </w:rPr>
            <w:t xml:space="preserve">DPS </w:t>
          </w:r>
          <w:r w:rsidR="00B3032D" w:rsidRPr="00B3032D">
            <w:rPr>
              <w:noProof/>
            </w:rPr>
            <w:t>521093</w:t>
          </w:r>
        </w:p>
      </w:tc>
      <w:tc>
        <w:tcPr>
          <w:tcW w:w="8261" w:type="dxa"/>
        </w:tcPr>
        <w:p w14:paraId="35709C74" w14:textId="62E39B5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3032D">
            <w:rPr>
              <w:bCs/>
            </w:rPr>
            <w:t>59</w:t>
          </w:r>
          <w:r w:rsidRPr="00623AE3">
            <w:rPr>
              <w:bCs/>
            </w:rPr>
            <w:t>-</w:t>
          </w:r>
          <w:r w:rsidR="00D75E72">
            <w:rPr>
              <w:bCs/>
            </w:rPr>
            <w:t>S</w:t>
          </w:r>
          <w:r>
            <w:rPr>
              <w:bCs/>
            </w:rPr>
            <w:tab/>
          </w:r>
          <w:r>
            <w:fldChar w:fldCharType="begin"/>
          </w:r>
          <w:r>
            <w:instrText>PAGE</w:instrText>
          </w:r>
          <w:r>
            <w:fldChar w:fldCharType="separate"/>
          </w:r>
          <w:r w:rsidR="00CD255E">
            <w:rPr>
              <w:noProof/>
            </w:rPr>
            <w:t>2</w:t>
          </w:r>
          <w:r>
            <w:rPr>
              <w:noProof/>
            </w:rPr>
            <w:fldChar w:fldCharType="end"/>
          </w:r>
        </w:p>
      </w:tc>
    </w:tr>
  </w:tbl>
  <w:p w14:paraId="6C6FB1E8" w14:textId="69A6B6AB" w:rsidR="00EE49E8" w:rsidRPr="00936D57" w:rsidRDefault="00936D57" w:rsidP="00936D57">
    <w:pPr>
      <w:pStyle w:val="Footer"/>
      <w:rPr>
        <w:lang w:val="fr-FR"/>
      </w:rPr>
    </w:pPr>
    <w:r w:rsidRPr="00E0785D">
      <w:rPr>
        <w:color w:val="F2F2F2" w:themeColor="background1" w:themeShade="F2"/>
      </w:rPr>
      <w:fldChar w:fldCharType="begin"/>
    </w:r>
    <w:r w:rsidRPr="00E0785D">
      <w:rPr>
        <w:color w:val="F2F2F2" w:themeColor="background1" w:themeShade="F2"/>
        <w:lang w:val="fr-FR"/>
      </w:rPr>
      <w:instrText xml:space="preserve"> FILENAME  \p  \* MERGEFORMAT </w:instrText>
    </w:r>
    <w:r w:rsidRPr="00E0785D">
      <w:rPr>
        <w:color w:val="F2F2F2" w:themeColor="background1" w:themeShade="F2"/>
      </w:rPr>
      <w:fldChar w:fldCharType="separate"/>
    </w:r>
    <w:r w:rsidR="00F30378" w:rsidRPr="00E0785D">
      <w:rPr>
        <w:color w:val="F2F2F2" w:themeColor="background1" w:themeShade="F2"/>
        <w:lang w:val="fr-FR"/>
      </w:rPr>
      <w:t>P:\ESP\SG\CONSEIL\C23\000\059S.docx</w:t>
    </w:r>
    <w:r w:rsidRPr="00E0785D">
      <w:rPr>
        <w:color w:val="F2F2F2" w:themeColor="background1" w:themeShade="F2"/>
      </w:rPr>
      <w:fldChar w:fldCharType="end"/>
    </w:r>
    <w:r w:rsidRPr="00E0785D">
      <w:rPr>
        <w:color w:val="F2F2F2" w:themeColor="background1" w:themeShade="F2"/>
        <w:lang w:val="fr-FR"/>
      </w:rPr>
      <w:t xml:space="preserve"> (521093)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E0785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1F751E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3032D">
            <w:rPr>
              <w:bCs/>
            </w:rPr>
            <w:t>59</w:t>
          </w:r>
          <w:r w:rsidRPr="00623AE3">
            <w:rPr>
              <w:bCs/>
            </w:rPr>
            <w:t>-</w:t>
          </w:r>
          <w:r w:rsidR="00D75E72">
            <w:rPr>
              <w:bCs/>
            </w:rPr>
            <w:t>S</w:t>
          </w:r>
          <w:r>
            <w:rPr>
              <w:bCs/>
            </w:rPr>
            <w:tab/>
          </w:r>
          <w:r>
            <w:fldChar w:fldCharType="begin"/>
          </w:r>
          <w:r>
            <w:instrText>PAGE</w:instrText>
          </w:r>
          <w:r>
            <w:fldChar w:fldCharType="separate"/>
          </w:r>
          <w:r w:rsidR="00CD255E">
            <w:rPr>
              <w:noProof/>
            </w:rPr>
            <w:t>1</w:t>
          </w:r>
          <w:r>
            <w:rPr>
              <w:noProof/>
            </w:rPr>
            <w:fldChar w:fldCharType="end"/>
          </w:r>
        </w:p>
      </w:tc>
    </w:tr>
  </w:tbl>
  <w:p w14:paraId="7A1F1124" w14:textId="06410689" w:rsidR="00A514A4" w:rsidRPr="00936D57" w:rsidRDefault="006D43CF" w:rsidP="006879CE">
    <w:pPr>
      <w:pStyle w:val="Footer"/>
      <w:rPr>
        <w:lang w:val="fr-FR"/>
      </w:rPr>
    </w:pPr>
    <w:r w:rsidRPr="00E0785D">
      <w:rPr>
        <w:color w:val="F2F2F2" w:themeColor="background1" w:themeShade="F2"/>
      </w:rPr>
      <w:fldChar w:fldCharType="begin"/>
    </w:r>
    <w:r w:rsidRPr="00E0785D">
      <w:rPr>
        <w:color w:val="F2F2F2" w:themeColor="background1" w:themeShade="F2"/>
        <w:lang w:val="fr-FR"/>
      </w:rPr>
      <w:instrText xml:space="preserve"> FILENAME  \p  \* MERGEFORMAT </w:instrText>
    </w:r>
    <w:r w:rsidRPr="00E0785D">
      <w:rPr>
        <w:color w:val="F2F2F2" w:themeColor="background1" w:themeShade="F2"/>
      </w:rPr>
      <w:fldChar w:fldCharType="separate"/>
    </w:r>
    <w:r w:rsidR="00F30378" w:rsidRPr="00E0785D">
      <w:rPr>
        <w:color w:val="F2F2F2" w:themeColor="background1" w:themeShade="F2"/>
        <w:lang w:val="fr-FR"/>
      </w:rPr>
      <w:t>P:\ESP\SG\CONSEIL\C23\000\059S.docx</w:t>
    </w:r>
    <w:r w:rsidRPr="00E0785D">
      <w:rPr>
        <w:color w:val="F2F2F2" w:themeColor="background1" w:themeShade="F2"/>
      </w:rPr>
      <w:fldChar w:fldCharType="end"/>
    </w:r>
    <w:r w:rsidR="00936D57" w:rsidRPr="00E0785D">
      <w:rPr>
        <w:color w:val="F2F2F2" w:themeColor="background1" w:themeShade="F2"/>
        <w:lang w:val="fr-FR"/>
      </w:rPr>
      <w:t xml:space="preserve"> (521093)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85B8" w14:textId="77777777" w:rsidR="002027B4" w:rsidRDefault="002027B4">
      <w:r>
        <w:t>____________________</w:t>
      </w:r>
    </w:p>
  </w:footnote>
  <w:footnote w:type="continuationSeparator" w:id="0">
    <w:p w14:paraId="2C84487B" w14:textId="77777777" w:rsidR="002027B4" w:rsidRDefault="002027B4">
      <w:r>
        <w:continuationSeparator/>
      </w:r>
    </w:p>
  </w:footnote>
  <w:footnote w:id="1">
    <w:p w14:paraId="7644FAF4" w14:textId="6C8201AF" w:rsidR="004B65E8" w:rsidRDefault="004B65E8" w:rsidP="004B65E8">
      <w:pPr>
        <w:pStyle w:val="FootnoteText"/>
        <w:rPr>
          <w:rFonts w:ascii="Arial" w:eastAsia="Arial" w:hAnsi="Arial" w:cs="Arial"/>
          <w:sz w:val="18"/>
          <w:szCs w:val="18"/>
        </w:rPr>
      </w:pPr>
      <w:r w:rsidRPr="0E6CA706">
        <w:rPr>
          <w:rStyle w:val="FootnoteReference"/>
        </w:rPr>
        <w:footnoteRef/>
      </w:r>
      <w:r w:rsidR="001E7866">
        <w:tab/>
      </w:r>
      <w:hyperlink r:id="rId1" w:history="1">
        <w:r w:rsidR="001E7866" w:rsidRPr="0053368B">
          <w:rPr>
            <w:rStyle w:val="Hyperlink"/>
            <w:sz w:val="20"/>
          </w:rPr>
          <w:t>https://www.itu.int/en/ITU-D/Regional-Presence/Europe/Documents/Interim%20assessment%20on%20damages%20to%20telecommunication%20infrastructure%20and%20resilience%20of%20the%20ICT%20ecosystem%20in%20Ukraine%20-2022-12-22_FINAL.pdf</w:t>
        </w:r>
      </w:hyperlink>
    </w:p>
  </w:footnote>
  <w:footnote w:id="2">
    <w:p w14:paraId="4F5C6BE9" w14:textId="09F73A3E" w:rsidR="004B65E8" w:rsidRDefault="004B65E8" w:rsidP="004B65E8">
      <w:pPr>
        <w:pStyle w:val="FootnoteText"/>
      </w:pPr>
      <w:r w:rsidRPr="0E6CA706">
        <w:rPr>
          <w:rStyle w:val="FootnoteReference"/>
        </w:rPr>
        <w:footnoteRef/>
      </w:r>
      <w:r w:rsidR="0053368B">
        <w:tab/>
      </w:r>
      <w:hyperlink r:id="rId2" w:history="1">
        <w:r w:rsidR="0053368B" w:rsidRPr="009101F1">
          <w:rPr>
            <w:rStyle w:val="Hyperlink"/>
            <w:sz w:val="20"/>
          </w:rPr>
          <w:t>https://www.itu.int/en/ITU-D/Regional-Presence/Europe/Documents/Publications/2023/RDNA%20-%20Ukraine.pdf</w:t>
        </w:r>
      </w:hyperlink>
      <w:r>
        <w:t xml:space="preserve"> </w:t>
      </w:r>
    </w:p>
  </w:footnote>
  <w:footnote w:id="3">
    <w:p w14:paraId="6C37619F" w14:textId="03BD2313" w:rsidR="00F30378" w:rsidRPr="00F30378" w:rsidRDefault="00F30378">
      <w:pPr>
        <w:pStyle w:val="FootnoteText"/>
      </w:pPr>
      <w:r>
        <w:rPr>
          <w:rStyle w:val="FootnoteReference"/>
        </w:rPr>
        <w:footnoteRef/>
      </w:r>
      <w:r>
        <w:tab/>
      </w:r>
      <w:hyperlink r:id="rId3" w:history="1">
        <w:r w:rsidRPr="00847478">
          <w:rPr>
            <w:rStyle w:val="Hyperlink"/>
            <w:sz w:val="20"/>
            <w:lang w:val="en-US"/>
          </w:rPr>
          <w:t>https://www.itu.int/partner2connect-pledges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6CC3380" w:rsidR="00AD3606" w:rsidRPr="009621F8" w:rsidRDefault="00DC1CC4" w:rsidP="00AD3606">
          <w:pPr>
            <w:pStyle w:val="Header"/>
            <w:jc w:val="left"/>
            <w:rPr>
              <w:rFonts w:ascii="Arial" w:hAnsi="Arial" w:cs="Arial"/>
              <w:b/>
              <w:bCs/>
              <w:color w:val="009CD6"/>
              <w:sz w:val="36"/>
              <w:szCs w:val="36"/>
            </w:rPr>
          </w:pPr>
          <w:r>
            <w:rPr>
              <w:noProof/>
              <w:lang w:val="es-ES" w:eastAsia="es-ES"/>
            </w:rPr>
            <w:drawing>
              <wp:inline distT="0" distB="0" distL="0" distR="0" wp14:anchorId="12E0BE52" wp14:editId="52F21D5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61EF37">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72CC4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084FF8"/>
    <w:multiLevelType w:val="hybridMultilevel"/>
    <w:tmpl w:val="FFFFFFFF"/>
    <w:lvl w:ilvl="0" w:tplc="8CDA0BB0">
      <w:start w:val="1"/>
      <w:numFmt w:val="bullet"/>
      <w:lvlText w:val=""/>
      <w:lvlJc w:val="left"/>
      <w:pPr>
        <w:ind w:left="720" w:hanging="360"/>
      </w:pPr>
      <w:rPr>
        <w:rFonts w:ascii="Symbol" w:hAnsi="Symbol" w:hint="default"/>
      </w:rPr>
    </w:lvl>
    <w:lvl w:ilvl="1" w:tplc="D41AAA2E">
      <w:start w:val="1"/>
      <w:numFmt w:val="bullet"/>
      <w:lvlText w:val="o"/>
      <w:lvlJc w:val="left"/>
      <w:pPr>
        <w:ind w:left="1440" w:hanging="360"/>
      </w:pPr>
      <w:rPr>
        <w:rFonts w:ascii="Courier New" w:hAnsi="Courier New" w:hint="default"/>
      </w:rPr>
    </w:lvl>
    <w:lvl w:ilvl="2" w:tplc="33E2DDBA">
      <w:start w:val="1"/>
      <w:numFmt w:val="bullet"/>
      <w:lvlText w:val=""/>
      <w:lvlJc w:val="left"/>
      <w:pPr>
        <w:ind w:left="2160" w:hanging="360"/>
      </w:pPr>
      <w:rPr>
        <w:rFonts w:ascii="Wingdings" w:hAnsi="Wingdings" w:hint="default"/>
      </w:rPr>
    </w:lvl>
    <w:lvl w:ilvl="3" w:tplc="D38C1BBE">
      <w:start w:val="1"/>
      <w:numFmt w:val="bullet"/>
      <w:lvlText w:val=""/>
      <w:lvlJc w:val="left"/>
      <w:pPr>
        <w:ind w:left="2880" w:hanging="360"/>
      </w:pPr>
      <w:rPr>
        <w:rFonts w:ascii="Symbol" w:hAnsi="Symbol" w:hint="default"/>
      </w:rPr>
    </w:lvl>
    <w:lvl w:ilvl="4" w:tplc="AA16AE9C">
      <w:start w:val="1"/>
      <w:numFmt w:val="bullet"/>
      <w:lvlText w:val="o"/>
      <w:lvlJc w:val="left"/>
      <w:pPr>
        <w:ind w:left="3600" w:hanging="360"/>
      </w:pPr>
      <w:rPr>
        <w:rFonts w:ascii="Courier New" w:hAnsi="Courier New" w:hint="default"/>
      </w:rPr>
    </w:lvl>
    <w:lvl w:ilvl="5" w:tplc="263AE586">
      <w:start w:val="1"/>
      <w:numFmt w:val="bullet"/>
      <w:lvlText w:val=""/>
      <w:lvlJc w:val="left"/>
      <w:pPr>
        <w:ind w:left="4320" w:hanging="360"/>
      </w:pPr>
      <w:rPr>
        <w:rFonts w:ascii="Wingdings" w:hAnsi="Wingdings" w:hint="default"/>
      </w:rPr>
    </w:lvl>
    <w:lvl w:ilvl="6" w:tplc="025258AC">
      <w:start w:val="1"/>
      <w:numFmt w:val="bullet"/>
      <w:lvlText w:val=""/>
      <w:lvlJc w:val="left"/>
      <w:pPr>
        <w:ind w:left="5040" w:hanging="360"/>
      </w:pPr>
      <w:rPr>
        <w:rFonts w:ascii="Symbol" w:hAnsi="Symbol" w:hint="default"/>
      </w:rPr>
    </w:lvl>
    <w:lvl w:ilvl="7" w:tplc="4F2819CC">
      <w:start w:val="1"/>
      <w:numFmt w:val="bullet"/>
      <w:lvlText w:val="o"/>
      <w:lvlJc w:val="left"/>
      <w:pPr>
        <w:ind w:left="5760" w:hanging="360"/>
      </w:pPr>
      <w:rPr>
        <w:rFonts w:ascii="Courier New" w:hAnsi="Courier New" w:hint="default"/>
      </w:rPr>
    </w:lvl>
    <w:lvl w:ilvl="8" w:tplc="EBD4B884">
      <w:start w:val="1"/>
      <w:numFmt w:val="bullet"/>
      <w:lvlText w:val=""/>
      <w:lvlJc w:val="left"/>
      <w:pPr>
        <w:ind w:left="6480" w:hanging="360"/>
      </w:pPr>
      <w:rPr>
        <w:rFonts w:ascii="Wingdings" w:hAnsi="Wingdings" w:hint="default"/>
      </w:rPr>
    </w:lvl>
  </w:abstractNum>
  <w:abstractNum w:abstractNumId="3" w15:restartNumberingAfterBreak="0">
    <w:nsid w:val="38C030FF"/>
    <w:multiLevelType w:val="hybridMultilevel"/>
    <w:tmpl w:val="FFFFFFFF"/>
    <w:lvl w:ilvl="0" w:tplc="DA047170">
      <w:start w:val="1"/>
      <w:numFmt w:val="bullet"/>
      <w:lvlText w:val=""/>
      <w:lvlJc w:val="left"/>
      <w:pPr>
        <w:ind w:left="720" w:hanging="360"/>
      </w:pPr>
      <w:rPr>
        <w:rFonts w:ascii="Symbol" w:hAnsi="Symbol" w:hint="default"/>
      </w:rPr>
    </w:lvl>
    <w:lvl w:ilvl="1" w:tplc="7696F6B0">
      <w:start w:val="1"/>
      <w:numFmt w:val="bullet"/>
      <w:lvlText w:val="o"/>
      <w:lvlJc w:val="left"/>
      <w:pPr>
        <w:ind w:left="1440" w:hanging="360"/>
      </w:pPr>
      <w:rPr>
        <w:rFonts w:ascii="Courier New" w:hAnsi="Courier New" w:hint="default"/>
      </w:rPr>
    </w:lvl>
    <w:lvl w:ilvl="2" w:tplc="86F6FC9E">
      <w:start w:val="1"/>
      <w:numFmt w:val="bullet"/>
      <w:lvlText w:val=""/>
      <w:lvlJc w:val="left"/>
      <w:pPr>
        <w:ind w:left="2160" w:hanging="360"/>
      </w:pPr>
      <w:rPr>
        <w:rFonts w:ascii="Wingdings" w:hAnsi="Wingdings" w:hint="default"/>
      </w:rPr>
    </w:lvl>
    <w:lvl w:ilvl="3" w:tplc="0636C582">
      <w:start w:val="1"/>
      <w:numFmt w:val="bullet"/>
      <w:lvlText w:val=""/>
      <w:lvlJc w:val="left"/>
      <w:pPr>
        <w:ind w:left="2880" w:hanging="360"/>
      </w:pPr>
      <w:rPr>
        <w:rFonts w:ascii="Symbol" w:hAnsi="Symbol" w:hint="default"/>
      </w:rPr>
    </w:lvl>
    <w:lvl w:ilvl="4" w:tplc="C1128ACE">
      <w:start w:val="1"/>
      <w:numFmt w:val="bullet"/>
      <w:lvlText w:val="o"/>
      <w:lvlJc w:val="left"/>
      <w:pPr>
        <w:ind w:left="3600" w:hanging="360"/>
      </w:pPr>
      <w:rPr>
        <w:rFonts w:ascii="Courier New" w:hAnsi="Courier New" w:hint="default"/>
      </w:rPr>
    </w:lvl>
    <w:lvl w:ilvl="5" w:tplc="AAC82D7E">
      <w:start w:val="1"/>
      <w:numFmt w:val="bullet"/>
      <w:lvlText w:val=""/>
      <w:lvlJc w:val="left"/>
      <w:pPr>
        <w:ind w:left="4320" w:hanging="360"/>
      </w:pPr>
      <w:rPr>
        <w:rFonts w:ascii="Wingdings" w:hAnsi="Wingdings" w:hint="default"/>
      </w:rPr>
    </w:lvl>
    <w:lvl w:ilvl="6" w:tplc="A5A886FC">
      <w:start w:val="1"/>
      <w:numFmt w:val="bullet"/>
      <w:lvlText w:val=""/>
      <w:lvlJc w:val="left"/>
      <w:pPr>
        <w:ind w:left="5040" w:hanging="360"/>
      </w:pPr>
      <w:rPr>
        <w:rFonts w:ascii="Symbol" w:hAnsi="Symbol" w:hint="default"/>
      </w:rPr>
    </w:lvl>
    <w:lvl w:ilvl="7" w:tplc="EC449154">
      <w:start w:val="1"/>
      <w:numFmt w:val="bullet"/>
      <w:lvlText w:val="o"/>
      <w:lvlJc w:val="left"/>
      <w:pPr>
        <w:ind w:left="5760" w:hanging="360"/>
      </w:pPr>
      <w:rPr>
        <w:rFonts w:ascii="Courier New" w:hAnsi="Courier New" w:hint="default"/>
      </w:rPr>
    </w:lvl>
    <w:lvl w:ilvl="8" w:tplc="B00EA75E">
      <w:start w:val="1"/>
      <w:numFmt w:val="bullet"/>
      <w:lvlText w:val=""/>
      <w:lvlJc w:val="left"/>
      <w:pPr>
        <w:ind w:left="6480" w:hanging="360"/>
      </w:pPr>
      <w:rPr>
        <w:rFonts w:ascii="Wingdings" w:hAnsi="Wingdings" w:hint="default"/>
      </w:rPr>
    </w:lvl>
  </w:abstractNum>
  <w:abstractNum w:abstractNumId="4" w15:restartNumberingAfterBreak="0">
    <w:nsid w:val="525E25BF"/>
    <w:multiLevelType w:val="hybridMultilevel"/>
    <w:tmpl w:val="B4B290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000668"/>
    <w:multiLevelType w:val="hybridMultilevel"/>
    <w:tmpl w:val="FFFFFFFF"/>
    <w:lvl w:ilvl="0" w:tplc="8EC80CBA">
      <w:start w:val="1"/>
      <w:numFmt w:val="decimal"/>
      <w:lvlText w:val="%1."/>
      <w:lvlJc w:val="left"/>
      <w:pPr>
        <w:ind w:left="720" w:hanging="360"/>
      </w:pPr>
    </w:lvl>
    <w:lvl w:ilvl="1" w:tplc="76CAB014">
      <w:start w:val="1"/>
      <w:numFmt w:val="lowerLetter"/>
      <w:lvlText w:val="%2."/>
      <w:lvlJc w:val="left"/>
      <w:pPr>
        <w:ind w:left="1440" w:hanging="360"/>
      </w:pPr>
    </w:lvl>
    <w:lvl w:ilvl="2" w:tplc="8640B4FC">
      <w:start w:val="1"/>
      <w:numFmt w:val="lowerRoman"/>
      <w:lvlText w:val="%3."/>
      <w:lvlJc w:val="right"/>
      <w:pPr>
        <w:ind w:left="2160" w:hanging="180"/>
      </w:pPr>
    </w:lvl>
    <w:lvl w:ilvl="3" w:tplc="B3D44F58">
      <w:start w:val="1"/>
      <w:numFmt w:val="decimal"/>
      <w:lvlText w:val="%4."/>
      <w:lvlJc w:val="left"/>
      <w:pPr>
        <w:ind w:left="2880" w:hanging="360"/>
      </w:pPr>
    </w:lvl>
    <w:lvl w:ilvl="4" w:tplc="69544584">
      <w:start w:val="1"/>
      <w:numFmt w:val="lowerLetter"/>
      <w:lvlText w:val="%5."/>
      <w:lvlJc w:val="left"/>
      <w:pPr>
        <w:ind w:left="3600" w:hanging="360"/>
      </w:pPr>
    </w:lvl>
    <w:lvl w:ilvl="5" w:tplc="57FA954C">
      <w:start w:val="1"/>
      <w:numFmt w:val="lowerRoman"/>
      <w:lvlText w:val="%6."/>
      <w:lvlJc w:val="right"/>
      <w:pPr>
        <w:ind w:left="4320" w:hanging="180"/>
      </w:pPr>
    </w:lvl>
    <w:lvl w:ilvl="6" w:tplc="3226585C">
      <w:start w:val="1"/>
      <w:numFmt w:val="decimal"/>
      <w:lvlText w:val="%7."/>
      <w:lvlJc w:val="left"/>
      <w:pPr>
        <w:ind w:left="5040" w:hanging="360"/>
      </w:pPr>
    </w:lvl>
    <w:lvl w:ilvl="7" w:tplc="3B88579C">
      <w:start w:val="1"/>
      <w:numFmt w:val="lowerLetter"/>
      <w:lvlText w:val="%8."/>
      <w:lvlJc w:val="left"/>
      <w:pPr>
        <w:ind w:left="5760" w:hanging="360"/>
      </w:pPr>
    </w:lvl>
    <w:lvl w:ilvl="8" w:tplc="61A8D800">
      <w:start w:val="1"/>
      <w:numFmt w:val="lowerRoman"/>
      <w:lvlText w:val="%9."/>
      <w:lvlJc w:val="right"/>
      <w:pPr>
        <w:ind w:left="6480" w:hanging="180"/>
      </w:pPr>
    </w:lvl>
  </w:abstractNum>
  <w:num w:numId="1" w16cid:durableId="1012872688">
    <w:abstractNumId w:val="0"/>
  </w:num>
  <w:num w:numId="2" w16cid:durableId="1638532763">
    <w:abstractNumId w:val="1"/>
  </w:num>
  <w:num w:numId="3" w16cid:durableId="138159737">
    <w:abstractNumId w:val="5"/>
  </w:num>
  <w:num w:numId="4" w16cid:durableId="1158427478">
    <w:abstractNumId w:val="3"/>
  </w:num>
  <w:num w:numId="5" w16cid:durableId="691960116">
    <w:abstractNumId w:val="2"/>
  </w:num>
  <w:num w:numId="6" w16cid:durableId="824781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NDQ1NzU1MrMwMjRS0lEKTi0uzszPAykwrAUAU0T4wywAAAA="/>
  </w:docVars>
  <w:rsids>
    <w:rsidRoot w:val="00A54171"/>
    <w:rsid w:val="00005754"/>
    <w:rsid w:val="000210D4"/>
    <w:rsid w:val="00063016"/>
    <w:rsid w:val="00066795"/>
    <w:rsid w:val="00076AF6"/>
    <w:rsid w:val="00085CF2"/>
    <w:rsid w:val="000B1705"/>
    <w:rsid w:val="000C08B3"/>
    <w:rsid w:val="000C0DDE"/>
    <w:rsid w:val="000D75B2"/>
    <w:rsid w:val="000F086F"/>
    <w:rsid w:val="001121F5"/>
    <w:rsid w:val="0013098F"/>
    <w:rsid w:val="001400DC"/>
    <w:rsid w:val="00140CE1"/>
    <w:rsid w:val="001464DE"/>
    <w:rsid w:val="0017539C"/>
    <w:rsid w:val="00175AC2"/>
    <w:rsid w:val="0017609F"/>
    <w:rsid w:val="00184609"/>
    <w:rsid w:val="001A7D1D"/>
    <w:rsid w:val="001B51DD"/>
    <w:rsid w:val="001C5421"/>
    <w:rsid w:val="001C628E"/>
    <w:rsid w:val="001E0F7B"/>
    <w:rsid w:val="001E7866"/>
    <w:rsid w:val="002027B4"/>
    <w:rsid w:val="002119FD"/>
    <w:rsid w:val="002130E0"/>
    <w:rsid w:val="00226DDE"/>
    <w:rsid w:val="00264425"/>
    <w:rsid w:val="00265875"/>
    <w:rsid w:val="0027303B"/>
    <w:rsid w:val="00275461"/>
    <w:rsid w:val="0028109B"/>
    <w:rsid w:val="002A2188"/>
    <w:rsid w:val="002B1F58"/>
    <w:rsid w:val="002B353E"/>
    <w:rsid w:val="002C1C7A"/>
    <w:rsid w:val="002C54E2"/>
    <w:rsid w:val="002D6B34"/>
    <w:rsid w:val="002E0693"/>
    <w:rsid w:val="0030160F"/>
    <w:rsid w:val="00306E88"/>
    <w:rsid w:val="00320223"/>
    <w:rsid w:val="00322D0D"/>
    <w:rsid w:val="00335D82"/>
    <w:rsid w:val="00361465"/>
    <w:rsid w:val="003877F5"/>
    <w:rsid w:val="003942D4"/>
    <w:rsid w:val="003958A8"/>
    <w:rsid w:val="003B3AE4"/>
    <w:rsid w:val="003C2533"/>
    <w:rsid w:val="003D5A7F"/>
    <w:rsid w:val="0040435A"/>
    <w:rsid w:val="00416A24"/>
    <w:rsid w:val="00431D9E"/>
    <w:rsid w:val="00433CE8"/>
    <w:rsid w:val="00434A5C"/>
    <w:rsid w:val="004544D9"/>
    <w:rsid w:val="00457D53"/>
    <w:rsid w:val="00472BAD"/>
    <w:rsid w:val="00484009"/>
    <w:rsid w:val="00490E72"/>
    <w:rsid w:val="00491157"/>
    <w:rsid w:val="004921C8"/>
    <w:rsid w:val="00495B0B"/>
    <w:rsid w:val="004A1A2C"/>
    <w:rsid w:val="004A1B8B"/>
    <w:rsid w:val="004B17AB"/>
    <w:rsid w:val="004B65E8"/>
    <w:rsid w:val="004D1851"/>
    <w:rsid w:val="004D599D"/>
    <w:rsid w:val="004E1333"/>
    <w:rsid w:val="004E2EA5"/>
    <w:rsid w:val="004E3AEB"/>
    <w:rsid w:val="0050223C"/>
    <w:rsid w:val="005243FF"/>
    <w:rsid w:val="0053368B"/>
    <w:rsid w:val="00556ED3"/>
    <w:rsid w:val="00564FBC"/>
    <w:rsid w:val="0056639D"/>
    <w:rsid w:val="005800BC"/>
    <w:rsid w:val="00582442"/>
    <w:rsid w:val="005B38C8"/>
    <w:rsid w:val="005F3269"/>
    <w:rsid w:val="00623AE3"/>
    <w:rsid w:val="00645A2D"/>
    <w:rsid w:val="0064737F"/>
    <w:rsid w:val="006535F1"/>
    <w:rsid w:val="0065557D"/>
    <w:rsid w:val="006573D0"/>
    <w:rsid w:val="00660D50"/>
    <w:rsid w:val="00662984"/>
    <w:rsid w:val="006716BB"/>
    <w:rsid w:val="006879CE"/>
    <w:rsid w:val="006B1859"/>
    <w:rsid w:val="006B6680"/>
    <w:rsid w:val="006B6DCC"/>
    <w:rsid w:val="006C039B"/>
    <w:rsid w:val="006D1DAC"/>
    <w:rsid w:val="006D43CF"/>
    <w:rsid w:val="00702DEF"/>
    <w:rsid w:val="00706861"/>
    <w:rsid w:val="00715D7B"/>
    <w:rsid w:val="0075051B"/>
    <w:rsid w:val="007551C2"/>
    <w:rsid w:val="00793188"/>
    <w:rsid w:val="00794D34"/>
    <w:rsid w:val="007D3E5C"/>
    <w:rsid w:val="00813E5E"/>
    <w:rsid w:val="0083581B"/>
    <w:rsid w:val="00863874"/>
    <w:rsid w:val="00864AFF"/>
    <w:rsid w:val="00865925"/>
    <w:rsid w:val="008B0BCE"/>
    <w:rsid w:val="008B4A6A"/>
    <w:rsid w:val="008C02F7"/>
    <w:rsid w:val="008C7E27"/>
    <w:rsid w:val="008F0A74"/>
    <w:rsid w:val="008F7448"/>
    <w:rsid w:val="0090147A"/>
    <w:rsid w:val="009173EF"/>
    <w:rsid w:val="00932906"/>
    <w:rsid w:val="00936D57"/>
    <w:rsid w:val="00961B0B"/>
    <w:rsid w:val="009B38C3"/>
    <w:rsid w:val="009E17BD"/>
    <w:rsid w:val="009E485A"/>
    <w:rsid w:val="00A04CEC"/>
    <w:rsid w:val="00A27F92"/>
    <w:rsid w:val="00A32257"/>
    <w:rsid w:val="00A36D20"/>
    <w:rsid w:val="00A44716"/>
    <w:rsid w:val="00A514A4"/>
    <w:rsid w:val="00A54171"/>
    <w:rsid w:val="00A55622"/>
    <w:rsid w:val="00A83502"/>
    <w:rsid w:val="00A9702A"/>
    <w:rsid w:val="00A97FEC"/>
    <w:rsid w:val="00AD15B3"/>
    <w:rsid w:val="00AD3606"/>
    <w:rsid w:val="00AD4A3D"/>
    <w:rsid w:val="00AF6E49"/>
    <w:rsid w:val="00B04A67"/>
    <w:rsid w:val="00B0583C"/>
    <w:rsid w:val="00B27E7A"/>
    <w:rsid w:val="00B3032D"/>
    <w:rsid w:val="00B40A81"/>
    <w:rsid w:val="00B44910"/>
    <w:rsid w:val="00B72267"/>
    <w:rsid w:val="00B76EB6"/>
    <w:rsid w:val="00B7737B"/>
    <w:rsid w:val="00B824C8"/>
    <w:rsid w:val="00B84B9D"/>
    <w:rsid w:val="00BC251A"/>
    <w:rsid w:val="00BD032B"/>
    <w:rsid w:val="00BE2640"/>
    <w:rsid w:val="00C01189"/>
    <w:rsid w:val="00C069B2"/>
    <w:rsid w:val="00C374DE"/>
    <w:rsid w:val="00C47AD4"/>
    <w:rsid w:val="00C52D81"/>
    <w:rsid w:val="00C55198"/>
    <w:rsid w:val="00CA6393"/>
    <w:rsid w:val="00CB18FF"/>
    <w:rsid w:val="00CC73E4"/>
    <w:rsid w:val="00CD0C08"/>
    <w:rsid w:val="00CD1FCA"/>
    <w:rsid w:val="00CD255E"/>
    <w:rsid w:val="00CD669A"/>
    <w:rsid w:val="00CE03FB"/>
    <w:rsid w:val="00CE433C"/>
    <w:rsid w:val="00CF0161"/>
    <w:rsid w:val="00CF33F3"/>
    <w:rsid w:val="00CF651A"/>
    <w:rsid w:val="00D06183"/>
    <w:rsid w:val="00D22C42"/>
    <w:rsid w:val="00D65041"/>
    <w:rsid w:val="00D75E72"/>
    <w:rsid w:val="00DB1936"/>
    <w:rsid w:val="00DB384B"/>
    <w:rsid w:val="00DC1CC4"/>
    <w:rsid w:val="00DF0189"/>
    <w:rsid w:val="00E06FD5"/>
    <w:rsid w:val="00E0785D"/>
    <w:rsid w:val="00E10E80"/>
    <w:rsid w:val="00E124F0"/>
    <w:rsid w:val="00E251AC"/>
    <w:rsid w:val="00E60F04"/>
    <w:rsid w:val="00E65B24"/>
    <w:rsid w:val="00E83F11"/>
    <w:rsid w:val="00E854E4"/>
    <w:rsid w:val="00E86DBF"/>
    <w:rsid w:val="00EB0D6F"/>
    <w:rsid w:val="00EB2232"/>
    <w:rsid w:val="00EC5337"/>
    <w:rsid w:val="00EE49E8"/>
    <w:rsid w:val="00EF082B"/>
    <w:rsid w:val="00EF71A5"/>
    <w:rsid w:val="00F16BAB"/>
    <w:rsid w:val="00F2150A"/>
    <w:rsid w:val="00F231D8"/>
    <w:rsid w:val="00F30378"/>
    <w:rsid w:val="00F44C00"/>
    <w:rsid w:val="00F46C5F"/>
    <w:rsid w:val="00F632C0"/>
    <w:rsid w:val="00F94A63"/>
    <w:rsid w:val="00FA1C28"/>
    <w:rsid w:val="00FA3B4C"/>
    <w:rsid w:val="00FB1279"/>
    <w:rsid w:val="00FB6B76"/>
    <w:rsid w:val="00FB7596"/>
    <w:rsid w:val="00FE4077"/>
    <w:rsid w:val="00FE4E63"/>
    <w:rsid w:val="00FE77D2"/>
    <w:rsid w:val="05D0B202"/>
    <w:rsid w:val="08A18AAE"/>
    <w:rsid w:val="0F6E3FB6"/>
    <w:rsid w:val="1077333B"/>
    <w:rsid w:val="144F2F80"/>
    <w:rsid w:val="172134CD"/>
    <w:rsid w:val="19DE0542"/>
    <w:rsid w:val="2B0D8CC4"/>
    <w:rsid w:val="3C3D153A"/>
    <w:rsid w:val="3D4BBEA3"/>
    <w:rsid w:val="4009EB54"/>
    <w:rsid w:val="44B55006"/>
    <w:rsid w:val="5197DB05"/>
    <w:rsid w:val="5EE1E762"/>
    <w:rsid w:val="64A70AB8"/>
    <w:rsid w:val="6E09EA07"/>
    <w:rsid w:val="73928022"/>
    <w:rsid w:val="752E5083"/>
    <w:rsid w:val="7AAA09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FootnoteTextChar">
    <w:name w:val="Footnote Text Char"/>
    <w:basedOn w:val="DefaultParagraphFont"/>
    <w:link w:val="FootnoteText"/>
    <w:uiPriority w:val="99"/>
    <w:rsid w:val="004B65E8"/>
    <w:rPr>
      <w:rFonts w:ascii="Calibri" w:hAnsi="Calibri"/>
      <w:sz w:val="24"/>
      <w:lang w:val="en-GB" w:eastAsia="en-US"/>
    </w:rPr>
  </w:style>
  <w:style w:type="paragraph" w:customStyle="1" w:styleId="paragraph">
    <w:name w:val="paragraph"/>
    <w:basedOn w:val="Normal"/>
    <w:rsid w:val="004B65E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link w:val="ListParagraphChar"/>
    <w:uiPriority w:val="34"/>
    <w:qFormat/>
    <w:rsid w:val="004B65E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4B65E8"/>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B65E8"/>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97FEC"/>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97FEC"/>
    <w:rPr>
      <w:b/>
      <w:bCs/>
    </w:rPr>
  </w:style>
  <w:style w:type="character" w:customStyle="1" w:styleId="CommentSubjectChar">
    <w:name w:val="Comment Subject Char"/>
    <w:basedOn w:val="CommentTextChar"/>
    <w:link w:val="CommentSubject"/>
    <w:semiHidden/>
    <w:rsid w:val="00A97FEC"/>
    <w:rPr>
      <w:rFonts w:ascii="Calibri" w:hAnsi="Calibri"/>
      <w:b/>
      <w:bCs/>
      <w:lang w:val="en-GB" w:eastAsia="en-US"/>
    </w:rPr>
  </w:style>
  <w:style w:type="character" w:styleId="UnresolvedMention">
    <w:name w:val="Unresolved Mention"/>
    <w:basedOn w:val="DefaultParagraphFont"/>
    <w:uiPriority w:val="99"/>
    <w:semiHidden/>
    <w:unhideWhenUsed/>
    <w:rsid w:val="00F30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ResDec/Council-RES-1408-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PP-C-0070/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ResDec/Council-RES-1408-s.pdf" TargetMode="External"/><Relationship Id="rId5" Type="http://schemas.openxmlformats.org/officeDocument/2006/relationships/numbering" Target="numbering.xml"/><Relationship Id="rId15"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070/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artner2connect-pledges" TargetMode="External"/><Relationship Id="rId2" Type="http://schemas.openxmlformats.org/officeDocument/2006/relationships/hyperlink" Target="https://www.itu.int/en/ITU-D/Regional-Presence/Europe/Documents/Publications/2023/RDNA%20-%20Ukraine.pdf" TargetMode="External"/><Relationship Id="rId1"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2713-B2C0-46C2-B728-FA30866E40C1}">
  <ds:schemaRefs>
    <ds:schemaRef ds:uri="http://schemas.microsoft.com/sharepoint/v3/contenttype/forms"/>
  </ds:schemaRefs>
</ds:datastoreItem>
</file>

<file path=customXml/itemProps2.xml><?xml version="1.0" encoding="utf-8"?>
<ds:datastoreItem xmlns:ds="http://schemas.openxmlformats.org/officeDocument/2006/customXml" ds:itemID="{E6522E29-6449-44E7-B5E7-650892BBA552}">
  <ds:schemaRefs>
    <ds:schemaRef ds:uri="http://purl.org/dc/elements/1.1/"/>
    <ds:schemaRef ds:uri="http://schemas.microsoft.com/office/infopath/2007/PartnerControls"/>
    <ds:schemaRef ds:uri="http://www.w3.org/XML/1998/namespace"/>
    <ds:schemaRef ds:uri="f45bef01-bf71-4e4d-8b76-9c8a2fc829be"/>
    <ds:schemaRef ds:uri="http://schemas.microsoft.com/office/2006/documentManagement/types"/>
    <ds:schemaRef ds:uri="http://schemas.openxmlformats.org/package/2006/metadata/core-properties"/>
    <ds:schemaRef ds:uri="http://schemas.microsoft.com/office/2006/metadata/properties"/>
    <ds:schemaRef ds:uri="5a9e730e-50ca-4fdd-8a7a-b4f5b57bd209"/>
    <ds:schemaRef ds:uri="http://purl.org/dc/dcmitype/"/>
    <ds:schemaRef ds:uri="http://purl.org/dc/terms/"/>
  </ds:schemaRefs>
</ds:datastoreItem>
</file>

<file path=customXml/itemProps3.xml><?xml version="1.0" encoding="utf-8"?>
<ds:datastoreItem xmlns:ds="http://schemas.openxmlformats.org/officeDocument/2006/customXml" ds:itemID="{93BB2CB1-609F-4002-AD89-83666ED8F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CEBE0-04E4-4ACA-A6F4-DA6C8054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1680</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Update on the implementation of ITU Council Resolution 1408 on assistance and support to Ukraine for rebuilding their telecommunication sector</vt:lpstr>
    </vt:vector>
  </TitlesOfParts>
  <Manager>General Secretariat - Pool</Manager>
  <Company>International Telecommunication Union (ITU)</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sobre la aplicación de la Resolución 1408 del Consejo de la UIT sobre asistencia y ayuda a Ucrania para la reconstrucción de su sector de telecomunicaciones</dc:title>
  <dc:subject>Council 2023</dc:subject>
  <dc:creator>Pluchon, Beatrice</dc:creator>
  <cp:keywords>C2023, C23, Council-23</cp:keywords>
  <dc:description/>
  <cp:lastModifiedBy>Xue, Kun</cp:lastModifiedBy>
  <cp:revision>2</cp:revision>
  <cp:lastPrinted>2023-06-22T07:04:00Z</cp:lastPrinted>
  <dcterms:created xsi:type="dcterms:W3CDTF">2023-06-22T11:55:00Z</dcterms:created>
  <dcterms:modified xsi:type="dcterms:W3CDTF">2023-06-22T11:55:00Z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