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7E5F04" w14:paraId="2F7C4980" w14:textId="77777777" w:rsidTr="00C538FC">
        <w:trPr>
          <w:cantSplit/>
          <w:trHeight w:val="23"/>
        </w:trPr>
        <w:tc>
          <w:tcPr>
            <w:tcW w:w="3969" w:type="dxa"/>
            <w:vMerge w:val="restart"/>
            <w:tcMar>
              <w:left w:w="0" w:type="dxa"/>
            </w:tcMar>
          </w:tcPr>
          <w:p w14:paraId="75083B0F" w14:textId="1A6527CE" w:rsidR="00FE57F6" w:rsidRPr="007E5F04" w:rsidRDefault="00013DDB" w:rsidP="00C538FC">
            <w:pPr>
              <w:tabs>
                <w:tab w:val="left" w:pos="851"/>
              </w:tabs>
              <w:spacing w:before="0" w:line="240" w:lineRule="atLeast"/>
              <w:rPr>
                <w:b/>
              </w:rPr>
            </w:pPr>
            <w:bookmarkStart w:id="0" w:name="_Hlk133421839"/>
            <w:r w:rsidRPr="007E5F04">
              <w:rPr>
                <w:b/>
              </w:rPr>
              <w:t>Punto del orden del día: ADM 2</w:t>
            </w:r>
          </w:p>
        </w:tc>
        <w:tc>
          <w:tcPr>
            <w:tcW w:w="5245" w:type="dxa"/>
          </w:tcPr>
          <w:p w14:paraId="57CEB17F" w14:textId="252A82C8" w:rsidR="00FE57F6" w:rsidRPr="007E5F04" w:rsidRDefault="00FE57F6" w:rsidP="00C538FC">
            <w:pPr>
              <w:tabs>
                <w:tab w:val="left" w:pos="851"/>
              </w:tabs>
              <w:spacing w:before="0" w:line="240" w:lineRule="atLeast"/>
              <w:jc w:val="right"/>
              <w:rPr>
                <w:b/>
              </w:rPr>
            </w:pPr>
            <w:r w:rsidRPr="007E5F04">
              <w:rPr>
                <w:b/>
              </w:rPr>
              <w:t>Document</w:t>
            </w:r>
            <w:r w:rsidR="00F24B71" w:rsidRPr="007E5F04">
              <w:rPr>
                <w:b/>
              </w:rPr>
              <w:t>o</w:t>
            </w:r>
            <w:r w:rsidRPr="007E5F04">
              <w:rPr>
                <w:b/>
              </w:rPr>
              <w:t xml:space="preserve"> C23/</w:t>
            </w:r>
            <w:r w:rsidR="00013DDB" w:rsidRPr="007E5F04">
              <w:rPr>
                <w:b/>
              </w:rPr>
              <w:t>57</w:t>
            </w:r>
            <w:r w:rsidRPr="007E5F04">
              <w:rPr>
                <w:b/>
              </w:rPr>
              <w:t>-</w:t>
            </w:r>
            <w:r w:rsidR="00F24B71" w:rsidRPr="007E5F04">
              <w:rPr>
                <w:b/>
              </w:rPr>
              <w:t>S</w:t>
            </w:r>
          </w:p>
        </w:tc>
      </w:tr>
      <w:tr w:rsidR="00FE57F6" w:rsidRPr="007E5F04" w14:paraId="47E25E43" w14:textId="77777777" w:rsidTr="00C538FC">
        <w:trPr>
          <w:cantSplit/>
        </w:trPr>
        <w:tc>
          <w:tcPr>
            <w:tcW w:w="3969" w:type="dxa"/>
            <w:vMerge/>
          </w:tcPr>
          <w:p w14:paraId="4E1C90B6" w14:textId="77777777" w:rsidR="00FE57F6" w:rsidRPr="007E5F04" w:rsidRDefault="00FE57F6" w:rsidP="00C538FC">
            <w:pPr>
              <w:tabs>
                <w:tab w:val="left" w:pos="851"/>
              </w:tabs>
              <w:spacing w:line="240" w:lineRule="atLeast"/>
              <w:rPr>
                <w:b/>
              </w:rPr>
            </w:pPr>
          </w:p>
        </w:tc>
        <w:tc>
          <w:tcPr>
            <w:tcW w:w="5245" w:type="dxa"/>
          </w:tcPr>
          <w:p w14:paraId="38E86E75" w14:textId="19810B5F" w:rsidR="00FE57F6" w:rsidRPr="007E5F04" w:rsidRDefault="00013DDB" w:rsidP="00C538FC">
            <w:pPr>
              <w:tabs>
                <w:tab w:val="left" w:pos="851"/>
              </w:tabs>
              <w:spacing w:before="0"/>
              <w:jc w:val="right"/>
              <w:rPr>
                <w:b/>
              </w:rPr>
            </w:pPr>
            <w:r w:rsidRPr="007E5F04">
              <w:rPr>
                <w:b/>
              </w:rPr>
              <w:t>12 de junio de</w:t>
            </w:r>
            <w:r w:rsidR="00FE57F6" w:rsidRPr="007E5F04">
              <w:rPr>
                <w:b/>
              </w:rPr>
              <w:t xml:space="preserve"> 2023</w:t>
            </w:r>
          </w:p>
        </w:tc>
      </w:tr>
      <w:tr w:rsidR="00FE57F6" w:rsidRPr="007E5F04" w14:paraId="07B27557" w14:textId="77777777" w:rsidTr="00C538FC">
        <w:trPr>
          <w:cantSplit/>
          <w:trHeight w:val="23"/>
        </w:trPr>
        <w:tc>
          <w:tcPr>
            <w:tcW w:w="3969" w:type="dxa"/>
            <w:vMerge/>
          </w:tcPr>
          <w:p w14:paraId="52470F6C" w14:textId="77777777" w:rsidR="00FE57F6" w:rsidRPr="007E5F04" w:rsidRDefault="00FE57F6" w:rsidP="00C538FC">
            <w:pPr>
              <w:tabs>
                <w:tab w:val="left" w:pos="851"/>
              </w:tabs>
              <w:spacing w:line="240" w:lineRule="atLeast"/>
              <w:rPr>
                <w:b/>
              </w:rPr>
            </w:pPr>
          </w:p>
        </w:tc>
        <w:tc>
          <w:tcPr>
            <w:tcW w:w="5245" w:type="dxa"/>
          </w:tcPr>
          <w:p w14:paraId="0B278F55" w14:textId="77777777" w:rsidR="00FE57F6" w:rsidRPr="007E5F04" w:rsidRDefault="00F24B71" w:rsidP="00C538FC">
            <w:pPr>
              <w:tabs>
                <w:tab w:val="left" w:pos="851"/>
              </w:tabs>
              <w:spacing w:before="0" w:line="240" w:lineRule="atLeast"/>
              <w:jc w:val="right"/>
              <w:rPr>
                <w:b/>
                <w:bCs/>
              </w:rPr>
            </w:pPr>
            <w:r w:rsidRPr="007E5F04">
              <w:rPr>
                <w:rFonts w:cstheme="minorHAnsi"/>
                <w:b/>
                <w:bCs/>
              </w:rPr>
              <w:t>Original: inglés</w:t>
            </w:r>
          </w:p>
        </w:tc>
      </w:tr>
      <w:tr w:rsidR="00FE57F6" w:rsidRPr="007E5F04" w14:paraId="19D4750B" w14:textId="77777777" w:rsidTr="00C538FC">
        <w:trPr>
          <w:cantSplit/>
          <w:trHeight w:val="23"/>
        </w:trPr>
        <w:tc>
          <w:tcPr>
            <w:tcW w:w="3969" w:type="dxa"/>
          </w:tcPr>
          <w:p w14:paraId="644C4CB1" w14:textId="77777777" w:rsidR="00FE57F6" w:rsidRPr="007E5F04" w:rsidRDefault="00FE57F6" w:rsidP="00C538FC">
            <w:pPr>
              <w:tabs>
                <w:tab w:val="left" w:pos="851"/>
              </w:tabs>
              <w:spacing w:line="240" w:lineRule="atLeast"/>
              <w:rPr>
                <w:b/>
              </w:rPr>
            </w:pPr>
          </w:p>
        </w:tc>
        <w:tc>
          <w:tcPr>
            <w:tcW w:w="5245" w:type="dxa"/>
          </w:tcPr>
          <w:p w14:paraId="5E270415" w14:textId="77777777" w:rsidR="00FE57F6" w:rsidRPr="007E5F04" w:rsidRDefault="00FE57F6" w:rsidP="00C538FC">
            <w:pPr>
              <w:tabs>
                <w:tab w:val="left" w:pos="851"/>
              </w:tabs>
              <w:spacing w:before="0" w:line="240" w:lineRule="atLeast"/>
              <w:jc w:val="right"/>
              <w:rPr>
                <w:b/>
              </w:rPr>
            </w:pPr>
          </w:p>
        </w:tc>
      </w:tr>
      <w:tr w:rsidR="00FE57F6" w:rsidRPr="007E5F04" w14:paraId="01317DCD" w14:textId="77777777" w:rsidTr="00C538FC">
        <w:trPr>
          <w:cantSplit/>
        </w:trPr>
        <w:tc>
          <w:tcPr>
            <w:tcW w:w="9214" w:type="dxa"/>
            <w:gridSpan w:val="2"/>
            <w:tcMar>
              <w:left w:w="0" w:type="dxa"/>
            </w:tcMar>
          </w:tcPr>
          <w:p w14:paraId="069AF18E" w14:textId="77777777" w:rsidR="00FE57F6" w:rsidRPr="007E5F04" w:rsidRDefault="00F24B71" w:rsidP="00C538FC">
            <w:pPr>
              <w:pStyle w:val="Source"/>
              <w:jc w:val="left"/>
              <w:rPr>
                <w:sz w:val="34"/>
                <w:szCs w:val="34"/>
              </w:rPr>
            </w:pPr>
            <w:r w:rsidRPr="007E5F04">
              <w:rPr>
                <w:rFonts w:cstheme="minorHAnsi"/>
                <w:sz w:val="34"/>
                <w:szCs w:val="34"/>
              </w:rPr>
              <w:t>Informe de</w:t>
            </w:r>
            <w:r w:rsidR="004B5D49" w:rsidRPr="007E5F04">
              <w:rPr>
                <w:rFonts w:cstheme="minorHAnsi"/>
                <w:sz w:val="34"/>
                <w:szCs w:val="34"/>
              </w:rPr>
              <w:t xml:space="preserve"> </w:t>
            </w:r>
            <w:r w:rsidRPr="007E5F04">
              <w:rPr>
                <w:rFonts w:cstheme="minorHAnsi"/>
                <w:sz w:val="34"/>
                <w:szCs w:val="34"/>
              </w:rPr>
              <w:t>l</w:t>
            </w:r>
            <w:r w:rsidR="004B5D49" w:rsidRPr="007E5F04">
              <w:rPr>
                <w:rFonts w:cstheme="minorHAnsi"/>
                <w:sz w:val="34"/>
                <w:szCs w:val="34"/>
              </w:rPr>
              <w:t>a</w:t>
            </w:r>
            <w:r w:rsidRPr="007E5F04">
              <w:rPr>
                <w:rFonts w:cstheme="minorHAnsi"/>
                <w:sz w:val="34"/>
                <w:szCs w:val="34"/>
              </w:rPr>
              <w:t xml:space="preserve"> Secretari</w:t>
            </w:r>
            <w:r w:rsidR="004B5D49" w:rsidRPr="007E5F04">
              <w:rPr>
                <w:rFonts w:cstheme="minorHAnsi"/>
                <w:sz w:val="34"/>
                <w:szCs w:val="34"/>
              </w:rPr>
              <w:t>a</w:t>
            </w:r>
            <w:r w:rsidRPr="007E5F04">
              <w:rPr>
                <w:rFonts w:cstheme="minorHAnsi"/>
                <w:sz w:val="34"/>
                <w:szCs w:val="34"/>
              </w:rPr>
              <w:t xml:space="preserve"> General</w:t>
            </w:r>
          </w:p>
        </w:tc>
      </w:tr>
      <w:tr w:rsidR="00FE57F6" w:rsidRPr="007E5F04" w14:paraId="276D866B" w14:textId="77777777" w:rsidTr="00C538FC">
        <w:trPr>
          <w:cantSplit/>
        </w:trPr>
        <w:tc>
          <w:tcPr>
            <w:tcW w:w="9214" w:type="dxa"/>
            <w:gridSpan w:val="2"/>
            <w:tcMar>
              <w:left w:w="0" w:type="dxa"/>
            </w:tcMar>
          </w:tcPr>
          <w:p w14:paraId="62B3D133" w14:textId="3B184D4F" w:rsidR="00FE57F6" w:rsidRPr="007E5F04" w:rsidRDefault="00013DDB" w:rsidP="00C538FC">
            <w:pPr>
              <w:pStyle w:val="Subtitle"/>
              <w:framePr w:hSpace="0" w:wrap="auto" w:hAnchor="text" w:xAlign="left" w:yAlign="inline"/>
              <w:rPr>
                <w:lang w:val="es-ES_tradnl"/>
              </w:rPr>
            </w:pPr>
            <w:r w:rsidRPr="007E5F04">
              <w:rPr>
                <w:rFonts w:cstheme="minorHAnsi"/>
                <w:lang w:val="es-ES_tradnl"/>
              </w:rPr>
              <w:t>INFORMES Y NOTAS DE LA DCI SOBRE CUESTIONES QUE AFECTAN A TODO EL SISTEMA DE LAS NACIONES UNIDAS PARA 2021-2022 Y RECOMENDACIONES A LOS JEFES EJECUTIVOS Y A LOS ÓRGANOS LEGISLATIVOS</w:t>
            </w:r>
          </w:p>
        </w:tc>
      </w:tr>
      <w:tr w:rsidR="00FE57F6" w:rsidRPr="007E5F04" w14:paraId="6CED7993" w14:textId="77777777" w:rsidTr="00C538FC">
        <w:trPr>
          <w:cantSplit/>
        </w:trPr>
        <w:tc>
          <w:tcPr>
            <w:tcW w:w="9214" w:type="dxa"/>
            <w:gridSpan w:val="2"/>
            <w:tcBorders>
              <w:top w:val="single" w:sz="4" w:space="0" w:color="auto"/>
              <w:bottom w:val="single" w:sz="4" w:space="0" w:color="auto"/>
            </w:tcBorders>
            <w:tcMar>
              <w:left w:w="0" w:type="dxa"/>
            </w:tcMar>
          </w:tcPr>
          <w:p w14:paraId="2FCA8399" w14:textId="05FF0FFB" w:rsidR="00FE57F6" w:rsidRPr="007E5F04" w:rsidRDefault="00F24B71" w:rsidP="00C538FC">
            <w:pPr>
              <w:spacing w:before="160"/>
              <w:rPr>
                <w:b/>
                <w:bCs/>
                <w:sz w:val="26"/>
                <w:szCs w:val="26"/>
              </w:rPr>
            </w:pPr>
            <w:r w:rsidRPr="007E5F04">
              <w:rPr>
                <w:b/>
                <w:bCs/>
                <w:sz w:val="26"/>
                <w:szCs w:val="26"/>
              </w:rPr>
              <w:t>Objetivo</w:t>
            </w:r>
          </w:p>
          <w:p w14:paraId="07275E6D" w14:textId="227320F2" w:rsidR="00FE57F6" w:rsidRPr="007E5F04" w:rsidRDefault="00013DDB" w:rsidP="00C538FC">
            <w:r w:rsidRPr="007E5F04">
              <w:t>Este documento contiene enlaces a los Informes de la DCI del programa de trabajo de 2021 y una nota del programa de trabajo de 2022 disponible hasta la fecha. También se detallan aquí las recomendaciones dirigidas a los jefes ejecutivos y los órganos rectores, así como las observaciones de la Secretaría de la UIT y de la Junta de Jefes Ejecutivos (disponibles).</w:t>
            </w:r>
          </w:p>
          <w:p w14:paraId="0C5E26E9" w14:textId="77777777" w:rsidR="00FE57F6" w:rsidRPr="007E5F04" w:rsidRDefault="00F24B71" w:rsidP="00C538FC">
            <w:pPr>
              <w:spacing w:before="160"/>
              <w:rPr>
                <w:b/>
                <w:bCs/>
                <w:sz w:val="26"/>
                <w:szCs w:val="26"/>
              </w:rPr>
            </w:pPr>
            <w:r w:rsidRPr="007E5F04">
              <w:rPr>
                <w:b/>
                <w:bCs/>
                <w:sz w:val="26"/>
                <w:szCs w:val="26"/>
              </w:rPr>
              <w:t xml:space="preserve">Acción solicitada </w:t>
            </w:r>
            <w:r w:rsidR="00677A97" w:rsidRPr="007E5F04">
              <w:rPr>
                <w:b/>
                <w:bCs/>
                <w:sz w:val="26"/>
                <w:szCs w:val="26"/>
              </w:rPr>
              <w:t>al</w:t>
            </w:r>
            <w:r w:rsidRPr="007E5F04">
              <w:rPr>
                <w:b/>
                <w:bCs/>
                <w:sz w:val="26"/>
                <w:szCs w:val="26"/>
              </w:rPr>
              <w:t xml:space="preserve"> Consejo</w:t>
            </w:r>
          </w:p>
          <w:p w14:paraId="13076BAC" w14:textId="57B6A7B6" w:rsidR="00FE57F6" w:rsidRPr="007E5F04" w:rsidRDefault="00013DDB" w:rsidP="00C538FC">
            <w:r w:rsidRPr="007E5F04">
              <w:t xml:space="preserve">Se invita al Consejo a </w:t>
            </w:r>
            <w:r w:rsidRPr="007E5F04">
              <w:rPr>
                <w:b/>
                <w:bCs/>
              </w:rPr>
              <w:t>tomar nota</w:t>
            </w:r>
            <w:r w:rsidRPr="007E5F04">
              <w:t xml:space="preserve"> del estado global de aceptación e implementación de las recomendaciones para todo el sistema formuladas por la DCI en sus Informes/nota dirigidas a la Jefatura Ejecutiva de la UIT y a </w:t>
            </w:r>
            <w:r w:rsidRPr="007E5F04">
              <w:rPr>
                <w:b/>
                <w:bCs/>
              </w:rPr>
              <w:t>aprobar</w:t>
            </w:r>
            <w:r w:rsidRPr="007E5F04">
              <w:t xml:space="preserve"> la aceptación de dos recomendaciones destinadas a los órganos legislativos (</w:t>
            </w:r>
            <w:r w:rsidRPr="007E5F04">
              <w:rPr>
                <w:b/>
                <w:bCs/>
              </w:rPr>
              <w:t>Recomendación 6</w:t>
            </w:r>
            <w:r w:rsidRPr="007E5F04">
              <w:t xml:space="preserve"> del Informe JIU/REP/2021/6, Gestión de la continuidad de las operaciones en las organizaciones del sistema de las Naciones Unidas, y </w:t>
            </w:r>
            <w:r w:rsidRPr="007E5F04">
              <w:rPr>
                <w:b/>
                <w:bCs/>
              </w:rPr>
              <w:t>Recomendación 2</w:t>
            </w:r>
            <w:r w:rsidRPr="007E5F04">
              <w:t xml:space="preserve"> del Informe JIU/REP/2021/5, Review of the ethics function in the United Nations system (Examen de la función de ética en el sistema de las Naciones Unidas)), que se presentan en el cuadro siguiente.</w:t>
            </w:r>
          </w:p>
          <w:p w14:paraId="1EBA73B6" w14:textId="77777777" w:rsidR="00FE57F6" w:rsidRPr="007E5F04" w:rsidRDefault="00F24B71" w:rsidP="00C538FC">
            <w:pPr>
              <w:spacing w:before="160"/>
              <w:rPr>
                <w:b/>
                <w:bCs/>
                <w:sz w:val="26"/>
                <w:szCs w:val="26"/>
              </w:rPr>
            </w:pPr>
            <w:r w:rsidRPr="007E5F04">
              <w:rPr>
                <w:b/>
                <w:bCs/>
                <w:sz w:val="26"/>
                <w:szCs w:val="26"/>
              </w:rPr>
              <w:t>Vínculos pertinentes con el Plan Estratégico</w:t>
            </w:r>
          </w:p>
          <w:p w14:paraId="71F5D8DE" w14:textId="6C38F490" w:rsidR="00FE57F6" w:rsidRPr="007E5F04" w:rsidRDefault="00013DDB" w:rsidP="00C538FC">
            <w:r w:rsidRPr="007E5F04">
              <w:t>Excelencia en los recursos humanos e innovación organizativa.</w:t>
            </w:r>
          </w:p>
          <w:p w14:paraId="7F8DAEFC" w14:textId="20DEF8D0" w:rsidR="00FE57F6" w:rsidRPr="007E5F04" w:rsidRDefault="00F24B71" w:rsidP="00C538FC">
            <w:pPr>
              <w:spacing w:before="160"/>
              <w:rPr>
                <w:b/>
                <w:bCs/>
                <w:sz w:val="26"/>
                <w:szCs w:val="26"/>
              </w:rPr>
            </w:pPr>
            <w:r w:rsidRPr="007E5F04">
              <w:rPr>
                <w:b/>
                <w:bCs/>
                <w:sz w:val="26"/>
                <w:szCs w:val="26"/>
              </w:rPr>
              <w:t>Repercusiones financieras:</w:t>
            </w:r>
          </w:p>
          <w:p w14:paraId="527E0CB3" w14:textId="77777777" w:rsidR="00013DDB" w:rsidRPr="007D43B8" w:rsidRDefault="00013DDB" w:rsidP="007D43B8">
            <w:r w:rsidRPr="007D43B8">
              <w:t>Las recomendaciones de la DCI formuladas en los Informes sobre el examen de la función de ética o la continuidad de las operaciones no tienen repercusiones financieras ni en términos de recursos humanos.</w:t>
            </w:r>
          </w:p>
          <w:p w14:paraId="4A3A8A87" w14:textId="49EAF490" w:rsidR="00013DDB" w:rsidRPr="007D43B8" w:rsidRDefault="00013DDB" w:rsidP="007D43B8">
            <w:r w:rsidRPr="007D43B8">
              <w:t>Las recomendaciones formuladas por la DCI en sus Informes sobre medidas y mecanismos para eliminar el racismo y la discriminación racial en el sistema de las Naciones Unidas tendrían ciertas consecuencias de orden financiero y de recursos humanos, que afectarían</w:t>
            </w:r>
            <w:r w:rsidRPr="007E5F04">
              <w:t xml:space="preserve"> </w:t>
            </w:r>
            <w:r w:rsidRPr="007D43B8">
              <w:lastRenderedPageBreak/>
              <w:t>principalmente a cambios en SAP, el tiempo del personal, la adquisición de módulos de aprendizaje y la ejecución del plan de acción.</w:t>
            </w:r>
          </w:p>
          <w:p w14:paraId="797F00F0" w14:textId="410AEAE5" w:rsidR="00FE57F6" w:rsidRPr="007E5F04" w:rsidRDefault="00FE57F6" w:rsidP="007D43B8">
            <w:pPr>
              <w:keepNext/>
              <w:keepLines/>
              <w:spacing w:before="160"/>
              <w:rPr>
                <w:caps/>
                <w:sz w:val="22"/>
              </w:rPr>
            </w:pPr>
            <w:r w:rsidRPr="007E5F04">
              <w:rPr>
                <w:sz w:val="22"/>
              </w:rPr>
              <w:t>__________________</w:t>
            </w:r>
          </w:p>
          <w:p w14:paraId="18540016" w14:textId="77777777" w:rsidR="00FE57F6" w:rsidRPr="007E5F04" w:rsidRDefault="00F24B71" w:rsidP="007D43B8">
            <w:pPr>
              <w:keepNext/>
              <w:keepLines/>
              <w:spacing w:before="160"/>
              <w:rPr>
                <w:b/>
                <w:bCs/>
                <w:sz w:val="26"/>
                <w:szCs w:val="26"/>
              </w:rPr>
            </w:pPr>
            <w:r w:rsidRPr="007E5F04">
              <w:rPr>
                <w:b/>
                <w:bCs/>
                <w:sz w:val="26"/>
                <w:szCs w:val="26"/>
              </w:rPr>
              <w:t>Referencia</w:t>
            </w:r>
          </w:p>
          <w:p w14:paraId="6993FA12" w14:textId="77777777" w:rsidR="00FE57F6" w:rsidRPr="007E5F04" w:rsidRDefault="00FE57F6" w:rsidP="00C538FC">
            <w:pPr>
              <w:spacing w:after="160"/>
            </w:pPr>
          </w:p>
        </w:tc>
      </w:tr>
      <w:bookmarkEnd w:id="0"/>
    </w:tbl>
    <w:p w14:paraId="61365F92" w14:textId="77777777" w:rsidR="00013DDB" w:rsidRPr="007E5F04" w:rsidRDefault="00013DDB">
      <w:pPr>
        <w:sectPr w:rsidR="00013DDB" w:rsidRPr="007E5F04" w:rsidSect="00013DDB">
          <w:footerReference w:type="default" r:id="rId7"/>
          <w:headerReference w:type="first" r:id="rId8"/>
          <w:footerReference w:type="first" r:id="rId9"/>
          <w:pgSz w:w="11907" w:h="16834"/>
          <w:pgMar w:top="1418" w:right="1418" w:bottom="1418" w:left="1418" w:header="720" w:footer="720" w:gutter="0"/>
          <w:paperSrc w:first="286" w:other="286"/>
          <w:cols w:space="720"/>
          <w:titlePg/>
          <w:docGrid w:linePitch="326"/>
        </w:sectPr>
      </w:pPr>
    </w:p>
    <w:p w14:paraId="08E80053" w14:textId="77777777" w:rsidR="00013DDB" w:rsidRPr="007E5F04" w:rsidRDefault="00013DDB" w:rsidP="00013DDB">
      <w:pPr>
        <w:jc w:val="center"/>
        <w:rPr>
          <w:rFonts w:ascii="Arial" w:hAnsi="Arial" w:cstheme="minorHAnsi"/>
          <w:b/>
          <w:bCs/>
          <w:szCs w:val="24"/>
        </w:rPr>
      </w:pPr>
      <w:r w:rsidRPr="007E5F04">
        <w:rPr>
          <w:rFonts w:ascii="Arial" w:hAnsi="Arial" w:cstheme="minorHAnsi"/>
          <w:b/>
          <w:bCs/>
          <w:szCs w:val="24"/>
        </w:rPr>
        <w:lastRenderedPageBreak/>
        <w:t>INFORMES DE LA DCI PARA TODO EL SISTEMA DE LAS NACIONES UNIDAS DE 2021-2022</w:t>
      </w:r>
    </w:p>
    <w:p w14:paraId="4761250D" w14:textId="77777777" w:rsidR="00013DDB" w:rsidRPr="007E5F04" w:rsidRDefault="00013DDB" w:rsidP="00013DDB">
      <w:pPr>
        <w:jc w:val="center"/>
        <w:rPr>
          <w:rFonts w:ascii="Arial" w:hAnsi="Arial" w:cstheme="minorHAnsi"/>
          <w:b/>
          <w:bCs/>
          <w:szCs w:val="24"/>
        </w:rPr>
      </w:pPr>
      <w:r w:rsidRPr="007E5F04">
        <w:rPr>
          <w:rFonts w:ascii="Arial" w:hAnsi="Arial" w:cstheme="minorHAnsi"/>
          <w:b/>
          <w:bCs/>
          <w:szCs w:val="24"/>
        </w:rPr>
        <w:t xml:space="preserve">ESTADO DE ACEPTACIÓN Y APLICACIÓN DE LAS RECOMENDACIONES </w:t>
      </w:r>
    </w:p>
    <w:p w14:paraId="74D746B3" w14:textId="77777777" w:rsidR="00013DDB" w:rsidRPr="007E5F04" w:rsidRDefault="00013DDB" w:rsidP="00013DDB">
      <w:pPr>
        <w:jc w:val="center"/>
        <w:rPr>
          <w:rFonts w:ascii="Arial" w:hAnsi="Arial" w:cstheme="minorHAnsi"/>
          <w:b/>
          <w:bCs/>
          <w:szCs w:val="24"/>
        </w:rPr>
      </w:pPr>
      <w:r w:rsidRPr="007E5F04">
        <w:rPr>
          <w:rFonts w:ascii="Arial" w:hAnsi="Arial" w:cstheme="minorHAnsi"/>
          <w:b/>
          <w:bCs/>
          <w:szCs w:val="24"/>
        </w:rPr>
        <w:t>(Actualizada al 23 de marzo de 2023)</w:t>
      </w:r>
    </w:p>
    <w:p w14:paraId="01C03F36" w14:textId="77777777" w:rsidR="00013DDB" w:rsidRPr="007E5F04" w:rsidRDefault="00013DDB" w:rsidP="00013DDB">
      <w:pPr>
        <w:jc w:val="center"/>
        <w:rPr>
          <w:rFonts w:ascii="Arial" w:hAnsi="Arial" w:cstheme="minorHAnsi"/>
          <w:b/>
          <w:bCs/>
          <w:szCs w:val="24"/>
        </w:rPr>
      </w:pPr>
    </w:p>
    <w:tbl>
      <w:tblPr>
        <w:tblW w:w="5000" w:type="pct"/>
        <w:jc w:val="center"/>
        <w:tblCellMar>
          <w:left w:w="0" w:type="dxa"/>
          <w:right w:w="0" w:type="dxa"/>
        </w:tblCellMar>
        <w:tblLook w:val="04A0" w:firstRow="1" w:lastRow="0" w:firstColumn="1" w:lastColumn="0" w:noHBand="0" w:noVBand="1"/>
      </w:tblPr>
      <w:tblGrid>
        <w:gridCol w:w="1060"/>
        <w:gridCol w:w="1908"/>
        <w:gridCol w:w="834"/>
        <w:gridCol w:w="834"/>
        <w:gridCol w:w="1080"/>
        <w:gridCol w:w="1525"/>
        <w:gridCol w:w="841"/>
        <w:gridCol w:w="660"/>
        <w:gridCol w:w="890"/>
        <w:gridCol w:w="4356"/>
      </w:tblGrid>
      <w:tr w:rsidR="00013DDB" w:rsidRPr="007E5F04" w14:paraId="05E40E34" w14:textId="77777777" w:rsidTr="00D41CA2">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745A999" w14:textId="77777777" w:rsidR="00013DDB" w:rsidRPr="00430196" w:rsidRDefault="00013DDB" w:rsidP="00D41CA2">
            <w:pPr>
              <w:jc w:val="center"/>
              <w:rPr>
                <w:rFonts w:asciiTheme="minorHAnsi" w:hAnsiTheme="minorHAnsi" w:cstheme="minorHAnsi"/>
                <w:b/>
                <w:bCs/>
                <w:color w:val="FFFF00"/>
                <w:sz w:val="20"/>
                <w:lang w:val="en-GB"/>
              </w:rPr>
            </w:pPr>
            <w:bookmarkStart w:id="1" w:name="_Hlk130459352"/>
            <w:r w:rsidRPr="007E5F04">
              <w:rPr>
                <w:rFonts w:asciiTheme="minorHAnsi" w:hAnsiTheme="minorHAnsi" w:cstheme="minorHAnsi"/>
                <w:b/>
                <w:bCs/>
                <w:sz w:val="20"/>
              </w:rPr>
              <w:tab/>
            </w:r>
            <w:r w:rsidRPr="00430196">
              <w:rPr>
                <w:rFonts w:asciiTheme="minorHAnsi" w:hAnsiTheme="minorHAnsi" w:cstheme="minorHAnsi"/>
                <w:color w:val="000000"/>
                <w:sz w:val="20"/>
                <w:lang w:val="en-GB"/>
              </w:rPr>
              <w:br w:type="page"/>
            </w:r>
            <w:r w:rsidRPr="00430196">
              <w:rPr>
                <w:rFonts w:asciiTheme="minorHAnsi" w:hAnsiTheme="minorHAnsi" w:cstheme="minorHAnsi"/>
                <w:color w:val="000000"/>
                <w:sz w:val="20"/>
                <w:lang w:val="en-GB"/>
              </w:rPr>
              <w:br w:type="page"/>
            </w:r>
            <w:r w:rsidRPr="00430196">
              <w:rPr>
                <w:rFonts w:asciiTheme="minorHAnsi" w:hAnsiTheme="minorHAnsi" w:cstheme="minorHAnsi"/>
                <w:b/>
                <w:bCs/>
                <w:color w:val="000000"/>
                <w:sz w:val="20"/>
                <w:lang w:val="en-GB"/>
              </w:rPr>
              <w:t xml:space="preserve">JIU/NOTE/2022/1 </w:t>
            </w:r>
            <w:bookmarkStart w:id="2" w:name="NoteRacism"/>
            <w:bookmarkEnd w:id="2"/>
            <w:r w:rsidRPr="007E5F04">
              <w:rPr>
                <w:rFonts w:asciiTheme="minorHAnsi" w:hAnsiTheme="minorHAnsi" w:cstheme="minorHAnsi"/>
                <w:b/>
                <w:bCs/>
                <w:color w:val="0000FF"/>
                <w:sz w:val="20"/>
                <w:u w:val="single"/>
              </w:rPr>
              <w:fldChar w:fldCharType="begin"/>
            </w:r>
            <w:r w:rsidRPr="00430196">
              <w:rPr>
                <w:rFonts w:asciiTheme="minorHAnsi" w:hAnsiTheme="minorHAnsi" w:cstheme="minorHAnsi"/>
                <w:b/>
                <w:bCs/>
                <w:color w:val="0000FF"/>
                <w:sz w:val="20"/>
                <w:u w:val="single"/>
                <w:lang w:val="en-GB"/>
              </w:rPr>
              <w:instrText>HYPERLINK "https://www.unjiu.org/sites/www.unjiu.org/files/jiu_note_2022_1_rev.1.pdf"</w:instrText>
            </w:r>
            <w:r w:rsidRPr="007E5F04">
              <w:rPr>
                <w:rFonts w:asciiTheme="minorHAnsi" w:hAnsiTheme="minorHAnsi" w:cstheme="minorHAnsi"/>
                <w:b/>
                <w:bCs/>
                <w:color w:val="0000FF"/>
                <w:sz w:val="20"/>
                <w:u w:val="single"/>
              </w:rPr>
            </w:r>
            <w:r w:rsidRPr="007E5F04">
              <w:rPr>
                <w:rFonts w:asciiTheme="minorHAnsi" w:hAnsiTheme="minorHAnsi" w:cstheme="minorHAnsi"/>
                <w:b/>
                <w:bCs/>
                <w:color w:val="0000FF"/>
                <w:sz w:val="20"/>
                <w:u w:val="single"/>
              </w:rPr>
              <w:fldChar w:fldCharType="separate"/>
            </w:r>
            <w:r w:rsidRPr="00430196">
              <w:rPr>
                <w:rFonts w:asciiTheme="minorHAnsi" w:hAnsiTheme="minorHAnsi" w:cstheme="minorHAnsi"/>
                <w:b/>
                <w:bCs/>
                <w:color w:val="0000FF"/>
                <w:sz w:val="20"/>
                <w:u w:val="single"/>
                <w:lang w:val="en-GB"/>
              </w:rPr>
              <w:t>Review of measures and mechanisms for addressing racism and racial discrimination in United Nations system organizations: managing for achieving organizational effectiveness</w:t>
            </w:r>
            <w:r w:rsidRPr="007E5F04">
              <w:rPr>
                <w:rFonts w:asciiTheme="minorHAnsi" w:hAnsiTheme="minorHAnsi" w:cstheme="minorHAnsi"/>
                <w:b/>
                <w:bCs/>
                <w:color w:val="0000FF"/>
                <w:sz w:val="20"/>
                <w:u w:val="single"/>
              </w:rPr>
              <w:fldChar w:fldCharType="end"/>
            </w:r>
            <w:r w:rsidRPr="00430196">
              <w:rPr>
                <w:rFonts w:asciiTheme="minorHAnsi" w:hAnsiTheme="minorHAnsi" w:cstheme="minorHAnsi"/>
                <w:color w:val="000000"/>
                <w:sz w:val="20"/>
                <w:lang w:val="en-GB"/>
              </w:rPr>
              <w:t xml:space="preserve"> </w:t>
            </w:r>
            <w:r w:rsidRPr="00430196">
              <w:rPr>
                <w:rFonts w:asciiTheme="minorHAnsi" w:hAnsiTheme="minorHAnsi" w:cstheme="minorHAnsi"/>
                <w:b/>
                <w:bCs/>
                <w:color w:val="FF0000"/>
                <w:sz w:val="20"/>
                <w:lang w:val="en-GB"/>
              </w:rPr>
              <w:t xml:space="preserve">– </w:t>
            </w:r>
            <w:proofErr w:type="spellStart"/>
            <w:r w:rsidRPr="00430196">
              <w:rPr>
                <w:rFonts w:asciiTheme="minorHAnsi" w:hAnsiTheme="minorHAnsi" w:cstheme="minorHAnsi"/>
                <w:b/>
                <w:bCs/>
                <w:sz w:val="20"/>
                <w:lang w:val="en-GB"/>
              </w:rPr>
              <w:t>Coordinadora</w:t>
            </w:r>
            <w:proofErr w:type="spellEnd"/>
            <w:r w:rsidRPr="00430196">
              <w:rPr>
                <w:rFonts w:asciiTheme="minorHAnsi" w:hAnsiTheme="minorHAnsi" w:cstheme="minorHAnsi"/>
                <w:b/>
                <w:bCs/>
                <w:sz w:val="20"/>
                <w:lang w:val="en-GB"/>
              </w:rPr>
              <w:t xml:space="preserve"> de la UIT: Ulrika Martinius</w:t>
            </w:r>
          </w:p>
          <w:p w14:paraId="56882827" w14:textId="77777777" w:rsidR="00013DDB" w:rsidRPr="007E5F04" w:rsidRDefault="00743691" w:rsidP="00013DDB">
            <w:pPr>
              <w:numPr>
                <w:ilvl w:val="0"/>
                <w:numId w:val="1"/>
              </w:num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sz w:val="20"/>
              </w:rPr>
            </w:pPr>
            <w:hyperlink r:id="rId10" w:history="1">
              <w:r w:rsidR="00013DDB" w:rsidRPr="007E5F04">
                <w:rPr>
                  <w:rFonts w:asciiTheme="minorHAnsi" w:hAnsiTheme="minorHAnsi" w:cstheme="minorHAnsi"/>
                  <w:b/>
                  <w:bCs/>
                  <w:color w:val="0000FF"/>
                  <w:sz w:val="20"/>
                  <w:highlight w:val="yellow"/>
                  <w:u w:val="single"/>
                </w:rPr>
                <w:t>Elementos destacados</w:t>
              </w:r>
            </w:hyperlink>
          </w:p>
          <w:p w14:paraId="40793B48" w14:textId="77777777" w:rsidR="00013DDB" w:rsidRPr="007E5F04" w:rsidRDefault="00013DDB" w:rsidP="00D41CA2">
            <w:pPr>
              <w:tabs>
                <w:tab w:val="clear" w:pos="567"/>
                <w:tab w:val="clear" w:pos="1134"/>
                <w:tab w:val="clear" w:pos="1701"/>
                <w:tab w:val="clear" w:pos="2268"/>
                <w:tab w:val="clear" w:pos="2835"/>
              </w:tabs>
              <w:overflowPunct/>
              <w:autoSpaceDE/>
              <w:adjustRightInd/>
              <w:spacing w:before="0"/>
              <w:ind w:left="720"/>
              <w:textAlignment w:val="auto"/>
              <w:rPr>
                <w:rFonts w:asciiTheme="minorHAnsi" w:hAnsiTheme="minorHAnsi" w:cstheme="minorHAnsi"/>
                <w:sz w:val="20"/>
              </w:rPr>
            </w:pPr>
          </w:p>
        </w:tc>
      </w:tr>
      <w:tr w:rsidR="00013DDB" w:rsidRPr="007E5F04" w14:paraId="5E361524" w14:textId="77777777" w:rsidTr="00013DDB">
        <w:trPr>
          <w:cantSplit/>
          <w:trHeight w:val="291"/>
          <w:jc w:val="center"/>
        </w:trPr>
        <w:tc>
          <w:tcPr>
            <w:tcW w:w="1061"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019A97"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Recomendación</w:t>
            </w:r>
          </w:p>
        </w:tc>
        <w:tc>
          <w:tcPr>
            <w:tcW w:w="1527"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944115"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color w:val="000000"/>
                <w:sz w:val="20"/>
              </w:rPr>
              <w:t>Recomendación de aceptación</w:t>
            </w:r>
          </w:p>
        </w:tc>
        <w:tc>
          <w:tcPr>
            <w:tcW w:w="855"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B91C59A"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color w:val="000000"/>
                <w:sz w:val="20"/>
              </w:rPr>
              <w:t>Estado de aplicación</w:t>
            </w:r>
          </w:p>
        </w:tc>
        <w:tc>
          <w:tcPr>
            <w:tcW w:w="1557"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2569244"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color w:val="000000"/>
                <w:sz w:val="20"/>
              </w:rPr>
              <w:t>Observaciones</w:t>
            </w:r>
          </w:p>
        </w:tc>
      </w:tr>
      <w:tr w:rsidR="00013DDB" w:rsidRPr="007E5F04" w14:paraId="087B6ADE" w14:textId="77777777" w:rsidTr="00013DDB">
        <w:trPr>
          <w:trHeight w:val="336"/>
          <w:jc w:val="center"/>
        </w:trPr>
        <w:tc>
          <w:tcPr>
            <w:tcW w:w="379"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BD5E922" w14:textId="77777777" w:rsidR="00013DDB" w:rsidRPr="007E5F04" w:rsidRDefault="00013DDB" w:rsidP="00D41CA2">
            <w:pPr>
              <w:rPr>
                <w:rFonts w:asciiTheme="minorHAnsi" w:hAnsiTheme="minorHAnsi" w:cstheme="minorHAnsi"/>
                <w:b/>
                <w:bCs/>
                <w:sz w:val="20"/>
              </w:rPr>
            </w:pPr>
            <w:r w:rsidRPr="007E5F04">
              <w:rPr>
                <w:rFonts w:asciiTheme="minorHAnsi" w:hAnsiTheme="minorHAnsi" w:cstheme="minorHAnsi"/>
                <w:b/>
                <w:bCs/>
                <w:color w:val="000000"/>
                <w:sz w:val="20"/>
              </w:rPr>
              <w:t>a los Jefes Ejecutivos</w:t>
            </w:r>
          </w:p>
        </w:tc>
        <w:tc>
          <w:tcPr>
            <w:tcW w:w="682"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85D9C23" w14:textId="77777777" w:rsidR="00013DDB" w:rsidRPr="007E5F04" w:rsidRDefault="00013DDB" w:rsidP="00D41CA2">
            <w:pPr>
              <w:rPr>
                <w:rFonts w:asciiTheme="minorHAnsi" w:hAnsiTheme="minorHAnsi" w:cstheme="minorHAnsi"/>
                <w:b/>
                <w:bCs/>
                <w:sz w:val="20"/>
              </w:rPr>
            </w:pPr>
            <w:r w:rsidRPr="007E5F04">
              <w:rPr>
                <w:rFonts w:asciiTheme="minorHAnsi" w:hAnsiTheme="minorHAnsi" w:cstheme="minorHAnsi"/>
                <w:b/>
                <w:bCs/>
                <w:color w:val="000000"/>
                <w:sz w:val="20"/>
              </w:rPr>
              <w:t>a los órganos legislativos/rectores</w:t>
            </w:r>
          </w:p>
        </w:tc>
        <w:tc>
          <w:tcPr>
            <w:tcW w:w="29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3BBBEF"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aceptar</w:t>
            </w:r>
          </w:p>
        </w:tc>
        <w:tc>
          <w:tcPr>
            <w:tcW w:w="29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A5BC21"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aceptar</w:t>
            </w:r>
          </w:p>
        </w:tc>
        <w:tc>
          <w:tcPr>
            <w:tcW w:w="38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12F2504"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pertinente</w:t>
            </w:r>
          </w:p>
        </w:tc>
        <w:tc>
          <w:tcPr>
            <w:tcW w:w="54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ABDAEE"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requiere consideraciones ulteriores</w:t>
            </w:r>
          </w:p>
        </w:tc>
        <w:tc>
          <w:tcPr>
            <w:tcW w:w="30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FA9316"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iniciada</w:t>
            </w:r>
          </w:p>
        </w:tc>
        <w:tc>
          <w:tcPr>
            <w:tcW w:w="23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EE9766E"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en curso</w:t>
            </w:r>
          </w:p>
        </w:tc>
        <w:tc>
          <w:tcPr>
            <w:tcW w:w="31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711FB8"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aplicada</w:t>
            </w:r>
          </w:p>
        </w:tc>
        <w:tc>
          <w:tcPr>
            <w:tcW w:w="1557"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7DAB3CD" w14:textId="77777777" w:rsidR="00013DDB" w:rsidRPr="007E5F04" w:rsidRDefault="00013DDB" w:rsidP="00D41CA2">
            <w:pPr>
              <w:jc w:val="center"/>
              <w:rPr>
                <w:rFonts w:asciiTheme="minorHAnsi" w:hAnsiTheme="minorHAnsi" w:cstheme="minorHAnsi"/>
                <w:b/>
                <w:bCs/>
                <w:color w:val="FF0000"/>
                <w:sz w:val="20"/>
              </w:rPr>
            </w:pPr>
            <w:r w:rsidRPr="007E5F04">
              <w:rPr>
                <w:rFonts w:asciiTheme="minorHAnsi" w:hAnsiTheme="minorHAnsi" w:cstheme="minorHAnsi"/>
                <w:b/>
                <w:bCs/>
                <w:color w:val="000000"/>
                <w:sz w:val="20"/>
              </w:rPr>
              <w:t xml:space="preserve">Observaciones de la Junta de Jefes Ejecutivos (JJE) – </w:t>
            </w:r>
            <w:r w:rsidRPr="007E5F04">
              <w:rPr>
                <w:rFonts w:asciiTheme="minorHAnsi" w:hAnsiTheme="minorHAnsi" w:cstheme="minorHAnsi"/>
                <w:b/>
                <w:bCs/>
                <w:color w:val="FF0000"/>
                <w:sz w:val="20"/>
              </w:rPr>
              <w:t>No disponibles</w:t>
            </w:r>
          </w:p>
          <w:p w14:paraId="4C30B722"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___</w:t>
            </w:r>
          </w:p>
          <w:p w14:paraId="03EE7044"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Observaciones de la UIT sobre pertinencia y repercusiones en materia de recursos humanos y financieros</w:t>
            </w:r>
          </w:p>
          <w:p w14:paraId="6D559D2B" w14:textId="77777777" w:rsidR="00013DDB" w:rsidRPr="007E5F04" w:rsidRDefault="00013DDB" w:rsidP="00D41CA2">
            <w:pPr>
              <w:jc w:val="center"/>
              <w:rPr>
                <w:rFonts w:asciiTheme="minorHAnsi" w:hAnsiTheme="minorHAnsi" w:cstheme="minorHAnsi"/>
                <w:sz w:val="20"/>
              </w:rPr>
            </w:pPr>
            <w:r w:rsidRPr="007E5F04">
              <w:rPr>
                <w:rFonts w:asciiTheme="minorHAnsi" w:hAnsiTheme="minorHAnsi" w:cstheme="minorHAnsi"/>
                <w:b/>
                <w:bCs/>
                <w:color w:val="000000"/>
                <w:sz w:val="20"/>
              </w:rPr>
              <w:t>(véase a continuación)</w:t>
            </w:r>
          </w:p>
        </w:tc>
      </w:tr>
      <w:tr w:rsidR="00013DDB" w:rsidRPr="007E5F04" w14:paraId="1307EE98" w14:textId="77777777" w:rsidTr="00013DDB">
        <w:trPr>
          <w:trHeight w:val="60"/>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1BF7E06" w14:textId="7A20AECC" w:rsidR="00013DDB" w:rsidRPr="007E5F04" w:rsidRDefault="00013DDB" w:rsidP="00D41CA2">
            <w:pPr>
              <w:rPr>
                <w:rFonts w:asciiTheme="minorHAnsi" w:eastAsiaTheme="minorHAnsi" w:hAnsiTheme="minorHAnsi" w:cstheme="minorHAnsi"/>
                <w:b/>
                <w:bCs/>
                <w:sz w:val="20"/>
              </w:rPr>
            </w:pPr>
            <w:r w:rsidRPr="007E5F04">
              <w:rPr>
                <w:rFonts w:asciiTheme="minorHAnsi" w:hAnsiTheme="minorHAnsi" w:cstheme="minorHAnsi"/>
                <w:b/>
                <w:bCs/>
                <w:color w:val="000000"/>
                <w:sz w:val="20"/>
              </w:rPr>
              <w:t>Recomendación 1:</w:t>
            </w:r>
            <w:r w:rsidRPr="007E5F04">
              <w:rPr>
                <w:rFonts w:asciiTheme="minorHAnsi" w:hAnsiTheme="minorHAnsi" w:cstheme="minorHAnsi"/>
                <w:color w:val="000000"/>
                <w:sz w:val="20"/>
              </w:rPr>
              <w:t xml:space="preserve"> Los jefes ejecutivos de las organizaciones del sistema de las Naciones Unidas deben colaborar en el marco de la JJE para establecer un conjunto común de categorías de autoidentificación voluntaria del personal antes de junio de</w:t>
            </w:r>
            <w:r w:rsidR="007D43B8">
              <w:rPr>
                <w:rFonts w:asciiTheme="minorHAnsi" w:hAnsiTheme="minorHAnsi" w:cstheme="minorHAnsi"/>
                <w:color w:val="000000"/>
                <w:sz w:val="20"/>
              </w:rPr>
              <w:t> </w:t>
            </w:r>
            <w:r w:rsidRPr="007E5F04">
              <w:rPr>
                <w:rFonts w:asciiTheme="minorHAnsi" w:hAnsiTheme="minorHAnsi" w:cstheme="minorHAnsi"/>
                <w:color w:val="000000"/>
                <w:sz w:val="20"/>
              </w:rPr>
              <w:t>2024, a fin de supervisar, analizar, evaluar y rendir informe sobre los progresos y éxitos en la consecución de los objetivos de igualdad, equidad, diversidad e inclusión en la lucha contra el racismo y la discriminación racial.</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A526893"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 xml:space="preserve">X </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829251"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33FFC6" w14:textId="77777777" w:rsidR="00013DDB" w:rsidRPr="007E5F04" w:rsidRDefault="00013DDB" w:rsidP="00D41CA2">
            <w:pPr>
              <w:jc w:val="center"/>
              <w:rPr>
                <w:rFonts w:asciiTheme="minorHAnsi" w:eastAsiaTheme="minorHAnsi" w:hAnsiTheme="minorHAnsi" w:cstheme="minorHAnsi"/>
                <w:b/>
                <w:bCs/>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E81A4F" w14:textId="77777777" w:rsidR="00013DDB" w:rsidRPr="007E5F04" w:rsidRDefault="00013DDB" w:rsidP="00D41CA2">
            <w:pPr>
              <w:jc w:val="center"/>
              <w:rPr>
                <w:rFonts w:ascii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461833"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21B2BA7"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667850" w14:textId="77777777" w:rsidR="00013DDB" w:rsidRPr="007E5F04" w:rsidRDefault="00013DDB" w:rsidP="00D41CA2">
            <w:pPr>
              <w:rPr>
                <w:rFonts w:asciiTheme="minorHAnsi" w:hAnsiTheme="minorHAnsi" w:cstheme="minorHAnsi"/>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227C51" w14:textId="77777777" w:rsidR="00013DDB" w:rsidRPr="007E5F04" w:rsidRDefault="00013DDB" w:rsidP="00D41CA2">
            <w:pPr>
              <w:rPr>
                <w:rFonts w:asciiTheme="minorHAnsi" w:eastAsiaTheme="minorEastAsia" w:hAnsiTheme="minorHAnsi" w:cstheme="minorHAnsi"/>
                <w:sz w:val="20"/>
              </w:rPr>
            </w:pPr>
            <w:r w:rsidRPr="007E5F04">
              <w:rPr>
                <w:rFonts w:asciiTheme="minorHAnsi" w:eastAsiaTheme="minorEastAsia" w:hAnsiTheme="minorHAnsi" w:cstheme="minorHAnsi"/>
                <w:sz w:val="20"/>
              </w:rPr>
              <w:t>La UIT colaborará, en el marco de la JJE, para abordar este asunto. Repercusiones financieras en términos de cambios en SAP y tiempo del personal.</w:t>
            </w:r>
          </w:p>
        </w:tc>
      </w:tr>
      <w:tr w:rsidR="00013DDB" w:rsidRPr="007E5F04" w14:paraId="64B2DD8A" w14:textId="77777777" w:rsidTr="00013DDB">
        <w:trPr>
          <w:trHeight w:val="2047"/>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258F56B" w14:textId="77777777"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color w:val="000000"/>
                <w:sz w:val="20"/>
              </w:rPr>
              <w:lastRenderedPageBreak/>
              <w:t>Recomendación 2:</w:t>
            </w:r>
            <w:r w:rsidRPr="007E5F04">
              <w:rPr>
                <w:rFonts w:asciiTheme="minorHAnsi" w:hAnsiTheme="minorHAnsi" w:cstheme="minorHAnsi"/>
                <w:sz w:val="20"/>
              </w:rPr>
              <w:t xml:space="preserve"> Los jefes ejecutivos de las organizaciones del sistema de las Naciones Unidas deben encargar a sus respectivas unidades de formación y aprendizaje la preparación y aplicación de un programa docente integrado y de gran impacto para mejorar la sensibilización, el aprendizaje y el rendimiento en respuesta a las necesidades del personal que ocupa funciones, categorías y niveles diversos a fin de paliar todo tipo de racismo y discriminación racial en el lugar de trabajo</w:t>
            </w:r>
            <w:r w:rsidRPr="007E5F04">
              <w:rPr>
                <w:rFonts w:asciiTheme="minorHAnsi" w:hAnsiTheme="minorHAnsi" w:cstheme="minorHAnsi"/>
                <w:color w:val="000000"/>
                <w:sz w:val="20"/>
              </w:rPr>
              <w:t>.</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CBC631"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 xml:space="preserve">X </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7F01BF" w14:textId="77777777" w:rsidR="00013DDB" w:rsidRPr="007E5F04" w:rsidRDefault="00013DDB" w:rsidP="00D41CA2">
            <w:pPr>
              <w:rPr>
                <w:rFonts w:asciiTheme="minorHAnsi" w:hAnsiTheme="minorHAnsi" w:cstheme="minorHAnsi"/>
                <w:b/>
                <w:bCs/>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72BBDA"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9D6E44" w14:textId="77777777" w:rsidR="00013DDB" w:rsidRPr="007E5F04" w:rsidRDefault="00013DDB" w:rsidP="00D41CA2">
            <w:pPr>
              <w:rPr>
                <w:rFonts w:asciiTheme="minorHAnsi" w:hAnsiTheme="minorHAnsi" w:cstheme="minorHAnsi"/>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9BF8E6"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A8735D"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5E682A" w14:textId="77777777" w:rsidR="00013DDB" w:rsidRPr="007E5F04" w:rsidRDefault="00013DDB" w:rsidP="00D41CA2">
            <w:pPr>
              <w:jc w:val="center"/>
              <w:rPr>
                <w:rFonts w:asciiTheme="minorHAnsi" w:eastAsia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CEE1A2"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la UIT ha puesto en marcha formaciones sobre diversidad e inclusión y sobre la influencia de la discriminación en la innovación, el rendimiento, etc. Sin embargo, la UIT no ha puesto en marcha un programa docente específicamente relacionado con el racismo y la discriminación racial. La UIT estudiará las iniciativas llevadas a cabo con éxito en otras entidades de las Naciones Unidas y examinará su posible adaptación a la UIT. Repercusiones financieras en términos de adquisición de módulos de aprendizaje y de tiempo del personal.</w:t>
            </w:r>
          </w:p>
        </w:tc>
      </w:tr>
      <w:tr w:rsidR="00013DDB" w:rsidRPr="007E5F04" w14:paraId="771C549B" w14:textId="77777777" w:rsidTr="00013DDB">
        <w:trPr>
          <w:trHeight w:val="478"/>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CE9E13B" w14:textId="77777777"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color w:val="000000"/>
                <w:sz w:val="20"/>
              </w:rPr>
              <w:t>Recomendación 3:</w:t>
            </w:r>
            <w:r w:rsidRPr="007E5F04">
              <w:rPr>
                <w:rFonts w:asciiTheme="minorHAnsi" w:hAnsiTheme="minorHAnsi" w:cstheme="minorHAnsi"/>
                <w:sz w:val="20"/>
              </w:rPr>
              <w:t xml:space="preserve"> Los jefes ejecutivos de las organizaciones del sistema de las Naciones Unidas que aún no lo han hecho, deben dedicar recursos suficientes al logro de los resultados definidos para la aplicación de planes de acción contra el racismo y la discriminación racial</w:t>
            </w:r>
            <w:r w:rsidRPr="007E5F04">
              <w:rPr>
                <w:rFonts w:asciiTheme="minorHAnsi" w:hAnsiTheme="minorHAnsi" w:cstheme="minorHAnsi"/>
                <w:color w:val="000000"/>
                <w:sz w:val="20"/>
              </w:rPr>
              <w:t>.</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727610"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eastAsiaTheme="minorHAnsi" w:hAnsiTheme="minorHAnsi" w:cstheme="minorHAnsi"/>
                <w:b/>
                <w:bCs/>
                <w:sz w:val="20"/>
              </w:rPr>
              <w:t>X</w:t>
            </w:r>
            <w:r w:rsidRPr="007E5F04">
              <w:rPr>
                <w:rFonts w:asciiTheme="minorHAnsi" w:hAnsiTheme="minorHAnsi" w:cstheme="minorHAnsi"/>
                <w:b/>
                <w:bCs/>
                <w:color w:val="000000"/>
                <w:sz w:val="20"/>
              </w:rPr>
              <w:t xml:space="preserve"> </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2837A8"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EBD49D"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4867CD" w14:textId="77777777" w:rsidR="00013DDB" w:rsidRPr="007E5F04" w:rsidRDefault="00013DDB" w:rsidP="00D41CA2">
            <w:pPr>
              <w:jc w:val="center"/>
              <w:rPr>
                <w:rFonts w:asciiTheme="minorHAnsi" w:eastAsia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C2D200"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0FF427C" w14:textId="77777777" w:rsidR="00013DDB" w:rsidRPr="007E5F04" w:rsidRDefault="00013DDB" w:rsidP="00D41CA2">
            <w:pPr>
              <w:jc w:val="center"/>
              <w:rPr>
                <w:rFonts w:asciiTheme="minorHAnsi" w:eastAsiaTheme="minorHAnsi" w:hAnsiTheme="minorHAnsi" w:cstheme="minorHAnsi"/>
                <w:b/>
                <w:bCs/>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A67A46" w14:textId="77777777" w:rsidR="00013DDB" w:rsidRPr="007E5F04" w:rsidRDefault="00013DDB" w:rsidP="00D41CA2">
            <w:pPr>
              <w:rPr>
                <w:rFonts w:ascii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0CAD8036" w14:textId="77777777" w:rsidR="00013DDB" w:rsidRPr="007E5F04" w:rsidRDefault="00013DDB" w:rsidP="00D41CA2">
            <w:pPr>
              <w:rPr>
                <w:rFonts w:asciiTheme="minorHAnsi" w:eastAsiaTheme="minorHAnsi" w:hAnsiTheme="minorHAnsi" w:cstheme="minorHAnsi"/>
                <w:sz w:val="20"/>
              </w:rPr>
            </w:pPr>
            <w:r w:rsidRPr="007E5F04">
              <w:rPr>
                <w:rFonts w:asciiTheme="minorHAnsi" w:eastAsiaTheme="minorHAnsi" w:hAnsiTheme="minorHAnsi" w:cstheme="minorHAnsi"/>
                <w:sz w:val="20"/>
              </w:rPr>
              <w:t>Las repercusiones financieras y en términos de recursos humanos se evaluarán una vez diseñado el plan.</w:t>
            </w:r>
          </w:p>
        </w:tc>
      </w:tr>
      <w:tr w:rsidR="00013DDB" w:rsidRPr="007E5F04" w14:paraId="2A9AD092" w14:textId="77777777" w:rsidTr="00013DDB">
        <w:trPr>
          <w:trHeight w:val="60"/>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4E6B8F8" w14:textId="77777777"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Recomendación 4:</w:t>
            </w:r>
            <w:r w:rsidRPr="007E5F04">
              <w:rPr>
                <w:rFonts w:asciiTheme="minorHAnsi" w:hAnsiTheme="minorHAnsi" w:cstheme="minorHAnsi"/>
                <w:sz w:val="20"/>
              </w:rPr>
              <w:t xml:space="preserve"> Los jefes ejecutivos de las organizaciones del sistema de las Naciones Unidas, en tanto que miembros de la JJE, deben definir conjuntamente un mecanismo permanente interorganismos de alto nivel y dotarlo de los </w:t>
            </w:r>
            <w:r w:rsidRPr="007E5F04">
              <w:rPr>
                <w:rFonts w:asciiTheme="minorHAnsi" w:hAnsiTheme="minorHAnsi" w:cstheme="minorHAnsi"/>
                <w:sz w:val="20"/>
              </w:rPr>
              <w:lastRenderedPageBreak/>
              <w:t>recursos necesarios para unir a las organizaciones, aprovechar sus capacidades existentes y valor añadido comparativo para colaborar y trabajar de consuno a fin de responder a las necesidades inmediatas y a largo plazo de lucha contra el racismo y la discriminación racial en el sistema de las Naciones Unidas; y proceder a las transformaciones necesarias para aumentar la relevancia y el valor que ya tienen las diversas iniciativas que se llevan a cabo en cada organización y en todo el sistema</w:t>
            </w:r>
            <w:r w:rsidRPr="007E5F04">
              <w:rPr>
                <w:rFonts w:asciiTheme="minorHAnsi" w:hAnsiTheme="minorHAnsi" w:cstheme="minorHAnsi"/>
                <w:color w:val="000000"/>
                <w:sz w:val="20"/>
              </w:rPr>
              <w:t>.</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52C2E7"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lastRenderedPageBreak/>
              <w:t xml:space="preserve">X </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C1CB0"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B5870C"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0A9B9E" w14:textId="77777777" w:rsidR="00013DDB" w:rsidRPr="007E5F04" w:rsidRDefault="00013DDB" w:rsidP="00D41CA2">
            <w:pPr>
              <w:jc w:val="center"/>
              <w:rPr>
                <w:rFonts w:asciiTheme="minorHAnsi" w:eastAsia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00E873"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E2348F"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E070EF1" w14:textId="77777777" w:rsidR="00013DDB" w:rsidRPr="007E5F04" w:rsidRDefault="00013DDB" w:rsidP="00D41CA2">
            <w:pPr>
              <w:jc w:val="center"/>
              <w:rPr>
                <w:rFonts w:asciiTheme="minorHAnsi" w:eastAsia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D507D7" w14:textId="77777777" w:rsidR="00013DDB" w:rsidRPr="007E5F04" w:rsidRDefault="00013DDB" w:rsidP="00D41CA2">
            <w:pPr>
              <w:rPr>
                <w:rFonts w:asciiTheme="minorHAnsi" w:hAnsiTheme="minorHAnsi" w:cstheme="minorBidi"/>
                <w:sz w:val="20"/>
              </w:rPr>
            </w:pPr>
            <w:r w:rsidRPr="007E5F04">
              <w:rPr>
                <w:rFonts w:asciiTheme="minorHAnsi" w:hAnsiTheme="minorHAnsi" w:cstheme="minorBidi"/>
                <w:sz w:val="20"/>
              </w:rPr>
              <w:t>Dado que esto depende del Comité de Alto nivel sobre Gestión de las Naciones Unidas (HLCM), no habrá repercusiones financieras, aparte de los costes de personal.</w:t>
            </w:r>
          </w:p>
        </w:tc>
      </w:tr>
      <w:tr w:rsidR="00013DDB" w:rsidRPr="007E5F04" w14:paraId="47E9ED53" w14:textId="77777777" w:rsidTr="00013DDB">
        <w:trPr>
          <w:trHeight w:val="468"/>
          <w:jc w:val="center"/>
        </w:trPr>
        <w:tc>
          <w:tcPr>
            <w:tcW w:w="1061" w:type="pct"/>
            <w:gridSpan w:val="2"/>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1040487C" w14:textId="77777777"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Recomendación 5:</w:t>
            </w:r>
            <w:r w:rsidRPr="007E5F04">
              <w:rPr>
                <w:rFonts w:asciiTheme="minorHAnsi" w:hAnsiTheme="minorHAnsi" w:cstheme="minorHAnsi"/>
                <w:color w:val="000000"/>
                <w:sz w:val="20"/>
              </w:rPr>
              <w:t xml:space="preserve"> Los jefes ejecutivos de las organizaciones del sistema de las Naciones Unidas deben crear, antes de 2024, un marco de responsabilidad en el que se definan los resultados previstos, los productos e indicadores fundamentales de rendimiento sobre la lucha contra el racismo y la discriminación racial, y rendirán periódicamente informe a sus órganos legislativos y/u órganos rectores sobre los progresos realizados en la consecución de los resultados predefinidos.</w:t>
            </w:r>
          </w:p>
        </w:tc>
        <w:tc>
          <w:tcPr>
            <w:tcW w:w="29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D296F8D"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 xml:space="preserve">X </w:t>
            </w:r>
          </w:p>
        </w:tc>
        <w:tc>
          <w:tcPr>
            <w:tcW w:w="29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9A93809"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BD77382"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3770B95" w14:textId="77777777" w:rsidR="00013DDB" w:rsidRPr="007E5F04" w:rsidRDefault="00013DDB" w:rsidP="00D41CA2">
            <w:pPr>
              <w:jc w:val="center"/>
              <w:rPr>
                <w:rFonts w:asciiTheme="minorHAnsi" w:hAnsiTheme="minorHAnsi" w:cstheme="minorHAnsi"/>
                <w:b/>
                <w:bCs/>
                <w:color w:val="000000"/>
                <w:sz w:val="20"/>
              </w:rPr>
            </w:pPr>
          </w:p>
        </w:tc>
        <w:tc>
          <w:tcPr>
            <w:tcW w:w="301"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904264D"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23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F3E2346"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DDC2353" w14:textId="77777777" w:rsidR="00013DDB" w:rsidRPr="007E5F04" w:rsidRDefault="00013DDB" w:rsidP="00D41CA2">
            <w:pPr>
              <w:jc w:val="center"/>
              <w:rPr>
                <w:rFonts w:asciiTheme="minorHAnsi" w:hAnsiTheme="minorHAnsi" w:cstheme="minorHAnsi"/>
                <w:b/>
                <w:bCs/>
                <w:color w:val="000000"/>
                <w:sz w:val="20"/>
              </w:rPr>
            </w:pPr>
          </w:p>
        </w:tc>
        <w:tc>
          <w:tcPr>
            <w:tcW w:w="1557" w:type="pct"/>
            <w:tcBorders>
              <w:top w:val="nil"/>
              <w:left w:val="nil"/>
              <w:bottom w:val="single" w:sz="4" w:space="0" w:color="auto"/>
              <w:right w:val="single" w:sz="8" w:space="0" w:color="auto"/>
            </w:tcBorders>
            <w:tcMar>
              <w:top w:w="0" w:type="dxa"/>
              <w:left w:w="108" w:type="dxa"/>
              <w:bottom w:w="0" w:type="dxa"/>
              <w:right w:w="108" w:type="dxa"/>
            </w:tcMar>
            <w:vAlign w:val="center"/>
          </w:tcPr>
          <w:p w14:paraId="2143FA66"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Es responsabilidad del HLCM. La UIT evaluará los costes en función del marco de responsabilidad.</w:t>
            </w:r>
          </w:p>
        </w:tc>
      </w:tr>
      <w:tr w:rsidR="00013DDB" w:rsidRPr="007E5F04" w14:paraId="010D47E8" w14:textId="77777777" w:rsidTr="00013DDB">
        <w:trPr>
          <w:trHeight w:val="900"/>
          <w:jc w:val="center"/>
        </w:trPr>
        <w:tc>
          <w:tcPr>
            <w:tcW w:w="10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44273EC" w14:textId="77777777"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lastRenderedPageBreak/>
              <w:t>Recomendación 6:</w:t>
            </w:r>
            <w:r w:rsidRPr="007E5F04">
              <w:rPr>
                <w:rFonts w:asciiTheme="minorHAnsi" w:hAnsiTheme="minorHAnsi" w:cstheme="minorHAnsi"/>
                <w:sz w:val="20"/>
              </w:rPr>
              <w:t xml:space="preserve"> Los jefes ejecutivos de las organizaciones del sistema de las Naciones Unidas deben reforzar la distribución equitativa de oportunidades de gestión de recursos humanos para todo el personal</w:t>
            </w:r>
            <w:r w:rsidRPr="007E5F04">
              <w:rPr>
                <w:rFonts w:asciiTheme="minorHAnsi" w:hAnsiTheme="minorHAnsi" w:cstheme="minorHAnsi"/>
                <w:color w:val="000000"/>
                <w:sz w:val="20"/>
              </w:rPr>
              <w:t>.</w:t>
            </w: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661EB8"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 xml:space="preserve"> X</w:t>
            </w: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B54798" w14:textId="77777777" w:rsidR="00013DDB" w:rsidRPr="007E5F04" w:rsidRDefault="00013DDB" w:rsidP="00D41CA2">
            <w:pPr>
              <w:rPr>
                <w:rFonts w:asciiTheme="minorHAnsi" w:hAnsiTheme="minorHAnsi" w:cstheme="minorHAnsi"/>
                <w:sz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886862" w14:textId="77777777" w:rsidR="00013DDB" w:rsidRPr="007E5F04" w:rsidRDefault="00013DDB" w:rsidP="00D41CA2">
            <w:pPr>
              <w:rPr>
                <w:rFonts w:asciiTheme="minorHAnsi" w:hAnsiTheme="minorHAnsi" w:cstheme="minorHAnsi"/>
                <w:sz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197375" w14:textId="77777777" w:rsidR="00013DDB" w:rsidRPr="007E5F04" w:rsidRDefault="00013DDB" w:rsidP="00D41CA2">
            <w:pPr>
              <w:jc w:val="center"/>
              <w:rPr>
                <w:rFonts w:asciiTheme="minorHAnsi" w:hAnsiTheme="minorHAnsi" w:cstheme="minorHAnsi"/>
                <w:b/>
                <w:bCs/>
                <w:color w:val="000000"/>
                <w:sz w:val="20"/>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6F3302"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 xml:space="preserve"> </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04B5F4"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C556F0" w14:textId="77777777" w:rsidR="00013DDB" w:rsidRPr="007E5F04" w:rsidRDefault="00013DDB" w:rsidP="00D41CA2">
            <w:pPr>
              <w:jc w:val="center"/>
              <w:rPr>
                <w:rFonts w:asciiTheme="minorHAnsi" w:hAnsiTheme="minorHAnsi" w:cstheme="minorHAnsi"/>
                <w:b/>
                <w:bCs/>
                <w:color w:val="000000"/>
                <w:sz w:val="20"/>
              </w:rPr>
            </w:pPr>
          </w:p>
        </w:tc>
        <w:tc>
          <w:tcPr>
            <w:tcW w:w="15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5146C"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Repercusiones en materia de recursos humanos y financieros por evaluar. Las políticas de la UIT ya garantizan la igualdad de oportunidades.</w:t>
            </w:r>
          </w:p>
        </w:tc>
      </w:tr>
      <w:tr w:rsidR="00013DDB" w:rsidRPr="007E5F04" w14:paraId="46BE0285" w14:textId="77777777" w:rsidTr="00D41CA2">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758C4C7F" w14:textId="77777777" w:rsidR="00013DDB" w:rsidRPr="007E5F04" w:rsidRDefault="00013DDB" w:rsidP="00D41CA2">
            <w:pPr>
              <w:keepNext/>
              <w:shd w:val="clear" w:color="auto" w:fill="FFFF00"/>
              <w:jc w:val="center"/>
              <w:rPr>
                <w:rFonts w:asciiTheme="minorHAnsi" w:hAnsiTheme="minorHAnsi" w:cstheme="minorHAnsi"/>
                <w:color w:val="000000"/>
                <w:sz w:val="20"/>
              </w:rPr>
            </w:pPr>
            <w:r w:rsidRPr="007E5F04">
              <w:rPr>
                <w:rFonts w:asciiTheme="minorHAnsi" w:hAnsiTheme="minorHAnsi" w:cstheme="minorHAnsi"/>
                <w:b/>
                <w:bCs/>
                <w:color w:val="000000"/>
                <w:sz w:val="20"/>
              </w:rPr>
              <w:lastRenderedPageBreak/>
              <w:t xml:space="preserve">JIU/REP/2021/6 </w:t>
            </w:r>
            <w:hyperlink r:id="rId11" w:history="1">
              <w:r w:rsidRPr="007E5F04">
                <w:rPr>
                  <w:rFonts w:asciiTheme="minorHAnsi" w:hAnsiTheme="minorHAnsi" w:cstheme="minorHAnsi"/>
                  <w:b/>
                  <w:bCs/>
                  <w:color w:val="0000FF"/>
                  <w:sz w:val="20"/>
                  <w:u w:val="single"/>
                </w:rPr>
                <w:t>Gestión de la continuidad de las operaciones en las organizaciones del sistema de las Naciones Unidas</w:t>
              </w:r>
            </w:hyperlink>
            <w:r w:rsidRPr="007E5F04">
              <w:rPr>
                <w:rFonts w:asciiTheme="minorHAnsi" w:hAnsiTheme="minorHAnsi" w:cstheme="minorHAnsi"/>
                <w:b/>
                <w:bCs/>
                <w:color w:val="0000FF"/>
                <w:sz w:val="20"/>
                <w:u w:val="single"/>
              </w:rPr>
              <w:t xml:space="preserve"> </w:t>
            </w:r>
            <w:r w:rsidRPr="007E5F04">
              <w:rPr>
                <w:rFonts w:asciiTheme="minorHAnsi" w:hAnsiTheme="minorHAnsi" w:cstheme="minorHAnsi"/>
                <w:b/>
                <w:bCs/>
                <w:color w:val="FF0000"/>
                <w:sz w:val="20"/>
              </w:rPr>
              <w:t xml:space="preserve">– </w:t>
            </w:r>
            <w:r w:rsidRPr="007E5F04">
              <w:rPr>
                <w:rFonts w:asciiTheme="minorHAnsi" w:hAnsiTheme="minorHAnsi" w:cstheme="minorHAnsi"/>
                <w:b/>
                <w:bCs/>
                <w:sz w:val="20"/>
              </w:rPr>
              <w:t>Coordinador de la UIT: Mathieu Baunin</w:t>
            </w:r>
          </w:p>
          <w:p w14:paraId="225F8D57" w14:textId="77777777" w:rsidR="00013DDB" w:rsidRPr="007E5F04" w:rsidRDefault="00743691" w:rsidP="00013DDB">
            <w:pPr>
              <w:pStyle w:val="ListParagraph"/>
              <w:keepNext/>
              <w:numPr>
                <w:ilvl w:val="0"/>
                <w:numId w:val="1"/>
              </w:numPr>
              <w:shd w:val="clear" w:color="auto" w:fill="FFFF00"/>
              <w:jc w:val="center"/>
              <w:rPr>
                <w:rFonts w:asciiTheme="minorHAnsi" w:eastAsia="Times New Roman" w:hAnsiTheme="minorHAnsi" w:cstheme="minorHAnsi"/>
                <w:color w:val="000000"/>
                <w:sz w:val="20"/>
                <w:lang w:val="es-ES_tradnl"/>
              </w:rPr>
            </w:pPr>
            <w:hyperlink r:id="rId12" w:history="1">
              <w:r w:rsidR="00013DDB" w:rsidRPr="007E5F04">
                <w:rPr>
                  <w:rFonts w:asciiTheme="minorHAnsi" w:eastAsia="Times New Roman" w:hAnsiTheme="minorHAnsi" w:cstheme="minorHAnsi"/>
                  <w:b/>
                  <w:bCs/>
                  <w:color w:val="0000FF"/>
                  <w:sz w:val="20"/>
                  <w:u w:val="single"/>
                  <w:lang w:val="es-ES_tradnl"/>
                </w:rPr>
                <w:t>Elementos destacados</w:t>
              </w:r>
            </w:hyperlink>
          </w:p>
        </w:tc>
      </w:tr>
      <w:tr w:rsidR="00013DDB" w:rsidRPr="007E5F04" w14:paraId="68F80D36" w14:textId="77777777" w:rsidTr="00013DDB">
        <w:trPr>
          <w:trHeight w:val="70"/>
          <w:jc w:val="center"/>
        </w:trPr>
        <w:tc>
          <w:tcPr>
            <w:tcW w:w="1061"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2737FD6" w14:textId="77777777" w:rsidR="00013DDB" w:rsidRPr="007E5F04" w:rsidRDefault="00013DDB" w:rsidP="00D41CA2">
            <w:pPr>
              <w:keepNext/>
              <w:jc w:val="center"/>
              <w:rPr>
                <w:rFonts w:asciiTheme="minorHAnsi" w:hAnsiTheme="minorHAnsi" w:cstheme="minorHAnsi"/>
                <w:b/>
                <w:bCs/>
                <w:sz w:val="20"/>
              </w:rPr>
            </w:pPr>
            <w:r w:rsidRPr="007E5F04">
              <w:rPr>
                <w:rFonts w:asciiTheme="minorHAnsi" w:hAnsiTheme="minorHAnsi" w:cstheme="minorHAnsi"/>
                <w:b/>
                <w:bCs/>
                <w:sz w:val="20"/>
              </w:rPr>
              <w:t>Recomendación</w:t>
            </w:r>
          </w:p>
        </w:tc>
        <w:tc>
          <w:tcPr>
            <w:tcW w:w="1527"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3FBEE37" w14:textId="4589CFE6" w:rsidR="00013DDB" w:rsidRPr="007E5F04" w:rsidRDefault="007D43B8" w:rsidP="00D41CA2">
            <w:pPr>
              <w:keepNext/>
              <w:jc w:val="center"/>
              <w:rPr>
                <w:rFonts w:asciiTheme="minorHAnsi" w:hAnsiTheme="minorHAnsi" w:cstheme="minorHAnsi"/>
                <w:b/>
                <w:bCs/>
                <w:sz w:val="20"/>
              </w:rPr>
            </w:pPr>
            <w:r>
              <w:rPr>
                <w:rFonts w:asciiTheme="minorHAnsi" w:hAnsiTheme="minorHAnsi" w:cstheme="minorHAnsi"/>
                <w:b/>
                <w:bCs/>
                <w:color w:val="000000"/>
                <w:sz w:val="20"/>
              </w:rPr>
              <w:t>R</w:t>
            </w:r>
            <w:r w:rsidR="00013DDB" w:rsidRPr="007E5F04">
              <w:rPr>
                <w:rFonts w:asciiTheme="minorHAnsi" w:hAnsiTheme="minorHAnsi" w:cstheme="minorHAnsi"/>
                <w:b/>
                <w:bCs/>
                <w:color w:val="000000"/>
                <w:sz w:val="20"/>
              </w:rPr>
              <w:t>ecomendación de aceptación</w:t>
            </w:r>
          </w:p>
        </w:tc>
        <w:tc>
          <w:tcPr>
            <w:tcW w:w="855"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2EE73AD" w14:textId="496747B7" w:rsidR="00013DDB" w:rsidRPr="007E5F04" w:rsidRDefault="007D43B8" w:rsidP="00D41CA2">
            <w:pPr>
              <w:keepNext/>
              <w:jc w:val="center"/>
              <w:rPr>
                <w:rFonts w:asciiTheme="minorHAnsi" w:hAnsiTheme="minorHAnsi" w:cstheme="minorHAnsi"/>
                <w:b/>
                <w:bCs/>
                <w:sz w:val="20"/>
              </w:rPr>
            </w:pPr>
            <w:r>
              <w:rPr>
                <w:rFonts w:asciiTheme="minorHAnsi" w:hAnsiTheme="minorHAnsi" w:cstheme="minorHAnsi"/>
                <w:b/>
                <w:bCs/>
                <w:color w:val="000000"/>
                <w:sz w:val="20"/>
              </w:rPr>
              <w:t>E</w:t>
            </w:r>
            <w:r w:rsidR="00013DDB" w:rsidRPr="007E5F04">
              <w:rPr>
                <w:rFonts w:asciiTheme="minorHAnsi" w:hAnsiTheme="minorHAnsi" w:cstheme="minorHAnsi"/>
                <w:b/>
                <w:bCs/>
                <w:color w:val="000000"/>
                <w:sz w:val="20"/>
              </w:rPr>
              <w:t>stado de aplicación</w:t>
            </w:r>
          </w:p>
        </w:tc>
        <w:tc>
          <w:tcPr>
            <w:tcW w:w="1557"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0D86719" w14:textId="50384A96" w:rsidR="00013DDB" w:rsidRPr="007E5F04" w:rsidRDefault="007D43B8" w:rsidP="00D41CA2">
            <w:pPr>
              <w:jc w:val="center"/>
              <w:rPr>
                <w:rFonts w:asciiTheme="minorHAnsi" w:hAnsiTheme="minorHAnsi" w:cstheme="minorHAnsi"/>
                <w:b/>
                <w:bCs/>
                <w:sz w:val="20"/>
              </w:rPr>
            </w:pPr>
            <w:r>
              <w:rPr>
                <w:rFonts w:asciiTheme="minorHAnsi" w:hAnsiTheme="minorHAnsi" w:cstheme="minorHAnsi"/>
                <w:b/>
                <w:bCs/>
                <w:color w:val="000000"/>
                <w:sz w:val="20"/>
              </w:rPr>
              <w:t>O</w:t>
            </w:r>
            <w:r w:rsidR="00013DDB" w:rsidRPr="007E5F04">
              <w:rPr>
                <w:rFonts w:asciiTheme="minorHAnsi" w:hAnsiTheme="minorHAnsi" w:cstheme="minorHAnsi"/>
                <w:b/>
                <w:bCs/>
                <w:color w:val="000000"/>
                <w:sz w:val="20"/>
              </w:rPr>
              <w:t>bservaciones</w:t>
            </w:r>
          </w:p>
        </w:tc>
      </w:tr>
      <w:tr w:rsidR="00013DDB" w:rsidRPr="007E5F04" w14:paraId="3A56AB8E" w14:textId="77777777" w:rsidTr="00013DDB">
        <w:trPr>
          <w:trHeight w:val="336"/>
          <w:jc w:val="center"/>
        </w:trPr>
        <w:tc>
          <w:tcPr>
            <w:tcW w:w="379" w:type="pct"/>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0F1FB660" w14:textId="77777777" w:rsidR="00013DDB" w:rsidRPr="007E5F04" w:rsidRDefault="00013DDB" w:rsidP="00D41CA2">
            <w:pPr>
              <w:keepNext/>
              <w:rPr>
                <w:rFonts w:asciiTheme="minorHAnsi" w:hAnsiTheme="minorHAnsi" w:cstheme="minorHAnsi"/>
                <w:b/>
                <w:bCs/>
                <w:sz w:val="20"/>
              </w:rPr>
            </w:pPr>
            <w:r w:rsidRPr="007E5F04">
              <w:rPr>
                <w:rFonts w:asciiTheme="minorHAnsi" w:hAnsiTheme="minorHAnsi" w:cstheme="minorHAnsi"/>
                <w:b/>
                <w:bCs/>
                <w:color w:val="000000"/>
                <w:sz w:val="20"/>
              </w:rPr>
              <w:t>a los Jefes Ejecutivos</w:t>
            </w:r>
          </w:p>
        </w:tc>
        <w:tc>
          <w:tcPr>
            <w:tcW w:w="682" w:type="pct"/>
            <w:tcBorders>
              <w:top w:val="nil"/>
              <w:left w:val="nil"/>
              <w:bottom w:val="single" w:sz="4" w:space="0" w:color="auto"/>
              <w:right w:val="single" w:sz="8" w:space="0" w:color="auto"/>
            </w:tcBorders>
            <w:shd w:val="clear" w:color="auto" w:fill="E2EFD9"/>
            <w:tcMar>
              <w:top w:w="0" w:type="dxa"/>
              <w:left w:w="108" w:type="dxa"/>
              <w:bottom w:w="0" w:type="dxa"/>
              <w:right w:w="108" w:type="dxa"/>
            </w:tcMar>
            <w:hideMark/>
          </w:tcPr>
          <w:p w14:paraId="4EA4279D" w14:textId="77777777" w:rsidR="00013DDB" w:rsidRPr="007E5F04" w:rsidRDefault="00013DDB" w:rsidP="00D41CA2">
            <w:pPr>
              <w:keepNext/>
              <w:rPr>
                <w:rFonts w:asciiTheme="minorHAnsi" w:hAnsiTheme="minorHAnsi" w:cstheme="minorHAnsi"/>
                <w:b/>
                <w:bCs/>
                <w:sz w:val="20"/>
              </w:rPr>
            </w:pPr>
            <w:r w:rsidRPr="007E5F04">
              <w:rPr>
                <w:rFonts w:asciiTheme="minorHAnsi" w:hAnsiTheme="minorHAnsi" w:cstheme="minorHAnsi"/>
                <w:b/>
                <w:bCs/>
                <w:color w:val="000000"/>
                <w:sz w:val="20"/>
              </w:rPr>
              <w:t>a los órganos legislativos/rectores</w:t>
            </w:r>
          </w:p>
        </w:tc>
        <w:tc>
          <w:tcPr>
            <w:tcW w:w="298"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0A90885B"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aceptar</w:t>
            </w:r>
          </w:p>
        </w:tc>
        <w:tc>
          <w:tcPr>
            <w:tcW w:w="298"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65CBC820"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no aceptar</w:t>
            </w:r>
          </w:p>
        </w:tc>
        <w:tc>
          <w:tcPr>
            <w:tcW w:w="38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5C94EE3"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no pertinente</w:t>
            </w:r>
          </w:p>
        </w:tc>
        <w:tc>
          <w:tcPr>
            <w:tcW w:w="545"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6E43D72"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requiere consideraciones ulteriores</w:t>
            </w:r>
          </w:p>
        </w:tc>
        <w:tc>
          <w:tcPr>
            <w:tcW w:w="301"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D16163C"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no iniciada</w:t>
            </w:r>
          </w:p>
        </w:tc>
        <w:tc>
          <w:tcPr>
            <w:tcW w:w="23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35FAAC6"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en curso</w:t>
            </w:r>
          </w:p>
        </w:tc>
        <w:tc>
          <w:tcPr>
            <w:tcW w:w="318"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382769DD" w14:textId="77777777" w:rsidR="00013DDB" w:rsidRPr="007E5F04" w:rsidRDefault="00013DDB" w:rsidP="00D41CA2">
            <w:pPr>
              <w:keepNext/>
              <w:rPr>
                <w:rFonts w:asciiTheme="minorHAnsi" w:hAnsiTheme="minorHAnsi" w:cstheme="minorHAnsi"/>
                <w:sz w:val="20"/>
              </w:rPr>
            </w:pPr>
            <w:r w:rsidRPr="007E5F04">
              <w:rPr>
                <w:rFonts w:asciiTheme="minorHAnsi" w:hAnsiTheme="minorHAnsi" w:cstheme="minorHAnsi"/>
                <w:sz w:val="20"/>
              </w:rPr>
              <w:t>aplicada</w:t>
            </w:r>
          </w:p>
        </w:tc>
        <w:tc>
          <w:tcPr>
            <w:tcW w:w="1557"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B15078B" w14:textId="77777777" w:rsidR="00013DDB" w:rsidRPr="007E5F04" w:rsidRDefault="00743691" w:rsidP="00D41CA2">
            <w:pPr>
              <w:jc w:val="center"/>
              <w:rPr>
                <w:rFonts w:asciiTheme="minorHAnsi" w:hAnsiTheme="minorHAnsi" w:cstheme="minorBidi"/>
                <w:b/>
                <w:bCs/>
                <w:color w:val="FF0000"/>
                <w:sz w:val="20"/>
              </w:rPr>
            </w:pPr>
            <w:hyperlink r:id="rId13"/>
            <w:r w:rsidR="00013DDB" w:rsidRPr="007E5F04">
              <w:rPr>
                <w:rFonts w:asciiTheme="minorHAnsi" w:hAnsiTheme="minorHAnsi" w:cstheme="minorBidi"/>
                <w:b/>
                <w:bCs/>
                <w:color w:val="000000" w:themeColor="text1"/>
                <w:sz w:val="20"/>
              </w:rPr>
              <w:t>Observaciones de la Junta de Jefes Ejecutivos (JJE) – disponibles aquí</w:t>
            </w:r>
            <w:r w:rsidR="00013DDB" w:rsidRPr="007E5F04">
              <w:rPr>
                <w:rFonts w:asciiTheme="minorHAnsi" w:hAnsiTheme="minorHAnsi" w:cstheme="minorBidi"/>
                <w:b/>
                <w:bCs/>
                <w:sz w:val="20"/>
              </w:rPr>
              <w:t xml:space="preserve">: </w:t>
            </w:r>
            <w:hyperlink r:id="rId14">
              <w:r w:rsidR="00013DDB" w:rsidRPr="007E5F04">
                <w:rPr>
                  <w:rStyle w:val="Hyperlink"/>
                  <w:rFonts w:asciiTheme="minorHAnsi" w:hAnsiTheme="minorHAnsi" w:cstheme="minorBidi"/>
                  <w:b/>
                  <w:bCs/>
                  <w:sz w:val="20"/>
                </w:rPr>
                <w:t>Observaciones de la JJE</w:t>
              </w:r>
            </w:hyperlink>
          </w:p>
          <w:p w14:paraId="50CF4B8B"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___</w:t>
            </w:r>
          </w:p>
          <w:p w14:paraId="3B91EA7D"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Observaciones de la UIT sobre pertinencia y repercusiones en materia de recursos humanos y financieros</w:t>
            </w:r>
          </w:p>
          <w:p w14:paraId="67DD92D4" w14:textId="77777777" w:rsidR="00013DDB" w:rsidRPr="007E5F04" w:rsidRDefault="00013DDB" w:rsidP="00D41CA2">
            <w:pPr>
              <w:keepNext/>
              <w:jc w:val="center"/>
              <w:rPr>
                <w:rFonts w:asciiTheme="minorHAnsi" w:hAnsiTheme="minorHAnsi" w:cstheme="minorHAnsi"/>
                <w:sz w:val="20"/>
              </w:rPr>
            </w:pPr>
            <w:r w:rsidRPr="007E5F04">
              <w:rPr>
                <w:rFonts w:asciiTheme="minorHAnsi" w:hAnsiTheme="minorHAnsi" w:cstheme="minorHAnsi"/>
                <w:b/>
                <w:bCs/>
                <w:color w:val="000000"/>
                <w:sz w:val="20"/>
              </w:rPr>
              <w:t>(véase a continuación)</w:t>
            </w:r>
          </w:p>
        </w:tc>
      </w:tr>
      <w:tr w:rsidR="00013DDB" w:rsidRPr="007E5F04" w14:paraId="19B0A551" w14:textId="77777777" w:rsidTr="00013DDB">
        <w:trPr>
          <w:trHeight w:val="402"/>
          <w:jc w:val="center"/>
        </w:trPr>
        <w:tc>
          <w:tcPr>
            <w:tcW w:w="1061" w:type="pct"/>
            <w:gridSpan w:val="2"/>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A002694" w14:textId="77777777" w:rsidR="00013DDB" w:rsidRPr="007E5F04" w:rsidRDefault="00013DDB" w:rsidP="00D41CA2">
            <w:pPr>
              <w:keepNext/>
              <w:rPr>
                <w:rFonts w:asciiTheme="minorHAnsi" w:eastAsiaTheme="minorHAnsi" w:hAnsiTheme="minorHAnsi" w:cstheme="minorHAnsi"/>
                <w:b/>
                <w:bCs/>
                <w:sz w:val="20"/>
              </w:rPr>
            </w:pPr>
            <w:r w:rsidRPr="007E5F04">
              <w:rPr>
                <w:rFonts w:asciiTheme="minorHAnsi" w:hAnsiTheme="minorHAnsi" w:cstheme="minorHAnsi"/>
                <w:b/>
                <w:bCs/>
                <w:color w:val="000000"/>
                <w:sz w:val="20"/>
              </w:rPr>
              <w:t>Recomendación 1:</w:t>
            </w:r>
            <w:r w:rsidRPr="007E5F04">
              <w:rPr>
                <w:rFonts w:asciiTheme="minorHAnsi" w:hAnsiTheme="minorHAnsi" w:cstheme="minorHAnsi"/>
                <w:color w:val="000000"/>
                <w:sz w:val="20"/>
              </w:rPr>
              <w:t xml:space="preserve"> Los jefes ejecutivos de las organizaciones del sistema de las Naciones Unidas, deberían, antes de que finalice 2023, revisar su marco de gestión de la continuidad de las operaciones y asegurarse de que las partes interesadas pertinentes determinen y asuman como propios los elementos básicos que se señalan en el presente informe, a fin de facilitar una coordinación eficaz de los procesos y prácticas de continuidad de las operaciones, promover la coherencia en su aplicación y fomentar la rendición de cuentas a todos los niveles.</w:t>
            </w:r>
          </w:p>
        </w:tc>
        <w:tc>
          <w:tcPr>
            <w:tcW w:w="298"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D4B3E3" w14:textId="77777777" w:rsidR="00013DDB" w:rsidRPr="007E5F04" w:rsidRDefault="00013DDB" w:rsidP="00D41CA2">
            <w:pPr>
              <w:keepNext/>
              <w:jc w:val="center"/>
              <w:rPr>
                <w:rFonts w:asciiTheme="minorHAnsi" w:hAnsiTheme="minorHAnsi" w:cstheme="minorHAnsi"/>
                <w:b/>
                <w:bCs/>
                <w:sz w:val="20"/>
              </w:rPr>
            </w:pPr>
            <w:r w:rsidRPr="007E5F04">
              <w:rPr>
                <w:rFonts w:asciiTheme="minorHAnsi" w:hAnsiTheme="minorHAnsi" w:cstheme="minorHAnsi"/>
                <w:b/>
                <w:bCs/>
                <w:sz w:val="20"/>
              </w:rPr>
              <w:t>X</w:t>
            </w:r>
          </w:p>
        </w:tc>
        <w:tc>
          <w:tcPr>
            <w:tcW w:w="298"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505E72E" w14:textId="77777777" w:rsidR="00013DDB" w:rsidRPr="007E5F04" w:rsidRDefault="00013DDB" w:rsidP="00D41CA2">
            <w:pPr>
              <w:keepNext/>
              <w:jc w:val="center"/>
              <w:rPr>
                <w:rFonts w:asciiTheme="minorHAnsi" w:hAnsiTheme="minorHAnsi" w:cstheme="minorHAnsi"/>
                <w:sz w:val="20"/>
              </w:rPr>
            </w:pPr>
          </w:p>
        </w:tc>
        <w:tc>
          <w:tcPr>
            <w:tcW w:w="386"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828FC7" w14:textId="77777777" w:rsidR="00013DDB" w:rsidRPr="007E5F04" w:rsidRDefault="00013DDB" w:rsidP="00D41CA2">
            <w:pPr>
              <w:keepNext/>
              <w:jc w:val="center"/>
              <w:rPr>
                <w:rFonts w:asciiTheme="minorHAnsi" w:eastAsiaTheme="minorHAnsi" w:hAnsiTheme="minorHAnsi" w:cstheme="minorHAnsi"/>
                <w:b/>
                <w:bCs/>
                <w:sz w:val="20"/>
              </w:rPr>
            </w:pPr>
          </w:p>
        </w:tc>
        <w:tc>
          <w:tcPr>
            <w:tcW w:w="545"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D28463" w14:textId="77777777" w:rsidR="00013DDB" w:rsidRPr="007E5F04" w:rsidRDefault="00013DDB" w:rsidP="00D41CA2">
            <w:pPr>
              <w:keepNext/>
              <w:jc w:val="center"/>
              <w:rPr>
                <w:rFonts w:asciiTheme="minorHAnsi" w:hAnsiTheme="minorHAnsi" w:cstheme="minorHAnsi"/>
                <w:b/>
                <w:bCs/>
                <w:sz w:val="20"/>
              </w:rPr>
            </w:pPr>
          </w:p>
        </w:tc>
        <w:tc>
          <w:tcPr>
            <w:tcW w:w="301"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D7B31" w14:textId="77777777" w:rsidR="00013DDB" w:rsidRPr="007E5F04" w:rsidRDefault="00013DDB" w:rsidP="00D41CA2">
            <w:pPr>
              <w:keepNext/>
              <w:jc w:val="center"/>
              <w:rPr>
                <w:rFonts w:asciiTheme="minorHAnsi" w:hAnsiTheme="minorHAnsi" w:cstheme="minorHAnsi"/>
                <w:sz w:val="20"/>
              </w:rPr>
            </w:pPr>
          </w:p>
        </w:tc>
        <w:tc>
          <w:tcPr>
            <w:tcW w:w="236"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DBED9A" w14:textId="77777777" w:rsidR="00013DDB" w:rsidRPr="007E5F04" w:rsidRDefault="00013DDB" w:rsidP="00D41CA2">
            <w:pPr>
              <w:keepNext/>
              <w:jc w:val="center"/>
              <w:rPr>
                <w:rFonts w:asciiTheme="minorHAnsi" w:hAnsiTheme="minorHAnsi" w:cstheme="minorHAnsi"/>
                <w:b/>
                <w:bCs/>
                <w:sz w:val="20"/>
              </w:rPr>
            </w:pPr>
            <w:r w:rsidRPr="007E5F04">
              <w:rPr>
                <w:rFonts w:asciiTheme="minorHAnsi" w:hAnsiTheme="minorHAnsi" w:cstheme="minorHAnsi"/>
                <w:b/>
                <w:bCs/>
                <w:sz w:val="20"/>
              </w:rPr>
              <w:t>X</w:t>
            </w:r>
          </w:p>
        </w:tc>
        <w:tc>
          <w:tcPr>
            <w:tcW w:w="318"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3370EE0" w14:textId="77777777" w:rsidR="00013DDB" w:rsidRPr="007E5F04" w:rsidRDefault="00013DDB" w:rsidP="00D41CA2">
            <w:pPr>
              <w:keepNext/>
              <w:jc w:val="center"/>
              <w:rPr>
                <w:rFonts w:asciiTheme="minorHAnsi" w:hAnsiTheme="minorHAnsi" w:cstheme="minorHAnsi"/>
                <w:sz w:val="20"/>
              </w:rPr>
            </w:pPr>
          </w:p>
        </w:tc>
        <w:tc>
          <w:tcPr>
            <w:tcW w:w="155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4290CC" w14:textId="77777777" w:rsidR="00013DDB" w:rsidRPr="007E5F04" w:rsidRDefault="00013DDB" w:rsidP="00D41CA2">
            <w:pPr>
              <w:keepNext/>
              <w:rPr>
                <w:rFonts w:asciiTheme="minorHAnsi" w:eastAsiaTheme="minorEastAsia" w:hAnsiTheme="minorHAnsi" w:cstheme="minorHAnsi"/>
                <w:sz w:val="20"/>
              </w:rPr>
            </w:pPr>
            <w:r w:rsidRPr="007E5F04">
              <w:rPr>
                <w:rFonts w:asciiTheme="minorHAnsi" w:eastAsiaTheme="minorEastAsia" w:hAnsiTheme="minorHAnsi" w:cstheme="minorHAnsi"/>
                <w:sz w:val="20"/>
              </w:rPr>
              <w:t>Tras la aprobación por el Consejo en 2017 del proyecto SGRI (Sistema de Gestión de la Resiliencia Institucional de la UIT), se definieron y documentaron los elementos principales de la BCM (gestión de la continuidad de las actividades). En cuanto a la implementación, la UIT está finalizando todos los BCP (Planes de continuidad de las actividades) de la Sede y las Oficinas Regionales, Zonales y de Coordinación, que deberían estar terminados a finales de septiembre de 2023. Tanto los elementos del marco como los BCP están a disposición de la alta dirección.</w:t>
            </w:r>
          </w:p>
          <w:p w14:paraId="5EB9D1C0" w14:textId="77777777" w:rsidR="00013DDB" w:rsidRPr="007E5F04" w:rsidRDefault="00013DDB" w:rsidP="00D41CA2">
            <w:pPr>
              <w:keepNext/>
              <w:rPr>
                <w:rFonts w:asciiTheme="minorHAnsi" w:eastAsiaTheme="minorHAnsi" w:hAnsiTheme="minorHAnsi" w:cstheme="minorHAnsi"/>
                <w:sz w:val="20"/>
              </w:rPr>
            </w:pPr>
            <w:r w:rsidRPr="007E5F04">
              <w:rPr>
                <w:rFonts w:asciiTheme="minorHAnsi" w:eastAsiaTheme="minorHAnsi" w:hAnsiTheme="minorHAnsi" w:cstheme="minorHAnsi"/>
                <w:sz w:val="20"/>
              </w:rPr>
              <w:t>Ninguna repercusión financiera o de recursos humanos adicional.</w:t>
            </w:r>
          </w:p>
        </w:tc>
      </w:tr>
      <w:tr w:rsidR="00013DDB" w:rsidRPr="007E5F04" w14:paraId="15BE57B9" w14:textId="77777777" w:rsidTr="00013DDB">
        <w:trPr>
          <w:trHeight w:val="60"/>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8C2E3DA" w14:textId="77777777"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color w:val="000000"/>
                <w:sz w:val="20"/>
              </w:rPr>
              <w:t xml:space="preserve">Recomendación 2: </w:t>
            </w:r>
            <w:r w:rsidRPr="007E5F04">
              <w:rPr>
                <w:rFonts w:asciiTheme="minorHAnsi" w:hAnsiTheme="minorHAnsi" w:cstheme="minorHAnsi"/>
                <w:color w:val="000000"/>
                <w:sz w:val="20"/>
              </w:rPr>
              <w:t xml:space="preserve">los jefes ejecutivos de las organizaciones del sistema de las Naciones </w:t>
            </w:r>
            <w:r w:rsidRPr="007E5F04">
              <w:rPr>
                <w:rFonts w:asciiTheme="minorHAnsi" w:hAnsiTheme="minorHAnsi" w:cstheme="minorHAnsi"/>
                <w:color w:val="000000"/>
                <w:sz w:val="20"/>
              </w:rPr>
              <w:lastRenderedPageBreak/>
              <w:t>Unidas deberían, antes de que finalice 2023, velar por que los componentes de mantenimiento, ensayo y revisión de sus planes de continuidad de las operaciones se apliquen mediante un enfoque coherente y disciplinado para confirmar que los planes siguen siendo pertinentes y eficaces.</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ABEA5A"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lastRenderedPageBreak/>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94A5576" w14:textId="77777777" w:rsidR="00013DDB" w:rsidRPr="007E5F04" w:rsidRDefault="00013DDB" w:rsidP="00D41CA2">
            <w:pPr>
              <w:jc w:val="center"/>
              <w:rPr>
                <w:rFonts w:asciiTheme="minorHAnsi" w:hAnsiTheme="minorHAnsi" w:cstheme="minorHAnsi"/>
                <w:b/>
                <w:bCs/>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3BD76BF" w14:textId="77777777" w:rsidR="00013DDB" w:rsidRPr="007E5F04" w:rsidRDefault="00013DDB" w:rsidP="00D41CA2">
            <w:pPr>
              <w:jc w:val="cente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814000" w14:textId="77777777" w:rsidR="00013DDB" w:rsidRPr="007E5F04" w:rsidRDefault="00013DDB" w:rsidP="00D41CA2">
            <w:pPr>
              <w:jc w:val="center"/>
              <w:rPr>
                <w:rFonts w:asciiTheme="minorHAnsi" w:hAnsiTheme="minorHAnsi" w:cstheme="minorHAnsi"/>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8105D6" w14:textId="77777777" w:rsidR="00013DDB" w:rsidRPr="007E5F04" w:rsidRDefault="00013DDB" w:rsidP="00D41CA2">
            <w:pPr>
              <w:jc w:val="center"/>
              <w:rPr>
                <w:rFonts w:asciiTheme="minorHAnsi" w:hAnsiTheme="minorHAnsi" w:cstheme="minorHAnsi"/>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BC9A14F" w14:textId="77777777" w:rsidR="00013DDB" w:rsidRPr="007E5F04" w:rsidRDefault="00013DDB" w:rsidP="00D41CA2">
            <w:pPr>
              <w:jc w:val="cente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3E20E1" w14:textId="77777777" w:rsidR="00013DDB" w:rsidRPr="007E5F04" w:rsidRDefault="00013DDB" w:rsidP="00D41CA2">
            <w:pPr>
              <w:jc w:val="center"/>
              <w:rPr>
                <w:rFonts w:asciiTheme="minorHAnsi" w:eastAsiaTheme="minorHAnsi" w:hAnsiTheme="minorHAnsi" w:cstheme="minorHAnsi"/>
                <w:b/>
                <w:bCs/>
                <w:sz w:val="20"/>
              </w:rPr>
            </w:pPr>
            <w:r w:rsidRPr="007E5F04">
              <w:rPr>
                <w:rFonts w:asciiTheme="minorHAnsi" w:eastAsiaTheme="minorHAnsi" w:hAnsiTheme="minorHAnsi" w:cstheme="minorHAnsi"/>
                <w:b/>
                <w:bCs/>
                <w:sz w:val="20"/>
              </w:rPr>
              <w:t>X</w:t>
            </w: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00EA9"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El régimen de mantenimiento, práctica y examen de la UIT se basa en lo siguiente:</w:t>
            </w:r>
          </w:p>
          <w:p w14:paraId="36BF48B4" w14:textId="77777777" w:rsidR="00013DDB" w:rsidRPr="007E5F04" w:rsidRDefault="00013DDB" w:rsidP="00013DDB">
            <w:pPr>
              <w:numPr>
                <w:ilvl w:val="0"/>
                <w:numId w:val="2"/>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eastAsia="en-GB"/>
              </w:rPr>
            </w:pPr>
            <w:r w:rsidRPr="007E5F04">
              <w:rPr>
                <w:rFonts w:asciiTheme="minorHAnsi" w:eastAsiaTheme="minorHAnsi" w:hAnsiTheme="minorHAnsi" w:cstheme="minorHAnsi"/>
                <w:sz w:val="20"/>
                <w:lang w:eastAsia="en-GB"/>
              </w:rPr>
              <w:lastRenderedPageBreak/>
              <w:t>Un calendario para las pruebas y la revisión anuales de los BCP;</w:t>
            </w:r>
          </w:p>
          <w:p w14:paraId="6354FD07" w14:textId="77777777" w:rsidR="00013DDB" w:rsidRPr="007E5F04" w:rsidRDefault="00013DDB" w:rsidP="00013DDB">
            <w:pPr>
              <w:numPr>
                <w:ilvl w:val="0"/>
                <w:numId w:val="2"/>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eastAsia="en-GB"/>
              </w:rPr>
            </w:pPr>
            <w:r w:rsidRPr="007E5F04">
              <w:rPr>
                <w:rFonts w:asciiTheme="minorHAnsi" w:eastAsiaTheme="minorHAnsi" w:hAnsiTheme="minorHAnsi" w:cstheme="minorHAnsi"/>
                <w:sz w:val="20"/>
                <w:lang w:eastAsia="en-GB"/>
              </w:rPr>
              <w:t>Ejercicios prácticos sistemáticos antes de los grandes eventos (grandes reuniones);</w:t>
            </w:r>
          </w:p>
          <w:p w14:paraId="4E7BD500" w14:textId="77777777" w:rsidR="00013DDB" w:rsidRPr="007E5F04" w:rsidRDefault="00013DDB" w:rsidP="00013DDB">
            <w:pPr>
              <w:numPr>
                <w:ilvl w:val="0"/>
                <w:numId w:val="2"/>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EastAsia" w:hAnsiTheme="minorHAnsi" w:cstheme="minorHAnsi"/>
                <w:sz w:val="20"/>
                <w:lang w:eastAsia="en-GB"/>
              </w:rPr>
            </w:pPr>
            <w:r w:rsidRPr="007E5F04">
              <w:rPr>
                <w:rFonts w:asciiTheme="minorHAnsi" w:eastAsiaTheme="minorEastAsia" w:hAnsiTheme="minorHAnsi" w:cstheme="minorHAnsi"/>
                <w:sz w:val="20"/>
                <w:lang w:eastAsia="en-GB"/>
              </w:rPr>
              <w:t>Ejercicio práctico anual con los miembros del Equipo de Gestión de Crisis (EGC);</w:t>
            </w:r>
          </w:p>
          <w:p w14:paraId="7FA74A92" w14:textId="77777777" w:rsidR="00013DDB" w:rsidRPr="007E5F04" w:rsidRDefault="00013DDB" w:rsidP="00013DDB">
            <w:pPr>
              <w:numPr>
                <w:ilvl w:val="0"/>
                <w:numId w:val="2"/>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eastAsia="en-GB"/>
              </w:rPr>
            </w:pPr>
            <w:r w:rsidRPr="007E5F04">
              <w:rPr>
                <w:rFonts w:asciiTheme="minorHAnsi" w:eastAsiaTheme="minorHAnsi" w:hAnsiTheme="minorHAnsi" w:cstheme="minorHAnsi"/>
                <w:sz w:val="20"/>
                <w:lang w:eastAsia="en-GB"/>
              </w:rPr>
              <w:t>Estrategia de recuento global y simulacro de comunicaciones de emergencia.</w:t>
            </w:r>
          </w:p>
          <w:p w14:paraId="4FE4C09E"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Ninguna repercusión financiera o de recursos humanos adicional.</w:t>
            </w:r>
          </w:p>
        </w:tc>
      </w:tr>
      <w:tr w:rsidR="00013DDB" w:rsidRPr="007E5F04" w14:paraId="03A3B7F8" w14:textId="77777777" w:rsidTr="00013DDB">
        <w:trPr>
          <w:trHeight w:val="1792"/>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2382461" w14:textId="77777777"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sz w:val="20"/>
              </w:rPr>
              <w:lastRenderedPageBreak/>
              <w:t xml:space="preserve">Recomendación 3: </w:t>
            </w:r>
            <w:r w:rsidRPr="007E5F04">
              <w:rPr>
                <w:rFonts w:asciiTheme="minorHAnsi" w:hAnsiTheme="minorHAnsi" w:cstheme="minorHAnsi"/>
                <w:sz w:val="20"/>
              </w:rPr>
              <w:t>los jefes ejecutivos de las organizaciones del sistema de las Naciones Unidas deberían, antes de que finalice 2023, reforzar sus mecanismo de aprendizaje para contribuir a la resiliencia institucional, solicitando que se realicen revisiones después de cada incidente perturbador y exámenes periódicos internos de sus marcos de gestión de la continuidad de las operaciones.</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D884B6"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683466" w14:textId="77777777" w:rsidR="00013DDB" w:rsidRPr="007E5F04" w:rsidRDefault="00013DDB" w:rsidP="00D41CA2">
            <w:pPr>
              <w:jc w:val="cente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AF17AD" w14:textId="77777777" w:rsidR="00013DDB" w:rsidRPr="007E5F04" w:rsidRDefault="00013DDB" w:rsidP="00D41CA2">
            <w:pPr>
              <w:jc w:val="cente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B2C33E5" w14:textId="77777777" w:rsidR="00013DDB" w:rsidRPr="007E5F04" w:rsidRDefault="00013DDB" w:rsidP="00D41CA2">
            <w:pPr>
              <w:jc w:val="center"/>
              <w:rPr>
                <w:rFonts w:asciiTheme="minorHAnsi" w:eastAsia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CFAF2F" w14:textId="77777777" w:rsidR="00013DDB" w:rsidRPr="007E5F04" w:rsidRDefault="00013DDB" w:rsidP="00D41CA2">
            <w:pPr>
              <w:jc w:val="cente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80737E" w14:textId="77777777" w:rsidR="00013DDB" w:rsidRPr="007E5F04" w:rsidRDefault="00013DDB" w:rsidP="00D41CA2">
            <w:pPr>
              <w:jc w:val="center"/>
              <w:rPr>
                <w:rFonts w:asciiTheme="minorHAnsi" w:eastAsiaTheme="minorHAnsi" w:hAnsiTheme="minorHAnsi" w:cstheme="minorHAnsi"/>
                <w:b/>
                <w:bCs/>
                <w:sz w:val="20"/>
              </w:rPr>
            </w:pPr>
            <w:r w:rsidRPr="007E5F04">
              <w:rPr>
                <w:rFonts w:asciiTheme="minorHAnsi" w:eastAsiaTheme="minorHAnsi" w:hAnsiTheme="minorHAnsi" w:cstheme="minorHAnsi"/>
                <w:b/>
                <w:bCs/>
                <w:sz w:val="20"/>
              </w:rPr>
              <w:t>X</w:t>
            </w: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DB854F" w14:textId="77777777" w:rsidR="00013DDB" w:rsidRPr="007E5F04" w:rsidRDefault="00013DDB" w:rsidP="00D41CA2">
            <w:pPr>
              <w:jc w:val="center"/>
              <w:rPr>
                <w:rFonts w:ascii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29960E0E" w14:textId="77777777" w:rsidR="00013DDB" w:rsidRPr="007E5F04" w:rsidRDefault="00013DDB" w:rsidP="00D41CA2">
            <w:pPr>
              <w:rPr>
                <w:rFonts w:asciiTheme="minorHAnsi" w:eastAsiaTheme="minorHAnsi" w:hAnsiTheme="minorHAnsi" w:cstheme="minorHAnsi"/>
                <w:sz w:val="20"/>
              </w:rPr>
            </w:pPr>
            <w:r w:rsidRPr="007E5F04">
              <w:rPr>
                <w:rFonts w:asciiTheme="minorHAnsi" w:eastAsiaTheme="minorHAnsi" w:hAnsiTheme="minorHAnsi" w:cstheme="minorHAnsi"/>
                <w:sz w:val="20"/>
              </w:rPr>
              <w:t xml:space="preserve">Después de cada incidente grave se realizan exámenes para determinar las causas. Además, se está planificando una herramienta de planificación global en línea para automatizar en línea la gestión global de la resiliencia de la Unión, centrada principalmente en el régimen de mantenimiento, práctica y examen y sus resultados. </w:t>
            </w:r>
          </w:p>
          <w:p w14:paraId="7CA5E734" w14:textId="77777777" w:rsidR="00013DDB" w:rsidRPr="007E5F04" w:rsidRDefault="00013DDB" w:rsidP="00D41CA2">
            <w:pPr>
              <w:rPr>
                <w:rFonts w:asciiTheme="minorHAnsi" w:eastAsiaTheme="minorHAnsi" w:hAnsiTheme="minorHAnsi" w:cstheme="minorHAnsi"/>
                <w:sz w:val="20"/>
              </w:rPr>
            </w:pPr>
            <w:r w:rsidRPr="007E5F04">
              <w:rPr>
                <w:rFonts w:asciiTheme="minorHAnsi" w:eastAsiaTheme="minorHAnsi" w:hAnsiTheme="minorHAnsi" w:cstheme="minorHAnsi"/>
                <w:sz w:val="20"/>
              </w:rPr>
              <w:t>La migración a la nube o el desarrollo de la aplicación para el tablón en línea podrían tener repercusiones financieras.</w:t>
            </w:r>
          </w:p>
        </w:tc>
      </w:tr>
      <w:tr w:rsidR="00013DDB" w:rsidRPr="007E5F04" w14:paraId="2F9C7DA0" w14:textId="77777777" w:rsidTr="00013DDB">
        <w:trPr>
          <w:trHeight w:val="509"/>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AD56528" w14:textId="77777777"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 xml:space="preserve">Recomendación 4: </w:t>
            </w:r>
            <w:r w:rsidRPr="007E5F04">
              <w:rPr>
                <w:rFonts w:asciiTheme="minorHAnsi" w:hAnsiTheme="minorHAnsi" w:cstheme="minorHAnsi"/>
                <w:color w:val="000000"/>
                <w:sz w:val="20"/>
              </w:rPr>
              <w:t xml:space="preserve">los jefes ejecutivos de las organizaciones del sistema de las Naciones Unidas deberían, antes de que finalice 2024, informar a sus órganos rectores y legislativos sobre los progresos realizados en la aplicación de la política sobre el sistema de gestión de la resiliencia institucional y sus indicadores del rendimiento revisados, y poner de relieve las </w:t>
            </w:r>
            <w:r w:rsidRPr="007E5F04">
              <w:rPr>
                <w:rFonts w:asciiTheme="minorHAnsi" w:hAnsiTheme="minorHAnsi" w:cstheme="minorHAnsi"/>
                <w:color w:val="000000"/>
                <w:sz w:val="20"/>
              </w:rPr>
              <w:lastRenderedPageBreak/>
              <w:t>buenas prácticas y las experiencias adquiridas, especialmente en el ámbito de la gestión de la continuidad de las operaciones.</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9694FC"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lastRenderedPageBreak/>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DE5F23" w14:textId="77777777" w:rsidR="00013DDB" w:rsidRPr="007E5F04" w:rsidRDefault="00013DDB" w:rsidP="00D41CA2">
            <w:pPr>
              <w:jc w:val="cente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F4A885" w14:textId="77777777" w:rsidR="00013DDB" w:rsidRPr="007E5F04" w:rsidRDefault="00013DDB" w:rsidP="00D41CA2">
            <w:pPr>
              <w:jc w:val="cente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3F1B1E2" w14:textId="77777777" w:rsidR="00013DDB" w:rsidRPr="007E5F04" w:rsidRDefault="00013DDB" w:rsidP="00D41CA2">
            <w:pPr>
              <w:jc w:val="center"/>
              <w:rPr>
                <w:rFonts w:asciiTheme="minorHAnsi" w:eastAsia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421473" w14:textId="77777777" w:rsidR="00013DDB" w:rsidRPr="007E5F04" w:rsidRDefault="00013DDB" w:rsidP="00D41CA2">
            <w:pPr>
              <w:jc w:val="cente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4176873"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0EFA76" w14:textId="77777777" w:rsidR="00013DDB" w:rsidRPr="007E5F04" w:rsidRDefault="00013DDB" w:rsidP="00D41CA2">
            <w:pPr>
              <w:jc w:val="center"/>
              <w:rPr>
                <w:rFonts w:asciiTheme="minorHAnsi" w:eastAsia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66AB7647" w14:textId="0AA5082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 xml:space="preserve">El Informe debe </w:t>
            </w:r>
            <w:r w:rsidR="007E5F04" w:rsidRPr="007E5F04">
              <w:rPr>
                <w:rFonts w:asciiTheme="minorHAnsi" w:hAnsiTheme="minorHAnsi" w:cstheme="minorHAnsi"/>
                <w:sz w:val="20"/>
              </w:rPr>
              <w:t>estar</w:t>
            </w:r>
            <w:r w:rsidRPr="007E5F04">
              <w:rPr>
                <w:rFonts w:asciiTheme="minorHAnsi" w:hAnsiTheme="minorHAnsi" w:cstheme="minorHAnsi"/>
                <w:sz w:val="20"/>
              </w:rPr>
              <w:t xml:space="preserve"> listo para la reunión de 2024 del Consejo.</w:t>
            </w:r>
            <w:r w:rsidR="007E5F04">
              <w:rPr>
                <w:rFonts w:asciiTheme="minorHAnsi" w:hAnsiTheme="minorHAnsi" w:cstheme="minorHAnsi"/>
                <w:sz w:val="20"/>
              </w:rPr>
              <w:t xml:space="preserve"> </w:t>
            </w:r>
          </w:p>
          <w:p w14:paraId="5AE573E8"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Ninguna repercusión financiera o de recursos humanos adicional.</w:t>
            </w:r>
          </w:p>
        </w:tc>
      </w:tr>
      <w:tr w:rsidR="00013DDB" w:rsidRPr="007E5F04" w14:paraId="3AA15B6F" w14:textId="77777777" w:rsidTr="00013DDB">
        <w:trPr>
          <w:trHeight w:val="3953"/>
          <w:jc w:val="center"/>
        </w:trPr>
        <w:tc>
          <w:tcPr>
            <w:tcW w:w="1061"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218C1DA5" w14:textId="77777777"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Recomendación 5:</w:t>
            </w:r>
            <w:r w:rsidRPr="007E5F04">
              <w:rPr>
                <w:rFonts w:asciiTheme="minorHAnsi" w:hAnsiTheme="minorHAnsi" w:cstheme="minorHAnsi"/>
                <w:sz w:val="20"/>
              </w:rPr>
              <w:t xml:space="preserve"> en 2023, los jefes ejecutivos de las organizaciones del sistema de las Naciones Unidas deberían llevar a cabo una evaluación interna de la gestión de la continuidad de las operaciones durante la pandemia de</w:t>
            </w:r>
            <w:r w:rsidRPr="007E5F04">
              <w:rPr>
                <w:rFonts w:asciiTheme="minorHAnsi" w:hAnsiTheme="minorHAnsi" w:cstheme="minorHAnsi"/>
                <w:color w:val="000000"/>
                <w:sz w:val="20"/>
              </w:rPr>
              <w:t xml:space="preserve"> COVID-19 a fin de identificar las lagunas, los elementos facilitadores, las buenas prácticas y las experiencias adquiridas y ajustar en consecuencia las políticas, los procesos y los procedimientos, en particular en ámbitos como los recursos humanos, la gestión de las tecnologías de la información y las comunicaciones y la salud y la seguridad ocupacionales, e indicar las medidas necesarias para prepararse y responder mejor ante futuros incidentes perturbadores.</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75A1777"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42DF82" w14:textId="77777777" w:rsidR="00013DDB" w:rsidRPr="007E5F04" w:rsidRDefault="00013DDB" w:rsidP="00D41CA2">
            <w:pPr>
              <w:jc w:val="cente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856FAA" w14:textId="77777777" w:rsidR="00013DDB" w:rsidRPr="007E5F04" w:rsidRDefault="00013DDB" w:rsidP="00D41CA2">
            <w:pPr>
              <w:jc w:val="cente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19CD42" w14:textId="77777777" w:rsidR="00013DDB" w:rsidRPr="007E5F04" w:rsidRDefault="00013DDB" w:rsidP="00D41CA2">
            <w:pPr>
              <w:jc w:val="center"/>
              <w:rPr>
                <w:rFonts w:asciiTheme="minorHAnsi" w:hAnsiTheme="minorHAnsi" w:cstheme="minorHAnsi"/>
                <w:b/>
                <w:bCs/>
                <w:color w:val="000000"/>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E44A98" w14:textId="77777777" w:rsidR="00013DDB" w:rsidRPr="007E5F04" w:rsidRDefault="00013DDB" w:rsidP="00D41CA2">
            <w:pPr>
              <w:jc w:val="cente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0E9F75"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08171B" w14:textId="77777777" w:rsidR="00013DDB" w:rsidRPr="007E5F04" w:rsidRDefault="00013DDB" w:rsidP="00D41CA2">
            <w:pPr>
              <w:jc w:val="center"/>
              <w:rPr>
                <w:rFonts w:asciiTheme="minorHAnsi" w:hAnsiTheme="minorHAnsi" w:cstheme="minorHAnsi"/>
                <w:b/>
                <w:bCs/>
                <w:color w:val="000000"/>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E6B4B37" w14:textId="77777777" w:rsidR="00013DDB" w:rsidRPr="007E5F04" w:rsidRDefault="00013DDB" w:rsidP="00D41CA2">
            <w:pPr>
              <w:rPr>
                <w:i/>
                <w:iCs/>
                <w:sz w:val="20"/>
              </w:rPr>
            </w:pPr>
            <w:r w:rsidRPr="007E5F04">
              <w:rPr>
                <w:sz w:val="20"/>
              </w:rPr>
              <w:t xml:space="preserve">Los órganos rectores de la UIT se han mantenido informados de las repercusiones del COVID-19, como se reconoce en el </w:t>
            </w:r>
            <w:r w:rsidRPr="007E5F04">
              <w:rPr>
                <w:i/>
                <w:iCs/>
                <w:sz w:val="20"/>
              </w:rPr>
              <w:t xml:space="preserve">recordando además </w:t>
            </w:r>
            <w:r w:rsidRPr="007E5F04">
              <w:rPr>
                <w:sz w:val="20"/>
              </w:rPr>
              <w:t>b) de la Resolución 217 (Bucarest, 2022)</w:t>
            </w:r>
            <w:r w:rsidRPr="007E5F04">
              <w:rPr>
                <w:i/>
                <w:iCs/>
                <w:sz w:val="20"/>
              </w:rPr>
              <w:t xml:space="preserve">: </w:t>
            </w:r>
          </w:p>
          <w:p w14:paraId="35313FBE" w14:textId="6541D600" w:rsidR="00013DDB" w:rsidRPr="007E5F04" w:rsidRDefault="007E5F04" w:rsidP="00D41CA2">
            <w:pPr>
              <w:rPr>
                <w:i/>
                <w:iCs/>
              </w:rPr>
            </w:pPr>
            <w:r>
              <w:rPr>
                <w:i/>
                <w:iCs/>
                <w:sz w:val="20"/>
              </w:rPr>
              <w:t>"</w:t>
            </w:r>
            <w:r w:rsidR="00013DDB" w:rsidRPr="007E5F04">
              <w:rPr>
                <w:i/>
                <w:iCs/>
                <w:sz w:val="20"/>
              </w:rPr>
              <w:t>el Informe del Secretario General durante la reunión de 2021 del Consejo, a la Consulta Virtual de los Consejeros (CVC), relativo a las repercusiones de la pandemia de la enfermedad del coronavirus (COVID-19) sobre el funcionamiento y las actividades de la UIT, en el que se destaca la adopción de una serie de medidas tempranas y amplias para garantizar la continuidad de los servicios durante la pandemia, entre ellas el teletrabajo a distancia, el uso de plataformas virtuales para muchas reuniones fundamentales y medidas para garantizar la seguridad y la protección del personal;</w:t>
            </w:r>
            <w:r>
              <w:rPr>
                <w:i/>
                <w:iCs/>
                <w:sz w:val="20"/>
              </w:rPr>
              <w:t>"</w:t>
            </w:r>
            <w:r w:rsidR="00013DDB" w:rsidRPr="007E5F04">
              <w:rPr>
                <w:i/>
                <w:iCs/>
              </w:rPr>
              <w:t xml:space="preserve"> </w:t>
            </w:r>
          </w:p>
          <w:p w14:paraId="3D672FCB"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Ninguna repercusión financiera o de recursos humanos adicional</w:t>
            </w:r>
            <w:r w:rsidRPr="007E5F04">
              <w:rPr>
                <w:rFonts w:asciiTheme="minorHAnsi" w:hAnsiTheme="minorHAnsi" w:cstheme="minorHAnsi"/>
                <w:color w:val="000000"/>
                <w:sz w:val="20"/>
              </w:rPr>
              <w:t>.</w:t>
            </w:r>
          </w:p>
        </w:tc>
      </w:tr>
      <w:tr w:rsidR="00013DDB" w:rsidRPr="007E5F04" w14:paraId="39982CFA" w14:textId="77777777" w:rsidTr="00013DDB">
        <w:trPr>
          <w:trHeight w:val="900"/>
          <w:jc w:val="center"/>
        </w:trPr>
        <w:tc>
          <w:tcPr>
            <w:tcW w:w="1061"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B3D7F40" w14:textId="7F119574" w:rsidR="00013DDB" w:rsidRPr="007E5F04" w:rsidRDefault="007E5F04"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Recomendación</w:t>
            </w:r>
            <w:r w:rsidR="00013DDB" w:rsidRPr="007E5F04">
              <w:rPr>
                <w:rFonts w:asciiTheme="minorHAnsi" w:hAnsiTheme="minorHAnsi" w:cstheme="minorHAnsi"/>
                <w:b/>
                <w:bCs/>
                <w:color w:val="000000"/>
                <w:sz w:val="20"/>
              </w:rPr>
              <w:t xml:space="preserve"> 6:</w:t>
            </w:r>
            <w:r w:rsidR="00013DDB" w:rsidRPr="007E5F04">
              <w:rPr>
                <w:rFonts w:asciiTheme="minorHAnsi" w:hAnsiTheme="minorHAnsi" w:cstheme="minorHAnsi"/>
                <w:sz w:val="20"/>
              </w:rPr>
              <w:t xml:space="preserve"> los órganos rectores y legislativos de las organizaciones del sistema de las Naciones Unidas deberían examinar, lo antes posible, las conclusiones de la evaluación interna de la gestión de la </w:t>
            </w:r>
            <w:r w:rsidR="00013DDB" w:rsidRPr="007E5F04">
              <w:rPr>
                <w:rFonts w:asciiTheme="minorHAnsi" w:hAnsiTheme="minorHAnsi" w:cstheme="minorHAnsi"/>
                <w:sz w:val="20"/>
              </w:rPr>
              <w:lastRenderedPageBreak/>
              <w:t>continuidad de las operaciones durante la pandemia de</w:t>
            </w:r>
            <w:r w:rsidR="00013DDB" w:rsidRPr="007E5F04">
              <w:rPr>
                <w:rFonts w:asciiTheme="minorHAnsi" w:hAnsiTheme="minorHAnsi" w:cstheme="minorHAnsi"/>
                <w:color w:val="000000"/>
                <w:sz w:val="20"/>
              </w:rPr>
              <w:t xml:space="preserve"> COVID</w:t>
            </w:r>
            <w:r w:rsidR="007D43B8">
              <w:rPr>
                <w:rFonts w:asciiTheme="minorHAnsi" w:hAnsiTheme="minorHAnsi" w:cstheme="minorHAnsi"/>
                <w:color w:val="000000"/>
                <w:sz w:val="20"/>
              </w:rPr>
              <w:noBreakHyphen/>
            </w:r>
            <w:r w:rsidR="00013DDB" w:rsidRPr="007E5F04">
              <w:rPr>
                <w:rFonts w:asciiTheme="minorHAnsi" w:hAnsiTheme="minorHAnsi" w:cstheme="minorHAnsi"/>
                <w:color w:val="000000"/>
                <w:sz w:val="20"/>
              </w:rPr>
              <w:t>19 preparada por los jefes ejecutivos de las respectivas organizaciones y, sobre esa base, adoptar las decisiones apropiadas para abordar las deficiencias y los riesgos detectados y garantizar la continuidad de las operaciones.</w:t>
            </w:r>
          </w:p>
        </w:tc>
        <w:tc>
          <w:tcPr>
            <w:tcW w:w="29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147907E"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lastRenderedPageBreak/>
              <w:t>X</w:t>
            </w:r>
          </w:p>
        </w:tc>
        <w:tc>
          <w:tcPr>
            <w:tcW w:w="29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117F0E3D" w14:textId="77777777" w:rsidR="00013DDB" w:rsidRPr="007E5F04" w:rsidRDefault="00013DDB" w:rsidP="00D41CA2">
            <w:pPr>
              <w:jc w:val="cente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251F32E" w14:textId="77777777" w:rsidR="00013DDB" w:rsidRPr="007E5F04" w:rsidRDefault="00013DDB" w:rsidP="00D41CA2">
            <w:pPr>
              <w:jc w:val="cente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2CEB0E51" w14:textId="77777777" w:rsidR="00013DDB" w:rsidRPr="007E5F04" w:rsidRDefault="00013DDB" w:rsidP="00D41CA2">
            <w:pPr>
              <w:jc w:val="center"/>
              <w:rPr>
                <w:rFonts w:asciiTheme="minorHAnsi" w:hAnsiTheme="minorHAnsi" w:cstheme="minorHAnsi"/>
                <w:b/>
                <w:bCs/>
                <w:color w:val="000000"/>
                <w:sz w:val="20"/>
              </w:rPr>
            </w:pPr>
          </w:p>
        </w:tc>
        <w:tc>
          <w:tcPr>
            <w:tcW w:w="30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09114C3" w14:textId="77777777" w:rsidR="00013DDB" w:rsidRPr="007E5F04" w:rsidRDefault="00013DDB" w:rsidP="00D41CA2">
            <w:pPr>
              <w:jc w:val="cente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8D666C9"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X</w:t>
            </w:r>
          </w:p>
        </w:tc>
        <w:tc>
          <w:tcPr>
            <w:tcW w:w="31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04322715" w14:textId="77777777" w:rsidR="00013DDB" w:rsidRPr="007E5F04" w:rsidRDefault="00013DDB" w:rsidP="00D41CA2">
            <w:pPr>
              <w:jc w:val="center"/>
              <w:rPr>
                <w:rFonts w:asciiTheme="minorHAnsi" w:hAnsiTheme="minorHAnsi" w:cstheme="minorHAnsi"/>
                <w:b/>
                <w:bCs/>
                <w:color w:val="000000"/>
                <w:sz w:val="20"/>
              </w:rPr>
            </w:pPr>
          </w:p>
        </w:tc>
        <w:tc>
          <w:tcPr>
            <w:tcW w:w="155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311FFFD" w14:textId="773B010A" w:rsidR="00013DDB" w:rsidRPr="007E5F04" w:rsidRDefault="00013DDB" w:rsidP="00D41CA2">
            <w:pPr>
              <w:rPr>
                <w:rFonts w:asciiTheme="minorHAnsi" w:hAnsiTheme="minorHAnsi" w:cstheme="minorBidi"/>
                <w:sz w:val="20"/>
              </w:rPr>
            </w:pPr>
            <w:r w:rsidRPr="007E5F04">
              <w:rPr>
                <w:rFonts w:asciiTheme="minorHAnsi" w:hAnsiTheme="minorHAnsi" w:cstheme="minorBidi"/>
                <w:sz w:val="20"/>
              </w:rPr>
              <w:t>La UIT afrontó la crisis del COVID-19 proactivamente empleando el mecanismo SGRI y, en particular, los resultados del régimen de mantenimiento, práctica y examen realizado en</w:t>
            </w:r>
            <w:r w:rsidR="007D43B8">
              <w:rPr>
                <w:rFonts w:asciiTheme="minorHAnsi" w:hAnsiTheme="minorHAnsi" w:cstheme="minorBidi"/>
                <w:sz w:val="20"/>
              </w:rPr>
              <w:t> </w:t>
            </w:r>
            <w:r w:rsidRPr="007E5F04">
              <w:rPr>
                <w:rFonts w:asciiTheme="minorHAnsi" w:hAnsiTheme="minorHAnsi" w:cstheme="minorBidi"/>
                <w:sz w:val="20"/>
              </w:rPr>
              <w:t>2019 (preparación).</w:t>
            </w:r>
          </w:p>
          <w:p w14:paraId="34963898" w14:textId="617EC44C" w:rsidR="00013DDB" w:rsidRPr="007E5F04" w:rsidRDefault="00013DDB" w:rsidP="00D41CA2">
            <w:pPr>
              <w:rPr>
                <w:rFonts w:asciiTheme="minorHAnsi" w:hAnsiTheme="minorHAnsi" w:cstheme="minorBidi"/>
                <w:sz w:val="20"/>
              </w:rPr>
            </w:pPr>
            <w:r w:rsidRPr="007E5F04">
              <w:rPr>
                <w:rFonts w:asciiTheme="minorHAnsi" w:hAnsiTheme="minorHAnsi" w:cstheme="minorBidi"/>
                <w:sz w:val="20"/>
              </w:rPr>
              <w:t xml:space="preserve">En el Informe del Secretario General (C21/74-S) a la Consulta Virtual de los Consejeros de junio de </w:t>
            </w:r>
            <w:r w:rsidRPr="007E5F04">
              <w:rPr>
                <w:rFonts w:asciiTheme="minorHAnsi" w:hAnsiTheme="minorHAnsi" w:cstheme="minorBidi"/>
                <w:sz w:val="20"/>
              </w:rPr>
              <w:lastRenderedPageBreak/>
              <w:t xml:space="preserve">2021 </w:t>
            </w:r>
            <w:r w:rsidR="007E5F04">
              <w:rPr>
                <w:rFonts w:asciiTheme="minorHAnsi" w:hAnsiTheme="minorHAnsi" w:cstheme="minorBidi"/>
                <w:sz w:val="20"/>
              </w:rPr>
              <w:t>"</w:t>
            </w:r>
            <w:r w:rsidRPr="007E5F04">
              <w:rPr>
                <w:rFonts w:asciiTheme="minorHAnsi" w:hAnsiTheme="minorHAnsi" w:cstheme="minorBidi"/>
                <w:sz w:val="20"/>
              </w:rPr>
              <w:t>se resume un análisis preliminar de la repercusión de la pandemia de coronavirus</w:t>
            </w:r>
            <w:r w:rsidRPr="007E5F04">
              <w:rPr>
                <w:rFonts w:asciiTheme="minorHAnsi" w:hAnsiTheme="minorHAnsi" w:cstheme="minorHAnsi"/>
                <w:sz w:val="20"/>
              </w:rPr>
              <w:t xml:space="preserve"> (COVID-19) sobre ciertos ámbitos de actividad y el funcionamiento de la UIT, se presentan los hechos constatados, y se subrayan las experiencias adquiridas destacando algunos aspectos que podrían examinarse en el futuro</w:t>
            </w:r>
            <w:r w:rsidR="007D43B8">
              <w:rPr>
                <w:rFonts w:asciiTheme="minorHAnsi" w:hAnsiTheme="minorHAnsi" w:cstheme="minorHAnsi"/>
                <w:sz w:val="20"/>
              </w:rPr>
              <w:t>.</w:t>
            </w:r>
            <w:r w:rsidR="007E5F04">
              <w:rPr>
                <w:rFonts w:asciiTheme="minorHAnsi" w:hAnsiTheme="minorHAnsi" w:cstheme="minorHAnsi"/>
                <w:sz w:val="20"/>
              </w:rPr>
              <w:t>"</w:t>
            </w:r>
          </w:p>
          <w:p w14:paraId="0205F517" w14:textId="77777777" w:rsidR="00013DDB" w:rsidRPr="007E5F04" w:rsidRDefault="00013DDB" w:rsidP="00D41CA2">
            <w:pPr>
              <w:rPr>
                <w:rFonts w:asciiTheme="minorHAnsi" w:hAnsiTheme="minorHAnsi" w:cstheme="minorBidi"/>
                <w:sz w:val="20"/>
              </w:rPr>
            </w:pPr>
            <w:r w:rsidRPr="007E5F04">
              <w:rPr>
                <w:rFonts w:asciiTheme="minorHAnsi" w:hAnsiTheme="minorHAnsi" w:cstheme="minorHAnsi"/>
                <w:sz w:val="20"/>
              </w:rPr>
              <w:t>Ninguna repercusión financiera o de recursos humanos adicional</w:t>
            </w:r>
            <w:r w:rsidRPr="007E5F04">
              <w:rPr>
                <w:rFonts w:asciiTheme="minorHAnsi" w:hAnsiTheme="minorHAnsi" w:cstheme="minorBidi"/>
                <w:sz w:val="20"/>
              </w:rPr>
              <w:t>.</w:t>
            </w:r>
          </w:p>
        </w:tc>
      </w:tr>
      <w:tr w:rsidR="00013DDB" w:rsidRPr="007E5F04" w14:paraId="6F425DE6" w14:textId="77777777" w:rsidTr="00013DDB">
        <w:trPr>
          <w:trHeight w:val="60"/>
          <w:jc w:val="center"/>
        </w:trPr>
        <w:tc>
          <w:tcPr>
            <w:tcW w:w="379" w:type="pct"/>
            <w:tcBorders>
              <w:bottom w:val="single" w:sz="4" w:space="0" w:color="auto"/>
            </w:tcBorders>
            <w:vAlign w:val="center"/>
            <w:hideMark/>
          </w:tcPr>
          <w:p w14:paraId="1E024073" w14:textId="77777777" w:rsidR="00013DDB" w:rsidRPr="007E5F04" w:rsidRDefault="00013DDB" w:rsidP="00D41CA2">
            <w:pPr>
              <w:rPr>
                <w:rFonts w:asciiTheme="minorHAnsi" w:hAnsiTheme="minorHAnsi" w:cstheme="minorHAnsi"/>
                <w:sz w:val="20"/>
              </w:rPr>
            </w:pPr>
          </w:p>
        </w:tc>
        <w:tc>
          <w:tcPr>
            <w:tcW w:w="682" w:type="pct"/>
            <w:tcBorders>
              <w:bottom w:val="single" w:sz="4" w:space="0" w:color="auto"/>
            </w:tcBorders>
            <w:vAlign w:val="center"/>
            <w:hideMark/>
          </w:tcPr>
          <w:p w14:paraId="576F4D26" w14:textId="77777777" w:rsidR="00013DDB" w:rsidRPr="007E5F04" w:rsidRDefault="00013DDB" w:rsidP="00D41CA2">
            <w:pPr>
              <w:rPr>
                <w:rFonts w:asciiTheme="minorHAnsi" w:hAnsiTheme="minorHAnsi" w:cstheme="minorHAnsi"/>
                <w:sz w:val="20"/>
              </w:rPr>
            </w:pPr>
          </w:p>
        </w:tc>
        <w:tc>
          <w:tcPr>
            <w:tcW w:w="298" w:type="pct"/>
            <w:tcBorders>
              <w:bottom w:val="single" w:sz="4" w:space="0" w:color="auto"/>
            </w:tcBorders>
            <w:vAlign w:val="center"/>
            <w:hideMark/>
          </w:tcPr>
          <w:p w14:paraId="63EF8EAF" w14:textId="77777777" w:rsidR="00013DDB" w:rsidRPr="007E5F04" w:rsidRDefault="00013DDB" w:rsidP="00D41CA2">
            <w:pPr>
              <w:rPr>
                <w:rFonts w:asciiTheme="minorHAnsi" w:hAnsiTheme="minorHAnsi" w:cstheme="minorHAnsi"/>
                <w:sz w:val="20"/>
              </w:rPr>
            </w:pPr>
          </w:p>
        </w:tc>
        <w:tc>
          <w:tcPr>
            <w:tcW w:w="298" w:type="pct"/>
            <w:tcBorders>
              <w:bottom w:val="single" w:sz="4" w:space="0" w:color="auto"/>
            </w:tcBorders>
            <w:vAlign w:val="center"/>
            <w:hideMark/>
          </w:tcPr>
          <w:p w14:paraId="7841AE48" w14:textId="77777777" w:rsidR="00013DDB" w:rsidRPr="007E5F04" w:rsidRDefault="00013DDB" w:rsidP="00D41CA2">
            <w:pPr>
              <w:rPr>
                <w:rFonts w:asciiTheme="minorHAnsi" w:hAnsiTheme="minorHAnsi" w:cstheme="minorHAnsi"/>
                <w:sz w:val="20"/>
              </w:rPr>
            </w:pPr>
          </w:p>
        </w:tc>
        <w:tc>
          <w:tcPr>
            <w:tcW w:w="386" w:type="pct"/>
            <w:tcBorders>
              <w:bottom w:val="single" w:sz="4" w:space="0" w:color="auto"/>
            </w:tcBorders>
            <w:vAlign w:val="center"/>
            <w:hideMark/>
          </w:tcPr>
          <w:p w14:paraId="0AC7F0C7" w14:textId="77777777" w:rsidR="00013DDB" w:rsidRPr="007E5F04" w:rsidRDefault="00013DDB" w:rsidP="00D41CA2">
            <w:pPr>
              <w:rPr>
                <w:rFonts w:asciiTheme="minorHAnsi" w:hAnsiTheme="minorHAnsi" w:cstheme="minorHAnsi"/>
                <w:sz w:val="20"/>
              </w:rPr>
            </w:pPr>
          </w:p>
        </w:tc>
        <w:tc>
          <w:tcPr>
            <w:tcW w:w="545" w:type="pct"/>
            <w:tcBorders>
              <w:bottom w:val="single" w:sz="4" w:space="0" w:color="auto"/>
            </w:tcBorders>
            <w:vAlign w:val="center"/>
            <w:hideMark/>
          </w:tcPr>
          <w:p w14:paraId="336CB612" w14:textId="77777777" w:rsidR="00013DDB" w:rsidRPr="007E5F04" w:rsidRDefault="00013DDB" w:rsidP="00D41CA2">
            <w:pPr>
              <w:rPr>
                <w:rFonts w:asciiTheme="minorHAnsi" w:hAnsiTheme="minorHAnsi" w:cstheme="minorHAnsi"/>
                <w:sz w:val="20"/>
              </w:rPr>
            </w:pPr>
          </w:p>
        </w:tc>
        <w:tc>
          <w:tcPr>
            <w:tcW w:w="301" w:type="pct"/>
            <w:tcBorders>
              <w:bottom w:val="single" w:sz="4" w:space="0" w:color="auto"/>
            </w:tcBorders>
            <w:vAlign w:val="center"/>
            <w:hideMark/>
          </w:tcPr>
          <w:p w14:paraId="6C9197B8" w14:textId="77777777" w:rsidR="00013DDB" w:rsidRPr="007E5F04" w:rsidRDefault="00013DDB" w:rsidP="00D41CA2">
            <w:pPr>
              <w:rPr>
                <w:rFonts w:asciiTheme="minorHAnsi" w:hAnsiTheme="minorHAnsi" w:cstheme="minorHAnsi"/>
                <w:sz w:val="20"/>
              </w:rPr>
            </w:pPr>
          </w:p>
        </w:tc>
        <w:tc>
          <w:tcPr>
            <w:tcW w:w="236" w:type="pct"/>
            <w:tcBorders>
              <w:bottom w:val="single" w:sz="4" w:space="0" w:color="auto"/>
            </w:tcBorders>
            <w:vAlign w:val="center"/>
            <w:hideMark/>
          </w:tcPr>
          <w:p w14:paraId="28765D1D" w14:textId="77777777" w:rsidR="00013DDB" w:rsidRPr="007E5F04" w:rsidRDefault="00013DDB" w:rsidP="00D41CA2">
            <w:pPr>
              <w:rPr>
                <w:rFonts w:asciiTheme="minorHAnsi" w:hAnsiTheme="minorHAnsi" w:cstheme="minorHAnsi"/>
                <w:sz w:val="20"/>
              </w:rPr>
            </w:pPr>
          </w:p>
        </w:tc>
        <w:tc>
          <w:tcPr>
            <w:tcW w:w="318" w:type="pct"/>
            <w:tcBorders>
              <w:bottom w:val="single" w:sz="4" w:space="0" w:color="auto"/>
            </w:tcBorders>
            <w:vAlign w:val="center"/>
            <w:hideMark/>
          </w:tcPr>
          <w:p w14:paraId="5FDEF155" w14:textId="77777777" w:rsidR="00013DDB" w:rsidRPr="007E5F04" w:rsidRDefault="00013DDB" w:rsidP="00D41CA2">
            <w:pPr>
              <w:rPr>
                <w:rFonts w:asciiTheme="minorHAnsi" w:hAnsiTheme="minorHAnsi" w:cstheme="minorHAnsi"/>
                <w:sz w:val="20"/>
              </w:rPr>
            </w:pPr>
          </w:p>
        </w:tc>
        <w:tc>
          <w:tcPr>
            <w:tcW w:w="1557" w:type="pct"/>
            <w:tcBorders>
              <w:bottom w:val="single" w:sz="4" w:space="0" w:color="auto"/>
            </w:tcBorders>
            <w:vAlign w:val="center"/>
            <w:hideMark/>
          </w:tcPr>
          <w:p w14:paraId="06DD34E1" w14:textId="77777777" w:rsidR="00013DDB" w:rsidRPr="007E5F04" w:rsidRDefault="00013DDB" w:rsidP="00D41CA2">
            <w:pPr>
              <w:rPr>
                <w:rFonts w:asciiTheme="minorHAnsi" w:hAnsiTheme="minorHAnsi" w:cstheme="minorHAnsi"/>
                <w:sz w:val="20"/>
              </w:rPr>
            </w:pPr>
          </w:p>
        </w:tc>
      </w:tr>
      <w:tr w:rsidR="00013DDB" w:rsidRPr="007E5F04" w14:paraId="3523E729" w14:textId="77777777" w:rsidTr="00D41CA2">
        <w:trPr>
          <w:trHeight w:val="418"/>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019294E" w14:textId="77777777" w:rsidR="00013DDB" w:rsidRPr="007E5F04" w:rsidRDefault="00013DDB" w:rsidP="00D41CA2">
            <w:pPr>
              <w:shd w:val="clear" w:color="auto" w:fill="FFFF00"/>
              <w:jc w:val="center"/>
              <w:rPr>
                <w:rFonts w:asciiTheme="minorHAnsi" w:hAnsiTheme="minorHAnsi" w:cstheme="minorHAnsi"/>
                <w:b/>
                <w:bCs/>
                <w:color w:val="FF0000"/>
                <w:sz w:val="20"/>
              </w:rPr>
            </w:pPr>
            <w:r w:rsidRPr="007E5F04">
              <w:rPr>
                <w:rFonts w:asciiTheme="minorHAnsi" w:hAnsiTheme="minorHAnsi" w:cstheme="minorHAnsi"/>
                <w:sz w:val="20"/>
              </w:rPr>
              <w:br w:type="page"/>
            </w:r>
            <w:r w:rsidRPr="007E5F04">
              <w:rPr>
                <w:rFonts w:asciiTheme="minorHAnsi" w:hAnsiTheme="minorHAnsi" w:cstheme="minorHAnsi"/>
                <w:color w:val="000000"/>
                <w:sz w:val="20"/>
              </w:rPr>
              <w:br w:type="page"/>
            </w:r>
            <w:r w:rsidRPr="007E5F04">
              <w:rPr>
                <w:rFonts w:asciiTheme="minorHAnsi" w:hAnsiTheme="minorHAnsi" w:cstheme="minorHAnsi"/>
                <w:color w:val="000000"/>
                <w:sz w:val="20"/>
              </w:rPr>
              <w:br w:type="page"/>
            </w:r>
            <w:r w:rsidRPr="007E5F04">
              <w:rPr>
                <w:rFonts w:asciiTheme="minorHAnsi" w:hAnsiTheme="minorHAnsi" w:cstheme="minorHAnsi"/>
                <w:b/>
                <w:bCs/>
                <w:color w:val="000000"/>
                <w:sz w:val="20"/>
              </w:rPr>
              <w:t xml:space="preserve">JIU/REP/2021/5 </w:t>
            </w:r>
            <w:bookmarkStart w:id="3" w:name="Racisms"/>
            <w:bookmarkStart w:id="4" w:name="Ethics"/>
            <w:bookmarkEnd w:id="3"/>
            <w:bookmarkEnd w:id="4"/>
            <w:r w:rsidRPr="007E5F04">
              <w:rPr>
                <w:rFonts w:asciiTheme="minorHAnsi" w:hAnsiTheme="minorHAnsi" w:cstheme="minorHAnsi"/>
                <w:b/>
                <w:bCs/>
                <w:color w:val="0000FF"/>
                <w:sz w:val="20"/>
                <w:u w:val="single"/>
              </w:rPr>
              <w:fldChar w:fldCharType="begin"/>
            </w:r>
            <w:r w:rsidRPr="007E5F04">
              <w:rPr>
                <w:rFonts w:asciiTheme="minorHAnsi" w:hAnsiTheme="minorHAnsi" w:cstheme="minorHAnsi"/>
                <w:b/>
                <w:bCs/>
                <w:color w:val="0000FF"/>
                <w:sz w:val="20"/>
                <w:u w:val="single"/>
              </w:rPr>
              <w:instrText>HYPERLINK "https://www.unjiu.org/sites/www.unjiu.org/files/jiu_rep_2021_5_english.pdf"</w:instrText>
            </w:r>
            <w:r w:rsidRPr="007E5F04">
              <w:rPr>
                <w:rFonts w:asciiTheme="minorHAnsi" w:hAnsiTheme="minorHAnsi" w:cstheme="minorHAnsi"/>
                <w:b/>
                <w:bCs/>
                <w:color w:val="0000FF"/>
                <w:sz w:val="20"/>
                <w:u w:val="single"/>
              </w:rPr>
            </w:r>
            <w:r w:rsidRPr="007E5F04">
              <w:rPr>
                <w:rFonts w:asciiTheme="minorHAnsi" w:hAnsiTheme="minorHAnsi" w:cstheme="minorHAnsi"/>
                <w:b/>
                <w:bCs/>
                <w:color w:val="0000FF"/>
                <w:sz w:val="20"/>
                <w:u w:val="single"/>
              </w:rPr>
              <w:fldChar w:fldCharType="separate"/>
            </w:r>
            <w:r w:rsidRPr="007E5F04">
              <w:rPr>
                <w:rFonts w:asciiTheme="minorHAnsi" w:hAnsiTheme="minorHAnsi" w:cstheme="minorHAnsi"/>
                <w:b/>
                <w:bCs/>
                <w:color w:val="0000FF"/>
                <w:sz w:val="20"/>
                <w:u w:val="single"/>
              </w:rPr>
              <w:t>Examen de la función de ética en el sistema de las Naciones Unidas</w:t>
            </w:r>
            <w:r w:rsidRPr="007E5F04">
              <w:rPr>
                <w:rFonts w:asciiTheme="minorHAnsi" w:hAnsiTheme="minorHAnsi" w:cstheme="minorHAnsi"/>
                <w:b/>
                <w:bCs/>
                <w:color w:val="0000FF"/>
                <w:sz w:val="20"/>
                <w:u w:val="single"/>
              </w:rPr>
              <w:fldChar w:fldCharType="end"/>
            </w:r>
            <w:r w:rsidRPr="007E5F04">
              <w:rPr>
                <w:rFonts w:asciiTheme="minorHAnsi" w:hAnsiTheme="minorHAnsi" w:cstheme="minorHAnsi"/>
                <w:color w:val="000000"/>
                <w:sz w:val="20"/>
              </w:rPr>
              <w:t xml:space="preserve"> </w:t>
            </w:r>
            <w:r w:rsidRPr="007E5F04">
              <w:rPr>
                <w:rFonts w:asciiTheme="minorHAnsi" w:hAnsiTheme="minorHAnsi" w:cstheme="minorHAnsi"/>
                <w:b/>
                <w:bCs/>
                <w:sz w:val="20"/>
              </w:rPr>
              <w:t>– Coordinadora de la UIT: Cecile Divino</w:t>
            </w:r>
          </w:p>
          <w:p w14:paraId="40526CC7" w14:textId="77777777" w:rsidR="00013DDB" w:rsidRPr="007E5F04" w:rsidRDefault="00743691" w:rsidP="00013DDB">
            <w:pPr>
              <w:numPr>
                <w:ilvl w:val="0"/>
                <w:numId w:val="1"/>
              </w:numPr>
              <w:shd w:val="clear" w:color="auto" w:fill="FFFF00"/>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sz w:val="20"/>
              </w:rPr>
            </w:pPr>
            <w:hyperlink r:id="rId15" w:history="1">
              <w:r w:rsidR="00013DDB" w:rsidRPr="007E5F04">
                <w:rPr>
                  <w:rFonts w:asciiTheme="minorHAnsi" w:hAnsiTheme="minorHAnsi" w:cstheme="minorHAnsi"/>
                  <w:b/>
                  <w:bCs/>
                  <w:color w:val="0000FF"/>
                  <w:sz w:val="20"/>
                  <w:u w:val="single"/>
                </w:rPr>
                <w:t>Elementos destacados</w:t>
              </w:r>
            </w:hyperlink>
          </w:p>
        </w:tc>
      </w:tr>
      <w:tr w:rsidR="00013DDB" w:rsidRPr="007E5F04" w14:paraId="29FD6EB3" w14:textId="77777777" w:rsidTr="00013DDB">
        <w:trPr>
          <w:cantSplit/>
          <w:trHeight w:val="216"/>
          <w:jc w:val="center"/>
        </w:trPr>
        <w:tc>
          <w:tcPr>
            <w:tcW w:w="1061" w:type="pct"/>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D67D3B5"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t>Recomendación</w:t>
            </w:r>
          </w:p>
        </w:tc>
        <w:tc>
          <w:tcPr>
            <w:tcW w:w="1527" w:type="pct"/>
            <w:gridSpan w:val="4"/>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3188FD" w14:textId="70747E0D" w:rsidR="00013DDB" w:rsidRPr="007E5F04" w:rsidRDefault="007D43B8" w:rsidP="00D41CA2">
            <w:pPr>
              <w:jc w:val="center"/>
              <w:rPr>
                <w:rFonts w:asciiTheme="minorHAnsi" w:hAnsiTheme="minorHAnsi" w:cstheme="minorHAnsi"/>
                <w:b/>
                <w:bCs/>
                <w:sz w:val="20"/>
              </w:rPr>
            </w:pPr>
            <w:r>
              <w:rPr>
                <w:rFonts w:asciiTheme="minorHAnsi" w:hAnsiTheme="minorHAnsi" w:cstheme="minorHAnsi"/>
                <w:b/>
                <w:bCs/>
                <w:color w:val="000000"/>
                <w:sz w:val="20"/>
              </w:rPr>
              <w:t>R</w:t>
            </w:r>
            <w:r w:rsidR="00013DDB" w:rsidRPr="007E5F04">
              <w:rPr>
                <w:rFonts w:asciiTheme="minorHAnsi" w:hAnsiTheme="minorHAnsi" w:cstheme="minorHAnsi"/>
                <w:b/>
                <w:bCs/>
                <w:color w:val="000000"/>
                <w:sz w:val="20"/>
              </w:rPr>
              <w:t>ecomendación de aceptación</w:t>
            </w:r>
          </w:p>
        </w:tc>
        <w:tc>
          <w:tcPr>
            <w:tcW w:w="855"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E6141A1" w14:textId="75019989" w:rsidR="00013DDB" w:rsidRPr="007E5F04" w:rsidRDefault="007D43B8" w:rsidP="00D41CA2">
            <w:pPr>
              <w:jc w:val="center"/>
              <w:rPr>
                <w:rFonts w:asciiTheme="minorHAnsi" w:hAnsiTheme="minorHAnsi" w:cstheme="minorHAnsi"/>
                <w:b/>
                <w:bCs/>
                <w:sz w:val="20"/>
              </w:rPr>
            </w:pPr>
            <w:r>
              <w:rPr>
                <w:rFonts w:asciiTheme="minorHAnsi" w:hAnsiTheme="minorHAnsi" w:cstheme="minorHAnsi"/>
                <w:b/>
                <w:bCs/>
                <w:color w:val="000000"/>
                <w:sz w:val="20"/>
              </w:rPr>
              <w:t>E</w:t>
            </w:r>
            <w:r w:rsidR="00013DDB" w:rsidRPr="007E5F04">
              <w:rPr>
                <w:rFonts w:asciiTheme="minorHAnsi" w:hAnsiTheme="minorHAnsi" w:cstheme="minorHAnsi"/>
                <w:b/>
                <w:bCs/>
                <w:color w:val="000000"/>
                <w:sz w:val="20"/>
              </w:rPr>
              <w:t>stado de aplicación</w:t>
            </w:r>
          </w:p>
        </w:tc>
        <w:tc>
          <w:tcPr>
            <w:tcW w:w="1557"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41F90A8" w14:textId="22447DEE" w:rsidR="00013DDB" w:rsidRPr="007E5F04" w:rsidRDefault="007D43B8" w:rsidP="00D41CA2">
            <w:pPr>
              <w:jc w:val="center"/>
              <w:rPr>
                <w:rFonts w:asciiTheme="minorHAnsi" w:hAnsiTheme="minorHAnsi" w:cstheme="minorHAnsi"/>
                <w:b/>
                <w:bCs/>
                <w:sz w:val="20"/>
              </w:rPr>
            </w:pPr>
            <w:r>
              <w:rPr>
                <w:rFonts w:asciiTheme="minorHAnsi" w:hAnsiTheme="minorHAnsi" w:cstheme="minorHAnsi"/>
                <w:b/>
                <w:bCs/>
                <w:color w:val="000000"/>
                <w:sz w:val="20"/>
              </w:rPr>
              <w:t>O</w:t>
            </w:r>
            <w:r w:rsidR="00013DDB" w:rsidRPr="007E5F04">
              <w:rPr>
                <w:rFonts w:asciiTheme="minorHAnsi" w:hAnsiTheme="minorHAnsi" w:cstheme="minorHAnsi"/>
                <w:b/>
                <w:bCs/>
                <w:color w:val="000000"/>
                <w:sz w:val="20"/>
              </w:rPr>
              <w:t>bservaciones</w:t>
            </w:r>
          </w:p>
        </w:tc>
      </w:tr>
      <w:tr w:rsidR="00013DDB" w:rsidRPr="007E5F04" w14:paraId="4255820D" w14:textId="77777777" w:rsidTr="00013DDB">
        <w:trPr>
          <w:trHeight w:val="336"/>
          <w:jc w:val="center"/>
        </w:trPr>
        <w:tc>
          <w:tcPr>
            <w:tcW w:w="379" w:type="pc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A8C918E" w14:textId="77777777" w:rsidR="00013DDB" w:rsidRPr="007E5F04" w:rsidRDefault="00013DDB" w:rsidP="00D41CA2">
            <w:pPr>
              <w:rPr>
                <w:rFonts w:asciiTheme="minorHAnsi" w:hAnsiTheme="minorHAnsi" w:cstheme="minorHAnsi"/>
                <w:b/>
                <w:bCs/>
                <w:sz w:val="20"/>
              </w:rPr>
            </w:pPr>
            <w:r w:rsidRPr="007E5F04">
              <w:rPr>
                <w:rFonts w:asciiTheme="minorHAnsi" w:hAnsiTheme="minorHAnsi" w:cstheme="minorHAnsi"/>
                <w:b/>
                <w:bCs/>
                <w:color w:val="000000"/>
                <w:sz w:val="20"/>
              </w:rPr>
              <w:t>a los jefes ejecutivos</w:t>
            </w:r>
          </w:p>
        </w:tc>
        <w:tc>
          <w:tcPr>
            <w:tcW w:w="682"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B8EE31" w14:textId="77777777" w:rsidR="00013DDB" w:rsidRPr="007E5F04" w:rsidRDefault="00013DDB" w:rsidP="00D41CA2">
            <w:pPr>
              <w:rPr>
                <w:rFonts w:asciiTheme="minorHAnsi" w:hAnsiTheme="minorHAnsi" w:cstheme="minorHAnsi"/>
                <w:b/>
                <w:bCs/>
                <w:sz w:val="20"/>
              </w:rPr>
            </w:pPr>
            <w:r w:rsidRPr="007E5F04">
              <w:rPr>
                <w:rFonts w:asciiTheme="minorHAnsi" w:hAnsiTheme="minorHAnsi" w:cstheme="minorHAnsi"/>
                <w:b/>
                <w:bCs/>
                <w:color w:val="000000"/>
                <w:sz w:val="20"/>
              </w:rPr>
              <w:t>a los órganos legislativos/rectores</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14:paraId="3A96C683"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aceptar</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14:paraId="454A5B0B"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aceptar</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50938B76"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pertinente</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14:paraId="475A1F3C"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requiere consideraciones ulteriores</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676D13D1"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iniciada</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14:paraId="5E9E1CA7"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en curso</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14:paraId="72BE29CD"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aplicada</w:t>
            </w:r>
          </w:p>
        </w:tc>
        <w:tc>
          <w:tcPr>
            <w:tcW w:w="1557" w:type="pct"/>
            <w:tcBorders>
              <w:top w:val="nil"/>
              <w:left w:val="nil"/>
              <w:bottom w:val="single" w:sz="8" w:space="0" w:color="auto"/>
              <w:right w:val="single" w:sz="8" w:space="0" w:color="auto"/>
            </w:tcBorders>
            <w:tcMar>
              <w:top w:w="0" w:type="dxa"/>
              <w:left w:w="108" w:type="dxa"/>
              <w:bottom w:w="0" w:type="dxa"/>
              <w:right w:w="108" w:type="dxa"/>
            </w:tcMar>
            <w:hideMark/>
          </w:tcPr>
          <w:p w14:paraId="04569656"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 xml:space="preserve">Observaciones de la Junta de Jefes Ejecutivos (JJE) – disponibles aquí: </w:t>
            </w:r>
            <w:hyperlink r:id="rId16" w:history="1">
              <w:r w:rsidRPr="007E5F04">
                <w:rPr>
                  <w:rStyle w:val="Hyperlink"/>
                  <w:rFonts w:asciiTheme="minorHAnsi" w:hAnsiTheme="minorHAnsi" w:cstheme="minorHAnsi"/>
                  <w:b/>
                  <w:bCs/>
                  <w:sz w:val="20"/>
                </w:rPr>
                <w:t>Observaciones de la JJE</w:t>
              </w:r>
            </w:hyperlink>
          </w:p>
          <w:p w14:paraId="08D21446"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___</w:t>
            </w:r>
          </w:p>
          <w:p w14:paraId="7E60694A" w14:textId="77777777" w:rsidR="00013DDB" w:rsidRPr="007E5F04" w:rsidRDefault="00013DDB" w:rsidP="00D41CA2">
            <w:pPr>
              <w:jc w:val="center"/>
              <w:rPr>
                <w:rFonts w:asciiTheme="minorHAnsi" w:hAnsiTheme="minorHAnsi" w:cstheme="minorHAnsi"/>
                <w:b/>
                <w:bCs/>
                <w:color w:val="000000"/>
                <w:sz w:val="20"/>
              </w:rPr>
            </w:pPr>
            <w:r w:rsidRPr="007E5F04">
              <w:rPr>
                <w:rFonts w:asciiTheme="minorHAnsi" w:hAnsiTheme="minorHAnsi" w:cstheme="minorHAnsi"/>
                <w:b/>
                <w:bCs/>
                <w:color w:val="000000"/>
                <w:sz w:val="20"/>
              </w:rPr>
              <w:t>Observaciones de la UIT sobre pertinencia y repercusiones en materia de recursos humanos y financieros</w:t>
            </w:r>
          </w:p>
          <w:p w14:paraId="53B42DFF" w14:textId="77777777" w:rsidR="00013DDB" w:rsidRPr="007E5F04" w:rsidRDefault="00013DDB" w:rsidP="00D41CA2">
            <w:pPr>
              <w:jc w:val="center"/>
              <w:rPr>
                <w:rFonts w:asciiTheme="minorHAnsi" w:hAnsiTheme="minorHAnsi" w:cstheme="minorHAnsi"/>
                <w:sz w:val="20"/>
              </w:rPr>
            </w:pPr>
            <w:r w:rsidRPr="007E5F04">
              <w:rPr>
                <w:rFonts w:asciiTheme="minorHAnsi" w:hAnsiTheme="minorHAnsi" w:cstheme="minorHAnsi"/>
                <w:b/>
                <w:bCs/>
                <w:color w:val="000000"/>
                <w:sz w:val="20"/>
              </w:rPr>
              <w:t>(véase a continuación)</w:t>
            </w:r>
          </w:p>
        </w:tc>
      </w:tr>
      <w:tr w:rsidR="00013DDB" w:rsidRPr="007E5F04" w14:paraId="1C330D3B" w14:textId="77777777" w:rsidTr="00013DDB">
        <w:trPr>
          <w:trHeight w:val="402"/>
          <w:jc w:val="center"/>
        </w:trPr>
        <w:tc>
          <w:tcPr>
            <w:tcW w:w="1061"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56B1492" w14:textId="77777777" w:rsidR="00013DDB" w:rsidRPr="007E5F04" w:rsidRDefault="00013DDB" w:rsidP="00D41CA2">
            <w:pPr>
              <w:rPr>
                <w:rFonts w:asciiTheme="minorHAnsi" w:eastAsiaTheme="minorHAnsi" w:hAnsiTheme="minorHAnsi" w:cstheme="minorHAnsi"/>
                <w:b/>
                <w:bCs/>
                <w:sz w:val="20"/>
              </w:rPr>
            </w:pPr>
            <w:r w:rsidRPr="007E5F04">
              <w:rPr>
                <w:rFonts w:asciiTheme="minorHAnsi" w:hAnsiTheme="minorHAnsi" w:cstheme="minorHAnsi"/>
                <w:b/>
                <w:bCs/>
                <w:color w:val="000000"/>
                <w:sz w:val="20"/>
              </w:rPr>
              <w:t>Recomendación 1:</w:t>
            </w:r>
            <w:r w:rsidRPr="007E5F04">
              <w:rPr>
                <w:rFonts w:asciiTheme="minorHAnsi" w:hAnsiTheme="minorHAnsi" w:cstheme="minorHAnsi"/>
                <w:color w:val="000000"/>
                <w:sz w:val="20"/>
              </w:rPr>
              <w:t xml:space="preserve"> los jefes ejecutivos de las organizaciones del sistema de las Naciones Unidas que aún no lo hayan hecho, deberían hacerlo con efecto inmediato para garantizar que los contratos de los jefes de las Oficinas de Ética recién nombrados se expidan por un periodo completo.</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011BCD" w14:textId="77777777" w:rsidR="00013DDB" w:rsidRPr="007E5F04" w:rsidRDefault="00013DDB" w:rsidP="00D41CA2">
            <w:pPr>
              <w:rPr>
                <w:rFonts w:asciiTheme="minorHAnsi" w:hAnsiTheme="minorHAnsi" w:cstheme="minorHAnsi"/>
                <w:b/>
                <w:bCs/>
                <w:sz w:val="20"/>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945D7E"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D37254" w14:textId="77777777" w:rsidR="00013DDB" w:rsidRPr="007E5F04" w:rsidRDefault="00013DDB" w:rsidP="00D41CA2">
            <w:pPr>
              <w:jc w:val="center"/>
              <w:rPr>
                <w:rFonts w:asciiTheme="minorHAnsi" w:eastAsiaTheme="minorHAnsi" w:hAnsiTheme="minorHAnsi" w:cstheme="minorHAnsi"/>
                <w:b/>
                <w:bCs/>
                <w:sz w:val="20"/>
              </w:rPr>
            </w:pPr>
            <w:r w:rsidRPr="007E5F04">
              <w:rPr>
                <w:rFonts w:asciiTheme="minorHAnsi" w:hAnsiTheme="minorHAnsi" w:cstheme="minorHAnsi"/>
                <w:b/>
                <w:bCs/>
                <w:color w:val="000000"/>
                <w:sz w:val="20"/>
              </w:rPr>
              <w:t>X</w:t>
            </w: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D5EC43" w14:textId="77777777" w:rsidR="00013DDB" w:rsidRPr="007E5F04" w:rsidRDefault="00013DDB" w:rsidP="00D41CA2">
            <w:pPr>
              <w:rPr>
                <w:rFonts w:ascii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D5A7F9" w14:textId="77777777" w:rsidR="00013DDB" w:rsidRPr="007E5F04" w:rsidRDefault="00013DDB" w:rsidP="00D41CA2">
            <w:pPr>
              <w:rPr>
                <w:rFonts w:asciiTheme="minorHAnsi" w:hAnsiTheme="minorHAnsi" w:cstheme="minorHAnsi"/>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99C903"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C12B7E" w14:textId="77777777" w:rsidR="00013DDB" w:rsidRPr="007E5F04" w:rsidRDefault="00013DDB" w:rsidP="00D41CA2">
            <w:pPr>
              <w:rPr>
                <w:rFonts w:asciiTheme="minorHAnsi" w:hAnsiTheme="minorHAnsi" w:cstheme="minorHAnsi"/>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E4B79"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No pertinente, pues la Oficial de Ética fue nombrada en 2019 por un periodo de 2 años (renovable) y no acaba de ser nombrada.</w:t>
            </w:r>
          </w:p>
          <w:p w14:paraId="459264D5" w14:textId="77777777" w:rsidR="00013DDB" w:rsidRPr="007E5F04" w:rsidRDefault="00013DDB" w:rsidP="00D41CA2">
            <w:pPr>
              <w:rPr>
                <w:rFonts w:asciiTheme="minorHAnsi" w:eastAsiaTheme="minorHAnsi" w:hAnsiTheme="minorHAnsi" w:cstheme="minorHAnsi"/>
                <w:sz w:val="20"/>
              </w:rPr>
            </w:pPr>
            <w:r w:rsidRPr="007E5F04">
              <w:rPr>
                <w:rFonts w:asciiTheme="minorHAnsi" w:hAnsiTheme="minorHAnsi" w:cstheme="minorHAnsi"/>
                <w:sz w:val="20"/>
              </w:rPr>
              <w:t>Ninguna repercusión financiera o de recursos humanos adicional.</w:t>
            </w:r>
          </w:p>
        </w:tc>
      </w:tr>
      <w:tr w:rsidR="00013DDB" w:rsidRPr="007E5F04" w14:paraId="12FB337B" w14:textId="77777777" w:rsidTr="00013DDB">
        <w:trPr>
          <w:trHeight w:val="402"/>
          <w:jc w:val="center"/>
        </w:trPr>
        <w:tc>
          <w:tcPr>
            <w:tcW w:w="1061"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D8F5FB5" w14:textId="6A95BEE8"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color w:val="000000"/>
                <w:sz w:val="20"/>
              </w:rPr>
              <w:lastRenderedPageBreak/>
              <w:t xml:space="preserve">Recomendación 2: </w:t>
            </w:r>
            <w:r w:rsidRPr="007E5F04">
              <w:rPr>
                <w:rFonts w:asciiTheme="minorHAnsi" w:hAnsiTheme="minorHAnsi" w:cstheme="minorHAnsi"/>
                <w:color w:val="000000"/>
                <w:sz w:val="20"/>
              </w:rPr>
              <w:t>los órganos legislativos y los órganos rectores de las organizaciones del sistema de las Naciones Unidas que aún no lo hayan hecho deberían pedir a las organizaciones que actualicen los mandatos de sus respectivos comités de auditoría y supervisión para finales de</w:t>
            </w:r>
            <w:r w:rsidR="007D43B8">
              <w:rPr>
                <w:rFonts w:asciiTheme="minorHAnsi" w:hAnsiTheme="minorHAnsi" w:cstheme="minorHAnsi"/>
                <w:color w:val="000000"/>
                <w:sz w:val="20"/>
              </w:rPr>
              <w:t> </w:t>
            </w:r>
            <w:r w:rsidRPr="007E5F04">
              <w:rPr>
                <w:rFonts w:asciiTheme="minorHAnsi" w:hAnsiTheme="minorHAnsi" w:cstheme="minorHAnsi"/>
                <w:color w:val="000000"/>
                <w:sz w:val="20"/>
              </w:rPr>
              <w:t>2023 a fin de incluir, cuando sea necesario, disposiciones relativas a la ética, y la ética como esfera de especialización deseable para los nuevos miembros de los comités.</w:t>
            </w:r>
          </w:p>
        </w:tc>
        <w:tc>
          <w:tcPr>
            <w:tcW w:w="29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0578356"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color w:val="000000"/>
                <w:sz w:val="20"/>
              </w:rPr>
              <w:t>X</w:t>
            </w:r>
          </w:p>
        </w:tc>
        <w:tc>
          <w:tcPr>
            <w:tcW w:w="29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8565954" w14:textId="77777777" w:rsidR="00013DDB" w:rsidRPr="007E5F04" w:rsidRDefault="00013DDB" w:rsidP="00D41CA2">
            <w:pPr>
              <w:rPr>
                <w:rFonts w:asciiTheme="minorHAnsi" w:hAnsiTheme="minorHAnsi" w:cstheme="minorHAnsi"/>
                <w:b/>
                <w:bCs/>
                <w:sz w:val="20"/>
              </w:rPr>
            </w:pPr>
          </w:p>
        </w:tc>
        <w:tc>
          <w:tcPr>
            <w:tcW w:w="38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3ADB240"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99C06B6" w14:textId="77777777" w:rsidR="00013DDB" w:rsidRPr="007E5F04" w:rsidRDefault="00013DDB" w:rsidP="00D41CA2">
            <w:pPr>
              <w:rPr>
                <w:rFonts w:asciiTheme="minorHAnsi" w:hAnsiTheme="minorHAnsi" w:cstheme="minorHAnsi"/>
                <w:sz w:val="20"/>
              </w:rPr>
            </w:pPr>
          </w:p>
        </w:tc>
        <w:tc>
          <w:tcPr>
            <w:tcW w:w="30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1BA3634" w14:textId="77777777" w:rsidR="00013DDB" w:rsidRPr="007E5F04" w:rsidRDefault="00013DDB" w:rsidP="00D41CA2">
            <w:pPr>
              <w:rPr>
                <w:rFonts w:asciiTheme="minorHAnsi" w:hAnsiTheme="minorHAnsi" w:cstheme="minorHAnsi"/>
                <w:sz w:val="20"/>
              </w:rPr>
            </w:pPr>
          </w:p>
        </w:tc>
        <w:tc>
          <w:tcPr>
            <w:tcW w:w="23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FBE4AAD"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24383E5" w14:textId="77777777" w:rsidR="00013DDB" w:rsidRPr="007E5F04" w:rsidRDefault="00013DDB" w:rsidP="00D41CA2">
            <w:pPr>
              <w:jc w:val="center"/>
              <w:rPr>
                <w:rFonts w:asciiTheme="minorHAnsi" w:eastAsiaTheme="minorHAnsi" w:hAnsiTheme="minorHAnsi" w:cstheme="minorHAnsi"/>
                <w:b/>
                <w:bCs/>
                <w:sz w:val="20"/>
              </w:rPr>
            </w:pPr>
            <w:r w:rsidRPr="007E5F04">
              <w:rPr>
                <w:rFonts w:asciiTheme="minorHAnsi" w:hAnsiTheme="minorHAnsi" w:cstheme="minorHAnsi"/>
                <w:b/>
                <w:bCs/>
                <w:color w:val="000000"/>
                <w:sz w:val="20"/>
              </w:rPr>
              <w:t>X</w:t>
            </w:r>
          </w:p>
        </w:tc>
        <w:tc>
          <w:tcPr>
            <w:tcW w:w="155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5327D91C"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Aplicada por la PP-22 mediante la aprobación de la Resolución 162 y su Anexo revisado (Mandato del CAIG).</w:t>
            </w:r>
          </w:p>
          <w:p w14:paraId="3AC0D6BF"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Ninguna repercusión financiera o de recursos humanos adicional.</w:t>
            </w:r>
          </w:p>
        </w:tc>
      </w:tr>
      <w:tr w:rsidR="00013DDB" w:rsidRPr="007E5F04" w14:paraId="373B3120" w14:textId="77777777" w:rsidTr="00013DDB">
        <w:trPr>
          <w:trHeight w:val="900"/>
          <w:jc w:val="center"/>
        </w:trPr>
        <w:tc>
          <w:tcPr>
            <w:tcW w:w="1061"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9F2C435" w14:textId="77777777" w:rsidR="00013DDB" w:rsidRPr="007E5F04" w:rsidRDefault="00013DDB" w:rsidP="00D41CA2">
            <w:pPr>
              <w:rPr>
                <w:rFonts w:asciiTheme="minorHAnsi" w:hAnsiTheme="minorHAnsi" w:cstheme="minorHAnsi"/>
                <w:color w:val="000000"/>
                <w:sz w:val="20"/>
              </w:rPr>
            </w:pPr>
            <w:r w:rsidRPr="007E5F04">
              <w:rPr>
                <w:rFonts w:asciiTheme="minorHAnsi" w:hAnsiTheme="minorHAnsi" w:cstheme="minorHAnsi"/>
                <w:b/>
                <w:bCs/>
                <w:sz w:val="20"/>
              </w:rPr>
              <w:t xml:space="preserve">Recomendación 3: </w:t>
            </w:r>
            <w:r w:rsidRPr="007E5F04">
              <w:rPr>
                <w:rFonts w:asciiTheme="minorHAnsi" w:hAnsiTheme="minorHAnsi" w:cstheme="minorHAnsi"/>
                <w:sz w:val="20"/>
              </w:rPr>
              <w:t>los jefes ejecutivos de las organizaciones del sistema de las Naciones Unidas que aún no lo hayan hecho deberían velar por que se introduzcan cursos periódicos de actualización en ética con carácter obligatorio para todos los funcionarios y no funcionarios de sus respectivas organizaciones, independientemente de su antigüedad, categoría y nivel, cada tres años, a partir de 2023.</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5E0CE2" w14:textId="77777777" w:rsidR="00013DDB" w:rsidRPr="007E5F04" w:rsidRDefault="00013DDB" w:rsidP="00D41CA2">
            <w:pPr>
              <w:jc w:val="center"/>
              <w:rPr>
                <w:rFonts w:asciiTheme="minorHAnsi" w:hAnsiTheme="minorHAnsi" w:cstheme="minorHAnsi"/>
                <w:sz w:val="20"/>
              </w:rPr>
            </w:pPr>
            <w:r w:rsidRPr="007E5F04">
              <w:rPr>
                <w:rFonts w:asciiTheme="minorHAnsi" w:hAnsiTheme="minorHAnsi" w:cstheme="minorHAnsi"/>
                <w:b/>
                <w:bCs/>
                <w:sz w:val="20"/>
              </w:rPr>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20F599"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7AAA99"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EFA7E2" w14:textId="77777777" w:rsidR="00013DDB" w:rsidRPr="007E5F04" w:rsidRDefault="00013DDB" w:rsidP="00D41CA2">
            <w:pPr>
              <w:jc w:val="center"/>
              <w:rPr>
                <w:rFonts w:asciiTheme="minorHAnsi" w:eastAsiaTheme="minorEastAsia" w:hAnsiTheme="minorHAnsi" w:cstheme="minorHAnsi"/>
                <w:b/>
                <w:bCs/>
                <w:strike/>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08414D" w14:textId="77777777" w:rsidR="00013DDB" w:rsidRPr="007E5F04" w:rsidRDefault="00013DDB" w:rsidP="00D41CA2">
            <w:pP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BDE34A" w14:textId="77777777" w:rsidR="00013DDB" w:rsidRPr="007E5F04" w:rsidRDefault="00013DDB" w:rsidP="00D41CA2">
            <w:pPr>
              <w:jc w:val="center"/>
              <w:rPr>
                <w:rFonts w:asciiTheme="minorHAnsi" w:eastAsiaTheme="minorHAnsi" w:hAnsiTheme="minorHAnsi" w:cstheme="minorHAnsi"/>
                <w:b/>
                <w:bCs/>
                <w:sz w:val="20"/>
              </w:rPr>
            </w:pPr>
            <w:r w:rsidRPr="007E5F04">
              <w:rPr>
                <w:rFonts w:asciiTheme="minorHAnsi" w:hAnsiTheme="minorHAnsi" w:cstheme="minorHAnsi"/>
                <w:b/>
                <w:bCs/>
                <w:color w:val="000000"/>
                <w:sz w:val="20"/>
              </w:rPr>
              <w:t>X</w:t>
            </w: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C57030" w14:textId="77777777" w:rsidR="00013DDB" w:rsidRPr="007E5F04" w:rsidRDefault="00013DDB" w:rsidP="00D41CA2">
            <w:pPr>
              <w:rPr>
                <w:rFonts w:asciiTheme="minorHAnsi" w:hAnsiTheme="minorHAnsi" w:cstheme="minorHAnsi"/>
                <w:b/>
                <w:bCs/>
                <w:sz w:val="20"/>
              </w:rPr>
            </w:pP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C745"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Se está preparando una formación obligatoria en ética, cuya introducción está prevista para 2023. Se está considerando realizar un cursillo de periódico obligatorio, aunque puede que no se ponga en marcha hasta que se haya introducido la formación en ética inicial. Se prepararán otras formaciones en ética obligatorias en el marco de la nueva política de ética por promulgar.</w:t>
            </w:r>
          </w:p>
          <w:p w14:paraId="19824FC6" w14:textId="7972F9BD" w:rsidR="00013DDB" w:rsidRPr="007E5F04" w:rsidRDefault="00013DDB" w:rsidP="00D41CA2">
            <w:pPr>
              <w:rPr>
                <w:rFonts w:asciiTheme="minorHAnsi" w:eastAsiaTheme="minorHAnsi" w:hAnsiTheme="minorHAnsi" w:cstheme="minorHAnsi"/>
                <w:sz w:val="20"/>
              </w:rPr>
            </w:pPr>
            <w:r w:rsidRPr="007E5F04">
              <w:rPr>
                <w:rFonts w:asciiTheme="minorHAnsi" w:hAnsiTheme="minorHAnsi" w:cstheme="minorHAnsi"/>
                <w:sz w:val="20"/>
              </w:rPr>
              <w:t>Las formaciones que se están preparando no tiene</w:t>
            </w:r>
            <w:r w:rsidR="007D43B8">
              <w:rPr>
                <w:rFonts w:asciiTheme="minorHAnsi" w:hAnsiTheme="minorHAnsi" w:cstheme="minorHAnsi"/>
                <w:sz w:val="20"/>
              </w:rPr>
              <w:t>n</w:t>
            </w:r>
            <w:r w:rsidRPr="007E5F04">
              <w:rPr>
                <w:rFonts w:asciiTheme="minorHAnsi" w:hAnsiTheme="minorHAnsi" w:cstheme="minorHAnsi"/>
                <w:sz w:val="20"/>
              </w:rPr>
              <w:t xml:space="preserve"> repercusiones financieras o de recursos humanos adicionales.</w:t>
            </w:r>
          </w:p>
        </w:tc>
      </w:tr>
      <w:tr w:rsidR="00013DDB" w:rsidRPr="007E5F04" w14:paraId="3BC35643" w14:textId="77777777" w:rsidTr="00013DDB">
        <w:trPr>
          <w:trHeight w:val="900"/>
          <w:jc w:val="center"/>
        </w:trPr>
        <w:tc>
          <w:tcPr>
            <w:tcW w:w="1061"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D87C6D" w14:textId="409FDD32" w:rsidR="00013DDB" w:rsidRPr="007E5F04" w:rsidRDefault="00013DDB" w:rsidP="00D41CA2">
            <w:pPr>
              <w:rPr>
                <w:rFonts w:asciiTheme="minorHAnsi" w:hAnsiTheme="minorHAnsi" w:cstheme="minorHAnsi"/>
                <w:b/>
                <w:bCs/>
                <w:color w:val="000000"/>
                <w:sz w:val="20"/>
              </w:rPr>
            </w:pPr>
            <w:r w:rsidRPr="007E5F04">
              <w:rPr>
                <w:rFonts w:asciiTheme="minorHAnsi" w:hAnsiTheme="minorHAnsi" w:cstheme="minorHAnsi"/>
                <w:b/>
                <w:bCs/>
                <w:color w:val="000000"/>
                <w:sz w:val="20"/>
              </w:rPr>
              <w:t xml:space="preserve">Recomendación 4: </w:t>
            </w:r>
            <w:r w:rsidRPr="007E5F04">
              <w:rPr>
                <w:rFonts w:asciiTheme="minorHAnsi" w:hAnsiTheme="minorHAnsi" w:cstheme="minorHAnsi"/>
                <w:color w:val="000000"/>
                <w:sz w:val="20"/>
              </w:rPr>
              <w:t xml:space="preserve">los jefes ejecutivos de las organizaciones del sistema de las Naciones Unidas que aún no lo hayan hecho, con el apoyo de las funciones de ética de sus </w:t>
            </w:r>
            <w:r w:rsidRPr="007E5F04">
              <w:rPr>
                <w:rFonts w:asciiTheme="minorHAnsi" w:hAnsiTheme="minorHAnsi" w:cstheme="minorHAnsi"/>
                <w:color w:val="000000"/>
                <w:sz w:val="20"/>
              </w:rPr>
              <w:lastRenderedPageBreak/>
              <w:t xml:space="preserve">respectivas organizaciones, deberían, a más tardar en 2025, evaluar la eficacia y eficiencia, incluida la </w:t>
            </w:r>
            <w:r w:rsidR="007E5F04">
              <w:rPr>
                <w:rFonts w:asciiTheme="minorHAnsi" w:hAnsiTheme="minorHAnsi" w:cstheme="minorHAnsi"/>
                <w:color w:val="000000"/>
                <w:sz w:val="20"/>
              </w:rPr>
              <w:t>"</w:t>
            </w:r>
            <w:r w:rsidRPr="007E5F04">
              <w:rPr>
                <w:rFonts w:asciiTheme="minorHAnsi" w:hAnsiTheme="minorHAnsi" w:cstheme="minorHAnsi"/>
                <w:color w:val="000000"/>
                <w:sz w:val="20"/>
              </w:rPr>
              <w:t>relación calidad-precio</w:t>
            </w:r>
            <w:r w:rsidR="007E5F04">
              <w:rPr>
                <w:rFonts w:asciiTheme="minorHAnsi" w:hAnsiTheme="minorHAnsi" w:cstheme="minorHAnsi"/>
                <w:color w:val="000000"/>
                <w:sz w:val="20"/>
              </w:rPr>
              <w:t>"</w:t>
            </w:r>
            <w:r w:rsidRPr="007E5F04">
              <w:rPr>
                <w:rFonts w:asciiTheme="minorHAnsi" w:hAnsiTheme="minorHAnsi" w:cstheme="minorHAnsi"/>
                <w:color w:val="000000"/>
                <w:sz w:val="20"/>
              </w:rPr>
              <w:t>, de sus programas de divulgación de información financiera y declaración de intereses y, sobre la base de las conclusiones, proponer cambios en las políticas pertinentes cuando proceda.</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2A5FB4" w14:textId="77777777" w:rsidR="00013DDB" w:rsidRPr="007E5F04" w:rsidRDefault="00013DDB" w:rsidP="00D41CA2">
            <w:pPr>
              <w:jc w:val="center"/>
              <w:rPr>
                <w:rFonts w:asciiTheme="minorHAnsi" w:hAnsiTheme="minorHAnsi" w:cstheme="minorHAnsi"/>
                <w:b/>
                <w:bCs/>
                <w:sz w:val="20"/>
              </w:rPr>
            </w:pPr>
            <w:r w:rsidRPr="007E5F04">
              <w:rPr>
                <w:rFonts w:asciiTheme="minorHAnsi" w:hAnsiTheme="minorHAnsi" w:cstheme="minorHAnsi"/>
                <w:b/>
                <w:bCs/>
                <w:sz w:val="20"/>
              </w:rPr>
              <w:lastRenderedPageBreak/>
              <w:t>X</w:t>
            </w: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A64AD7" w14:textId="77777777" w:rsidR="00013DDB" w:rsidRPr="007E5F04" w:rsidRDefault="00013DDB" w:rsidP="00D41CA2">
            <w:pPr>
              <w:rPr>
                <w:rFonts w:asciiTheme="minorHAnsi" w:hAnsiTheme="minorHAnsi" w:cstheme="minorHAnsi"/>
                <w:sz w:val="20"/>
              </w:rPr>
            </w:pPr>
          </w:p>
        </w:tc>
        <w:tc>
          <w:tcPr>
            <w:tcW w:w="38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91FAC3" w14:textId="77777777" w:rsidR="00013DDB" w:rsidRPr="007E5F04" w:rsidRDefault="00013DDB" w:rsidP="00D41CA2">
            <w:pPr>
              <w:rPr>
                <w:rFonts w:asciiTheme="minorHAnsi" w:hAnsiTheme="minorHAnsi" w:cstheme="minorHAnsi"/>
                <w:sz w:val="20"/>
              </w:rPr>
            </w:pPr>
          </w:p>
        </w:tc>
        <w:tc>
          <w:tcPr>
            <w:tcW w:w="5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4DF0D2" w14:textId="77777777" w:rsidR="00013DDB" w:rsidRPr="007E5F04" w:rsidRDefault="00013DDB" w:rsidP="00D41CA2">
            <w:pPr>
              <w:jc w:val="center"/>
              <w:rPr>
                <w:rFonts w:asciiTheme="minorHAnsi" w:eastAsiaTheme="minorHAnsi" w:hAnsiTheme="minorHAnsi" w:cstheme="minorHAnsi"/>
                <w:b/>
                <w:bCs/>
                <w:sz w:val="20"/>
              </w:rPr>
            </w:pPr>
          </w:p>
        </w:tc>
        <w:tc>
          <w:tcPr>
            <w:tcW w:w="30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1C63EF" w14:textId="77777777" w:rsidR="00013DDB" w:rsidRPr="007E5F04" w:rsidRDefault="00013DDB" w:rsidP="00D41CA2">
            <w:pPr>
              <w:rPr>
                <w:rFonts w:asciiTheme="minorHAnsi" w:hAnsiTheme="minorHAnsi" w:cstheme="minorHAnsi"/>
                <w:b/>
                <w:bCs/>
                <w:sz w:val="20"/>
              </w:rPr>
            </w:pPr>
          </w:p>
        </w:tc>
        <w:tc>
          <w:tcPr>
            <w:tcW w:w="23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3291C8" w14:textId="77777777" w:rsidR="00013DDB" w:rsidRPr="007E5F04" w:rsidRDefault="00013DDB" w:rsidP="00D41CA2">
            <w:pPr>
              <w:rPr>
                <w:rFonts w:asciiTheme="minorHAnsi" w:hAnsiTheme="minorHAnsi" w:cstheme="minorHAnsi"/>
                <w:sz w:val="20"/>
              </w:rPr>
            </w:pPr>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0F63D9" w14:textId="77777777" w:rsidR="00013DDB" w:rsidRPr="007E5F04" w:rsidRDefault="00013DDB" w:rsidP="00D41CA2">
            <w:pPr>
              <w:jc w:val="center"/>
              <w:rPr>
                <w:rFonts w:asciiTheme="minorHAnsi" w:eastAsiaTheme="minorEastAsia" w:hAnsiTheme="minorHAnsi" w:cstheme="minorHAnsi"/>
                <w:b/>
                <w:bCs/>
                <w:sz w:val="20"/>
              </w:rPr>
            </w:pPr>
            <w:r w:rsidRPr="007E5F04">
              <w:rPr>
                <w:rFonts w:asciiTheme="minorHAnsi" w:hAnsiTheme="minorHAnsi" w:cstheme="minorHAnsi"/>
                <w:b/>
                <w:bCs/>
                <w:color w:val="000000" w:themeColor="text1"/>
                <w:sz w:val="20"/>
              </w:rPr>
              <w:t>X</w:t>
            </w: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64C87"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 xml:space="preserve">La recomendación no es clara en cuanto al alcance de una eventual evaluación o de las métricas utilizadas. Sin embargo, la última revisión de la política de declaración de intereses data de enero de 2022, tras la introducción de una nueva política en 2020. En el marco del examen de la política se </w:t>
            </w:r>
            <w:r w:rsidRPr="007E5F04">
              <w:rPr>
                <w:rFonts w:asciiTheme="minorHAnsi" w:hAnsiTheme="minorHAnsi" w:cstheme="minorHAnsi"/>
                <w:sz w:val="20"/>
              </w:rPr>
              <w:lastRenderedPageBreak/>
              <w:t>llevó a cabo una evaluación de la eficacia y la eficiencia.</w:t>
            </w:r>
          </w:p>
          <w:p w14:paraId="6F62C8EE" w14:textId="77777777" w:rsidR="00013DDB" w:rsidRPr="007E5F04" w:rsidRDefault="00013DDB" w:rsidP="00D41CA2">
            <w:pPr>
              <w:rPr>
                <w:rFonts w:asciiTheme="minorHAnsi" w:hAnsiTheme="minorHAnsi" w:cstheme="minorHAnsi"/>
                <w:sz w:val="20"/>
              </w:rPr>
            </w:pPr>
            <w:r w:rsidRPr="007E5F04">
              <w:rPr>
                <w:rFonts w:asciiTheme="minorHAnsi" w:hAnsiTheme="minorHAnsi" w:cstheme="minorHAnsi"/>
                <w:sz w:val="20"/>
              </w:rPr>
              <w:t>Ninguna repercusión financiera o de recursos humanos adicional.</w:t>
            </w:r>
          </w:p>
        </w:tc>
      </w:tr>
      <w:tr w:rsidR="00013DDB" w:rsidRPr="007E5F04" w14:paraId="36ECB7DC" w14:textId="77777777" w:rsidTr="00013DDB">
        <w:trPr>
          <w:jc w:val="center"/>
        </w:trPr>
        <w:tc>
          <w:tcPr>
            <w:tcW w:w="379" w:type="pct"/>
            <w:vAlign w:val="center"/>
            <w:hideMark/>
          </w:tcPr>
          <w:p w14:paraId="4FD10F4C" w14:textId="77777777" w:rsidR="00013DDB" w:rsidRPr="007E5F04" w:rsidRDefault="00013DDB" w:rsidP="00D41CA2">
            <w:pPr>
              <w:rPr>
                <w:rFonts w:asciiTheme="minorHAnsi" w:hAnsiTheme="minorHAnsi" w:cstheme="minorHAnsi"/>
                <w:sz w:val="20"/>
              </w:rPr>
            </w:pPr>
          </w:p>
        </w:tc>
        <w:tc>
          <w:tcPr>
            <w:tcW w:w="682" w:type="pct"/>
            <w:vAlign w:val="center"/>
            <w:hideMark/>
          </w:tcPr>
          <w:p w14:paraId="2244B0FA" w14:textId="77777777" w:rsidR="00013DDB" w:rsidRPr="007E5F04" w:rsidRDefault="00013DDB" w:rsidP="00D41CA2">
            <w:pPr>
              <w:rPr>
                <w:rFonts w:asciiTheme="minorHAnsi" w:hAnsiTheme="minorHAnsi" w:cstheme="minorHAnsi"/>
                <w:sz w:val="20"/>
              </w:rPr>
            </w:pPr>
          </w:p>
        </w:tc>
        <w:tc>
          <w:tcPr>
            <w:tcW w:w="298" w:type="pct"/>
            <w:vAlign w:val="center"/>
            <w:hideMark/>
          </w:tcPr>
          <w:p w14:paraId="40461C8B" w14:textId="77777777" w:rsidR="00013DDB" w:rsidRPr="007E5F04" w:rsidRDefault="00013DDB" w:rsidP="00D41CA2">
            <w:pPr>
              <w:rPr>
                <w:rFonts w:asciiTheme="minorHAnsi" w:hAnsiTheme="minorHAnsi" w:cstheme="minorHAnsi"/>
                <w:sz w:val="20"/>
              </w:rPr>
            </w:pPr>
          </w:p>
        </w:tc>
        <w:tc>
          <w:tcPr>
            <w:tcW w:w="298" w:type="pct"/>
            <w:vAlign w:val="center"/>
            <w:hideMark/>
          </w:tcPr>
          <w:p w14:paraId="5CC1E366" w14:textId="77777777" w:rsidR="00013DDB" w:rsidRPr="007E5F04" w:rsidRDefault="00013DDB" w:rsidP="00D41CA2">
            <w:pPr>
              <w:rPr>
                <w:rFonts w:asciiTheme="minorHAnsi" w:hAnsiTheme="minorHAnsi" w:cstheme="minorHAnsi"/>
                <w:sz w:val="20"/>
              </w:rPr>
            </w:pPr>
          </w:p>
        </w:tc>
        <w:tc>
          <w:tcPr>
            <w:tcW w:w="386" w:type="pct"/>
            <w:vAlign w:val="center"/>
            <w:hideMark/>
          </w:tcPr>
          <w:p w14:paraId="153DB745" w14:textId="77777777" w:rsidR="00013DDB" w:rsidRPr="007E5F04" w:rsidRDefault="00013DDB" w:rsidP="00D41CA2">
            <w:pPr>
              <w:rPr>
                <w:rFonts w:asciiTheme="minorHAnsi" w:hAnsiTheme="minorHAnsi" w:cstheme="minorHAnsi"/>
                <w:sz w:val="20"/>
              </w:rPr>
            </w:pPr>
          </w:p>
        </w:tc>
        <w:tc>
          <w:tcPr>
            <w:tcW w:w="545" w:type="pct"/>
            <w:vAlign w:val="center"/>
            <w:hideMark/>
          </w:tcPr>
          <w:p w14:paraId="7BAC852A" w14:textId="77777777" w:rsidR="00013DDB" w:rsidRPr="007E5F04" w:rsidRDefault="00013DDB" w:rsidP="00D41CA2">
            <w:pPr>
              <w:rPr>
                <w:rFonts w:asciiTheme="minorHAnsi" w:hAnsiTheme="minorHAnsi" w:cstheme="minorHAnsi"/>
                <w:sz w:val="20"/>
              </w:rPr>
            </w:pPr>
          </w:p>
        </w:tc>
        <w:tc>
          <w:tcPr>
            <w:tcW w:w="301" w:type="pct"/>
            <w:vAlign w:val="center"/>
            <w:hideMark/>
          </w:tcPr>
          <w:p w14:paraId="247D97D1" w14:textId="77777777" w:rsidR="00013DDB" w:rsidRPr="007E5F04" w:rsidRDefault="00013DDB" w:rsidP="00D41CA2">
            <w:pPr>
              <w:rPr>
                <w:rFonts w:asciiTheme="minorHAnsi" w:hAnsiTheme="minorHAnsi" w:cstheme="minorHAnsi"/>
                <w:sz w:val="20"/>
              </w:rPr>
            </w:pPr>
          </w:p>
        </w:tc>
        <w:tc>
          <w:tcPr>
            <w:tcW w:w="236" w:type="pct"/>
            <w:vAlign w:val="center"/>
            <w:hideMark/>
          </w:tcPr>
          <w:p w14:paraId="0135F4A3" w14:textId="77777777" w:rsidR="00013DDB" w:rsidRPr="007E5F04" w:rsidRDefault="00013DDB" w:rsidP="00D41CA2">
            <w:pPr>
              <w:rPr>
                <w:rFonts w:asciiTheme="minorHAnsi" w:hAnsiTheme="minorHAnsi" w:cstheme="minorHAnsi"/>
                <w:sz w:val="20"/>
              </w:rPr>
            </w:pPr>
          </w:p>
        </w:tc>
        <w:tc>
          <w:tcPr>
            <w:tcW w:w="318" w:type="pct"/>
            <w:vAlign w:val="center"/>
            <w:hideMark/>
          </w:tcPr>
          <w:p w14:paraId="0DF6BE2D" w14:textId="77777777" w:rsidR="00013DDB" w:rsidRPr="007E5F04" w:rsidRDefault="00013DDB" w:rsidP="00D41CA2">
            <w:pPr>
              <w:rPr>
                <w:rFonts w:asciiTheme="minorHAnsi" w:hAnsiTheme="minorHAnsi" w:cstheme="minorHAnsi"/>
                <w:sz w:val="20"/>
              </w:rPr>
            </w:pPr>
          </w:p>
        </w:tc>
        <w:tc>
          <w:tcPr>
            <w:tcW w:w="1557" w:type="pct"/>
            <w:vAlign w:val="center"/>
            <w:hideMark/>
          </w:tcPr>
          <w:p w14:paraId="4DEA773A" w14:textId="77777777" w:rsidR="00013DDB" w:rsidRPr="007E5F04" w:rsidRDefault="00013DDB" w:rsidP="00D41CA2">
            <w:pPr>
              <w:rPr>
                <w:rFonts w:asciiTheme="minorHAnsi" w:hAnsiTheme="minorHAnsi" w:cstheme="minorHAnsi"/>
                <w:sz w:val="20"/>
              </w:rPr>
            </w:pPr>
          </w:p>
        </w:tc>
      </w:tr>
      <w:bookmarkEnd w:id="1"/>
    </w:tbl>
    <w:p w14:paraId="75D408F9" w14:textId="77777777" w:rsidR="00013DDB" w:rsidRPr="007E5F04" w:rsidRDefault="00013DDB" w:rsidP="00013DDB">
      <w:pPr>
        <w:pStyle w:val="Reasons"/>
      </w:pPr>
    </w:p>
    <w:p w14:paraId="1C0F81CC" w14:textId="53B06D69" w:rsidR="008F03C5" w:rsidRPr="007E5F04" w:rsidRDefault="00013DDB" w:rsidP="007E5F04">
      <w:pPr>
        <w:jc w:val="center"/>
      </w:pPr>
      <w:r w:rsidRPr="007E5F04">
        <w:t>______________</w:t>
      </w:r>
    </w:p>
    <w:sectPr w:rsidR="008F03C5" w:rsidRPr="007E5F04" w:rsidSect="00013DDB">
      <w:headerReference w:type="first" r:id="rId17"/>
      <w:footerReference w:type="first" r:id="rId18"/>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3CFF" w14:textId="77777777" w:rsidR="00013DDB" w:rsidRDefault="00013DDB">
      <w:r>
        <w:separator/>
      </w:r>
    </w:p>
  </w:endnote>
  <w:endnote w:type="continuationSeparator" w:id="0">
    <w:p w14:paraId="3B09BE71" w14:textId="77777777" w:rsidR="00013DDB" w:rsidRDefault="0001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55A055A" w14:textId="77777777" w:rsidTr="00E31DCE">
      <w:trPr>
        <w:jc w:val="center"/>
      </w:trPr>
      <w:tc>
        <w:tcPr>
          <w:tcW w:w="1803" w:type="dxa"/>
          <w:vAlign w:val="center"/>
        </w:tcPr>
        <w:p w14:paraId="2CD0E732" w14:textId="7AABCB3D" w:rsidR="003273A4" w:rsidRDefault="003273A4" w:rsidP="003273A4">
          <w:pPr>
            <w:pStyle w:val="Header"/>
            <w:jc w:val="left"/>
            <w:rPr>
              <w:noProof/>
            </w:rPr>
          </w:pPr>
          <w:r>
            <w:rPr>
              <w:noProof/>
            </w:rPr>
            <w:t xml:space="preserve">DPS </w:t>
          </w:r>
          <w:r w:rsidR="007E5F04">
            <w:rPr>
              <w:noProof/>
            </w:rPr>
            <w:t>521091</w:t>
          </w:r>
        </w:p>
      </w:tc>
      <w:tc>
        <w:tcPr>
          <w:tcW w:w="8261" w:type="dxa"/>
        </w:tcPr>
        <w:p w14:paraId="65422388" w14:textId="0A6390E2"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F03C5">
            <w:rPr>
              <w:bCs/>
            </w:rPr>
            <w:t>57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0D57863" w14:textId="51E05EBF" w:rsidR="008F03C5" w:rsidRPr="00401725" w:rsidRDefault="008F03C5" w:rsidP="008F03C5">
    <w:pPr>
      <w:pStyle w:val="Footer"/>
      <w:spacing w:before="120"/>
      <w:rPr>
        <w:lang w:val="fr-FR"/>
      </w:rPr>
    </w:pPr>
    <w:r w:rsidRPr="00743691">
      <w:rPr>
        <w:color w:val="F2F2F2" w:themeColor="background1" w:themeShade="F2"/>
      </w:rPr>
      <w:fldChar w:fldCharType="begin"/>
    </w:r>
    <w:r w:rsidRPr="00743691">
      <w:rPr>
        <w:color w:val="F2F2F2" w:themeColor="background1" w:themeShade="F2"/>
        <w:lang w:val="fr-FR"/>
      </w:rPr>
      <w:instrText xml:space="preserve"> FILENAME \p  \* MERGEFORMAT </w:instrText>
    </w:r>
    <w:r w:rsidRPr="00743691">
      <w:rPr>
        <w:color w:val="F2F2F2" w:themeColor="background1" w:themeShade="F2"/>
      </w:rPr>
      <w:fldChar w:fldCharType="separate"/>
    </w:r>
    <w:r w:rsidR="007D43B8" w:rsidRPr="00743691">
      <w:rPr>
        <w:color w:val="F2F2F2" w:themeColor="background1" w:themeShade="F2"/>
        <w:lang w:val="fr-FR"/>
      </w:rPr>
      <w:t>P:\ESP\SG\CONSEIL\C23\000\057S.docx</w:t>
    </w:r>
    <w:r w:rsidRPr="00743691">
      <w:rPr>
        <w:color w:val="F2F2F2" w:themeColor="background1" w:themeShade="F2"/>
      </w:rPr>
      <w:fldChar w:fldCharType="end"/>
    </w:r>
    <w:r w:rsidRPr="00743691">
      <w:rPr>
        <w:color w:val="F2F2F2" w:themeColor="background1" w:themeShade="F2"/>
        <w:lang w:val="fr-FR"/>
      </w:rPr>
      <w:t xml:space="preserve"> (5210</w:t>
    </w:r>
    <w:r w:rsidR="007E5F04" w:rsidRPr="00743691">
      <w:rPr>
        <w:color w:val="F2F2F2" w:themeColor="background1" w:themeShade="F2"/>
        <w:lang w:val="fr-FR"/>
      </w:rPr>
      <w:t>91</w:t>
    </w:r>
    <w:r w:rsidRPr="00743691">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ADB0249" w14:textId="77777777" w:rsidTr="00E31DCE">
      <w:trPr>
        <w:jc w:val="center"/>
      </w:trPr>
      <w:tc>
        <w:tcPr>
          <w:tcW w:w="1803" w:type="dxa"/>
          <w:vAlign w:val="center"/>
        </w:tcPr>
        <w:p w14:paraId="051EBC46" w14:textId="77777777" w:rsidR="00F24B71" w:rsidRDefault="00743691" w:rsidP="00F24B71">
          <w:pPr>
            <w:pStyle w:val="Header"/>
            <w:jc w:val="left"/>
            <w:rPr>
              <w:noProof/>
            </w:rPr>
          </w:pPr>
          <w:hyperlink r:id="rId1" w:history="1">
            <w:r w:rsidR="00F24B71" w:rsidRPr="00A514A4">
              <w:rPr>
                <w:rStyle w:val="Hyperlink"/>
                <w:szCs w:val="14"/>
              </w:rPr>
              <w:t>www.itu.int/council</w:t>
            </w:r>
          </w:hyperlink>
        </w:p>
      </w:tc>
      <w:tc>
        <w:tcPr>
          <w:tcW w:w="8261" w:type="dxa"/>
        </w:tcPr>
        <w:p w14:paraId="07296A2D" w14:textId="3070A84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E5F04">
            <w:rPr>
              <w:bCs/>
            </w:rPr>
            <w:t>57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438954" w14:textId="30283734" w:rsidR="00D36EB7" w:rsidRPr="007E5F04" w:rsidRDefault="007E5F04" w:rsidP="007E5F04">
    <w:pPr>
      <w:pStyle w:val="Footer"/>
      <w:spacing w:before="120"/>
      <w:rPr>
        <w:lang w:val="fr-FR"/>
      </w:rPr>
    </w:pPr>
    <w:r w:rsidRPr="00430196">
      <w:rPr>
        <w:color w:val="F2F2F2" w:themeColor="background1" w:themeShade="F2"/>
      </w:rPr>
      <w:fldChar w:fldCharType="begin"/>
    </w:r>
    <w:r w:rsidRPr="00430196">
      <w:rPr>
        <w:color w:val="F2F2F2" w:themeColor="background1" w:themeShade="F2"/>
        <w:lang w:val="fr-FR"/>
      </w:rPr>
      <w:instrText xml:space="preserve"> FILENAME \p  \* MERGEFORMAT </w:instrText>
    </w:r>
    <w:r w:rsidRPr="00430196">
      <w:rPr>
        <w:color w:val="F2F2F2" w:themeColor="background1" w:themeShade="F2"/>
      </w:rPr>
      <w:fldChar w:fldCharType="separate"/>
    </w:r>
    <w:r w:rsidR="007D43B8" w:rsidRPr="00430196">
      <w:rPr>
        <w:color w:val="F2F2F2" w:themeColor="background1" w:themeShade="F2"/>
        <w:lang w:val="fr-FR"/>
      </w:rPr>
      <w:t>P:\ESP\SG\CONSEIL\C23\000\057S.docx</w:t>
    </w:r>
    <w:r w:rsidRPr="00430196">
      <w:rPr>
        <w:color w:val="F2F2F2" w:themeColor="background1" w:themeShade="F2"/>
      </w:rPr>
      <w:fldChar w:fldCharType="end"/>
    </w:r>
    <w:r w:rsidRPr="00430196">
      <w:rPr>
        <w:color w:val="F2F2F2" w:themeColor="background1" w:themeShade="F2"/>
        <w:lang w:val="fr-FR"/>
      </w:rPr>
      <w:t xml:space="preserve"> (521091)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E5F04" w:rsidRPr="00784011" w14:paraId="75C4677D" w14:textId="77777777" w:rsidTr="00E31DCE">
      <w:trPr>
        <w:jc w:val="center"/>
      </w:trPr>
      <w:tc>
        <w:tcPr>
          <w:tcW w:w="1803" w:type="dxa"/>
          <w:vAlign w:val="center"/>
        </w:tcPr>
        <w:p w14:paraId="5AE596ED" w14:textId="624DF182" w:rsidR="007E5F04" w:rsidRDefault="007E5F04" w:rsidP="00F24B71">
          <w:pPr>
            <w:pStyle w:val="Header"/>
            <w:jc w:val="left"/>
            <w:rPr>
              <w:noProof/>
            </w:rPr>
          </w:pPr>
          <w:r>
            <w:rPr>
              <w:noProof/>
            </w:rPr>
            <w:t>DPS 521091</w:t>
          </w:r>
        </w:p>
      </w:tc>
      <w:tc>
        <w:tcPr>
          <w:tcW w:w="8261" w:type="dxa"/>
        </w:tcPr>
        <w:p w14:paraId="34DBF7F6" w14:textId="77777777" w:rsidR="007E5F04" w:rsidRPr="00E06FD5" w:rsidRDefault="007E5F04"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57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AC31F6C" w14:textId="08405C5D" w:rsidR="007E5F04" w:rsidRPr="007E5F04" w:rsidRDefault="007E5F04" w:rsidP="007E5F04">
    <w:pPr>
      <w:pStyle w:val="Footer"/>
      <w:spacing w:before="120"/>
      <w:rPr>
        <w:lang w:val="fr-FR"/>
      </w:rPr>
    </w:pPr>
    <w:r w:rsidRPr="00743691">
      <w:rPr>
        <w:color w:val="F2F2F2" w:themeColor="background1" w:themeShade="F2"/>
      </w:rPr>
      <w:fldChar w:fldCharType="begin"/>
    </w:r>
    <w:r w:rsidRPr="00743691">
      <w:rPr>
        <w:color w:val="F2F2F2" w:themeColor="background1" w:themeShade="F2"/>
        <w:lang w:val="fr-FR"/>
      </w:rPr>
      <w:instrText xml:space="preserve"> FILENAME \p  \* MERGEFORMAT </w:instrText>
    </w:r>
    <w:r w:rsidRPr="00743691">
      <w:rPr>
        <w:color w:val="F2F2F2" w:themeColor="background1" w:themeShade="F2"/>
      </w:rPr>
      <w:fldChar w:fldCharType="separate"/>
    </w:r>
    <w:r w:rsidR="007D43B8" w:rsidRPr="00743691">
      <w:rPr>
        <w:color w:val="F2F2F2" w:themeColor="background1" w:themeShade="F2"/>
        <w:lang w:val="fr-FR"/>
      </w:rPr>
      <w:t>P:\ESP\SG\CONSEIL\C23\000\057S.docx</w:t>
    </w:r>
    <w:r w:rsidRPr="00743691">
      <w:rPr>
        <w:color w:val="F2F2F2" w:themeColor="background1" w:themeShade="F2"/>
      </w:rPr>
      <w:fldChar w:fldCharType="end"/>
    </w:r>
    <w:r w:rsidRPr="00743691">
      <w:rPr>
        <w:color w:val="F2F2F2" w:themeColor="background1" w:themeShade="F2"/>
        <w:lang w:val="fr-FR"/>
      </w:rPr>
      <w:t xml:space="preserve"> (521091)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0F98" w14:textId="77777777" w:rsidR="00013DDB" w:rsidRDefault="00013DDB">
      <w:r>
        <w:t>____________________</w:t>
      </w:r>
    </w:p>
  </w:footnote>
  <w:footnote w:type="continuationSeparator" w:id="0">
    <w:p w14:paraId="106EAF70" w14:textId="77777777" w:rsidR="00013DDB" w:rsidRDefault="0001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13DDB" w:rsidRPr="00784011" w14:paraId="2362CE56" w14:textId="77777777" w:rsidTr="00D41CA2">
      <w:trPr>
        <w:trHeight w:val="1104"/>
        <w:jc w:val="center"/>
      </w:trPr>
      <w:tc>
        <w:tcPr>
          <w:tcW w:w="4390" w:type="dxa"/>
          <w:vAlign w:val="center"/>
        </w:tcPr>
        <w:p w14:paraId="26915BEC" w14:textId="77777777" w:rsidR="00013DDB" w:rsidRPr="009621F8" w:rsidRDefault="00013DDB" w:rsidP="00013DDB">
          <w:pPr>
            <w:pStyle w:val="Header"/>
            <w:jc w:val="left"/>
            <w:rPr>
              <w:rFonts w:ascii="Arial" w:hAnsi="Arial" w:cs="Arial"/>
              <w:b/>
              <w:bCs/>
              <w:color w:val="009CD6"/>
              <w:sz w:val="36"/>
              <w:szCs w:val="36"/>
            </w:rPr>
          </w:pPr>
          <w:r>
            <w:rPr>
              <w:noProof/>
            </w:rPr>
            <w:drawing>
              <wp:inline distT="0" distB="0" distL="0" distR="0" wp14:anchorId="20927244" wp14:editId="2D3656F2">
                <wp:extent cx="1887322" cy="530367"/>
                <wp:effectExtent l="0" t="0" r="0" b="3175"/>
                <wp:docPr id="11" name="Picture 11" descr="A black background with blue letters and numb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blue letters and numb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1803292" w14:textId="77777777" w:rsidR="00013DDB" w:rsidRDefault="00013DDB" w:rsidP="00013DDB">
          <w:pPr>
            <w:pStyle w:val="Header"/>
            <w:jc w:val="right"/>
            <w:rPr>
              <w:rFonts w:ascii="Arial" w:hAnsi="Arial" w:cs="Arial"/>
              <w:b/>
              <w:bCs/>
              <w:color w:val="009CD6"/>
              <w:szCs w:val="18"/>
            </w:rPr>
          </w:pPr>
        </w:p>
        <w:p w14:paraId="1E20C99B" w14:textId="77777777" w:rsidR="00013DDB" w:rsidRDefault="00013DDB" w:rsidP="00013DDB">
          <w:pPr>
            <w:pStyle w:val="Header"/>
            <w:jc w:val="right"/>
            <w:rPr>
              <w:rFonts w:ascii="Arial" w:hAnsi="Arial" w:cs="Arial"/>
              <w:b/>
              <w:bCs/>
              <w:color w:val="009CD6"/>
              <w:szCs w:val="18"/>
            </w:rPr>
          </w:pPr>
        </w:p>
        <w:p w14:paraId="6AE30C7C" w14:textId="77777777" w:rsidR="00013DDB" w:rsidRPr="00784011" w:rsidRDefault="00013DDB" w:rsidP="00013DDB">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41203D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DAA68D" wp14:editId="3134716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388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83CC" w14:textId="77777777" w:rsidR="00013DDB" w:rsidRDefault="00013DDB">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7C708F1" wp14:editId="59AEEB9A">
              <wp:simplePos x="0" y="0"/>
              <wp:positionH relativeFrom="page">
                <wp:posOffset>13005</wp:posOffset>
              </wp:positionH>
              <wp:positionV relativeFrom="topMargin">
                <wp:posOffset>659765</wp:posOffset>
              </wp:positionV>
              <wp:extent cx="92075" cy="360680"/>
              <wp:effectExtent l="0" t="0" r="3175"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A269" id="Rectangle 8" o:spid="_x0000_s1026" style="position:absolute;margin-left:1pt;margin-top:51.9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D33"/>
      </v:shape>
    </w:pict>
  </w:numPicBullet>
  <w:abstractNum w:abstractNumId="0"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92972"/>
    <w:multiLevelType w:val="hybridMultilevel"/>
    <w:tmpl w:val="C01ED17E"/>
    <w:lvl w:ilvl="0" w:tplc="A91628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965230">
    <w:abstractNumId w:val="0"/>
  </w:num>
  <w:num w:numId="2" w16cid:durableId="9799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B"/>
    <w:rsid w:val="000007D1"/>
    <w:rsid w:val="00013DDB"/>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30196"/>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43691"/>
    <w:rsid w:val="00760F1C"/>
    <w:rsid w:val="007657F0"/>
    <w:rsid w:val="0077252D"/>
    <w:rsid w:val="007955DA"/>
    <w:rsid w:val="007D43B8"/>
    <w:rsid w:val="007E5DD3"/>
    <w:rsid w:val="007E5F04"/>
    <w:rsid w:val="007F350B"/>
    <w:rsid w:val="00820BE4"/>
    <w:rsid w:val="008451E8"/>
    <w:rsid w:val="008F03C5"/>
    <w:rsid w:val="00913B9C"/>
    <w:rsid w:val="00927F93"/>
    <w:rsid w:val="00956E77"/>
    <w:rsid w:val="009F4811"/>
    <w:rsid w:val="00A91273"/>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36EB7"/>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4BE7"/>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4C0237C"/>
  <w15:docId w15:val="{1C127646-0FE2-42B4-A049-E283CF0A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DDB"/>
    <w:pPr>
      <w:ind w:left="720"/>
      <w:contextualSpacing/>
    </w:pPr>
    <w:rPr>
      <w:rFonts w:eastAsia="SimSun"/>
      <w:lang w:val="en-GB"/>
    </w:rPr>
  </w:style>
  <w:style w:type="character" w:customStyle="1" w:styleId="FooterChar">
    <w:name w:val="Footer Char"/>
    <w:basedOn w:val="DefaultParagraphFont"/>
    <w:link w:val="Footer"/>
    <w:rsid w:val="008F03C5"/>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jiu.org/sites/www.unjiu.org/files/a_77_256_add1_e.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njiu.org/sites/www.unjiu.org/files/jiu_rep_2021_6_review_highlights_0.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njiu.org/sites/www.unjiu.org/files/a-77-258-add.1_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jiu.org/sites/www.unjiu.org/files/jiu_rep_2021_6_spanish.pdf" TargetMode="External"/><Relationship Id="rId5" Type="http://schemas.openxmlformats.org/officeDocument/2006/relationships/footnotes" Target="footnotes.xml"/><Relationship Id="rId15" Type="http://schemas.openxmlformats.org/officeDocument/2006/relationships/hyperlink" Target="https://www.unjiu.org/sites/www.unjiu.org/files/jiu_rep_2021_5_review_highlights_0.pdf" TargetMode="External"/><Relationship Id="rId10" Type="http://schemas.openxmlformats.org/officeDocument/2006/relationships/hyperlink" Target="https://www.unjiu.org/sites/www.unjiu.org/files/jiu-note-2022-1_review_highlights_and_complementar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njiu.org/sites/www.unjiu.org/files/a_77_256_add1_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3</TotalTime>
  <Pages>12</Pages>
  <Words>2655</Words>
  <Characters>15544</Characters>
  <Application>Microsoft Office Word</Application>
  <DocSecurity>0</DocSecurity>
  <Lines>129</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18163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Informes y notas de la DCI sobre cuestiones que afectan a todo el sistema de las Naciones Unidas para 2021-2022 y recomendaciones a los jefes ejecutivos y a los órganos legislativos</dc:title>
  <dc:subject>Council 2023</dc:subject>
  <dc:creator>Spanish</dc:creator>
  <cp:keywords>C2023, C23, Council-23</cp:keywords>
  <dc:description/>
  <cp:lastModifiedBy>Xue, Kun</cp:lastModifiedBy>
  <cp:revision>4</cp:revision>
  <cp:lastPrinted>2023-06-26T08:27:00Z</cp:lastPrinted>
  <dcterms:created xsi:type="dcterms:W3CDTF">2023-06-26T12:25:00Z</dcterms:created>
  <dcterms:modified xsi:type="dcterms:W3CDTF">2023-06-26T12:30:00Z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