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813E5E" w14:paraId="1591300A" w14:textId="77777777" w:rsidTr="08848737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F2DE73B" w14:textId="61B6B23C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r>
              <w:rPr>
                <w:b/>
              </w:rPr>
              <w:t xml:space="preserve">Agenda item: </w:t>
            </w:r>
            <w:r w:rsidR="00B818E7">
              <w:rPr>
                <w:b/>
              </w:rPr>
              <w:t>ADM 3</w:t>
            </w:r>
          </w:p>
        </w:tc>
        <w:tc>
          <w:tcPr>
            <w:tcW w:w="5245" w:type="dxa"/>
          </w:tcPr>
          <w:p w14:paraId="2F0CB53A" w14:textId="30C537B3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Document C23/</w:t>
            </w:r>
            <w:r w:rsidR="00B818E7">
              <w:rPr>
                <w:b/>
              </w:rPr>
              <w:t>56</w:t>
            </w:r>
            <w:r>
              <w:rPr>
                <w:b/>
              </w:rPr>
              <w:t>-E</w:t>
            </w:r>
          </w:p>
        </w:tc>
      </w:tr>
      <w:tr w:rsidR="00AD3606" w:rsidRPr="00813E5E" w14:paraId="777833CB" w14:textId="77777777" w:rsidTr="08848737">
        <w:trPr>
          <w:cantSplit/>
        </w:trPr>
        <w:tc>
          <w:tcPr>
            <w:tcW w:w="3969" w:type="dxa"/>
            <w:vMerge/>
          </w:tcPr>
          <w:p w14:paraId="7DECAB6C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2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B794C7C" w14:textId="0FD65E7A" w:rsidR="00AD3606" w:rsidRPr="00E85629" w:rsidRDefault="00476654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9</w:t>
            </w:r>
            <w:r w:rsidR="00494CE0">
              <w:rPr>
                <w:b/>
              </w:rPr>
              <w:t xml:space="preserve"> June</w:t>
            </w:r>
            <w:r w:rsidR="00AD3606">
              <w:rPr>
                <w:b/>
              </w:rPr>
              <w:t xml:space="preserve"> 2023</w:t>
            </w:r>
          </w:p>
        </w:tc>
      </w:tr>
      <w:tr w:rsidR="00AD3606" w:rsidRPr="00813E5E" w14:paraId="082C2282" w14:textId="77777777" w:rsidTr="08848737">
        <w:trPr>
          <w:cantSplit/>
          <w:trHeight w:val="23"/>
        </w:trPr>
        <w:tc>
          <w:tcPr>
            <w:tcW w:w="3969" w:type="dxa"/>
            <w:vMerge/>
          </w:tcPr>
          <w:p w14:paraId="5967F199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orlang" w:colFirst="1" w:colLast="1"/>
            <w:bookmarkEnd w:id="2"/>
          </w:p>
        </w:tc>
        <w:tc>
          <w:tcPr>
            <w:tcW w:w="5245" w:type="dxa"/>
          </w:tcPr>
          <w:p w14:paraId="03AC685B" w14:textId="77777777" w:rsidR="00AD3606" w:rsidRPr="00E85629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  <w:tr w:rsidR="00472BAD" w:rsidRPr="00813E5E" w14:paraId="3C9C7706" w14:textId="77777777" w:rsidTr="08848737">
        <w:trPr>
          <w:cantSplit/>
          <w:trHeight w:val="23"/>
        </w:trPr>
        <w:tc>
          <w:tcPr>
            <w:tcW w:w="3969" w:type="dxa"/>
          </w:tcPr>
          <w:p w14:paraId="20349897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CCE97A6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813E5E" w14:paraId="5BEAAFE0" w14:textId="77777777" w:rsidTr="08848737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98EF21A" w14:textId="77777777" w:rsidR="00AD3606" w:rsidRPr="00813E5E" w:rsidRDefault="00AD3606" w:rsidP="00AD3606">
            <w:pPr>
              <w:pStyle w:val="Source"/>
              <w:framePr w:hSpace="0" w:wrap="auto" w:vAnchor="margin" w:hAnchor="text" w:yAlign="inline"/>
            </w:pPr>
            <w:bookmarkStart w:id="4" w:name="dsource" w:colFirst="0" w:colLast="0"/>
            <w:bookmarkEnd w:id="3"/>
            <w:r>
              <w:t>Report</w:t>
            </w:r>
            <w:r w:rsidRPr="002C54E2">
              <w:t xml:space="preserve"> </w:t>
            </w:r>
            <w:r>
              <w:t>by</w:t>
            </w:r>
            <w:r w:rsidRPr="002C54E2">
              <w:t xml:space="preserve"> </w:t>
            </w:r>
            <w:r>
              <w:t>the</w:t>
            </w:r>
            <w:r w:rsidRPr="002C54E2">
              <w:t xml:space="preserve"> </w:t>
            </w:r>
            <w:r>
              <w:t>Secretary-</w:t>
            </w:r>
            <w:r w:rsidRPr="002C54E2">
              <w:t>General</w:t>
            </w:r>
          </w:p>
        </w:tc>
      </w:tr>
      <w:tr w:rsidR="00AD3606" w:rsidRPr="00813E5E" w14:paraId="62B9C291" w14:textId="77777777" w:rsidTr="08848737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56A1BCF" w14:textId="76B4A6FD" w:rsidR="00AD3606" w:rsidRPr="00813E5E" w:rsidRDefault="007A2A77" w:rsidP="009976AA">
            <w:pPr>
              <w:pStyle w:val="Subtitle"/>
              <w:framePr w:hSpace="0" w:wrap="auto" w:hAnchor="text" w:xAlign="left" w:yAlign="inline"/>
            </w:pPr>
            <w:bookmarkStart w:id="5" w:name="dtitle1" w:colFirst="0" w:colLast="0"/>
            <w:bookmarkEnd w:id="4"/>
            <w:r w:rsidRPr="009976AA">
              <w:t>AMENDMENTS TO THE STATUTE OF THE INTERNATIONAL CIVIL SERVICE COMMISSION</w:t>
            </w:r>
            <w:r>
              <w:t xml:space="preserve"> (ICSC)</w:t>
            </w:r>
          </w:p>
        </w:tc>
      </w:tr>
      <w:tr w:rsidR="00AD3606" w:rsidRPr="00813E5E" w14:paraId="59287389" w14:textId="77777777" w:rsidTr="08848737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0B6A23DF" w14:textId="289A0492" w:rsidR="00AD3606" w:rsidRPr="00F16BAB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Purpose</w:t>
            </w:r>
          </w:p>
          <w:p w14:paraId="376F8B6E" w14:textId="7915C470" w:rsidR="009976AA" w:rsidRPr="009976AA" w:rsidRDefault="009976AA" w:rsidP="0086550A">
            <w:pPr>
              <w:jc w:val="both"/>
            </w:pPr>
            <w:r w:rsidRPr="009976AA">
              <w:t xml:space="preserve">This report describes the recent amendments to the statute of the International Civil Service Commission (ICSC) adopted by the United Nations General Assembly in </w:t>
            </w:r>
            <w:r w:rsidR="00B818E7">
              <w:t>R</w:t>
            </w:r>
            <w:r w:rsidRPr="009976AA">
              <w:t>esolution 77/256</w:t>
            </w:r>
            <w:r w:rsidR="00244E23">
              <w:t xml:space="preserve"> A-B</w:t>
            </w:r>
            <w:r w:rsidRPr="009976AA">
              <w:t xml:space="preserve"> clarifying the authority of ICSC to establish post</w:t>
            </w:r>
            <w:r w:rsidR="00BE3F10">
              <w:t xml:space="preserve"> </w:t>
            </w:r>
            <w:r w:rsidRPr="009976AA">
              <w:t>adjustment multipliers for duty stations in the United Nations common system</w:t>
            </w:r>
            <w:r w:rsidR="00BD6B8E">
              <w:t>.</w:t>
            </w:r>
            <w:r w:rsidRPr="009976AA">
              <w:t xml:space="preserve"> </w:t>
            </w:r>
            <w:r w:rsidR="00BD6B8E">
              <w:t>It</w:t>
            </w:r>
            <w:r w:rsidRPr="009976AA">
              <w:t xml:space="preserve"> invites the </w:t>
            </w:r>
            <w:r>
              <w:t xml:space="preserve">ITU Council to </w:t>
            </w:r>
            <w:r w:rsidRPr="009976AA">
              <w:t>consider a draft resolution on the acceptance of these amendments.</w:t>
            </w:r>
          </w:p>
          <w:p w14:paraId="45B1495A" w14:textId="77777777" w:rsidR="00AD3606" w:rsidRPr="00F16BAB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Action required</w:t>
            </w:r>
            <w:r w:rsidR="00F16BAB" w:rsidRPr="00F16BAB">
              <w:rPr>
                <w:b/>
                <w:bCs/>
                <w:sz w:val="26"/>
                <w:szCs w:val="26"/>
              </w:rPr>
              <w:t xml:space="preserve"> by the Council</w:t>
            </w:r>
          </w:p>
          <w:p w14:paraId="3D57EDF8" w14:textId="420BEEFC" w:rsidR="00AD3606" w:rsidRPr="00484009" w:rsidRDefault="00B818E7" w:rsidP="001D55E5">
            <w:pPr>
              <w:jc w:val="both"/>
            </w:pPr>
            <w:r>
              <w:t xml:space="preserve">The </w:t>
            </w:r>
            <w:r w:rsidR="009976AA">
              <w:t xml:space="preserve">Council </w:t>
            </w:r>
            <w:r>
              <w:t xml:space="preserve">is invited </w:t>
            </w:r>
            <w:r w:rsidR="009976AA" w:rsidRPr="0096399E">
              <w:rPr>
                <w:b/>
                <w:bCs/>
              </w:rPr>
              <w:t>to</w:t>
            </w:r>
            <w:r w:rsidR="00B6325D" w:rsidRPr="0096399E">
              <w:rPr>
                <w:b/>
                <w:bCs/>
              </w:rPr>
              <w:t xml:space="preserve"> note</w:t>
            </w:r>
            <w:r w:rsidR="00B6325D">
              <w:t xml:space="preserve"> this report and </w:t>
            </w:r>
            <w:r w:rsidR="00B6325D" w:rsidRPr="0096399E">
              <w:rPr>
                <w:b/>
                <w:bCs/>
              </w:rPr>
              <w:t>to adopt</w:t>
            </w:r>
            <w:r w:rsidR="009976AA">
              <w:t xml:space="preserve"> </w:t>
            </w:r>
            <w:r w:rsidR="00955BD7">
              <w:t>the</w:t>
            </w:r>
            <w:r w:rsidR="009976AA" w:rsidRPr="009976AA">
              <w:t xml:space="preserve"> draft resolution </w:t>
            </w:r>
            <w:r w:rsidR="00955BD7">
              <w:t xml:space="preserve">on </w:t>
            </w:r>
            <w:r w:rsidR="009976AA" w:rsidRPr="009976AA">
              <w:t xml:space="preserve">the acceptance </w:t>
            </w:r>
            <w:r w:rsidR="001D55E5">
              <w:t xml:space="preserve">of the </w:t>
            </w:r>
            <w:r w:rsidR="009976AA" w:rsidRPr="009976AA">
              <w:t>amendments</w:t>
            </w:r>
            <w:r w:rsidR="00D323A8">
              <w:t xml:space="preserve"> to the </w:t>
            </w:r>
            <w:r w:rsidR="003310AF">
              <w:t xml:space="preserve">statute of </w:t>
            </w:r>
            <w:r w:rsidR="00D323A8">
              <w:t xml:space="preserve">ICSC </w:t>
            </w:r>
            <w:r w:rsidR="00955BD7">
              <w:t xml:space="preserve">presented in </w:t>
            </w:r>
            <w:hyperlink w:anchor="Annex" w:history="1">
              <w:r w:rsidR="003310AF">
                <w:rPr>
                  <w:rStyle w:val="Hyperlink"/>
                </w:rPr>
                <w:t>A</w:t>
              </w:r>
              <w:r w:rsidR="00955BD7" w:rsidRPr="00955BD7">
                <w:rPr>
                  <w:rStyle w:val="Hyperlink"/>
                </w:rPr>
                <w:t>nnex</w:t>
              </w:r>
            </w:hyperlink>
            <w:r w:rsidR="00955BD7">
              <w:t xml:space="preserve"> </w:t>
            </w:r>
            <w:r w:rsidR="003310AF">
              <w:t>here</w:t>
            </w:r>
            <w:r w:rsidR="00955BD7">
              <w:t>to</w:t>
            </w:r>
            <w:r w:rsidR="009976AA" w:rsidRPr="009976AA">
              <w:t>.</w:t>
            </w:r>
          </w:p>
          <w:p w14:paraId="71511FA1" w14:textId="3CE902BD" w:rsidR="00F16BAB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Relevant link</w:t>
            </w:r>
            <w:r w:rsidR="00A54171">
              <w:rPr>
                <w:b/>
                <w:bCs/>
                <w:sz w:val="26"/>
                <w:szCs w:val="26"/>
              </w:rPr>
              <w:t>(s)</w:t>
            </w:r>
            <w:r>
              <w:rPr>
                <w:b/>
                <w:bCs/>
                <w:sz w:val="26"/>
                <w:szCs w:val="26"/>
              </w:rPr>
              <w:t xml:space="preserve"> with the Strategic Plan</w:t>
            </w:r>
          </w:p>
          <w:p w14:paraId="503749D7" w14:textId="0037337D" w:rsidR="00F16BAB" w:rsidRPr="00E40F0B" w:rsidRDefault="00E40F0B" w:rsidP="00F16BAB">
            <w:r w:rsidRPr="00E40F0B">
              <w:t xml:space="preserve">ITU as a part of the United Nations system. </w:t>
            </w:r>
          </w:p>
          <w:p w14:paraId="095AC115" w14:textId="77777777" w:rsidR="00B5366C" w:rsidRPr="00494CE0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494CE0">
              <w:rPr>
                <w:b/>
                <w:bCs/>
                <w:sz w:val="26"/>
                <w:szCs w:val="26"/>
              </w:rPr>
              <w:t>Financial implications</w:t>
            </w:r>
          </w:p>
          <w:p w14:paraId="74189BBD" w14:textId="79ADEC70" w:rsidR="00F16BAB" w:rsidRPr="00494CE0" w:rsidRDefault="00B818E7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494CE0">
              <w:rPr>
                <w:sz w:val="26"/>
                <w:szCs w:val="26"/>
              </w:rPr>
              <w:t>n/a</w:t>
            </w:r>
          </w:p>
          <w:p w14:paraId="6F1B8B4E" w14:textId="77777777" w:rsidR="00AD3606" w:rsidRPr="00494CE0" w:rsidRDefault="00AD3606" w:rsidP="00F16BAB">
            <w:pPr>
              <w:spacing w:before="160"/>
              <w:rPr>
                <w:caps/>
                <w:sz w:val="22"/>
              </w:rPr>
            </w:pPr>
            <w:r w:rsidRPr="00494CE0">
              <w:rPr>
                <w:sz w:val="22"/>
              </w:rPr>
              <w:t>__________________</w:t>
            </w:r>
          </w:p>
          <w:p w14:paraId="0EBC340A" w14:textId="77777777" w:rsidR="00AD3606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References</w:t>
            </w:r>
          </w:p>
          <w:p w14:paraId="65250B1E" w14:textId="6F44A243" w:rsidR="00AD3606" w:rsidRDefault="00476654" w:rsidP="00F16BAB">
            <w:pPr>
              <w:spacing w:after="160"/>
            </w:pPr>
            <w:hyperlink r:id="rId11" w:history="1">
              <w:r w:rsidR="009976AA" w:rsidRPr="009976AA">
                <w:rPr>
                  <w:rStyle w:val="Hyperlink"/>
                </w:rPr>
                <w:t xml:space="preserve">United Nations General Assembly </w:t>
              </w:r>
              <w:r w:rsidR="00B818E7">
                <w:rPr>
                  <w:rStyle w:val="Hyperlink"/>
                </w:rPr>
                <w:t>R</w:t>
              </w:r>
              <w:r w:rsidR="009976AA" w:rsidRPr="009976AA">
                <w:rPr>
                  <w:rStyle w:val="Hyperlink"/>
                </w:rPr>
                <w:t>esolution 77/256</w:t>
              </w:r>
            </w:hyperlink>
            <w:r w:rsidR="00C677BB">
              <w:rPr>
                <w:rStyle w:val="Hyperlink"/>
              </w:rPr>
              <w:t xml:space="preserve"> A-B</w:t>
            </w:r>
          </w:p>
        </w:tc>
      </w:tr>
      <w:bookmarkEnd w:id="5"/>
    </w:tbl>
    <w:p w14:paraId="7FE52F59" w14:textId="77777777" w:rsidR="0090147A" w:rsidRPr="009976AA" w:rsidRDefault="009014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</w:rPr>
      </w:pPr>
      <w:r w:rsidRPr="009976AA">
        <w:br w:type="page"/>
      </w:r>
    </w:p>
    <w:p w14:paraId="1455B2BF" w14:textId="1C8D8FC2" w:rsidR="009976AA" w:rsidRPr="009976AA" w:rsidRDefault="00955BD7" w:rsidP="00B818E7">
      <w:pPr>
        <w:spacing w:before="24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1</w:t>
      </w:r>
      <w:r>
        <w:rPr>
          <w:b/>
          <w:bCs/>
          <w:sz w:val="26"/>
          <w:szCs w:val="26"/>
        </w:rPr>
        <w:tab/>
      </w:r>
      <w:r w:rsidR="009976AA" w:rsidRPr="009976AA">
        <w:rPr>
          <w:b/>
          <w:bCs/>
          <w:sz w:val="26"/>
          <w:szCs w:val="26"/>
        </w:rPr>
        <w:t>BACKGROUND</w:t>
      </w:r>
    </w:p>
    <w:p w14:paraId="1AE4C05B" w14:textId="4036EF31" w:rsidR="009976AA" w:rsidRDefault="009976AA" w:rsidP="00B818E7">
      <w:pPr>
        <w:spacing w:after="120"/>
        <w:jc w:val="both"/>
      </w:pPr>
      <w:r>
        <w:t>1.</w:t>
      </w:r>
      <w:r w:rsidR="00955BD7">
        <w:t>1</w:t>
      </w:r>
      <w:r>
        <w:tab/>
      </w:r>
      <w:r w:rsidRPr="009976AA">
        <w:t xml:space="preserve">The </w:t>
      </w:r>
      <w:r w:rsidR="0095577E">
        <w:t>U</w:t>
      </w:r>
      <w:r w:rsidR="003310AF">
        <w:t xml:space="preserve">nited </w:t>
      </w:r>
      <w:r w:rsidR="0095577E">
        <w:t>N</w:t>
      </w:r>
      <w:r w:rsidR="003310AF">
        <w:t>ations</w:t>
      </w:r>
      <w:r w:rsidR="0095577E">
        <w:t xml:space="preserve"> </w:t>
      </w:r>
      <w:r w:rsidRPr="009976AA">
        <w:t>General Assembly</w:t>
      </w:r>
      <w:r w:rsidR="003310AF">
        <w:t xml:space="preserve"> (UNGA)</w:t>
      </w:r>
      <w:r w:rsidRPr="009976AA">
        <w:t xml:space="preserve"> </w:t>
      </w:r>
      <w:bookmarkStart w:id="6" w:name="_Hlk125037598"/>
      <w:r w:rsidRPr="009976AA">
        <w:t>established the</w:t>
      </w:r>
      <w:r w:rsidR="00BE3F10">
        <w:t xml:space="preserve"> </w:t>
      </w:r>
      <w:r w:rsidR="00BE3F10" w:rsidRPr="00BE3F10">
        <w:t>International Civil Service Commission</w:t>
      </w:r>
      <w:r w:rsidRPr="009976AA">
        <w:t xml:space="preserve"> </w:t>
      </w:r>
      <w:r w:rsidR="00BE3F10">
        <w:t>(</w:t>
      </w:r>
      <w:r w:rsidRPr="009976AA">
        <w:t>ICSC</w:t>
      </w:r>
      <w:r w:rsidR="00BE3F10">
        <w:t>)</w:t>
      </w:r>
      <w:r w:rsidRPr="009976AA">
        <w:t xml:space="preserve"> </w:t>
      </w:r>
      <w:r w:rsidR="00BE3F10">
        <w:t>pursuant to</w:t>
      </w:r>
      <w:r w:rsidR="00BE3F10" w:rsidRPr="009976AA">
        <w:t xml:space="preserve"> </w:t>
      </w:r>
      <w:r w:rsidR="00110C0B">
        <w:t>R</w:t>
      </w:r>
      <w:r w:rsidRPr="009976AA">
        <w:t>esolution 3357 (XXIX) of 18</w:t>
      </w:r>
      <w:r w:rsidR="00B818E7">
        <w:t> </w:t>
      </w:r>
      <w:r w:rsidRPr="009976AA">
        <w:t>December 1974 for the regulation and coordination of the conditions of service of the United Nations common system.</w:t>
      </w:r>
      <w:r w:rsidR="0095577E" w:rsidRPr="0095577E">
        <w:t xml:space="preserve"> </w:t>
      </w:r>
      <w:r w:rsidR="0095577E">
        <w:t xml:space="preserve">The ITU Council </w:t>
      </w:r>
      <w:r w:rsidR="0095577E" w:rsidRPr="009976AA">
        <w:t xml:space="preserve">accepted the </w:t>
      </w:r>
      <w:r w:rsidR="00BE3F10">
        <w:t xml:space="preserve">statute of </w:t>
      </w:r>
      <w:r w:rsidR="0095577E">
        <w:t xml:space="preserve">ICSC </w:t>
      </w:r>
      <w:r w:rsidR="0095577E" w:rsidRPr="009976AA">
        <w:t>at its</w:t>
      </w:r>
      <w:r w:rsidR="0095577E">
        <w:t xml:space="preserve"> June 1975 session</w:t>
      </w:r>
      <w:r w:rsidR="0095577E" w:rsidRPr="009976AA">
        <w:t>.</w:t>
      </w:r>
    </w:p>
    <w:p w14:paraId="26CFE7C9" w14:textId="0BAE04D0" w:rsidR="009976AA" w:rsidRPr="009976AA" w:rsidRDefault="00955BD7" w:rsidP="00B818E7">
      <w:pPr>
        <w:spacing w:after="120"/>
        <w:jc w:val="both"/>
      </w:pPr>
      <w:r>
        <w:t>1.2</w:t>
      </w:r>
      <w:r w:rsidR="009976AA">
        <w:tab/>
      </w:r>
      <w:bookmarkEnd w:id="6"/>
      <w:r w:rsidR="009976AA" w:rsidRPr="009976AA">
        <w:t>Article</w:t>
      </w:r>
      <w:r w:rsidR="007D1CB4">
        <w:t>s</w:t>
      </w:r>
      <w:r w:rsidR="009976AA" w:rsidRPr="009976AA">
        <w:t xml:space="preserve"> </w:t>
      </w:r>
      <w:r w:rsidR="00EF3F62">
        <w:t>1(3)</w:t>
      </w:r>
      <w:r w:rsidR="007D1CB4">
        <w:t xml:space="preserve"> and </w:t>
      </w:r>
      <w:r w:rsidR="00EF3F62">
        <w:t>30</w:t>
      </w:r>
      <w:r w:rsidR="009976AA" w:rsidRPr="009976AA">
        <w:t xml:space="preserve"> of the ICSC </w:t>
      </w:r>
      <w:r w:rsidR="00BE3F10">
        <w:t>s</w:t>
      </w:r>
      <w:r w:rsidR="009976AA" w:rsidRPr="009976AA">
        <w:t>tatute provides that “</w:t>
      </w:r>
      <w:r w:rsidR="007D1CB4" w:rsidRPr="007D1CB4">
        <w:rPr>
          <w:i/>
          <w:iCs/>
        </w:rPr>
        <w:t>t</w:t>
      </w:r>
      <w:r w:rsidR="009976AA" w:rsidRPr="007D1CB4">
        <w:rPr>
          <w:i/>
          <w:iCs/>
        </w:rPr>
        <w:t>he present statute may be amended by the General Assembly. Amendments shall be subject to the same acceptance procedure as the present statute</w:t>
      </w:r>
      <w:r w:rsidR="009976AA" w:rsidRPr="009976AA">
        <w:t xml:space="preserve">” </w:t>
      </w:r>
      <w:r w:rsidR="00082CA3">
        <w:t>and</w:t>
      </w:r>
      <w:r w:rsidR="009976AA" w:rsidRPr="009976AA">
        <w:t xml:space="preserve"> that “</w:t>
      </w:r>
      <w:r w:rsidR="00D2203C" w:rsidRPr="00D2203C">
        <w:rPr>
          <w:i/>
          <w:iCs/>
        </w:rPr>
        <w:t>a</w:t>
      </w:r>
      <w:r w:rsidR="009976AA" w:rsidRPr="00D2203C">
        <w:rPr>
          <w:i/>
          <w:iCs/>
        </w:rPr>
        <w:t>cceptance of the statute by such an agency or organization shall be notified in writing by its executive head to the Secretary-General</w:t>
      </w:r>
      <w:r w:rsidR="009976AA" w:rsidRPr="009976AA">
        <w:t>.”</w:t>
      </w:r>
    </w:p>
    <w:p w14:paraId="093D5164" w14:textId="16620C79" w:rsidR="00967761" w:rsidRPr="00F427C3" w:rsidRDefault="00955BD7" w:rsidP="00B818E7">
      <w:pPr>
        <w:spacing w:after="120"/>
        <w:jc w:val="both"/>
      </w:pPr>
      <w:r>
        <w:t>1.3</w:t>
      </w:r>
      <w:r w:rsidR="009976AA">
        <w:tab/>
      </w:r>
      <w:r w:rsidR="00967761" w:rsidRPr="00F427C3">
        <w:t>In March 2017, ICSC determined that a new post</w:t>
      </w:r>
      <w:r w:rsidR="00BE3F10">
        <w:t xml:space="preserve"> </w:t>
      </w:r>
      <w:r w:rsidR="00967761" w:rsidRPr="00F427C3">
        <w:t>adjustment</w:t>
      </w:r>
      <w:r w:rsidR="0071146A">
        <w:t xml:space="preserve"> index</w:t>
      </w:r>
      <w:r w:rsidR="00967761" w:rsidRPr="00F427C3">
        <w:t>, applicable to the Geneva duty station, should be implemented based on the results of its 2016 cost-of-living surveys. In 2018, Geneva-based agencies decided to implement the ICSC decision to reduce the post</w:t>
      </w:r>
      <w:r w:rsidR="00BE3F10">
        <w:t xml:space="preserve"> </w:t>
      </w:r>
      <w:r w:rsidR="00967761" w:rsidRPr="00F427C3">
        <w:t>adjustment index and corresponding post</w:t>
      </w:r>
      <w:r w:rsidR="00BE3F10">
        <w:t xml:space="preserve"> </w:t>
      </w:r>
      <w:r w:rsidR="00967761" w:rsidRPr="00F427C3">
        <w:t xml:space="preserve">adjustment multiplier for staff in the Professional and higher categories, resulting in pay cuts. This led to mass legal challenges launched by the staff of five Geneva-based organizations before the ILO Administrative Tribunal (ILOAT). In July 2019, ILOAT issued five judgments in </w:t>
      </w:r>
      <w:r w:rsidR="00F427C3" w:rsidRPr="00F427C3">
        <w:t>favour</w:t>
      </w:r>
      <w:r w:rsidR="00967761" w:rsidRPr="00F427C3">
        <w:t xml:space="preserve"> of staff, ruling that the ICSC did not have the authority to decide on the amounts of post</w:t>
      </w:r>
      <w:r w:rsidR="00BE3F10">
        <w:t xml:space="preserve"> </w:t>
      </w:r>
      <w:r w:rsidR="00967761" w:rsidRPr="00F427C3">
        <w:t xml:space="preserve">adjustments, on the basis of its </w:t>
      </w:r>
      <w:r w:rsidR="00BE3F10">
        <w:t>s</w:t>
      </w:r>
      <w:r w:rsidR="00967761" w:rsidRPr="00F427C3">
        <w:t xml:space="preserve">tatute. </w:t>
      </w:r>
    </w:p>
    <w:p w14:paraId="7FFD1F01" w14:textId="0EFE57CB" w:rsidR="009976AA" w:rsidRPr="009976AA" w:rsidRDefault="00955BD7" w:rsidP="00B818E7">
      <w:pPr>
        <w:spacing w:after="120"/>
        <w:jc w:val="both"/>
      </w:pPr>
      <w:r>
        <w:t>1.4</w:t>
      </w:r>
      <w:r w:rsidR="00EC4546" w:rsidRPr="00F427C3">
        <w:tab/>
      </w:r>
      <w:r w:rsidR="00E864CB" w:rsidRPr="00F427C3">
        <w:t>To clarify the decision-making authority of ICSC</w:t>
      </w:r>
      <w:r w:rsidR="00813681" w:rsidRPr="00F427C3">
        <w:t xml:space="preserve"> with respect to the determination of post</w:t>
      </w:r>
      <w:r w:rsidR="00BE3F10">
        <w:t xml:space="preserve"> </w:t>
      </w:r>
      <w:r w:rsidR="00813681" w:rsidRPr="00F427C3">
        <w:t>adjustment multipliers</w:t>
      </w:r>
      <w:r w:rsidR="00967761" w:rsidRPr="00F427C3">
        <w:t>, UN</w:t>
      </w:r>
      <w:r w:rsidR="00BE3F10">
        <w:t>GA</w:t>
      </w:r>
      <w:r w:rsidR="00967761" w:rsidRPr="00F427C3">
        <w:t xml:space="preserve"> approved amendments to Articles 10 and 11 of the ICSC </w:t>
      </w:r>
      <w:r w:rsidR="00BE3F10">
        <w:t>s</w:t>
      </w:r>
      <w:r w:rsidR="00967761" w:rsidRPr="00F427C3">
        <w:t>tatute in December 2022, granting ICSC the authority to take a decision on the issue of post adjustment multipliers.</w:t>
      </w:r>
    </w:p>
    <w:p w14:paraId="60087E9D" w14:textId="4E7AB7AC" w:rsidR="009976AA" w:rsidRPr="009976AA" w:rsidRDefault="00955BD7" w:rsidP="00B818E7">
      <w:pPr>
        <w:spacing w:after="120"/>
        <w:jc w:val="both"/>
      </w:pPr>
      <w:r>
        <w:t>1.5</w:t>
      </w:r>
      <w:r w:rsidR="009976AA">
        <w:tab/>
      </w:r>
      <w:r w:rsidR="009976AA" w:rsidRPr="009976AA">
        <w:t>The amendments</w:t>
      </w:r>
      <w:r w:rsidR="007A5206">
        <w:t xml:space="preserve"> to the ICSC </w:t>
      </w:r>
      <w:r w:rsidR="00244E23">
        <w:t>s</w:t>
      </w:r>
      <w:r w:rsidR="007A5206">
        <w:t>tatute</w:t>
      </w:r>
      <w:r w:rsidR="009976AA" w:rsidRPr="009976AA">
        <w:t xml:space="preserve"> are as follows:</w:t>
      </w:r>
    </w:p>
    <w:p w14:paraId="0C1108A5" w14:textId="77777777" w:rsidR="009976AA" w:rsidRPr="00F427C3" w:rsidRDefault="009976AA" w:rsidP="00B818E7">
      <w:pPr>
        <w:spacing w:before="240"/>
        <w:ind w:left="426" w:right="282"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  <w:r w:rsidRPr="00F427C3">
        <w:rPr>
          <w:rFonts w:asciiTheme="minorHAnsi" w:hAnsiTheme="minorHAnsi" w:cstheme="minorHAnsi"/>
          <w:b/>
          <w:bCs/>
          <w:color w:val="000000"/>
          <w:sz w:val="22"/>
          <w:szCs w:val="22"/>
          <w:lang w:eastAsia="zh-CN"/>
        </w:rPr>
        <w:t xml:space="preserve">“Article 10 </w:t>
      </w:r>
    </w:p>
    <w:p w14:paraId="048555A5" w14:textId="77777777" w:rsidR="009976AA" w:rsidRPr="00F427C3" w:rsidRDefault="009976AA" w:rsidP="00E44964">
      <w:pPr>
        <w:ind w:left="426" w:right="282"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  <w:r w:rsidRPr="00F427C3">
        <w:rPr>
          <w:rFonts w:asciiTheme="minorHAnsi" w:hAnsiTheme="minorHAnsi" w:cstheme="minorHAnsi"/>
          <w:i/>
          <w:iCs/>
          <w:color w:val="000000"/>
          <w:sz w:val="22"/>
          <w:szCs w:val="22"/>
          <w:lang w:eastAsia="zh-CN"/>
        </w:rPr>
        <w:t xml:space="preserve">The commission shall make recommendations to the General Assembly on: </w:t>
      </w:r>
    </w:p>
    <w:p w14:paraId="0A335B29" w14:textId="77777777" w:rsidR="009976AA" w:rsidRPr="00F427C3" w:rsidRDefault="009976AA" w:rsidP="00E44964">
      <w:pPr>
        <w:ind w:left="426" w:right="282"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  <w:r w:rsidRPr="00F427C3">
        <w:rPr>
          <w:rFonts w:asciiTheme="minorHAnsi" w:hAnsiTheme="minorHAnsi" w:cstheme="minorHAnsi"/>
          <w:i/>
          <w:iCs/>
          <w:color w:val="000000"/>
          <w:sz w:val="22"/>
          <w:szCs w:val="22"/>
          <w:lang w:eastAsia="zh-CN"/>
        </w:rPr>
        <w:t>…</w:t>
      </w:r>
    </w:p>
    <w:p w14:paraId="6F3CDA8E" w14:textId="77777777" w:rsidR="009976AA" w:rsidRPr="00F427C3" w:rsidRDefault="009976AA" w:rsidP="00E44964">
      <w:pPr>
        <w:ind w:left="426" w:right="282"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  <w:r w:rsidRPr="00F427C3">
        <w:rPr>
          <w:rFonts w:asciiTheme="minorHAnsi" w:hAnsiTheme="minorHAnsi" w:cstheme="minorHAnsi"/>
          <w:i/>
          <w:iCs/>
          <w:color w:val="000000"/>
          <w:sz w:val="22"/>
          <w:szCs w:val="22"/>
          <w:lang w:eastAsia="zh-CN"/>
        </w:rPr>
        <w:t xml:space="preserve">(b) The </w:t>
      </w:r>
      <w:r w:rsidRPr="00F427C3">
        <w:rPr>
          <w:rFonts w:asciiTheme="minorHAnsi" w:hAnsiTheme="minorHAnsi" w:cstheme="minorHAnsi"/>
          <w:i/>
          <w:iCs/>
          <w:color w:val="000000"/>
          <w:sz w:val="22"/>
          <w:szCs w:val="22"/>
          <w:u w:val="single"/>
          <w:lang w:eastAsia="zh-CN"/>
        </w:rPr>
        <w:t xml:space="preserve">salary </w:t>
      </w:r>
      <w:r w:rsidRPr="00F427C3">
        <w:rPr>
          <w:rFonts w:asciiTheme="minorHAnsi" w:hAnsiTheme="minorHAnsi" w:cstheme="minorHAnsi"/>
          <w:i/>
          <w:iCs/>
          <w:color w:val="000000"/>
          <w:sz w:val="22"/>
          <w:szCs w:val="22"/>
          <w:lang w:eastAsia="zh-CN"/>
        </w:rPr>
        <w:t>scale</w:t>
      </w:r>
      <w:r w:rsidRPr="00F427C3">
        <w:rPr>
          <w:rFonts w:asciiTheme="minorHAnsi" w:hAnsiTheme="minorHAnsi" w:cstheme="minorHAnsi"/>
          <w:i/>
          <w:iCs/>
          <w:strike/>
          <w:color w:val="000000"/>
          <w:sz w:val="22"/>
          <w:szCs w:val="22"/>
          <w:lang w:eastAsia="zh-CN"/>
        </w:rPr>
        <w:t>s of salaries</w:t>
      </w:r>
      <w:r w:rsidRPr="00F427C3">
        <w:rPr>
          <w:rFonts w:asciiTheme="minorHAnsi" w:hAnsiTheme="minorHAnsi" w:cstheme="minorHAnsi"/>
          <w:i/>
          <w:iCs/>
          <w:color w:val="000000"/>
          <w:sz w:val="22"/>
          <w:szCs w:val="22"/>
          <w:lang w:eastAsia="zh-CN"/>
        </w:rPr>
        <w:t xml:space="preserve"> and </w:t>
      </w:r>
      <w:r w:rsidRPr="00F427C3">
        <w:rPr>
          <w:rFonts w:asciiTheme="minorHAnsi" w:hAnsiTheme="minorHAnsi" w:cstheme="minorHAnsi"/>
          <w:i/>
          <w:iCs/>
          <w:color w:val="000000"/>
          <w:sz w:val="22"/>
          <w:szCs w:val="22"/>
          <w:u w:val="single"/>
          <w:lang w:eastAsia="zh-CN"/>
        </w:rPr>
        <w:t>the value of the</w:t>
      </w:r>
      <w:r w:rsidRPr="00F427C3">
        <w:rPr>
          <w:rFonts w:asciiTheme="minorHAnsi" w:hAnsiTheme="minorHAnsi" w:cstheme="minorHAnsi"/>
          <w:i/>
          <w:iCs/>
          <w:color w:val="000000"/>
          <w:sz w:val="22"/>
          <w:szCs w:val="22"/>
          <w:lang w:eastAsia="zh-CN"/>
        </w:rPr>
        <w:t xml:space="preserve"> post adjustment</w:t>
      </w:r>
      <w:r w:rsidRPr="00F427C3">
        <w:rPr>
          <w:rFonts w:asciiTheme="minorHAnsi" w:hAnsiTheme="minorHAnsi" w:cstheme="minorHAnsi"/>
          <w:i/>
          <w:iCs/>
          <w:strike/>
          <w:color w:val="000000"/>
          <w:sz w:val="22"/>
          <w:szCs w:val="22"/>
          <w:lang w:eastAsia="zh-CN"/>
        </w:rPr>
        <w:t>s</w:t>
      </w:r>
      <w:r w:rsidRPr="00F427C3">
        <w:rPr>
          <w:rFonts w:asciiTheme="minorHAnsi" w:hAnsiTheme="minorHAnsi" w:cstheme="minorHAnsi"/>
          <w:i/>
          <w:iCs/>
          <w:color w:val="000000"/>
          <w:sz w:val="22"/>
          <w:szCs w:val="22"/>
          <w:lang w:eastAsia="zh-CN"/>
        </w:rPr>
        <w:t xml:space="preserve"> multiplier for staff in the Professional and higher categories; </w:t>
      </w:r>
    </w:p>
    <w:p w14:paraId="754F9E3B" w14:textId="77777777" w:rsidR="009976AA" w:rsidRPr="00F427C3" w:rsidRDefault="009976AA" w:rsidP="00E44964">
      <w:pPr>
        <w:ind w:left="425" w:right="284"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  <w:r w:rsidRPr="00F427C3">
        <w:rPr>
          <w:rFonts w:asciiTheme="minorHAnsi" w:hAnsiTheme="minorHAnsi" w:cstheme="minorHAnsi"/>
          <w:b/>
          <w:bCs/>
          <w:color w:val="000000"/>
          <w:sz w:val="22"/>
          <w:szCs w:val="22"/>
          <w:lang w:eastAsia="zh-CN"/>
        </w:rPr>
        <w:t xml:space="preserve">Article 11 </w:t>
      </w:r>
    </w:p>
    <w:p w14:paraId="0A7645A8" w14:textId="77777777" w:rsidR="009976AA" w:rsidRPr="00F427C3" w:rsidRDefault="009976AA" w:rsidP="00E44964">
      <w:pPr>
        <w:ind w:left="426" w:right="282"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  <w:r w:rsidRPr="00F427C3">
        <w:rPr>
          <w:rFonts w:asciiTheme="minorHAnsi" w:hAnsiTheme="minorHAnsi" w:cstheme="minorHAnsi"/>
          <w:i/>
          <w:iCs/>
          <w:color w:val="000000"/>
          <w:sz w:val="22"/>
          <w:szCs w:val="22"/>
          <w:lang w:eastAsia="zh-CN"/>
        </w:rPr>
        <w:t xml:space="preserve">The commission shall establish: </w:t>
      </w:r>
    </w:p>
    <w:p w14:paraId="765AFA32" w14:textId="77777777" w:rsidR="009976AA" w:rsidRPr="00F427C3" w:rsidRDefault="009976AA" w:rsidP="00E44964">
      <w:pPr>
        <w:tabs>
          <w:tab w:val="left" w:pos="0"/>
        </w:tabs>
        <w:spacing w:line="280" w:lineRule="exact"/>
        <w:ind w:left="426" w:right="282"/>
        <w:rPr>
          <w:rFonts w:asciiTheme="minorHAnsi" w:hAnsiTheme="minorHAnsi" w:cstheme="minorHAnsi"/>
          <w:i/>
          <w:iCs/>
          <w:sz w:val="22"/>
          <w:szCs w:val="22"/>
          <w:lang w:eastAsia="zh-CN"/>
        </w:rPr>
      </w:pPr>
      <w:r w:rsidRPr="00F427C3">
        <w:rPr>
          <w:rFonts w:asciiTheme="minorHAnsi" w:hAnsiTheme="minorHAnsi" w:cstheme="minorHAnsi"/>
          <w:i/>
          <w:iCs/>
          <w:sz w:val="22"/>
          <w:szCs w:val="22"/>
          <w:lang w:eastAsia="zh-CN"/>
        </w:rPr>
        <w:t>…</w:t>
      </w:r>
    </w:p>
    <w:p w14:paraId="1B3D4AE6" w14:textId="77777777" w:rsidR="009976AA" w:rsidRPr="00F427C3" w:rsidRDefault="009976AA" w:rsidP="00E44964">
      <w:pPr>
        <w:tabs>
          <w:tab w:val="left" w:pos="0"/>
        </w:tabs>
        <w:spacing w:line="280" w:lineRule="exact"/>
        <w:ind w:left="426" w:right="282"/>
        <w:rPr>
          <w:rFonts w:asciiTheme="minorHAnsi" w:hAnsiTheme="minorHAnsi" w:cstheme="minorHAnsi"/>
          <w:i/>
          <w:iCs/>
          <w:sz w:val="22"/>
          <w:szCs w:val="22"/>
          <w:lang w:eastAsia="zh-CN"/>
        </w:rPr>
      </w:pPr>
      <w:r w:rsidRPr="00F427C3">
        <w:rPr>
          <w:rFonts w:asciiTheme="minorHAnsi" w:hAnsiTheme="minorHAnsi" w:cstheme="minorHAnsi"/>
          <w:i/>
          <w:iCs/>
          <w:sz w:val="22"/>
          <w:szCs w:val="22"/>
          <w:lang w:eastAsia="zh-CN"/>
        </w:rPr>
        <w:t xml:space="preserve">(c) The </w:t>
      </w:r>
      <w:r w:rsidRPr="00F427C3">
        <w:rPr>
          <w:rFonts w:asciiTheme="minorHAnsi" w:hAnsiTheme="minorHAnsi" w:cstheme="minorHAnsi"/>
          <w:i/>
          <w:iCs/>
          <w:strike/>
          <w:sz w:val="22"/>
          <w:szCs w:val="22"/>
          <w:lang w:eastAsia="zh-CN"/>
        </w:rPr>
        <w:t>classification of duty stations for the purpose of applying</w:t>
      </w:r>
      <w:r w:rsidRPr="00F427C3">
        <w:rPr>
          <w:rFonts w:asciiTheme="minorHAnsi" w:hAnsiTheme="minorHAnsi" w:cstheme="minorHAnsi"/>
          <w:i/>
          <w:iCs/>
          <w:sz w:val="22"/>
          <w:szCs w:val="22"/>
          <w:lang w:eastAsia="zh-CN"/>
        </w:rPr>
        <w:t xml:space="preserve"> post adjustment</w:t>
      </w:r>
      <w:r w:rsidRPr="00F427C3">
        <w:rPr>
          <w:rFonts w:asciiTheme="minorHAnsi" w:hAnsiTheme="minorHAnsi" w:cstheme="minorHAnsi"/>
          <w:i/>
          <w:iCs/>
          <w:strike/>
          <w:sz w:val="22"/>
          <w:szCs w:val="22"/>
          <w:lang w:eastAsia="zh-CN"/>
        </w:rPr>
        <w:t>s</w:t>
      </w:r>
      <w:r w:rsidRPr="00F427C3">
        <w:rPr>
          <w:rFonts w:asciiTheme="minorHAnsi" w:hAnsiTheme="minorHAnsi" w:cstheme="minorHAnsi"/>
          <w:i/>
          <w:iCs/>
          <w:sz w:val="22"/>
          <w:szCs w:val="22"/>
          <w:lang w:eastAsia="zh-CN"/>
        </w:rPr>
        <w:t xml:space="preserve"> applicable to each duty station.”</w:t>
      </w:r>
    </w:p>
    <w:p w14:paraId="57619A66" w14:textId="5A90308E" w:rsidR="009976AA" w:rsidRPr="009976AA" w:rsidRDefault="00955BD7" w:rsidP="008621CA">
      <w:pPr>
        <w:spacing w:before="240" w:after="120"/>
        <w:jc w:val="both"/>
      </w:pPr>
      <w:r>
        <w:t>1.6</w:t>
      </w:r>
      <w:r w:rsidR="009976AA">
        <w:tab/>
      </w:r>
      <w:r w:rsidR="00244E23">
        <w:t>UNGA</w:t>
      </w:r>
      <w:r w:rsidR="009976AA" w:rsidRPr="009976AA">
        <w:t xml:space="preserve"> invited the</w:t>
      </w:r>
      <w:r w:rsidR="007A5206">
        <w:t xml:space="preserve"> relevant</w:t>
      </w:r>
      <w:r w:rsidR="009976AA" w:rsidRPr="009976AA">
        <w:t xml:space="preserve"> organizations of the common system to complete formal acceptance of the amended statute.</w:t>
      </w:r>
      <w:r w:rsidR="00654AD0">
        <w:t xml:space="preserve"> </w:t>
      </w:r>
      <w:r w:rsidR="00654AD0" w:rsidRPr="005E2E2C">
        <w:t xml:space="preserve">The next step is for the Council to accept these amendments. After that </w:t>
      </w:r>
      <w:r w:rsidR="005E2E2C">
        <w:t>decision</w:t>
      </w:r>
      <w:r w:rsidR="00654AD0" w:rsidRPr="005E2E2C">
        <w:t>, the ITU Secretary-General will send a formal notification to the U</w:t>
      </w:r>
      <w:r w:rsidR="0073432B">
        <w:t xml:space="preserve">nited </w:t>
      </w:r>
      <w:r w:rsidR="00654AD0" w:rsidRPr="005E2E2C">
        <w:t>N</w:t>
      </w:r>
      <w:r w:rsidR="0073432B">
        <w:t>ations</w:t>
      </w:r>
      <w:r w:rsidR="00654AD0" w:rsidRPr="005E2E2C">
        <w:t xml:space="preserve"> Secretary-General, completing the acceptance procedure for ITU.</w:t>
      </w:r>
    </w:p>
    <w:p w14:paraId="109B9DE0" w14:textId="7403C31C" w:rsidR="009976AA" w:rsidRPr="009976AA" w:rsidRDefault="00955BD7" w:rsidP="008621CA">
      <w:pPr>
        <w:keepNext/>
        <w:keepLines/>
        <w:spacing w:before="160"/>
        <w:rPr>
          <w:b/>
          <w:bCs/>
          <w:sz w:val="26"/>
          <w:szCs w:val="26"/>
        </w:rPr>
      </w:pPr>
      <w:bookmarkStart w:id="7" w:name="ACTION_BY_THE_EXECUTIVE_BOARD"/>
      <w:bookmarkEnd w:id="7"/>
      <w:r>
        <w:rPr>
          <w:b/>
          <w:bCs/>
          <w:sz w:val="26"/>
          <w:szCs w:val="26"/>
        </w:rPr>
        <w:lastRenderedPageBreak/>
        <w:t>2</w:t>
      </w:r>
      <w:r>
        <w:rPr>
          <w:b/>
          <w:bCs/>
          <w:sz w:val="26"/>
          <w:szCs w:val="26"/>
        </w:rPr>
        <w:tab/>
      </w:r>
      <w:r w:rsidR="009976AA" w:rsidRPr="009976AA">
        <w:rPr>
          <w:b/>
          <w:bCs/>
          <w:sz w:val="26"/>
          <w:szCs w:val="26"/>
        </w:rPr>
        <w:t xml:space="preserve">ACTION </w:t>
      </w:r>
      <w:r w:rsidR="009976AA">
        <w:rPr>
          <w:b/>
          <w:bCs/>
          <w:sz w:val="26"/>
          <w:szCs w:val="26"/>
        </w:rPr>
        <w:t xml:space="preserve">REQUESTED FROM </w:t>
      </w:r>
      <w:r w:rsidR="0073432B">
        <w:rPr>
          <w:b/>
          <w:bCs/>
          <w:sz w:val="26"/>
          <w:szCs w:val="26"/>
        </w:rPr>
        <w:t xml:space="preserve">THE </w:t>
      </w:r>
      <w:r w:rsidR="009976AA">
        <w:rPr>
          <w:b/>
          <w:bCs/>
          <w:sz w:val="26"/>
          <w:szCs w:val="26"/>
        </w:rPr>
        <w:t>COUNCIL</w:t>
      </w:r>
    </w:p>
    <w:p w14:paraId="6825E1A2" w14:textId="64F488E7" w:rsidR="009976AA" w:rsidRPr="009976AA" w:rsidRDefault="009976AA" w:rsidP="008621CA">
      <w:pPr>
        <w:keepNext/>
        <w:keepLines/>
        <w:jc w:val="both"/>
      </w:pPr>
      <w:r w:rsidRPr="009976AA">
        <w:t xml:space="preserve">The Council is invited to note the report and </w:t>
      </w:r>
      <w:r w:rsidR="008621CA">
        <w:t xml:space="preserve">to </w:t>
      </w:r>
      <w:r w:rsidRPr="009976AA">
        <w:t>adopt the draft resolution</w:t>
      </w:r>
      <w:r w:rsidR="00955BD7">
        <w:t>,</w:t>
      </w:r>
      <w:r w:rsidR="00955BD7" w:rsidRPr="00955BD7">
        <w:t xml:space="preserve"> </w:t>
      </w:r>
      <w:r w:rsidR="00955BD7">
        <w:t xml:space="preserve">presented in </w:t>
      </w:r>
      <w:hyperlink w:anchor="Annex" w:history="1">
        <w:r w:rsidR="0073432B">
          <w:rPr>
            <w:rStyle w:val="Hyperlink"/>
          </w:rPr>
          <w:t>A</w:t>
        </w:r>
        <w:r w:rsidR="00955BD7" w:rsidRPr="00955BD7">
          <w:rPr>
            <w:rStyle w:val="Hyperlink"/>
          </w:rPr>
          <w:t>nnex</w:t>
        </w:r>
      </w:hyperlink>
      <w:r w:rsidR="00955BD7">
        <w:t xml:space="preserve"> </w:t>
      </w:r>
      <w:r w:rsidR="0073432B">
        <w:t>hereto</w:t>
      </w:r>
      <w:r w:rsidR="00955BD7">
        <w:t>,</w:t>
      </w:r>
      <w:r w:rsidR="008621CA">
        <w:t xml:space="preserve"> </w:t>
      </w:r>
      <w:r w:rsidRPr="009976AA">
        <w:t xml:space="preserve">on the amendments to the statute of </w:t>
      </w:r>
      <w:r w:rsidR="0073432B">
        <w:t>ICSC</w:t>
      </w:r>
      <w:r w:rsidRPr="009976AA">
        <w:t xml:space="preserve"> adopted by </w:t>
      </w:r>
      <w:r w:rsidR="0073432B">
        <w:t>UNGA</w:t>
      </w:r>
      <w:r w:rsidRPr="009976AA">
        <w:t xml:space="preserve"> </w:t>
      </w:r>
      <w:r w:rsidR="0073432B">
        <w:t xml:space="preserve">pursuant to </w:t>
      </w:r>
      <w:r w:rsidR="008621CA">
        <w:t>R</w:t>
      </w:r>
      <w:r w:rsidRPr="009976AA">
        <w:t>esolution 77/256 A</w:t>
      </w:r>
      <w:r w:rsidR="0073432B">
        <w:t xml:space="preserve"> of 30 December 2022</w:t>
      </w:r>
      <w:r w:rsidR="00955BD7">
        <w:t>.</w:t>
      </w:r>
    </w:p>
    <w:p w14:paraId="104DFAFE" w14:textId="72FA3AD2" w:rsidR="009976AA" w:rsidRPr="008621CA" w:rsidRDefault="008621CA" w:rsidP="008621CA">
      <w:pPr>
        <w:spacing w:before="1440"/>
        <w:jc w:val="both"/>
        <w:rPr>
          <w:i/>
          <w:iCs/>
        </w:rPr>
      </w:pPr>
      <w:r w:rsidRPr="008621CA">
        <w:rPr>
          <w:i/>
          <w:iCs/>
        </w:rPr>
        <w:t xml:space="preserve">Annex: </w:t>
      </w:r>
      <w:r w:rsidRPr="008621CA">
        <w:rPr>
          <w:b/>
          <w:bCs/>
          <w:i/>
          <w:iCs/>
        </w:rPr>
        <w:t>1</w:t>
      </w:r>
    </w:p>
    <w:p w14:paraId="0419C51E" w14:textId="04AF72D1" w:rsidR="008621CA" w:rsidRDefault="008621C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59D47E63" w14:textId="77BD00A5" w:rsidR="00FE6A23" w:rsidRDefault="008621CA" w:rsidP="008621CA">
      <w:pPr>
        <w:pStyle w:val="AnnexNo"/>
      </w:pPr>
      <w:bookmarkStart w:id="8" w:name="Annex"/>
      <w:r>
        <w:lastRenderedPageBreak/>
        <w:t>Annex</w:t>
      </w:r>
      <w:bookmarkEnd w:id="8"/>
    </w:p>
    <w:p w14:paraId="64A3C54B" w14:textId="18AB5AF7" w:rsidR="0001768A" w:rsidRDefault="0001768A" w:rsidP="008621CA">
      <w:pPr>
        <w:pStyle w:val="AnnexNo"/>
      </w:pPr>
      <w:r>
        <w:t xml:space="preserve">Draft Resolution </w:t>
      </w:r>
      <w:r w:rsidR="008621CA">
        <w:t>[...]</w:t>
      </w:r>
    </w:p>
    <w:p w14:paraId="00CD65D7" w14:textId="4D978ECF" w:rsidR="008621CA" w:rsidRPr="008621CA" w:rsidRDefault="008621CA" w:rsidP="006A722C">
      <w:pPr>
        <w:pStyle w:val="Restitle"/>
      </w:pPr>
      <w:r>
        <w:t>A</w:t>
      </w:r>
      <w:r w:rsidRPr="008621CA">
        <w:t>mendments to the statute of the International Civil Service Commission</w:t>
      </w:r>
    </w:p>
    <w:p w14:paraId="4B7CEEDC" w14:textId="77777777" w:rsidR="008621CA" w:rsidRDefault="007E4164" w:rsidP="008621CA">
      <w:pPr>
        <w:pStyle w:val="Normalaftertitle"/>
      </w:pPr>
      <w:r>
        <w:t>The ITU Council,</w:t>
      </w:r>
    </w:p>
    <w:p w14:paraId="795829CE" w14:textId="623D90A3" w:rsidR="008B0A18" w:rsidRDefault="007D3972" w:rsidP="008621CA">
      <w:pPr>
        <w:pStyle w:val="Call"/>
      </w:pPr>
      <w:r>
        <w:t>h</w:t>
      </w:r>
      <w:r w:rsidR="009976AA" w:rsidRPr="009976AA">
        <w:t>aving considered</w:t>
      </w:r>
    </w:p>
    <w:p w14:paraId="06A768D3" w14:textId="10F990A9" w:rsidR="008621CA" w:rsidRDefault="009976AA" w:rsidP="006A722C">
      <w:pPr>
        <w:rPr>
          <w:szCs w:val="24"/>
        </w:rPr>
      </w:pPr>
      <w:r w:rsidRPr="009976AA">
        <w:t xml:space="preserve">the report </w:t>
      </w:r>
      <w:r w:rsidR="00C56556">
        <w:t xml:space="preserve">submitted </w:t>
      </w:r>
      <w:r w:rsidRPr="009976AA">
        <w:t xml:space="preserve">by the </w:t>
      </w:r>
      <w:r w:rsidR="007E4164">
        <w:t>Secretary</w:t>
      </w:r>
      <w:r w:rsidRPr="009976AA">
        <w:t>-General</w:t>
      </w:r>
      <w:r w:rsidR="007E4164">
        <w:t xml:space="preserve"> </w:t>
      </w:r>
      <w:r w:rsidR="00F2360E">
        <w:t xml:space="preserve">in </w:t>
      </w:r>
      <w:r w:rsidR="00D72A49">
        <w:t xml:space="preserve">document </w:t>
      </w:r>
      <w:hyperlink r:id="rId12" w:history="1">
        <w:r w:rsidR="00D72A49" w:rsidRPr="008621CA">
          <w:rPr>
            <w:rStyle w:val="Hyperlink"/>
          </w:rPr>
          <w:t>C23/</w:t>
        </w:r>
        <w:r w:rsidR="008621CA" w:rsidRPr="008621CA">
          <w:rPr>
            <w:rStyle w:val="Hyperlink"/>
          </w:rPr>
          <w:t>56</w:t>
        </w:r>
      </w:hyperlink>
      <w:r w:rsidR="00D72A49">
        <w:t xml:space="preserve"> </w:t>
      </w:r>
      <w:r w:rsidR="007E4164">
        <w:t>concerning</w:t>
      </w:r>
      <w:r w:rsidRPr="009976AA">
        <w:t xml:space="preserve"> the amendments to the statute of the </w:t>
      </w:r>
      <w:r w:rsidRPr="007E4164">
        <w:rPr>
          <w:szCs w:val="24"/>
        </w:rPr>
        <w:t>International Civil Service Commission</w:t>
      </w:r>
      <w:r w:rsidR="0073432B">
        <w:rPr>
          <w:szCs w:val="24"/>
        </w:rPr>
        <w:t xml:space="preserve"> (ICSC)</w:t>
      </w:r>
      <w:r w:rsidRPr="007E4164">
        <w:rPr>
          <w:szCs w:val="24"/>
        </w:rPr>
        <w:t xml:space="preserve"> adopted by the United Nations General Assembly</w:t>
      </w:r>
      <w:r w:rsidR="0073432B">
        <w:rPr>
          <w:szCs w:val="24"/>
        </w:rPr>
        <w:t xml:space="preserve"> (UNGA)</w:t>
      </w:r>
      <w:r w:rsidRPr="007E4164">
        <w:rPr>
          <w:szCs w:val="24"/>
        </w:rPr>
        <w:t xml:space="preserve"> at its seventy-seventh session on 30 December 2022 in </w:t>
      </w:r>
      <w:r w:rsidR="008621CA">
        <w:rPr>
          <w:szCs w:val="24"/>
        </w:rPr>
        <w:t>R</w:t>
      </w:r>
      <w:r w:rsidRPr="007E4164">
        <w:rPr>
          <w:szCs w:val="24"/>
        </w:rPr>
        <w:t>esolution 77/256 A-B,</w:t>
      </w:r>
    </w:p>
    <w:p w14:paraId="4591FFA9" w14:textId="64CA66CC" w:rsidR="007E4164" w:rsidRPr="007E4164" w:rsidRDefault="00244E23" w:rsidP="008621CA">
      <w:pPr>
        <w:pStyle w:val="Call"/>
      </w:pPr>
      <w:r>
        <w:t>resolves</w:t>
      </w:r>
    </w:p>
    <w:p w14:paraId="48EAB4B0" w14:textId="2102D31B" w:rsidR="008621CA" w:rsidRDefault="00AB26D2" w:rsidP="006A722C">
      <w:r>
        <w:t xml:space="preserve">to accept </w:t>
      </w:r>
      <w:r w:rsidR="009976AA" w:rsidRPr="00DB3D41">
        <w:t xml:space="preserve">the amendments to the statute of </w:t>
      </w:r>
      <w:r w:rsidR="0073432B">
        <w:t>ICSC</w:t>
      </w:r>
      <w:r w:rsidR="009976AA" w:rsidRPr="00DB3D41">
        <w:t xml:space="preserve"> adopted by </w:t>
      </w:r>
      <w:r w:rsidR="0073432B">
        <w:t>UNGA</w:t>
      </w:r>
      <w:r w:rsidR="009976AA" w:rsidRPr="00DB3D41">
        <w:t xml:space="preserve"> at its seventy-seventh session on 30</w:t>
      </w:r>
      <w:r w:rsidR="008621CA">
        <w:t> </w:t>
      </w:r>
      <w:r w:rsidR="009976AA" w:rsidRPr="00DB3D41">
        <w:t>December</w:t>
      </w:r>
      <w:r w:rsidR="008621CA">
        <w:t> </w:t>
      </w:r>
      <w:r w:rsidR="009976AA" w:rsidRPr="00DB3D41">
        <w:t xml:space="preserve">2022 in </w:t>
      </w:r>
      <w:r w:rsidR="008621CA">
        <w:t>R</w:t>
      </w:r>
      <w:r w:rsidR="009976AA" w:rsidRPr="00DB3D41">
        <w:t>esolution 77/256 A</w:t>
      </w:r>
      <w:r w:rsidR="007D3972">
        <w:t>,</w:t>
      </w:r>
    </w:p>
    <w:p w14:paraId="1B63B54A" w14:textId="54652FE1" w:rsidR="007D3972" w:rsidRDefault="007D3972" w:rsidP="008621CA">
      <w:pPr>
        <w:pStyle w:val="Call"/>
      </w:pPr>
      <w:r>
        <w:t>instructs</w:t>
      </w:r>
    </w:p>
    <w:p w14:paraId="7D872CD5" w14:textId="6F22AEA2" w:rsidR="009976AA" w:rsidRPr="007E4164" w:rsidRDefault="009976AA" w:rsidP="006A722C">
      <w:r w:rsidRPr="007D3972">
        <w:t xml:space="preserve">the </w:t>
      </w:r>
      <w:r w:rsidR="007E4164" w:rsidRPr="007D3972">
        <w:t>ITU Secretary-</w:t>
      </w:r>
      <w:r w:rsidRPr="007D3972">
        <w:t>General to notify this acceptance to the Secretary-General of the United Nations.</w:t>
      </w:r>
    </w:p>
    <w:p w14:paraId="16566EB5" w14:textId="65440A91" w:rsidR="00A514A4" w:rsidRPr="007E4164" w:rsidRDefault="008621CA" w:rsidP="008621C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40"/>
        <w:jc w:val="center"/>
        <w:textAlignment w:val="auto"/>
        <w:rPr>
          <w:szCs w:val="24"/>
        </w:rPr>
      </w:pPr>
      <w:r>
        <w:rPr>
          <w:szCs w:val="24"/>
        </w:rPr>
        <w:t>_____________</w:t>
      </w:r>
    </w:p>
    <w:sectPr w:rsidR="00A514A4" w:rsidRPr="007E4164" w:rsidSect="00AD3606">
      <w:footerReference w:type="default" r:id="rId13"/>
      <w:headerReference w:type="first" r:id="rId14"/>
      <w:footerReference w:type="first" r:id="rId15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0FBE2" w14:textId="77777777" w:rsidR="00960443" w:rsidRDefault="00960443">
      <w:r>
        <w:separator/>
      </w:r>
    </w:p>
  </w:endnote>
  <w:endnote w:type="continuationSeparator" w:id="0">
    <w:p w14:paraId="6F2E3BDF" w14:textId="77777777" w:rsidR="00960443" w:rsidRDefault="00960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3C2EDA0B" w14:textId="77777777" w:rsidTr="0042469C">
      <w:trPr>
        <w:jc w:val="center"/>
      </w:trPr>
      <w:tc>
        <w:tcPr>
          <w:tcW w:w="1803" w:type="dxa"/>
          <w:vAlign w:val="center"/>
        </w:tcPr>
        <w:p w14:paraId="3FDA5160" w14:textId="18A35D44" w:rsidR="00EE49E8" w:rsidRDefault="00EE49E8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8621CA">
            <w:rPr>
              <w:noProof/>
            </w:rPr>
            <w:t>521090</w:t>
          </w:r>
        </w:p>
      </w:tc>
      <w:tc>
        <w:tcPr>
          <w:tcW w:w="8261" w:type="dxa"/>
        </w:tcPr>
        <w:p w14:paraId="35709C74" w14:textId="15DD490B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A44716">
            <w:rPr>
              <w:bCs/>
            </w:rPr>
            <w:t>3</w:t>
          </w:r>
          <w:r w:rsidRPr="00623AE3">
            <w:rPr>
              <w:bCs/>
            </w:rPr>
            <w:t>/</w:t>
          </w:r>
          <w:r w:rsidR="008621CA">
            <w:rPr>
              <w:bCs/>
            </w:rPr>
            <w:t>56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C6FB1E8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5B19715E" w14:textId="77777777" w:rsidTr="00EE49E8">
      <w:trPr>
        <w:jc w:val="center"/>
      </w:trPr>
      <w:tc>
        <w:tcPr>
          <w:tcW w:w="1803" w:type="dxa"/>
          <w:vAlign w:val="center"/>
        </w:tcPr>
        <w:p w14:paraId="0BE27363" w14:textId="77777777" w:rsidR="00EE49E8" w:rsidRDefault="00476654" w:rsidP="00EE49E8">
          <w:pPr>
            <w:pStyle w:val="Header"/>
            <w:jc w:val="left"/>
            <w:rPr>
              <w:noProof/>
            </w:rPr>
          </w:pPr>
          <w:hyperlink r:id="rId1" w:history="1">
            <w:r w:rsidR="00EE49E8" w:rsidRPr="00A514A4">
              <w:rPr>
                <w:rStyle w:val="Hyperlink"/>
                <w:szCs w:val="14"/>
                <w:u w:val="none"/>
              </w:rPr>
              <w:t>www.itu.int/council</w:t>
            </w:r>
          </w:hyperlink>
        </w:p>
      </w:tc>
      <w:tc>
        <w:tcPr>
          <w:tcW w:w="8261" w:type="dxa"/>
        </w:tcPr>
        <w:p w14:paraId="09715012" w14:textId="48E86464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A44716">
            <w:rPr>
              <w:bCs/>
            </w:rPr>
            <w:t>3</w:t>
          </w:r>
          <w:r w:rsidRPr="00623AE3">
            <w:rPr>
              <w:bCs/>
            </w:rPr>
            <w:t>/</w:t>
          </w:r>
          <w:r w:rsidR="00B818E7">
            <w:rPr>
              <w:bCs/>
            </w:rPr>
            <w:t>56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A1F1124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A3F3F" w14:textId="77777777" w:rsidR="00960443" w:rsidRDefault="00960443">
      <w:r>
        <w:t>____________________</w:t>
      </w:r>
    </w:p>
  </w:footnote>
  <w:footnote w:type="continuationSeparator" w:id="0">
    <w:p w14:paraId="4BCB117C" w14:textId="77777777" w:rsidR="00960443" w:rsidRDefault="00960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D3606" w:rsidRPr="00784011" w14:paraId="711CDDAA" w14:textId="77777777" w:rsidTr="00C91CFC">
      <w:trPr>
        <w:trHeight w:val="1104"/>
        <w:jc w:val="center"/>
      </w:trPr>
      <w:tc>
        <w:tcPr>
          <w:tcW w:w="4390" w:type="dxa"/>
          <w:vAlign w:val="center"/>
        </w:tcPr>
        <w:p w14:paraId="3AC295DD" w14:textId="77777777" w:rsidR="00AD3606" w:rsidRPr="009621F8" w:rsidRDefault="00AD3606" w:rsidP="00AD3606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4627FAF5" wp14:editId="06D35C67">
                <wp:extent cx="1906471" cy="534171"/>
                <wp:effectExtent l="0" t="0" r="0" b="0"/>
                <wp:docPr id="6" name="Graphic 6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9009" cy="5376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55FC14DA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B8D9AB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883533B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7B70BDC9" w14:textId="77777777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8C9542" wp14:editId="2D470DDF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DCF40F" id="Rectangle 5" o:spid="_x0000_s1026" style="position:absolute;margin-left:1.05pt;margin-top:50.8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DTw/oi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A31862"/>
    <w:multiLevelType w:val="hybridMultilevel"/>
    <w:tmpl w:val="C68C8398"/>
    <w:lvl w:ilvl="0" w:tplc="EF28784E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C761B85"/>
    <w:multiLevelType w:val="hybridMultilevel"/>
    <w:tmpl w:val="D7EC1C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C2A25"/>
    <w:multiLevelType w:val="hybridMultilevel"/>
    <w:tmpl w:val="301C2F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255600498">
    <w:abstractNumId w:val="0"/>
  </w:num>
  <w:num w:numId="2" w16cid:durableId="19567176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91120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15871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71"/>
    <w:rsid w:val="0000030C"/>
    <w:rsid w:val="0001768A"/>
    <w:rsid w:val="000210D4"/>
    <w:rsid w:val="00063016"/>
    <w:rsid w:val="00066795"/>
    <w:rsid w:val="00076AF6"/>
    <w:rsid w:val="00082CA3"/>
    <w:rsid w:val="00085CF2"/>
    <w:rsid w:val="000B1705"/>
    <w:rsid w:val="000D624A"/>
    <w:rsid w:val="000D75B2"/>
    <w:rsid w:val="00110C0B"/>
    <w:rsid w:val="001121F5"/>
    <w:rsid w:val="001400DC"/>
    <w:rsid w:val="00140CE1"/>
    <w:rsid w:val="0017539C"/>
    <w:rsid w:val="00175AC2"/>
    <w:rsid w:val="0017609F"/>
    <w:rsid w:val="001A7D1D"/>
    <w:rsid w:val="001B51DD"/>
    <w:rsid w:val="001C628E"/>
    <w:rsid w:val="001D55E5"/>
    <w:rsid w:val="001E0F7B"/>
    <w:rsid w:val="00206636"/>
    <w:rsid w:val="002119FD"/>
    <w:rsid w:val="002130E0"/>
    <w:rsid w:val="00226DDE"/>
    <w:rsid w:val="00244E23"/>
    <w:rsid w:val="00264425"/>
    <w:rsid w:val="00265875"/>
    <w:rsid w:val="0027303B"/>
    <w:rsid w:val="0028109B"/>
    <w:rsid w:val="00294DA8"/>
    <w:rsid w:val="002A2188"/>
    <w:rsid w:val="002B1F58"/>
    <w:rsid w:val="002C1C7A"/>
    <w:rsid w:val="002C54E2"/>
    <w:rsid w:val="0030160F"/>
    <w:rsid w:val="00320223"/>
    <w:rsid w:val="00322D0D"/>
    <w:rsid w:val="003310AF"/>
    <w:rsid w:val="00361465"/>
    <w:rsid w:val="003877F5"/>
    <w:rsid w:val="003942D4"/>
    <w:rsid w:val="003958A8"/>
    <w:rsid w:val="003C2533"/>
    <w:rsid w:val="003D5A7F"/>
    <w:rsid w:val="0040435A"/>
    <w:rsid w:val="00416A24"/>
    <w:rsid w:val="00431D9E"/>
    <w:rsid w:val="00433CE8"/>
    <w:rsid w:val="00434A5C"/>
    <w:rsid w:val="004544D9"/>
    <w:rsid w:val="00472BAD"/>
    <w:rsid w:val="00476654"/>
    <w:rsid w:val="00484009"/>
    <w:rsid w:val="00490E72"/>
    <w:rsid w:val="00491157"/>
    <w:rsid w:val="00491EDF"/>
    <w:rsid w:val="004921C8"/>
    <w:rsid w:val="00494CE0"/>
    <w:rsid w:val="00495B0B"/>
    <w:rsid w:val="004A1B8B"/>
    <w:rsid w:val="004A2230"/>
    <w:rsid w:val="004D1851"/>
    <w:rsid w:val="004D599D"/>
    <w:rsid w:val="004E2EA5"/>
    <w:rsid w:val="004E3AEB"/>
    <w:rsid w:val="00501A98"/>
    <w:rsid w:val="0050223C"/>
    <w:rsid w:val="005243FF"/>
    <w:rsid w:val="00564FBC"/>
    <w:rsid w:val="005800BC"/>
    <w:rsid w:val="00582442"/>
    <w:rsid w:val="005E2E2C"/>
    <w:rsid w:val="005F3269"/>
    <w:rsid w:val="00623AE3"/>
    <w:rsid w:val="0064737F"/>
    <w:rsid w:val="006535F1"/>
    <w:rsid w:val="00654AD0"/>
    <w:rsid w:val="0065557D"/>
    <w:rsid w:val="00660D50"/>
    <w:rsid w:val="00662984"/>
    <w:rsid w:val="006716BB"/>
    <w:rsid w:val="006A722C"/>
    <w:rsid w:val="006B1859"/>
    <w:rsid w:val="006B6680"/>
    <w:rsid w:val="006B6DCC"/>
    <w:rsid w:val="006D6EFB"/>
    <w:rsid w:val="00702DEF"/>
    <w:rsid w:val="00706861"/>
    <w:rsid w:val="0071146A"/>
    <w:rsid w:val="0073432B"/>
    <w:rsid w:val="0075051B"/>
    <w:rsid w:val="0078733C"/>
    <w:rsid w:val="00793188"/>
    <w:rsid w:val="00794D34"/>
    <w:rsid w:val="007A2A77"/>
    <w:rsid w:val="007A5206"/>
    <w:rsid w:val="007B4678"/>
    <w:rsid w:val="007D1CB4"/>
    <w:rsid w:val="007D3972"/>
    <w:rsid w:val="007D6F15"/>
    <w:rsid w:val="007E4164"/>
    <w:rsid w:val="007E7534"/>
    <w:rsid w:val="00813681"/>
    <w:rsid w:val="00813E5E"/>
    <w:rsid w:val="00827296"/>
    <w:rsid w:val="0083581B"/>
    <w:rsid w:val="008621CA"/>
    <w:rsid w:val="00863874"/>
    <w:rsid w:val="00864AFF"/>
    <w:rsid w:val="0086550A"/>
    <w:rsid w:val="00865925"/>
    <w:rsid w:val="008B0A18"/>
    <w:rsid w:val="008B4A6A"/>
    <w:rsid w:val="008C7E27"/>
    <w:rsid w:val="008F7448"/>
    <w:rsid w:val="0090147A"/>
    <w:rsid w:val="009173EF"/>
    <w:rsid w:val="009217A2"/>
    <w:rsid w:val="00932906"/>
    <w:rsid w:val="0095577E"/>
    <w:rsid w:val="00955BD7"/>
    <w:rsid w:val="00960443"/>
    <w:rsid w:val="00961B0B"/>
    <w:rsid w:val="0096399E"/>
    <w:rsid w:val="00967761"/>
    <w:rsid w:val="009976AA"/>
    <w:rsid w:val="009B38C3"/>
    <w:rsid w:val="009C0053"/>
    <w:rsid w:val="009E17BD"/>
    <w:rsid w:val="009E485A"/>
    <w:rsid w:val="009F50D8"/>
    <w:rsid w:val="00A04CEC"/>
    <w:rsid w:val="00A17070"/>
    <w:rsid w:val="00A27F92"/>
    <w:rsid w:val="00A32257"/>
    <w:rsid w:val="00A36D20"/>
    <w:rsid w:val="00A44716"/>
    <w:rsid w:val="00A514A4"/>
    <w:rsid w:val="00A54171"/>
    <w:rsid w:val="00A55622"/>
    <w:rsid w:val="00A83502"/>
    <w:rsid w:val="00AB26D2"/>
    <w:rsid w:val="00AD15B3"/>
    <w:rsid w:val="00AD3606"/>
    <w:rsid w:val="00AD4A3D"/>
    <w:rsid w:val="00AF6E49"/>
    <w:rsid w:val="00B04A67"/>
    <w:rsid w:val="00B0583C"/>
    <w:rsid w:val="00B40A81"/>
    <w:rsid w:val="00B44910"/>
    <w:rsid w:val="00B5366C"/>
    <w:rsid w:val="00B6325D"/>
    <w:rsid w:val="00B72267"/>
    <w:rsid w:val="00B76EB6"/>
    <w:rsid w:val="00B7737B"/>
    <w:rsid w:val="00B818E7"/>
    <w:rsid w:val="00B824C8"/>
    <w:rsid w:val="00B84B9D"/>
    <w:rsid w:val="00BC251A"/>
    <w:rsid w:val="00BD032B"/>
    <w:rsid w:val="00BD6B8E"/>
    <w:rsid w:val="00BE2640"/>
    <w:rsid w:val="00BE3F10"/>
    <w:rsid w:val="00C01189"/>
    <w:rsid w:val="00C374DE"/>
    <w:rsid w:val="00C47AD4"/>
    <w:rsid w:val="00C52D81"/>
    <w:rsid w:val="00C55198"/>
    <w:rsid w:val="00C56556"/>
    <w:rsid w:val="00C677BB"/>
    <w:rsid w:val="00CA6393"/>
    <w:rsid w:val="00CB18FF"/>
    <w:rsid w:val="00CB526B"/>
    <w:rsid w:val="00CD0C08"/>
    <w:rsid w:val="00CD45F5"/>
    <w:rsid w:val="00CE03FB"/>
    <w:rsid w:val="00CE433C"/>
    <w:rsid w:val="00CF0161"/>
    <w:rsid w:val="00CF33F3"/>
    <w:rsid w:val="00D06183"/>
    <w:rsid w:val="00D2203C"/>
    <w:rsid w:val="00D22C42"/>
    <w:rsid w:val="00D323A8"/>
    <w:rsid w:val="00D3529B"/>
    <w:rsid w:val="00D44768"/>
    <w:rsid w:val="00D65041"/>
    <w:rsid w:val="00D7065D"/>
    <w:rsid w:val="00D72A49"/>
    <w:rsid w:val="00D86E26"/>
    <w:rsid w:val="00DB1936"/>
    <w:rsid w:val="00DB384B"/>
    <w:rsid w:val="00DB3D41"/>
    <w:rsid w:val="00DF0189"/>
    <w:rsid w:val="00E06FD5"/>
    <w:rsid w:val="00E10E80"/>
    <w:rsid w:val="00E124F0"/>
    <w:rsid w:val="00E40F0B"/>
    <w:rsid w:val="00E44964"/>
    <w:rsid w:val="00E60F04"/>
    <w:rsid w:val="00E624F7"/>
    <w:rsid w:val="00E65B24"/>
    <w:rsid w:val="00E65D14"/>
    <w:rsid w:val="00E854E4"/>
    <w:rsid w:val="00E864CB"/>
    <w:rsid w:val="00E86DBF"/>
    <w:rsid w:val="00E93642"/>
    <w:rsid w:val="00EB0D6F"/>
    <w:rsid w:val="00EB2232"/>
    <w:rsid w:val="00EC4546"/>
    <w:rsid w:val="00EC4899"/>
    <w:rsid w:val="00EC5337"/>
    <w:rsid w:val="00EE2469"/>
    <w:rsid w:val="00EE49E8"/>
    <w:rsid w:val="00EF3F62"/>
    <w:rsid w:val="00F16BAB"/>
    <w:rsid w:val="00F2150A"/>
    <w:rsid w:val="00F231D8"/>
    <w:rsid w:val="00F2360E"/>
    <w:rsid w:val="00F427C3"/>
    <w:rsid w:val="00F437C2"/>
    <w:rsid w:val="00F44C00"/>
    <w:rsid w:val="00F46C5F"/>
    <w:rsid w:val="00F632C0"/>
    <w:rsid w:val="00F94A63"/>
    <w:rsid w:val="00FA1C28"/>
    <w:rsid w:val="00FB1279"/>
    <w:rsid w:val="00FB6B76"/>
    <w:rsid w:val="00FB7596"/>
    <w:rsid w:val="00FE4077"/>
    <w:rsid w:val="00FE6A23"/>
    <w:rsid w:val="00FE77D2"/>
    <w:rsid w:val="08848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A76F2F"/>
  <w15:docId w15:val="{4C1A66F7-C213-4887-BEDE-8DB6A397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uiPriority w:val="99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2C54E2"/>
    <w:pPr>
      <w:framePr w:hSpace="180" w:wrap="around" w:vAnchor="page" w:hAnchor="margin" w:y="2101"/>
      <w:spacing w:before="840"/>
    </w:pPr>
    <w:rPr>
      <w:b/>
      <w:sz w:val="34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page" w:x="1821" w:y="2317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styleId="ListParagraph">
    <w:name w:val="List Paragraph"/>
    <w:basedOn w:val="Normal"/>
    <w:uiPriority w:val="1"/>
    <w:qFormat/>
    <w:rsid w:val="009976AA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976AA"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976AA"/>
    <w:rPr>
      <w:rFonts w:ascii="Calibri" w:hAnsi="Calibri"/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955BD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55BD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55BD7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55B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55BD7"/>
    <w:rPr>
      <w:rFonts w:ascii="Calibri" w:hAnsi="Calibri"/>
      <w:b/>
      <w:bCs/>
      <w:lang w:val="en-GB" w:eastAsia="en-US"/>
    </w:rPr>
  </w:style>
  <w:style w:type="paragraph" w:styleId="Revision">
    <w:name w:val="Revision"/>
    <w:hidden/>
    <w:uiPriority w:val="99"/>
    <w:semiHidden/>
    <w:rsid w:val="00B6325D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2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23-CL-C-0056/e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ps.who.int/gb/ebwha/pdf_files/EB152/A_RES_77_256_A-B-en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B1078E3AD18D4E9484B5666A3C18CB" ma:contentTypeVersion="4" ma:contentTypeDescription="Create a new document." ma:contentTypeScope="" ma:versionID="90e34251fc94717518d3a4e6eccd2f18">
  <xsd:schema xmlns:xsd="http://www.w3.org/2001/XMLSchema" xmlns:xs="http://www.w3.org/2001/XMLSchema" xmlns:p="http://schemas.microsoft.com/office/2006/metadata/properties" xmlns:ns2="5a9e730e-50ca-4fdd-8a7a-b4f5b57bd209" xmlns:ns3="f45bef01-bf71-4e4d-8b76-9c8a2fc829be" targetNamespace="http://schemas.microsoft.com/office/2006/metadata/properties" ma:root="true" ma:fieldsID="254a05c69358776f32ebf6508b3eb4c4" ns2:_="" ns3:_="">
    <xsd:import namespace="5a9e730e-50ca-4fdd-8a7a-b4f5b57bd209"/>
    <xsd:import namespace="f45bef01-bf71-4e4d-8b76-9c8a2fc829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e730e-50ca-4fdd-8a7a-b4f5b57bd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bef01-bf71-4e4d-8b76-9c8a2fc82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4365B5-E7AA-4758-B4F6-DC7E027E5E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B8443B-926D-42C3-9ABA-D416576973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09EDD8-0084-4900-AC69-D546350AE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9e730e-50ca-4fdd-8a7a-b4f5b57bd209"/>
    <ds:schemaRef ds:uri="f45bef01-bf71-4e4d-8b76-9c8a2fc82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F0C8DA-A6CD-44F7-9567-7C96E3AE30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695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Amendments to the statute of the International Civil Service Commission (ICSC)</vt:lpstr>
    </vt:vector>
  </TitlesOfParts>
  <Manager>General Secretariat - Pool</Manager>
  <Company>International Telecommunication Union (ITU)</Company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Amendments to the statute of the International Civil Service Commission (ICSC)</dc:title>
  <dc:subject>Council 2023</dc:subject>
  <dc:creator>Pluchon, Beatrice</dc:creator>
  <cp:keywords>C2023, C23, Council-23</cp:keywords>
  <dc:description/>
  <cp:lastModifiedBy>Xue, Kun</cp:lastModifiedBy>
  <cp:revision>5</cp:revision>
  <cp:lastPrinted>2000-07-18T13:30:00Z</cp:lastPrinted>
  <dcterms:created xsi:type="dcterms:W3CDTF">2023-06-07T12:51:00Z</dcterms:created>
  <dcterms:modified xsi:type="dcterms:W3CDTF">2023-06-09T09:18:00Z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0x01010016B1078E3AD18D4E9484B5666A3C18CB</vt:lpwstr>
  </property>
</Properties>
</file>