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B5DED" w14:paraId="1591300A" w14:textId="77777777" w:rsidTr="00AD3606">
        <w:trPr>
          <w:cantSplit/>
          <w:trHeight w:val="23"/>
        </w:trPr>
        <w:tc>
          <w:tcPr>
            <w:tcW w:w="3969" w:type="dxa"/>
            <w:vMerge w:val="restart"/>
            <w:tcMar>
              <w:left w:w="0" w:type="dxa"/>
            </w:tcMar>
          </w:tcPr>
          <w:p w14:paraId="4F2DE73B" w14:textId="7CEB2DF3" w:rsidR="00AD3606" w:rsidRPr="00BB5DED" w:rsidRDefault="00AD3606" w:rsidP="00472BAD">
            <w:pPr>
              <w:tabs>
                <w:tab w:val="left" w:pos="851"/>
              </w:tabs>
              <w:spacing w:before="0" w:line="240" w:lineRule="atLeast"/>
              <w:rPr>
                <w:b/>
              </w:rPr>
            </w:pPr>
            <w:bookmarkStart w:id="0" w:name="dmeeting" w:colFirst="0" w:colLast="0"/>
            <w:bookmarkStart w:id="1" w:name="dnum" w:colFirst="1" w:colLast="1"/>
            <w:r w:rsidRPr="00BB5DED">
              <w:rPr>
                <w:b/>
              </w:rPr>
              <w:t xml:space="preserve">Agenda item: </w:t>
            </w:r>
            <w:r w:rsidR="002336EC" w:rsidRPr="00BB5DED">
              <w:rPr>
                <w:b/>
              </w:rPr>
              <w:t xml:space="preserve">ADM </w:t>
            </w:r>
            <w:r w:rsidR="0002363B" w:rsidRPr="00BB5DED">
              <w:rPr>
                <w:b/>
              </w:rPr>
              <w:t>3</w:t>
            </w:r>
          </w:p>
        </w:tc>
        <w:tc>
          <w:tcPr>
            <w:tcW w:w="5245" w:type="dxa"/>
          </w:tcPr>
          <w:p w14:paraId="2F0CB53A" w14:textId="203E8F86" w:rsidR="00AD3606" w:rsidRPr="00BB5DED" w:rsidRDefault="00AD3606" w:rsidP="00472BAD">
            <w:pPr>
              <w:tabs>
                <w:tab w:val="left" w:pos="851"/>
              </w:tabs>
              <w:spacing w:before="0" w:line="240" w:lineRule="atLeast"/>
              <w:jc w:val="right"/>
              <w:rPr>
                <w:b/>
              </w:rPr>
            </w:pPr>
            <w:r w:rsidRPr="00BB5DED">
              <w:rPr>
                <w:b/>
              </w:rPr>
              <w:t>Document C23/</w:t>
            </w:r>
            <w:r w:rsidR="002336EC" w:rsidRPr="00BB5DED">
              <w:rPr>
                <w:b/>
              </w:rPr>
              <w:t>55</w:t>
            </w:r>
            <w:r w:rsidRPr="00BB5DED">
              <w:rPr>
                <w:b/>
              </w:rPr>
              <w:t>-E</w:t>
            </w:r>
          </w:p>
        </w:tc>
      </w:tr>
      <w:tr w:rsidR="00AD3606" w:rsidRPr="00BB5DED" w14:paraId="777833CB" w14:textId="77777777" w:rsidTr="00AD3606">
        <w:trPr>
          <w:cantSplit/>
        </w:trPr>
        <w:tc>
          <w:tcPr>
            <w:tcW w:w="3969" w:type="dxa"/>
            <w:vMerge/>
          </w:tcPr>
          <w:p w14:paraId="7DECAB6C" w14:textId="77777777" w:rsidR="00AD3606" w:rsidRPr="00BB5DED"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14BC1F81" w:rsidR="00AD3606" w:rsidRPr="00BB5DED" w:rsidRDefault="00434CEA" w:rsidP="00AD3606">
            <w:pPr>
              <w:tabs>
                <w:tab w:val="left" w:pos="851"/>
              </w:tabs>
              <w:spacing w:before="0"/>
              <w:jc w:val="right"/>
              <w:rPr>
                <w:b/>
              </w:rPr>
            </w:pPr>
            <w:r>
              <w:rPr>
                <w:b/>
              </w:rPr>
              <w:t>9</w:t>
            </w:r>
            <w:r w:rsidR="002975FD" w:rsidRPr="00BB5DED">
              <w:rPr>
                <w:b/>
              </w:rPr>
              <w:t xml:space="preserve"> June</w:t>
            </w:r>
            <w:r w:rsidR="00AD3606" w:rsidRPr="00BB5DED">
              <w:rPr>
                <w:b/>
              </w:rPr>
              <w:t xml:space="preserve"> 2023</w:t>
            </w:r>
          </w:p>
        </w:tc>
      </w:tr>
      <w:tr w:rsidR="00AD3606" w:rsidRPr="00BB5DED" w14:paraId="082C2282" w14:textId="77777777" w:rsidTr="00AD3606">
        <w:trPr>
          <w:cantSplit/>
          <w:trHeight w:val="23"/>
        </w:trPr>
        <w:tc>
          <w:tcPr>
            <w:tcW w:w="3969" w:type="dxa"/>
            <w:vMerge/>
          </w:tcPr>
          <w:p w14:paraId="5967F199" w14:textId="77777777" w:rsidR="00AD3606" w:rsidRPr="00BB5DED"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BB5DED" w:rsidRDefault="00AD3606" w:rsidP="00AD3606">
            <w:pPr>
              <w:tabs>
                <w:tab w:val="left" w:pos="851"/>
              </w:tabs>
              <w:spacing w:before="0" w:line="240" w:lineRule="atLeast"/>
              <w:jc w:val="right"/>
              <w:rPr>
                <w:b/>
              </w:rPr>
            </w:pPr>
            <w:r w:rsidRPr="00BB5DED">
              <w:rPr>
                <w:b/>
              </w:rPr>
              <w:t>Original: English</w:t>
            </w:r>
          </w:p>
        </w:tc>
      </w:tr>
      <w:tr w:rsidR="00472BAD" w:rsidRPr="00BB5DED" w14:paraId="3C9C7706" w14:textId="77777777" w:rsidTr="00AD3606">
        <w:trPr>
          <w:cantSplit/>
          <w:trHeight w:val="23"/>
        </w:trPr>
        <w:tc>
          <w:tcPr>
            <w:tcW w:w="3969" w:type="dxa"/>
          </w:tcPr>
          <w:p w14:paraId="20349897" w14:textId="77777777" w:rsidR="00472BAD" w:rsidRPr="00BB5DED" w:rsidRDefault="00472BAD" w:rsidP="00AD3606">
            <w:pPr>
              <w:tabs>
                <w:tab w:val="left" w:pos="851"/>
              </w:tabs>
              <w:spacing w:line="240" w:lineRule="atLeast"/>
              <w:rPr>
                <w:b/>
              </w:rPr>
            </w:pPr>
          </w:p>
        </w:tc>
        <w:tc>
          <w:tcPr>
            <w:tcW w:w="5245" w:type="dxa"/>
          </w:tcPr>
          <w:p w14:paraId="1CCE97A6" w14:textId="77777777" w:rsidR="00472BAD" w:rsidRPr="00BB5DED" w:rsidRDefault="00472BAD" w:rsidP="00AD3606">
            <w:pPr>
              <w:tabs>
                <w:tab w:val="left" w:pos="851"/>
              </w:tabs>
              <w:spacing w:before="0" w:line="240" w:lineRule="atLeast"/>
              <w:jc w:val="right"/>
              <w:rPr>
                <w:b/>
              </w:rPr>
            </w:pPr>
          </w:p>
        </w:tc>
      </w:tr>
      <w:tr w:rsidR="00AD3606" w:rsidRPr="00BB5DED" w14:paraId="5BEAAFE0" w14:textId="77777777" w:rsidTr="00AD3606">
        <w:trPr>
          <w:cantSplit/>
        </w:trPr>
        <w:tc>
          <w:tcPr>
            <w:tcW w:w="9214" w:type="dxa"/>
            <w:gridSpan w:val="2"/>
            <w:tcMar>
              <w:left w:w="0" w:type="dxa"/>
            </w:tcMar>
          </w:tcPr>
          <w:p w14:paraId="598EF21A" w14:textId="77777777" w:rsidR="00AD3606" w:rsidRPr="00BB5DED" w:rsidRDefault="00AD3606" w:rsidP="002336EC">
            <w:pPr>
              <w:pStyle w:val="Source"/>
              <w:framePr w:hSpace="0" w:wrap="auto" w:vAnchor="margin" w:hAnchor="text" w:xAlign="left" w:yAlign="inline"/>
            </w:pPr>
            <w:bookmarkStart w:id="4" w:name="dsource" w:colFirst="0" w:colLast="0"/>
            <w:bookmarkEnd w:id="3"/>
            <w:r w:rsidRPr="00BB5DED">
              <w:t>Report by the Secretary-General</w:t>
            </w:r>
          </w:p>
        </w:tc>
      </w:tr>
      <w:tr w:rsidR="00AD3606" w:rsidRPr="00BB5DED" w14:paraId="62B9C291" w14:textId="77777777" w:rsidTr="00AD3606">
        <w:trPr>
          <w:cantSplit/>
        </w:trPr>
        <w:tc>
          <w:tcPr>
            <w:tcW w:w="9214" w:type="dxa"/>
            <w:gridSpan w:val="2"/>
            <w:tcMar>
              <w:left w:w="0" w:type="dxa"/>
            </w:tcMar>
          </w:tcPr>
          <w:p w14:paraId="556A1BCF" w14:textId="5A47BD9E" w:rsidR="00AD3606" w:rsidRPr="00BB5DED" w:rsidRDefault="002336EC" w:rsidP="002336EC">
            <w:pPr>
              <w:pStyle w:val="Subtitle1"/>
              <w:framePr w:hSpace="0" w:wrap="auto" w:xAlign="left" w:yAlign="inline"/>
            </w:pPr>
            <w:bookmarkStart w:id="5" w:name="dtitle1" w:colFirst="0" w:colLast="0"/>
            <w:bookmarkEnd w:id="4"/>
            <w:r w:rsidRPr="00BB5DED">
              <w:t xml:space="preserve">PROGRESS REPORT ON THE IMPLEMENTATION OF </w:t>
            </w:r>
            <w:r w:rsidRPr="00BB5DED">
              <w:br/>
              <w:t xml:space="preserve">THE HUMAN RESOURCES STRATEGIC PLAN AND OF </w:t>
            </w:r>
            <w:r w:rsidRPr="00BB5DED">
              <w:br/>
              <w:t>RESOLUTION 48 (REV. BUCHAREST, 2022)</w:t>
            </w:r>
          </w:p>
        </w:tc>
      </w:tr>
      <w:tr w:rsidR="00AD3606" w:rsidRPr="00BB5DED"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710200EA" w:rsidR="00AD3606" w:rsidRPr="00BB5DED" w:rsidRDefault="00F16BAB" w:rsidP="00F16BAB">
            <w:pPr>
              <w:spacing w:before="160"/>
              <w:rPr>
                <w:b/>
                <w:bCs/>
                <w:sz w:val="26"/>
                <w:szCs w:val="26"/>
              </w:rPr>
            </w:pPr>
            <w:r w:rsidRPr="00BB5DED">
              <w:rPr>
                <w:b/>
                <w:bCs/>
                <w:sz w:val="26"/>
                <w:szCs w:val="26"/>
              </w:rPr>
              <w:t xml:space="preserve">Purpose </w:t>
            </w:r>
          </w:p>
          <w:p w14:paraId="45AAD45D" w14:textId="5F305D62" w:rsidR="002336EC" w:rsidRPr="00BB5DED" w:rsidRDefault="002336EC" w:rsidP="002336EC">
            <w:pPr>
              <w:jc w:val="both"/>
            </w:pPr>
            <w:r w:rsidRPr="00BB5DED">
              <w:t>The goal of the Human Resources Strategic Plan (HRSP) is to progressively transform ITU</w:t>
            </w:r>
            <w:r w:rsidR="009C1841">
              <w:t>’s</w:t>
            </w:r>
            <w:r w:rsidRPr="00BB5DED">
              <w:t xml:space="preserve"> people management and its capacity to deliver on the strategic and financial plans</w:t>
            </w:r>
            <w:r w:rsidR="009C1841">
              <w:t xml:space="preserve"> of the Union</w:t>
            </w:r>
            <w:r w:rsidRPr="00BB5DED">
              <w:t xml:space="preserve">. The strategy reaffirms that the greatest resource of ITU is a skilled, motivated, and dedicated </w:t>
            </w:r>
            <w:r w:rsidRPr="00BB5DED">
              <w:rPr>
                <w:spacing w:val="-2"/>
              </w:rPr>
              <w:t xml:space="preserve">workforce of the highest competence and integrity </w:t>
            </w:r>
            <w:r w:rsidR="004C5829">
              <w:rPr>
                <w:spacing w:val="-2"/>
              </w:rPr>
              <w:t xml:space="preserve">that is </w:t>
            </w:r>
            <w:r w:rsidRPr="00BB5DED">
              <w:rPr>
                <w:spacing w:val="-2"/>
              </w:rPr>
              <w:t>geographically diverse</w:t>
            </w:r>
            <w:r w:rsidR="004C5829">
              <w:rPr>
                <w:spacing w:val="-2"/>
              </w:rPr>
              <w:t>.</w:t>
            </w:r>
            <w:r w:rsidRPr="00BB5DED">
              <w:rPr>
                <w:spacing w:val="-2"/>
              </w:rPr>
              <w:t xml:space="preserve"> gender-</w:t>
            </w:r>
            <w:proofErr w:type="gramStart"/>
            <w:r w:rsidRPr="00BB5DED">
              <w:rPr>
                <w:spacing w:val="-2"/>
              </w:rPr>
              <w:t>balanced,</w:t>
            </w:r>
            <w:r w:rsidRPr="00BB5DED">
              <w:t xml:space="preserve"> </w:t>
            </w:r>
            <w:r w:rsidR="00AF0F7B">
              <w:t>and</w:t>
            </w:r>
            <w:proofErr w:type="gramEnd"/>
            <w:r w:rsidR="00AF0F7B">
              <w:t xml:space="preserve"> </w:t>
            </w:r>
            <w:r w:rsidRPr="00BB5DED">
              <w:t xml:space="preserve">empowered to achieve ITU’s mission and strategic objectives through a commitment to managing the results. </w:t>
            </w:r>
            <w:r w:rsidR="00C04449">
              <w:t xml:space="preserve">The strategy </w:t>
            </w:r>
            <w:r w:rsidRPr="00BB5DED">
              <w:t xml:space="preserve">also highlights the need </w:t>
            </w:r>
            <w:r w:rsidR="00A619CE">
              <w:t xml:space="preserve">to </w:t>
            </w:r>
            <w:r w:rsidRPr="00BB5DED">
              <w:t>moderniz</w:t>
            </w:r>
            <w:r w:rsidR="00A619CE">
              <w:t>e</w:t>
            </w:r>
            <w:r w:rsidRPr="00BB5DED">
              <w:t xml:space="preserve"> ITU’s human capacity, processes, </w:t>
            </w:r>
            <w:proofErr w:type="gramStart"/>
            <w:r w:rsidRPr="00BB5DED">
              <w:t>procedures</w:t>
            </w:r>
            <w:proofErr w:type="gramEnd"/>
            <w:r w:rsidRPr="00BB5DED">
              <w:t xml:space="preserve"> and tools</w:t>
            </w:r>
            <w:r w:rsidR="00A619CE">
              <w:t xml:space="preserve"> and emphasizes the importance of</w:t>
            </w:r>
            <w:r w:rsidRPr="00BB5DED">
              <w:t xml:space="preserve"> integration and harmonization with the United Nations Common System and the values of the international civil service. </w:t>
            </w:r>
          </w:p>
          <w:p w14:paraId="45A1CE39" w14:textId="4AFF1C62" w:rsidR="002336EC" w:rsidRPr="00BB5DED" w:rsidRDefault="002336EC" w:rsidP="002336EC">
            <w:pPr>
              <w:jc w:val="both"/>
            </w:pPr>
            <w:r w:rsidRPr="00BB5DED">
              <w:t xml:space="preserve">This progress report </w:t>
            </w:r>
            <w:r w:rsidR="007E0D1E">
              <w:t xml:space="preserve">reflects </w:t>
            </w:r>
            <w:r w:rsidRPr="00BB5DED">
              <w:t>the organization's commitment to fostering a people-centric culture, developing an agile workforce, streamlining HR services, and creating an enabling work environment. As ITU continues to move forward, it will build on these achievements to further strengthen its human resources and ensure the organization remains well-positioned to face the challenges and opportunities of the rapidly evolving telecommunication landscape.</w:t>
            </w:r>
          </w:p>
          <w:p w14:paraId="01EEEAC5" w14:textId="37F0C89F" w:rsidR="00AD3606" w:rsidRPr="00BB5DED" w:rsidRDefault="002336EC" w:rsidP="002336EC">
            <w:pPr>
              <w:jc w:val="both"/>
            </w:pPr>
            <w:r w:rsidRPr="00BB5DED">
              <w:t xml:space="preserve">The HRSP is a rolling </w:t>
            </w:r>
            <w:r w:rsidR="00152827" w:rsidRPr="00BB5DED">
              <w:t>plan</w:t>
            </w:r>
            <w:r w:rsidRPr="00BB5DED">
              <w:t xml:space="preserve">, which may be adapted as required. This progress report highlights the key results achieved under each of the four pillars </w:t>
            </w:r>
            <w:r w:rsidR="00917862">
              <w:t xml:space="preserve">in </w:t>
            </w:r>
            <w:r w:rsidRPr="00BB5DED">
              <w:t>2022 and early 2023.</w:t>
            </w:r>
          </w:p>
          <w:p w14:paraId="45B1495A" w14:textId="77777777" w:rsidR="00AD3606" w:rsidRPr="00BB5DED" w:rsidRDefault="00AD3606" w:rsidP="00F16BAB">
            <w:pPr>
              <w:spacing w:before="160"/>
              <w:rPr>
                <w:b/>
                <w:bCs/>
                <w:sz w:val="26"/>
                <w:szCs w:val="26"/>
              </w:rPr>
            </w:pPr>
            <w:r w:rsidRPr="00BB5DED">
              <w:rPr>
                <w:b/>
                <w:bCs/>
                <w:sz w:val="26"/>
                <w:szCs w:val="26"/>
              </w:rPr>
              <w:t>Action required</w:t>
            </w:r>
            <w:r w:rsidR="00F16BAB" w:rsidRPr="00BB5DED">
              <w:rPr>
                <w:b/>
                <w:bCs/>
                <w:sz w:val="26"/>
                <w:szCs w:val="26"/>
              </w:rPr>
              <w:t xml:space="preserve"> by the </w:t>
            </w:r>
            <w:proofErr w:type="gramStart"/>
            <w:r w:rsidR="00F16BAB" w:rsidRPr="00BB5DED">
              <w:rPr>
                <w:b/>
                <w:bCs/>
                <w:sz w:val="26"/>
                <w:szCs w:val="26"/>
              </w:rPr>
              <w:t>Council</w:t>
            </w:r>
            <w:proofErr w:type="gramEnd"/>
          </w:p>
          <w:p w14:paraId="3D57EDF8" w14:textId="58B8DCC0" w:rsidR="00AD3606" w:rsidRPr="00BB5DED" w:rsidRDefault="008473C8" w:rsidP="00AD3606">
            <w:pPr>
              <w:rPr>
                <w:spacing w:val="-2"/>
              </w:rPr>
            </w:pPr>
            <w:r w:rsidRPr="00BB5DED">
              <w:rPr>
                <w:spacing w:val="-2"/>
              </w:rPr>
              <w:t xml:space="preserve">The </w:t>
            </w:r>
            <w:r w:rsidR="002336EC" w:rsidRPr="00BB5DED">
              <w:rPr>
                <w:spacing w:val="-2"/>
              </w:rPr>
              <w:t>Council is invited to</w:t>
            </w:r>
            <w:r w:rsidR="002336EC" w:rsidRPr="00BB5DED">
              <w:rPr>
                <w:b/>
                <w:bCs/>
                <w:spacing w:val="-2"/>
              </w:rPr>
              <w:t xml:space="preserve"> take note</w:t>
            </w:r>
            <w:r w:rsidR="002336EC" w:rsidRPr="00BB5DED">
              <w:rPr>
                <w:spacing w:val="-2"/>
              </w:rPr>
              <w:t xml:space="preserve"> of the progress report on the implementation of the HRSP.</w:t>
            </w:r>
          </w:p>
          <w:p w14:paraId="71511FA1" w14:textId="1EC39364" w:rsidR="00F16BAB" w:rsidRPr="00BB5DED" w:rsidRDefault="00F16BAB" w:rsidP="00F16BAB">
            <w:pPr>
              <w:spacing w:before="160"/>
              <w:rPr>
                <w:b/>
                <w:bCs/>
                <w:sz w:val="26"/>
                <w:szCs w:val="26"/>
              </w:rPr>
            </w:pPr>
            <w:r w:rsidRPr="00BB5DED">
              <w:rPr>
                <w:b/>
                <w:bCs/>
                <w:sz w:val="26"/>
                <w:szCs w:val="26"/>
              </w:rPr>
              <w:t>Relevant link</w:t>
            </w:r>
            <w:r w:rsidR="00A54171" w:rsidRPr="00BB5DED">
              <w:rPr>
                <w:b/>
                <w:bCs/>
                <w:sz w:val="26"/>
                <w:szCs w:val="26"/>
              </w:rPr>
              <w:t>(s)</w:t>
            </w:r>
            <w:r w:rsidRPr="00BB5DED">
              <w:rPr>
                <w:b/>
                <w:bCs/>
                <w:sz w:val="26"/>
                <w:szCs w:val="26"/>
              </w:rPr>
              <w:t xml:space="preserve"> with the </w:t>
            </w:r>
            <w:r w:rsidR="00AE2F46">
              <w:rPr>
                <w:b/>
                <w:bCs/>
                <w:sz w:val="26"/>
                <w:szCs w:val="26"/>
              </w:rPr>
              <w:t>S</w:t>
            </w:r>
            <w:r w:rsidR="00AE2F46" w:rsidRPr="00BB5DED">
              <w:rPr>
                <w:b/>
                <w:bCs/>
                <w:sz w:val="26"/>
                <w:szCs w:val="26"/>
              </w:rPr>
              <w:t xml:space="preserve">trategic </w:t>
            </w:r>
            <w:r w:rsidR="00AE2F46">
              <w:rPr>
                <w:b/>
                <w:bCs/>
                <w:sz w:val="26"/>
                <w:szCs w:val="26"/>
              </w:rPr>
              <w:t>P</w:t>
            </w:r>
            <w:r w:rsidR="00AE2F46" w:rsidRPr="00BB5DED">
              <w:rPr>
                <w:b/>
                <w:bCs/>
                <w:sz w:val="26"/>
                <w:szCs w:val="26"/>
              </w:rPr>
              <w:t>lan</w:t>
            </w:r>
          </w:p>
          <w:p w14:paraId="6A986775" w14:textId="6091C916" w:rsidR="00C41D7A" w:rsidRPr="00BB5DED" w:rsidRDefault="00C41D7A" w:rsidP="002336EC">
            <w:pPr>
              <w:spacing w:before="0"/>
            </w:pPr>
            <w:r w:rsidRPr="00BB5DED">
              <w:t>Excellence in human resources and organizational innovation</w:t>
            </w:r>
            <w:r w:rsidR="008473C8" w:rsidRPr="00BB5DED">
              <w:t>.</w:t>
            </w:r>
          </w:p>
          <w:p w14:paraId="498E9AEB" w14:textId="77777777" w:rsidR="003B4DE8" w:rsidRPr="00BB5DED" w:rsidRDefault="00F16BAB" w:rsidP="008C7DFE">
            <w:pPr>
              <w:spacing w:before="160"/>
              <w:rPr>
                <w:b/>
                <w:bCs/>
                <w:sz w:val="26"/>
                <w:szCs w:val="26"/>
              </w:rPr>
            </w:pPr>
            <w:r w:rsidRPr="00BB5DED">
              <w:rPr>
                <w:b/>
                <w:bCs/>
                <w:sz w:val="26"/>
                <w:szCs w:val="26"/>
              </w:rPr>
              <w:t>Financial implications</w:t>
            </w:r>
          </w:p>
          <w:p w14:paraId="74189BBD" w14:textId="38A75B91" w:rsidR="00F16BAB" w:rsidRPr="00BB5DED" w:rsidRDefault="003B4DE8" w:rsidP="008C7DFE">
            <w:pPr>
              <w:spacing w:before="160"/>
              <w:rPr>
                <w:b/>
                <w:bCs/>
                <w:sz w:val="26"/>
                <w:szCs w:val="26"/>
              </w:rPr>
            </w:pPr>
            <w:r w:rsidRPr="00BB5DED">
              <w:rPr>
                <w:szCs w:val="24"/>
              </w:rPr>
              <w:t>N</w:t>
            </w:r>
            <w:r w:rsidR="00C41D7A" w:rsidRPr="00BB5DED">
              <w:rPr>
                <w:szCs w:val="24"/>
              </w:rPr>
              <w:t>one</w:t>
            </w:r>
            <w:r w:rsidR="00456294" w:rsidRPr="00BB5DED">
              <w:rPr>
                <w:szCs w:val="24"/>
              </w:rPr>
              <w:t>.</w:t>
            </w:r>
          </w:p>
          <w:p w14:paraId="6F1B8B4E" w14:textId="77777777" w:rsidR="00AD3606" w:rsidRPr="00BB5DED" w:rsidRDefault="00AD3606" w:rsidP="003B4DE8">
            <w:pPr>
              <w:spacing w:before="0"/>
              <w:rPr>
                <w:caps/>
                <w:sz w:val="22"/>
              </w:rPr>
            </w:pPr>
            <w:r w:rsidRPr="00BB5DED">
              <w:rPr>
                <w:sz w:val="22"/>
              </w:rPr>
              <w:t>__________________</w:t>
            </w:r>
          </w:p>
          <w:p w14:paraId="0EBC340A" w14:textId="34C720B6" w:rsidR="00AD3606" w:rsidRPr="00BB5DED" w:rsidRDefault="00AD3606" w:rsidP="004501D0">
            <w:pPr>
              <w:rPr>
                <w:b/>
                <w:bCs/>
                <w:sz w:val="26"/>
                <w:szCs w:val="26"/>
              </w:rPr>
            </w:pPr>
            <w:r w:rsidRPr="00BB5DED">
              <w:rPr>
                <w:b/>
                <w:bCs/>
                <w:sz w:val="26"/>
                <w:szCs w:val="26"/>
              </w:rPr>
              <w:t>References</w:t>
            </w:r>
          </w:p>
          <w:p w14:paraId="65250B1E" w14:textId="3D3134FF" w:rsidR="00AD3606" w:rsidRPr="00BB5DED" w:rsidRDefault="002336EC" w:rsidP="002336EC">
            <w:pPr>
              <w:spacing w:before="160"/>
              <w:rPr>
                <w:i/>
                <w:iCs/>
                <w:szCs w:val="24"/>
              </w:rPr>
            </w:pPr>
            <w:r w:rsidRPr="00BB5DED">
              <w:rPr>
                <w:i/>
                <w:iCs/>
                <w:szCs w:val="24"/>
              </w:rPr>
              <w:t xml:space="preserve">Council documents </w:t>
            </w:r>
            <w:hyperlink r:id="rId11" w:history="1">
              <w:r w:rsidRPr="00BB5DED">
                <w:rPr>
                  <w:rStyle w:val="Hyperlink"/>
                  <w:i/>
                  <w:iCs/>
                  <w:szCs w:val="24"/>
                </w:rPr>
                <w:t>C20/54,</w:t>
              </w:r>
            </w:hyperlink>
            <w:r w:rsidRPr="00BB5DED">
              <w:rPr>
                <w:i/>
                <w:iCs/>
                <w:szCs w:val="24"/>
              </w:rPr>
              <w:t xml:space="preserve"> </w:t>
            </w:r>
            <w:hyperlink r:id="rId12" w:history="1">
              <w:r w:rsidRPr="00BB5DED">
                <w:rPr>
                  <w:rStyle w:val="Hyperlink"/>
                  <w:i/>
                  <w:iCs/>
                  <w:szCs w:val="24"/>
                </w:rPr>
                <w:t>C21/54</w:t>
              </w:r>
            </w:hyperlink>
            <w:r w:rsidRPr="00BB5DED">
              <w:rPr>
                <w:i/>
                <w:iCs/>
                <w:szCs w:val="24"/>
              </w:rPr>
              <w:t xml:space="preserve">, </w:t>
            </w:r>
            <w:r w:rsidR="008473C8" w:rsidRPr="00BB5DED">
              <w:rPr>
                <w:i/>
                <w:iCs/>
                <w:szCs w:val="24"/>
              </w:rPr>
              <w:t xml:space="preserve">and </w:t>
            </w:r>
            <w:hyperlink r:id="rId13" w:history="1">
              <w:r w:rsidRPr="00BB5DED">
                <w:rPr>
                  <w:rStyle w:val="Hyperlink"/>
                  <w:i/>
                  <w:iCs/>
                  <w:szCs w:val="24"/>
                </w:rPr>
                <w:t>C22/INF/6</w:t>
              </w:r>
            </w:hyperlink>
            <w:r w:rsidR="008473C8" w:rsidRPr="00BB5DED">
              <w:rPr>
                <w:rStyle w:val="Hyperlink"/>
                <w:i/>
                <w:iCs/>
                <w:szCs w:val="24"/>
              </w:rPr>
              <w:t>;</w:t>
            </w:r>
            <w:r w:rsidRPr="00BB5DED">
              <w:rPr>
                <w:i/>
                <w:iCs/>
                <w:szCs w:val="24"/>
              </w:rPr>
              <w:t xml:space="preserve"> </w:t>
            </w:r>
            <w:hyperlink r:id="rId14" w:history="1">
              <w:r w:rsidRPr="00BB5DED">
                <w:rPr>
                  <w:rStyle w:val="Hyperlink"/>
                  <w:i/>
                  <w:iCs/>
                  <w:szCs w:val="24"/>
                </w:rPr>
                <w:t>Resolution 48 (Rev. Bucharest, 2022)</w:t>
              </w:r>
            </w:hyperlink>
            <w:r w:rsidR="003B4DE8" w:rsidRPr="00BB5DED">
              <w:rPr>
                <w:i/>
                <w:iCs/>
                <w:szCs w:val="24"/>
              </w:rPr>
              <w:t xml:space="preserve"> of the Plenipotentiary Conference</w:t>
            </w:r>
          </w:p>
        </w:tc>
      </w:tr>
    </w:tbl>
    <w:bookmarkEnd w:id="5"/>
    <w:p w14:paraId="5FD174CF" w14:textId="43E66289"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jc w:val="both"/>
        <w:textAlignment w:val="auto"/>
        <w:rPr>
          <w:b/>
          <w:sz w:val="26"/>
          <w:szCs w:val="26"/>
        </w:rPr>
      </w:pPr>
      <w:r w:rsidRPr="00BB5DED">
        <w:rPr>
          <w:b/>
          <w:sz w:val="28"/>
          <w:szCs w:val="28"/>
        </w:rPr>
        <w:lastRenderedPageBreak/>
        <w:t xml:space="preserve">Pillar 1: Fit-for-purpose workforce integrating diversity and agility </w:t>
      </w:r>
      <w:r w:rsidR="004501D0" w:rsidRPr="00BB5DED">
        <w:rPr>
          <w:b/>
          <w:sz w:val="28"/>
          <w:szCs w:val="28"/>
        </w:rPr>
        <w:br/>
      </w:r>
      <w:r w:rsidRPr="00BB5DED">
        <w:rPr>
          <w:b/>
          <w:sz w:val="28"/>
          <w:szCs w:val="28"/>
        </w:rPr>
        <w:t>(aligning ITU workforce to the ITU goals)</w:t>
      </w:r>
    </w:p>
    <w:p w14:paraId="017B218A" w14:textId="5410ADDE"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jc w:val="both"/>
        <w:textAlignment w:val="auto"/>
        <w:rPr>
          <w:bCs/>
        </w:rPr>
      </w:pPr>
      <w:r w:rsidRPr="00BB5DED">
        <w:rPr>
          <w:bCs/>
        </w:rPr>
        <w:t xml:space="preserve">The first pillar focuses on a </w:t>
      </w:r>
      <w:r w:rsidR="00BB5DED" w:rsidRPr="00BB5DED">
        <w:rPr>
          <w:bCs/>
        </w:rPr>
        <w:t>f</w:t>
      </w:r>
      <w:r w:rsidRPr="00BB5DED">
        <w:rPr>
          <w:bCs/>
        </w:rPr>
        <w:t>it-for-purpose workforce</w:t>
      </w:r>
      <w:r w:rsidR="001B0E05">
        <w:rPr>
          <w:bCs/>
        </w:rPr>
        <w:t>;</w:t>
      </w:r>
      <w:r w:rsidRPr="00BB5DED">
        <w:rPr>
          <w:bCs/>
        </w:rPr>
        <w:t xml:space="preserve"> alignment between the Union’s strategic priorities and staff functions and posts; </w:t>
      </w:r>
      <w:r w:rsidR="00847DD2">
        <w:rPr>
          <w:bCs/>
        </w:rPr>
        <w:t xml:space="preserve">and </w:t>
      </w:r>
      <w:r w:rsidR="000E6763">
        <w:rPr>
          <w:bCs/>
        </w:rPr>
        <w:t xml:space="preserve">a </w:t>
      </w:r>
      <w:r w:rsidRPr="00BB5DED">
        <w:rPr>
          <w:bCs/>
        </w:rPr>
        <w:t>balanced and diversified workforce when it comes to staff in Professional and higher versus General Service categories</w:t>
      </w:r>
      <w:r w:rsidR="00847DD2">
        <w:rPr>
          <w:bCs/>
        </w:rPr>
        <w:t>,</w:t>
      </w:r>
      <w:r w:rsidRPr="00BB5DED">
        <w:rPr>
          <w:bCs/>
        </w:rPr>
        <w:t xml:space="preserve"> age, gender parity at all levels, geographical distribution, and persons with disabilities. </w:t>
      </w:r>
    </w:p>
    <w:p w14:paraId="6BC253AB" w14:textId="039E89DD"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jc w:val="both"/>
        <w:textAlignment w:val="auto"/>
        <w:rPr>
          <w:bCs/>
        </w:rPr>
      </w:pPr>
      <w:r w:rsidRPr="00BB5DED">
        <w:rPr>
          <w:bCs/>
        </w:rPr>
        <w:t>It also focuses on achieving balanced recruitment between internal and external talent; strengthened, simplified, and shortened recruitment models and processes to determine highly qualified candidates, from young talent (intern and youth programmes, Junior Professional Officers, etc.) to highly skilled talent for senior roles</w:t>
      </w:r>
      <w:r w:rsidR="0056730D">
        <w:rPr>
          <w:bCs/>
        </w:rPr>
        <w:t>;</w:t>
      </w:r>
      <w:r w:rsidRPr="00BB5DED">
        <w:rPr>
          <w:bCs/>
        </w:rPr>
        <w:t xml:space="preserve"> enhance</w:t>
      </w:r>
      <w:r w:rsidR="00FB1D99">
        <w:rPr>
          <w:bCs/>
        </w:rPr>
        <w:t>ment</w:t>
      </w:r>
      <w:r w:rsidRPr="00BB5DED">
        <w:rPr>
          <w:bCs/>
        </w:rPr>
        <w:t xml:space="preserve"> </w:t>
      </w:r>
      <w:r w:rsidR="00FB1D99">
        <w:rPr>
          <w:bCs/>
        </w:rPr>
        <w:t xml:space="preserve">of </w:t>
      </w:r>
      <w:r w:rsidRPr="00BB5DED">
        <w:rPr>
          <w:bCs/>
        </w:rPr>
        <w:t>ITU</w:t>
      </w:r>
      <w:r w:rsidR="00FB1D99">
        <w:rPr>
          <w:bCs/>
        </w:rPr>
        <w:t>’s</w:t>
      </w:r>
      <w:r w:rsidRPr="00BB5DED">
        <w:rPr>
          <w:bCs/>
        </w:rPr>
        <w:t xml:space="preserve"> employer brand through a strategic outreach in attracting highly qualified and diverse candidates</w:t>
      </w:r>
      <w:r w:rsidR="00FB1D99">
        <w:rPr>
          <w:bCs/>
        </w:rPr>
        <w:t>; and</w:t>
      </w:r>
      <w:r w:rsidRPr="00BB5DED">
        <w:rPr>
          <w:bCs/>
        </w:rPr>
        <w:t xml:space="preserve"> a strengthened partnership with the Member States and national governments.</w:t>
      </w:r>
    </w:p>
    <w:p w14:paraId="1910AB3B" w14:textId="77777777"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jc w:val="both"/>
        <w:textAlignment w:val="auto"/>
        <w:rPr>
          <w:bCs/>
        </w:rPr>
      </w:pPr>
      <w:r w:rsidRPr="00BB5DED">
        <w:rPr>
          <w:bCs/>
        </w:rPr>
        <w:t>Key highlights:</w:t>
      </w:r>
    </w:p>
    <w:p w14:paraId="2F85A8DD" w14:textId="0C03CE31" w:rsidR="000C56E7" w:rsidRPr="00BB5DED" w:rsidRDefault="000C56E7" w:rsidP="26F97092">
      <w:pPr>
        <w:tabs>
          <w:tab w:val="clear" w:pos="567"/>
          <w:tab w:val="clear" w:pos="1134"/>
          <w:tab w:val="clear" w:pos="1701"/>
          <w:tab w:val="clear" w:pos="2268"/>
          <w:tab w:val="clear" w:pos="2835"/>
        </w:tabs>
        <w:overflowPunct/>
        <w:autoSpaceDE/>
        <w:autoSpaceDN/>
        <w:adjustRightInd/>
        <w:spacing w:after="120"/>
        <w:ind w:left="567" w:hanging="567"/>
        <w:jc w:val="both"/>
        <w:textAlignment w:val="auto"/>
      </w:pPr>
      <w:r w:rsidRPr="00BB5DED">
        <w:t>1.</w:t>
      </w:r>
      <w:r w:rsidRPr="00BB5DED">
        <w:tab/>
        <w:t>Comprehensive Recruitment Guidelines (RG) implemented include (</w:t>
      </w:r>
      <w:proofErr w:type="spellStart"/>
      <w:r w:rsidRPr="00BB5DED">
        <w:t>i</w:t>
      </w:r>
      <w:proofErr w:type="spellEnd"/>
      <w:r w:rsidRPr="00BB5DED">
        <w:t>)</w:t>
      </w:r>
      <w:r w:rsidR="00C17A62">
        <w:t> </w:t>
      </w:r>
      <w:r w:rsidRPr="00BB5DED">
        <w:t xml:space="preserve">new processes that provide autonomy and accountability for </w:t>
      </w:r>
      <w:r w:rsidR="00C17A62">
        <w:t>h</w:t>
      </w:r>
      <w:r w:rsidRPr="00BB5DED">
        <w:t xml:space="preserve">iring </w:t>
      </w:r>
      <w:r w:rsidR="00C17A62">
        <w:t>m</w:t>
      </w:r>
      <w:r w:rsidRPr="00BB5DED">
        <w:t>anagers, (ii)</w:t>
      </w:r>
      <w:r w:rsidR="00C17A62">
        <w:t> </w:t>
      </w:r>
      <w:r w:rsidRPr="00BB5DED">
        <w:t xml:space="preserve">processes that include increased monitoring by </w:t>
      </w:r>
      <w:r w:rsidR="00053361">
        <w:t xml:space="preserve">the </w:t>
      </w:r>
      <w:r w:rsidR="00053361" w:rsidRPr="00053361">
        <w:t xml:space="preserve">Human Resources Management Department </w:t>
      </w:r>
      <w:r w:rsidR="00053361">
        <w:t>(</w:t>
      </w:r>
      <w:r w:rsidRPr="00BB5DED">
        <w:t>HRMD</w:t>
      </w:r>
      <w:r w:rsidR="00053361">
        <w:t>)</w:t>
      </w:r>
      <w:r w:rsidRPr="00BB5DED">
        <w:t>, as recommended by the auditors</w:t>
      </w:r>
      <w:r w:rsidR="00C17A62">
        <w:t>,</w:t>
      </w:r>
      <w:r w:rsidRPr="00BB5DED">
        <w:t xml:space="preserve"> and (iii)</w:t>
      </w:r>
      <w:r w:rsidR="00C17A62">
        <w:t> </w:t>
      </w:r>
      <w:r w:rsidRPr="00BB5DED">
        <w:t>processes that include strengthened verification of credentials and references.</w:t>
      </w:r>
    </w:p>
    <w:p w14:paraId="35ABE321" w14:textId="3384A0A6"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2.</w:t>
      </w:r>
      <w:r w:rsidRPr="00BB5DED">
        <w:rPr>
          <w:bCs/>
        </w:rPr>
        <w:tab/>
        <w:t>A training program</w:t>
      </w:r>
      <w:r w:rsidR="008A1C69">
        <w:rPr>
          <w:bCs/>
        </w:rPr>
        <w:t>me</w:t>
      </w:r>
      <w:r w:rsidRPr="00BB5DED">
        <w:rPr>
          <w:bCs/>
        </w:rPr>
        <w:t xml:space="preserve"> on RG</w:t>
      </w:r>
      <w:r w:rsidR="00A96E3F">
        <w:rPr>
          <w:bCs/>
        </w:rPr>
        <w:t>s</w:t>
      </w:r>
      <w:r w:rsidRPr="00BB5DED">
        <w:rPr>
          <w:bCs/>
        </w:rPr>
        <w:t xml:space="preserve"> for </w:t>
      </w:r>
      <w:r w:rsidR="00225793">
        <w:rPr>
          <w:bCs/>
        </w:rPr>
        <w:t>a</w:t>
      </w:r>
      <w:r w:rsidRPr="00BB5DED">
        <w:rPr>
          <w:bCs/>
        </w:rPr>
        <w:t xml:space="preserve">ssistants to </w:t>
      </w:r>
      <w:r w:rsidR="00225793">
        <w:rPr>
          <w:bCs/>
        </w:rPr>
        <w:t>h</w:t>
      </w:r>
      <w:r w:rsidRPr="00BB5DED">
        <w:rPr>
          <w:bCs/>
        </w:rPr>
        <w:t xml:space="preserve">iring </w:t>
      </w:r>
      <w:r w:rsidR="00225793">
        <w:rPr>
          <w:bCs/>
        </w:rPr>
        <w:t>m</w:t>
      </w:r>
      <w:r w:rsidRPr="00BB5DED">
        <w:rPr>
          <w:bCs/>
        </w:rPr>
        <w:t>anagers/</w:t>
      </w:r>
      <w:r w:rsidR="00225793">
        <w:rPr>
          <w:bCs/>
        </w:rPr>
        <w:t>s</w:t>
      </w:r>
      <w:r w:rsidRPr="00BB5DED">
        <w:rPr>
          <w:bCs/>
        </w:rPr>
        <w:t xml:space="preserve">upervisors, HR </w:t>
      </w:r>
      <w:r w:rsidR="00225793">
        <w:rPr>
          <w:bCs/>
        </w:rPr>
        <w:t>f</w:t>
      </w:r>
      <w:r w:rsidRPr="00BB5DED">
        <w:rPr>
          <w:bCs/>
        </w:rPr>
        <w:t xml:space="preserve">ocal </w:t>
      </w:r>
      <w:r w:rsidR="00225793">
        <w:rPr>
          <w:bCs/>
        </w:rPr>
        <w:t>p</w:t>
      </w:r>
      <w:r w:rsidRPr="00BB5DED">
        <w:rPr>
          <w:bCs/>
        </w:rPr>
        <w:t xml:space="preserve">oints, </w:t>
      </w:r>
      <w:r w:rsidR="00225793">
        <w:rPr>
          <w:bCs/>
        </w:rPr>
        <w:t>s</w:t>
      </w:r>
      <w:r w:rsidRPr="00BB5DED">
        <w:rPr>
          <w:bCs/>
        </w:rPr>
        <w:t xml:space="preserve">taff </w:t>
      </w:r>
      <w:r w:rsidR="00225793">
        <w:rPr>
          <w:bCs/>
        </w:rPr>
        <w:t>m</w:t>
      </w:r>
      <w:r w:rsidRPr="00BB5DED">
        <w:rPr>
          <w:bCs/>
        </w:rPr>
        <w:t>embers/</w:t>
      </w:r>
      <w:r w:rsidR="00225793">
        <w:rPr>
          <w:bCs/>
        </w:rPr>
        <w:t>a</w:t>
      </w:r>
      <w:r w:rsidRPr="00BB5DED">
        <w:rPr>
          <w:bCs/>
        </w:rPr>
        <w:t xml:space="preserve">pplicants, Staff Council </w:t>
      </w:r>
      <w:r w:rsidR="00A96E3F">
        <w:rPr>
          <w:bCs/>
        </w:rPr>
        <w:t>r</w:t>
      </w:r>
      <w:r w:rsidRPr="00BB5DED">
        <w:rPr>
          <w:bCs/>
        </w:rPr>
        <w:t xml:space="preserve">epresentatives and </w:t>
      </w:r>
      <w:r w:rsidR="00A96E3F">
        <w:rPr>
          <w:bCs/>
        </w:rPr>
        <w:t>s</w:t>
      </w:r>
      <w:r w:rsidRPr="00BB5DED">
        <w:rPr>
          <w:bCs/>
        </w:rPr>
        <w:t>upervisors. 315 staff members attended the different training sessions.</w:t>
      </w:r>
    </w:p>
    <w:p w14:paraId="1E352F59" w14:textId="491CCB5C"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3.</w:t>
      </w:r>
      <w:r w:rsidRPr="00BB5DED">
        <w:rPr>
          <w:bCs/>
        </w:rPr>
        <w:tab/>
        <w:t xml:space="preserve">Enhanced talent acquisition processes through the implementation of </w:t>
      </w:r>
      <w:r w:rsidR="00BF361E">
        <w:rPr>
          <w:bCs/>
        </w:rPr>
        <w:t xml:space="preserve">the </w:t>
      </w:r>
      <w:r w:rsidRPr="00BB5DED">
        <w:rPr>
          <w:bCs/>
        </w:rPr>
        <w:t>new Recruitment Management System (RMS). The system includes complete automation of the recruitment process, better monitoring of timelines, detailed controls</w:t>
      </w:r>
      <w:r w:rsidR="000A621D">
        <w:rPr>
          <w:bCs/>
        </w:rPr>
        <w:t>,</w:t>
      </w:r>
      <w:r w:rsidRPr="00BB5DED">
        <w:rPr>
          <w:bCs/>
        </w:rPr>
        <w:t xml:space="preserve"> and efficiencies which support further acceleration of the recruitment process. Training on RMS </w:t>
      </w:r>
      <w:r w:rsidR="00152827" w:rsidRPr="00BB5DED">
        <w:rPr>
          <w:bCs/>
        </w:rPr>
        <w:t xml:space="preserve">was </w:t>
      </w:r>
      <w:r w:rsidRPr="00BB5DED">
        <w:rPr>
          <w:bCs/>
        </w:rPr>
        <w:t>provided to staff.</w:t>
      </w:r>
    </w:p>
    <w:p w14:paraId="7966324F" w14:textId="78C955FB"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4.</w:t>
      </w:r>
      <w:r w:rsidRPr="00BB5DED">
        <w:rPr>
          <w:bCs/>
        </w:rPr>
        <w:tab/>
        <w:t xml:space="preserve">Recruitment processes for fixed-term contracts, short-term contracts, </w:t>
      </w:r>
      <w:r w:rsidR="000A621D">
        <w:rPr>
          <w:bCs/>
        </w:rPr>
        <w:t>s</w:t>
      </w:r>
      <w:r w:rsidRPr="00BB5DED">
        <w:rPr>
          <w:bCs/>
        </w:rPr>
        <w:t xml:space="preserve">pecial </w:t>
      </w:r>
      <w:r w:rsidR="000A621D">
        <w:rPr>
          <w:bCs/>
        </w:rPr>
        <w:t>s</w:t>
      </w:r>
      <w:r w:rsidRPr="00BB5DED">
        <w:rPr>
          <w:bCs/>
        </w:rPr>
        <w:t xml:space="preserve">ervice </w:t>
      </w:r>
      <w:r w:rsidR="000A621D">
        <w:rPr>
          <w:bCs/>
        </w:rPr>
        <w:t>a</w:t>
      </w:r>
      <w:r w:rsidRPr="00BB5DED">
        <w:rPr>
          <w:bCs/>
        </w:rPr>
        <w:t xml:space="preserve">greements (SSAs) and internships </w:t>
      </w:r>
      <w:r w:rsidR="002A20AF" w:rsidRPr="00BB5DED">
        <w:rPr>
          <w:bCs/>
        </w:rPr>
        <w:t xml:space="preserve">have been conducted </w:t>
      </w:r>
      <w:r w:rsidRPr="00BB5DED">
        <w:rPr>
          <w:bCs/>
        </w:rPr>
        <w:t>through the RMS.</w:t>
      </w:r>
    </w:p>
    <w:p w14:paraId="60A4FDC1" w14:textId="28F34343"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pPr>
      <w:r w:rsidRPr="00BB5DED">
        <w:t>5.</w:t>
      </w:r>
      <w:r w:rsidRPr="00BB5DED">
        <w:tab/>
        <w:t xml:space="preserve">Statistics on gender and geographical distribution are regularly updated and systematically provided as part of recruitment processes. Integration of recruitment data from the internal RMS system </w:t>
      </w:r>
      <w:r w:rsidR="2C08C313" w:rsidRPr="00BB5DED">
        <w:t xml:space="preserve">is </w:t>
      </w:r>
      <w:r w:rsidRPr="00BB5DED">
        <w:t>ongoing.</w:t>
      </w:r>
    </w:p>
    <w:p w14:paraId="34A7B519" w14:textId="110BE8D9"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6.</w:t>
      </w:r>
      <w:r w:rsidRPr="00BB5DED">
        <w:rPr>
          <w:bCs/>
        </w:rPr>
        <w:tab/>
      </w:r>
      <w:r w:rsidR="002A20AF" w:rsidRPr="00BB5DED">
        <w:rPr>
          <w:bCs/>
        </w:rPr>
        <w:t xml:space="preserve">The </w:t>
      </w:r>
      <w:r w:rsidR="008C6897">
        <w:rPr>
          <w:bCs/>
        </w:rPr>
        <w:t>y</w:t>
      </w:r>
      <w:r w:rsidRPr="00BB5DED">
        <w:rPr>
          <w:bCs/>
        </w:rPr>
        <w:t>oung talent program</w:t>
      </w:r>
      <w:r w:rsidR="008C6897">
        <w:rPr>
          <w:bCs/>
        </w:rPr>
        <w:t>me</w:t>
      </w:r>
      <w:r w:rsidRPr="00BB5DED">
        <w:rPr>
          <w:bCs/>
        </w:rPr>
        <w:t xml:space="preserve"> partnership with Member States and </w:t>
      </w:r>
      <w:r w:rsidR="00C50FDC">
        <w:rPr>
          <w:bCs/>
        </w:rPr>
        <w:t>n</w:t>
      </w:r>
      <w:r w:rsidRPr="00BB5DED">
        <w:rPr>
          <w:bCs/>
        </w:rPr>
        <w:t xml:space="preserve">ational governments </w:t>
      </w:r>
      <w:r w:rsidR="002A20AF" w:rsidRPr="00BB5DED">
        <w:rPr>
          <w:bCs/>
        </w:rPr>
        <w:t xml:space="preserve">has been </w:t>
      </w:r>
      <w:r w:rsidRPr="00BB5DED">
        <w:rPr>
          <w:bCs/>
        </w:rPr>
        <w:t xml:space="preserve">expanded (interns, </w:t>
      </w:r>
      <w:r w:rsidR="00C50FDC">
        <w:rPr>
          <w:bCs/>
        </w:rPr>
        <w:t>j</w:t>
      </w:r>
      <w:r w:rsidRPr="00BB5DED">
        <w:rPr>
          <w:bCs/>
        </w:rPr>
        <w:t xml:space="preserve">unior </w:t>
      </w:r>
      <w:proofErr w:type="gramStart"/>
      <w:r w:rsidR="00C50FDC">
        <w:rPr>
          <w:bCs/>
        </w:rPr>
        <w:t>p</w:t>
      </w:r>
      <w:r w:rsidRPr="00BB5DED">
        <w:rPr>
          <w:bCs/>
        </w:rPr>
        <w:t>rofessionals</w:t>
      </w:r>
      <w:proofErr w:type="gramEnd"/>
      <w:r w:rsidRPr="00BB5DED">
        <w:rPr>
          <w:bCs/>
        </w:rPr>
        <w:t xml:space="preserve"> </w:t>
      </w:r>
      <w:r w:rsidR="00C50FDC">
        <w:rPr>
          <w:bCs/>
        </w:rPr>
        <w:t>o</w:t>
      </w:r>
      <w:r w:rsidRPr="00BB5DED">
        <w:rPr>
          <w:bCs/>
        </w:rPr>
        <w:t>fficers, etc).</w:t>
      </w:r>
    </w:p>
    <w:p w14:paraId="20DB4DB6" w14:textId="70A38A38"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pPr>
      <w:r w:rsidRPr="00BB5DED">
        <w:t>7.</w:t>
      </w:r>
      <w:r w:rsidRPr="00BB5DED">
        <w:tab/>
        <w:t xml:space="preserve">SSA conditions </w:t>
      </w:r>
      <w:r w:rsidR="002A20AF" w:rsidRPr="00BB5DED">
        <w:t xml:space="preserve">have been </w:t>
      </w:r>
      <w:r w:rsidRPr="00BB5DED">
        <w:t>revised.</w:t>
      </w:r>
    </w:p>
    <w:p w14:paraId="1840F97D" w14:textId="7B2EEDBE"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8.</w:t>
      </w:r>
      <w:r w:rsidRPr="00BB5DED">
        <w:rPr>
          <w:bCs/>
        </w:rPr>
        <w:tab/>
      </w:r>
      <w:r w:rsidR="00035655">
        <w:rPr>
          <w:bCs/>
        </w:rPr>
        <w:t xml:space="preserve">An </w:t>
      </w:r>
      <w:r w:rsidRPr="00BB5DED">
        <w:rPr>
          <w:bCs/>
        </w:rPr>
        <w:t xml:space="preserve">HR Workforce Analytic Report </w:t>
      </w:r>
      <w:r w:rsidR="00035655">
        <w:rPr>
          <w:bCs/>
        </w:rPr>
        <w:t xml:space="preserve">using Power BI </w:t>
      </w:r>
      <w:r w:rsidRPr="00BB5DED">
        <w:rPr>
          <w:bCs/>
        </w:rPr>
        <w:t>has been developed to provide up-to-date, reliable data</w:t>
      </w:r>
      <w:r w:rsidR="00B322AC">
        <w:rPr>
          <w:bCs/>
        </w:rPr>
        <w:t xml:space="preserve"> and posted on</w:t>
      </w:r>
      <w:r w:rsidRPr="00BB5DED">
        <w:rPr>
          <w:bCs/>
        </w:rPr>
        <w:t xml:space="preserve"> the Council dashboard. </w:t>
      </w:r>
    </w:p>
    <w:p w14:paraId="0FAFF6FF" w14:textId="1CDCEB65"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pPr>
      <w:r w:rsidRPr="00BB5DED">
        <w:t>9.</w:t>
      </w:r>
      <w:r w:rsidRPr="00BB5DED">
        <w:tab/>
      </w:r>
      <w:r w:rsidR="00715AC9">
        <w:t xml:space="preserve">The </w:t>
      </w:r>
      <w:r w:rsidRPr="00BB5DED">
        <w:t xml:space="preserve">Ethics </w:t>
      </w:r>
      <w:r w:rsidR="000F4DF9" w:rsidRPr="00BB5DED">
        <w:t xml:space="preserve">Officer </w:t>
      </w:r>
      <w:r w:rsidRPr="00BB5DED">
        <w:t xml:space="preserve">has updated the financial disclosure policy, and a new </w:t>
      </w:r>
      <w:r w:rsidR="004501D0" w:rsidRPr="00BB5DED">
        <w:t>Service Order (</w:t>
      </w:r>
      <w:r w:rsidRPr="00BB5DED">
        <w:t>SO</w:t>
      </w:r>
      <w:r w:rsidR="004501D0" w:rsidRPr="00BB5DED">
        <w:t>)</w:t>
      </w:r>
      <w:r w:rsidRPr="00BB5DED">
        <w:t xml:space="preserve"> No.22/02 was developed on the </w:t>
      </w:r>
      <w:r w:rsidR="00613130">
        <w:t>d</w:t>
      </w:r>
      <w:r w:rsidRPr="00BB5DED">
        <w:t xml:space="preserve">eclaration of </w:t>
      </w:r>
      <w:r w:rsidR="00613130">
        <w:t>i</w:t>
      </w:r>
      <w:r w:rsidRPr="00BB5DED">
        <w:t>nterest.</w:t>
      </w:r>
    </w:p>
    <w:p w14:paraId="6CA34C28" w14:textId="77777777"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10.</w:t>
      </w:r>
      <w:r w:rsidRPr="00BB5DED">
        <w:rPr>
          <w:bCs/>
        </w:rPr>
        <w:tab/>
        <w:t>The ITU careers site has been completely revamped.</w:t>
      </w:r>
    </w:p>
    <w:p w14:paraId="4FC2EABD" w14:textId="77777777" w:rsidR="000C56E7" w:rsidRPr="00BB5DED" w:rsidRDefault="000C56E7" w:rsidP="004501D0">
      <w:pPr>
        <w:keepNext/>
        <w:keepLines/>
        <w:tabs>
          <w:tab w:val="clear" w:pos="567"/>
          <w:tab w:val="clear" w:pos="1134"/>
          <w:tab w:val="clear" w:pos="1701"/>
          <w:tab w:val="clear" w:pos="2268"/>
          <w:tab w:val="clear" w:pos="2835"/>
        </w:tabs>
        <w:overflowPunct/>
        <w:autoSpaceDE/>
        <w:autoSpaceDN/>
        <w:adjustRightInd/>
        <w:spacing w:after="120"/>
        <w:jc w:val="both"/>
        <w:textAlignment w:val="auto"/>
        <w:rPr>
          <w:b/>
        </w:rPr>
      </w:pPr>
      <w:r w:rsidRPr="00BB5DED">
        <w:rPr>
          <w:b/>
          <w:sz w:val="28"/>
          <w:szCs w:val="22"/>
        </w:rPr>
        <w:lastRenderedPageBreak/>
        <w:t xml:space="preserve">Pillar 2: Engaged </w:t>
      </w:r>
      <w:proofErr w:type="gramStart"/>
      <w:r w:rsidRPr="00BB5DED">
        <w:rPr>
          <w:b/>
          <w:sz w:val="28"/>
          <w:szCs w:val="22"/>
        </w:rPr>
        <w:t>employees</w:t>
      </w:r>
      <w:proofErr w:type="gramEnd"/>
    </w:p>
    <w:p w14:paraId="03B4371F" w14:textId="5BE32CC4" w:rsidR="000C56E7" w:rsidRPr="00BB5DED" w:rsidRDefault="000C56E7" w:rsidP="004501D0">
      <w:pPr>
        <w:keepNext/>
        <w:keepLines/>
        <w:tabs>
          <w:tab w:val="clear" w:pos="567"/>
          <w:tab w:val="clear" w:pos="1134"/>
          <w:tab w:val="clear" w:pos="1701"/>
          <w:tab w:val="clear" w:pos="2268"/>
          <w:tab w:val="clear" w:pos="2835"/>
        </w:tabs>
        <w:overflowPunct/>
        <w:autoSpaceDE/>
        <w:autoSpaceDN/>
        <w:adjustRightInd/>
        <w:spacing w:after="120"/>
        <w:jc w:val="both"/>
        <w:textAlignment w:val="auto"/>
        <w:rPr>
          <w:bCs/>
        </w:rPr>
      </w:pPr>
      <w:r w:rsidRPr="00BB5DED">
        <w:rPr>
          <w:bCs/>
        </w:rPr>
        <w:t>This pillar aims to achieve strategic and operational alignment between staff performance and organizational goals through the implementation of effective performance management and development systems, leadership models that foster continuous feedback and mutual trust, the identification of common competencies and skills, provision of learning and development opportunities, staff orientation and mentoring, rewards program</w:t>
      </w:r>
      <w:r w:rsidR="00954895">
        <w:rPr>
          <w:bCs/>
        </w:rPr>
        <w:t>me</w:t>
      </w:r>
      <w:r w:rsidRPr="00BB5DED">
        <w:rPr>
          <w:bCs/>
        </w:rPr>
        <w:t xml:space="preserve">s, succession planning, change management strategies, internal and external mobility, and meaningful performance evaluation with opportunities for training and career growth. </w:t>
      </w:r>
    </w:p>
    <w:p w14:paraId="33B3474D" w14:textId="5B4F71AF"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jc w:val="both"/>
        <w:textAlignment w:val="auto"/>
      </w:pPr>
      <w:r w:rsidRPr="00BB5DED">
        <w:t xml:space="preserve">ITU has embraced new ways of working, leveraging technology to support remote work and flexible working arrangements. In response to the COVID-19 pandemic, ITU successfully transitioned to a remote work environment, ensuring business continuity while prioritizing the health and well-being of its staff. </w:t>
      </w:r>
      <w:r w:rsidR="2C453F80" w:rsidRPr="00BB5DED">
        <w:t>S</w:t>
      </w:r>
      <w:r w:rsidRPr="00BB5DED">
        <w:t xml:space="preserve">teps </w:t>
      </w:r>
      <w:r w:rsidR="202BFFC8" w:rsidRPr="00BB5DED">
        <w:t xml:space="preserve">have been taken </w:t>
      </w:r>
      <w:r w:rsidRPr="00BB5DED">
        <w:t xml:space="preserve">to improve internal </w:t>
      </w:r>
      <w:r w:rsidRPr="00BB5DED">
        <w:rPr>
          <w:spacing w:val="-2"/>
        </w:rPr>
        <w:t xml:space="preserve">communications </w:t>
      </w:r>
      <w:r w:rsidR="00DC748E">
        <w:rPr>
          <w:spacing w:val="-2"/>
        </w:rPr>
        <w:t xml:space="preserve">with </w:t>
      </w:r>
      <w:r w:rsidRPr="00BB5DED">
        <w:rPr>
          <w:spacing w:val="-2"/>
        </w:rPr>
        <w:t>town hall meetings and regular updates on</w:t>
      </w:r>
      <w:r w:rsidRPr="00BB5DED">
        <w:t xml:space="preserve"> HR-related matters. These efforts have contributed to a more transparent and collaborative work environment, which aim</w:t>
      </w:r>
      <w:r w:rsidR="007A7A95">
        <w:t>s</w:t>
      </w:r>
      <w:r w:rsidRPr="00BB5DED">
        <w:t xml:space="preserve"> to make staff feel informed, engaged, and empowered to contribute to the organization</w:t>
      </w:r>
      <w:r w:rsidR="004501D0" w:rsidRPr="00BB5DED">
        <w:rPr>
          <w:bCs/>
        </w:rPr>
        <w:t>'</w:t>
      </w:r>
      <w:r w:rsidRPr="00BB5DED">
        <w:t>s success.</w:t>
      </w:r>
    </w:p>
    <w:p w14:paraId="7FC320CC" w14:textId="11C928BC"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jc w:val="both"/>
        <w:textAlignment w:val="auto"/>
        <w:rPr>
          <w:bCs/>
        </w:rPr>
      </w:pPr>
      <w:r w:rsidRPr="00BB5DED">
        <w:rPr>
          <w:bCs/>
        </w:rPr>
        <w:t>Furthermore, HRMD has created mentoring and coaching program</w:t>
      </w:r>
      <w:r w:rsidR="007A7A95">
        <w:rPr>
          <w:bCs/>
        </w:rPr>
        <w:t>me</w:t>
      </w:r>
      <w:r w:rsidRPr="00BB5DED">
        <w:rPr>
          <w:bCs/>
        </w:rPr>
        <w:t>s to support employee development and enhance their skill sets.</w:t>
      </w:r>
    </w:p>
    <w:p w14:paraId="7BCE2B6A" w14:textId="529B5412"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jc w:val="both"/>
        <w:textAlignment w:val="auto"/>
      </w:pPr>
      <w:r w:rsidRPr="00BB5DED">
        <w:t xml:space="preserve">Key </w:t>
      </w:r>
      <w:r w:rsidR="00152827" w:rsidRPr="00BB5DED">
        <w:t>achievements</w:t>
      </w:r>
      <w:r w:rsidRPr="00BB5DED">
        <w:t>:</w:t>
      </w:r>
    </w:p>
    <w:p w14:paraId="2F6484B5" w14:textId="30F7C12E"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1.</w:t>
      </w:r>
      <w:r w:rsidRPr="00BB5DED">
        <w:rPr>
          <w:bCs/>
        </w:rPr>
        <w:tab/>
      </w:r>
      <w:r w:rsidR="00CF5156">
        <w:rPr>
          <w:bCs/>
        </w:rPr>
        <w:t xml:space="preserve">The </w:t>
      </w:r>
      <w:r w:rsidR="000F168A">
        <w:rPr>
          <w:bCs/>
        </w:rPr>
        <w:t xml:space="preserve">2022 </w:t>
      </w:r>
      <w:proofErr w:type="spellStart"/>
      <w:r w:rsidR="00CF5156">
        <w:rPr>
          <w:bCs/>
        </w:rPr>
        <w:t>ePMDS</w:t>
      </w:r>
      <w:proofErr w:type="spellEnd"/>
      <w:r w:rsidR="00CF5156">
        <w:rPr>
          <w:bCs/>
        </w:rPr>
        <w:t xml:space="preserve"> exercise has been completed for </w:t>
      </w:r>
      <w:r w:rsidR="000F168A">
        <w:rPr>
          <w:bCs/>
        </w:rPr>
        <w:t>the m</w:t>
      </w:r>
      <w:r w:rsidRPr="00BB5DED">
        <w:rPr>
          <w:bCs/>
        </w:rPr>
        <w:t>ajority of ITU staff members (81%), giving them feedback on their annual performance.</w:t>
      </w:r>
    </w:p>
    <w:p w14:paraId="3E43EFB1" w14:textId="6689CAF8"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2.</w:t>
      </w:r>
      <w:r w:rsidRPr="00BB5DED">
        <w:rPr>
          <w:bCs/>
        </w:rPr>
        <w:tab/>
        <w:t>The number of underperformance cases addressed by HRMD has increased</w:t>
      </w:r>
      <w:r w:rsidR="00122963">
        <w:rPr>
          <w:bCs/>
        </w:rPr>
        <w:t xml:space="preserve">. That has included </w:t>
      </w:r>
      <w:r w:rsidRPr="00BB5DED">
        <w:rPr>
          <w:bCs/>
        </w:rPr>
        <w:t>performance improvement plans to help staff achieve objectives, and extensions of the probationary period and terminations, where necessary.</w:t>
      </w:r>
    </w:p>
    <w:p w14:paraId="4F4F2E45" w14:textId="5DBA357E"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pPr>
      <w:r w:rsidRPr="00BB5DED">
        <w:t>3.</w:t>
      </w:r>
      <w:r w:rsidRPr="00BB5DED">
        <w:tab/>
      </w:r>
      <w:r w:rsidR="00580886" w:rsidRPr="00BB5DED">
        <w:t>A</w:t>
      </w:r>
      <w:r w:rsidRPr="00BB5DED">
        <w:t xml:space="preserve"> new Learning Management System (LMS)</w:t>
      </w:r>
      <w:r w:rsidR="00363AAD" w:rsidRPr="00363AAD">
        <w:t xml:space="preserve"> </w:t>
      </w:r>
      <w:r w:rsidR="00363AAD" w:rsidRPr="00BB5DED">
        <w:t>has been launched</w:t>
      </w:r>
      <w:r w:rsidRPr="00BB5DED">
        <w:t>, offering staff access to a wide range of training opportunities.</w:t>
      </w:r>
    </w:p>
    <w:p w14:paraId="2BAEE628" w14:textId="335C779E"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4.</w:t>
      </w:r>
      <w:r w:rsidRPr="00BB5DED">
        <w:rPr>
          <w:bCs/>
        </w:rPr>
        <w:tab/>
      </w:r>
      <w:r w:rsidR="00152827" w:rsidRPr="00BB5DED">
        <w:rPr>
          <w:bCs/>
        </w:rPr>
        <w:t xml:space="preserve">The </w:t>
      </w:r>
      <w:r w:rsidRPr="00BB5DED">
        <w:rPr>
          <w:bCs/>
        </w:rPr>
        <w:t xml:space="preserve">2023 learning plan </w:t>
      </w:r>
      <w:r w:rsidR="00580886" w:rsidRPr="00BB5DED">
        <w:rPr>
          <w:bCs/>
        </w:rPr>
        <w:t xml:space="preserve">was </w:t>
      </w:r>
      <w:r w:rsidRPr="00BB5DED">
        <w:rPr>
          <w:bCs/>
        </w:rPr>
        <w:t xml:space="preserve">developed based on insights from the 2021 McKinsey Culture and Skills Gap report, the ITU visioning exercise, and the ITU strategic plan. </w:t>
      </w:r>
    </w:p>
    <w:p w14:paraId="6FC0653E" w14:textId="51CF4507" w:rsidR="000C56E7" w:rsidRPr="00BB5DED" w:rsidRDefault="000C56E7" w:rsidP="26F97092">
      <w:pPr>
        <w:tabs>
          <w:tab w:val="clear" w:pos="567"/>
          <w:tab w:val="clear" w:pos="1134"/>
          <w:tab w:val="clear" w:pos="1701"/>
          <w:tab w:val="clear" w:pos="2268"/>
          <w:tab w:val="clear" w:pos="2835"/>
        </w:tabs>
        <w:overflowPunct/>
        <w:autoSpaceDE/>
        <w:autoSpaceDN/>
        <w:adjustRightInd/>
        <w:spacing w:after="120"/>
        <w:ind w:left="567" w:hanging="567"/>
        <w:jc w:val="both"/>
        <w:textAlignment w:val="auto"/>
      </w:pPr>
      <w:r w:rsidRPr="00BB5DED">
        <w:t>5.</w:t>
      </w:r>
      <w:r w:rsidRPr="00BB5DED">
        <w:tab/>
      </w:r>
      <w:r w:rsidR="00464201">
        <w:t>The following c</w:t>
      </w:r>
      <w:r w:rsidRPr="00BB5DED">
        <w:t xml:space="preserve">ore learning programmes </w:t>
      </w:r>
      <w:r w:rsidR="00580886" w:rsidRPr="00BB5DED">
        <w:t xml:space="preserve">were </w:t>
      </w:r>
      <w:r w:rsidR="00464201">
        <w:t>held</w:t>
      </w:r>
      <w:r w:rsidRPr="00BB5DED">
        <w:t>: Anti-Fraud Essential Training, Diversity and Inclusion Training, Emerge Programme</w:t>
      </w:r>
      <w:r w:rsidR="00EE56E4" w:rsidRPr="00BB5DED">
        <w:t xml:space="preserve"> (a</w:t>
      </w:r>
      <w:r w:rsidR="00DB2040" w:rsidRPr="00BB5DED">
        <w:t>n inter-agency</w:t>
      </w:r>
      <w:r w:rsidR="00EE56E4" w:rsidRPr="00BB5DED">
        <w:t xml:space="preserve"> collaborative programme for </w:t>
      </w:r>
      <w:r w:rsidR="00DD08C6">
        <w:t>e</w:t>
      </w:r>
      <w:r w:rsidR="00EE56E4" w:rsidRPr="00BB5DED">
        <w:t xml:space="preserve">merging </w:t>
      </w:r>
      <w:r w:rsidR="00DD08C6">
        <w:t>w</w:t>
      </w:r>
      <w:r w:rsidR="00EE56E4" w:rsidRPr="00BB5DED">
        <w:t xml:space="preserve">omen </w:t>
      </w:r>
      <w:r w:rsidR="00DD08C6">
        <w:t>l</w:t>
      </w:r>
      <w:r w:rsidR="00EE56E4" w:rsidRPr="00BB5DED">
        <w:t>eaders in the UN)</w:t>
      </w:r>
      <w:r w:rsidRPr="00BB5DED">
        <w:t xml:space="preserve">, Empowering UN Gender Focal Points, </w:t>
      </w:r>
      <w:r w:rsidR="00DB2040" w:rsidRPr="00BB5DED">
        <w:t xml:space="preserve">Geneva </w:t>
      </w:r>
      <w:r w:rsidRPr="00BB5DED">
        <w:t>Innovation Movement</w:t>
      </w:r>
      <w:r w:rsidR="000578EE" w:rsidRPr="00BB5DED">
        <w:t xml:space="preserve"> </w:t>
      </w:r>
      <w:r w:rsidR="00DB2040" w:rsidRPr="00BB5DED">
        <w:t>(“Innovating as a Force for Good in a Transforming World”)</w:t>
      </w:r>
      <w:r w:rsidRPr="00BB5DED">
        <w:t xml:space="preserve">, Introduction to Change Management, Leadership Culture Assignments, Pre-Retirement Seminar, </w:t>
      </w:r>
      <w:r w:rsidR="00DD08C6">
        <w:t xml:space="preserve">and </w:t>
      </w:r>
      <w:r w:rsidRPr="00BB5DED">
        <w:t>Project Management Certification.</w:t>
      </w:r>
    </w:p>
    <w:p w14:paraId="42F8FE20" w14:textId="5FBF4493"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6.</w:t>
      </w:r>
      <w:r w:rsidRPr="00BB5DED">
        <w:rPr>
          <w:bCs/>
        </w:rPr>
        <w:tab/>
        <w:t xml:space="preserve">Internal communication </w:t>
      </w:r>
      <w:r w:rsidR="000331DB">
        <w:rPr>
          <w:bCs/>
        </w:rPr>
        <w:t xml:space="preserve">informed staff about </w:t>
      </w:r>
      <w:r w:rsidRPr="00BB5DED">
        <w:rPr>
          <w:bCs/>
        </w:rPr>
        <w:t xml:space="preserve">the </w:t>
      </w:r>
      <w:r w:rsidR="00F35872">
        <w:rPr>
          <w:bCs/>
        </w:rPr>
        <w:t xml:space="preserve">simplified </w:t>
      </w:r>
      <w:r w:rsidRPr="00BB5DED">
        <w:rPr>
          <w:bCs/>
        </w:rPr>
        <w:t xml:space="preserve">approval process for </w:t>
      </w:r>
      <w:proofErr w:type="spellStart"/>
      <w:r w:rsidRPr="00BB5DED">
        <w:rPr>
          <w:bCs/>
        </w:rPr>
        <w:t>ePMDS</w:t>
      </w:r>
      <w:proofErr w:type="spellEnd"/>
      <w:r w:rsidRPr="00BB5DED">
        <w:rPr>
          <w:bCs/>
        </w:rPr>
        <w:t xml:space="preserve"> and learning, with significant time savings for staff and managers. </w:t>
      </w:r>
    </w:p>
    <w:p w14:paraId="6539DC2D" w14:textId="7F7D9AAB"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7.</w:t>
      </w:r>
      <w:r w:rsidRPr="00BB5DED">
        <w:rPr>
          <w:bCs/>
        </w:rPr>
        <w:tab/>
        <w:t xml:space="preserve">The ratio between </w:t>
      </w:r>
      <w:r w:rsidR="00BE2DDE">
        <w:rPr>
          <w:bCs/>
        </w:rPr>
        <w:t>t</w:t>
      </w:r>
      <w:r w:rsidRPr="00BB5DED">
        <w:rPr>
          <w:bCs/>
        </w:rPr>
        <w:t xml:space="preserve">echnical and </w:t>
      </w:r>
      <w:r w:rsidR="00BE2DDE">
        <w:rPr>
          <w:bCs/>
        </w:rPr>
        <w:t>c</w:t>
      </w:r>
      <w:r w:rsidRPr="00BB5DED">
        <w:rPr>
          <w:bCs/>
        </w:rPr>
        <w:t xml:space="preserve">orporate learning </w:t>
      </w:r>
      <w:r w:rsidR="00BE2DDE">
        <w:rPr>
          <w:bCs/>
        </w:rPr>
        <w:t xml:space="preserve">events in 2022 was </w:t>
      </w:r>
      <w:r w:rsidRPr="00BB5DED">
        <w:rPr>
          <w:bCs/>
        </w:rPr>
        <w:t>53:47. This figure does not include other learning means</w:t>
      </w:r>
      <w:r w:rsidR="00CD53E2">
        <w:rPr>
          <w:bCs/>
        </w:rPr>
        <w:t xml:space="preserve"> such as</w:t>
      </w:r>
      <w:r w:rsidRPr="00BB5DED">
        <w:rPr>
          <w:bCs/>
        </w:rPr>
        <w:t xml:space="preserve"> on-the-job, self-study</w:t>
      </w:r>
      <w:r w:rsidR="00BE2DDE">
        <w:rPr>
          <w:bCs/>
        </w:rPr>
        <w:t>,</w:t>
      </w:r>
      <w:r w:rsidRPr="00BB5DED">
        <w:rPr>
          <w:bCs/>
        </w:rPr>
        <w:t xml:space="preserve"> etc.</w:t>
      </w:r>
    </w:p>
    <w:p w14:paraId="77C0A048" w14:textId="18D15244"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8.</w:t>
      </w:r>
      <w:r w:rsidRPr="00BB5DED">
        <w:rPr>
          <w:bCs/>
        </w:rPr>
        <w:tab/>
        <w:t xml:space="preserve">A comprehensive career development programme has been created for 2023, </w:t>
      </w:r>
      <w:r w:rsidR="00BE2DDE">
        <w:rPr>
          <w:bCs/>
        </w:rPr>
        <w:t xml:space="preserve">and the </w:t>
      </w:r>
      <w:r w:rsidRPr="00BB5DED">
        <w:rPr>
          <w:bCs/>
        </w:rPr>
        <w:t>associated career development resources and curated content made available to staff.</w:t>
      </w:r>
    </w:p>
    <w:p w14:paraId="33D1E69D" w14:textId="3EE1F150"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pPr>
      <w:r w:rsidRPr="00BB5DED">
        <w:lastRenderedPageBreak/>
        <w:t>9.</w:t>
      </w:r>
      <w:r w:rsidRPr="00BB5DED">
        <w:tab/>
      </w:r>
      <w:r w:rsidR="00C50FE3">
        <w:t xml:space="preserve">Since </w:t>
      </w:r>
      <w:r w:rsidR="00C746E8">
        <w:t>September 2019 t</w:t>
      </w:r>
      <w:r w:rsidRPr="00BB5DED">
        <w:t xml:space="preserve">he </w:t>
      </w:r>
      <w:proofErr w:type="gramStart"/>
      <w:r w:rsidRPr="00BB5DED">
        <w:t>90 minute</w:t>
      </w:r>
      <w:proofErr w:type="gramEnd"/>
      <w:r w:rsidRPr="00BB5DED">
        <w:t xml:space="preserve"> induction </w:t>
      </w:r>
      <w:r w:rsidR="00CD53E2">
        <w:t xml:space="preserve">programme </w:t>
      </w:r>
      <w:r w:rsidRPr="00BB5DED">
        <w:t>for newcomers (</w:t>
      </w:r>
      <w:r w:rsidR="0016480E">
        <w:t xml:space="preserve">regular and </w:t>
      </w:r>
      <w:r w:rsidRPr="00BB5DED">
        <w:t>short</w:t>
      </w:r>
      <w:r w:rsidR="0016480E">
        <w:t>-</w:t>
      </w:r>
      <w:r w:rsidRPr="00BB5DED">
        <w:t>term</w:t>
      </w:r>
      <w:r w:rsidR="0016480E">
        <w:t xml:space="preserve"> staff</w:t>
      </w:r>
      <w:r w:rsidRPr="00BB5DED">
        <w:t>, SSAs, interns, etc</w:t>
      </w:r>
      <w:r w:rsidR="0016480E">
        <w:t>.</w:t>
      </w:r>
      <w:r w:rsidRPr="00BB5DED">
        <w:t xml:space="preserve">) has </w:t>
      </w:r>
      <w:r w:rsidR="00055F64">
        <w:t xml:space="preserve">been held 36 times, </w:t>
      </w:r>
      <w:r w:rsidRPr="00BB5DED">
        <w:t>attract</w:t>
      </w:r>
      <w:r w:rsidR="00055F64">
        <w:t>ing</w:t>
      </w:r>
      <w:r w:rsidRPr="00BB5DED">
        <w:t xml:space="preserve"> </w:t>
      </w:r>
      <w:r w:rsidR="00055F64">
        <w:t xml:space="preserve">a total of </w:t>
      </w:r>
      <w:r w:rsidRPr="00BB5DED">
        <w:t>478 participants.</w:t>
      </w:r>
    </w:p>
    <w:p w14:paraId="1688E3A3" w14:textId="7CF356EF"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10.</w:t>
      </w:r>
      <w:r w:rsidRPr="00BB5DED">
        <w:rPr>
          <w:bCs/>
        </w:rPr>
        <w:tab/>
        <w:t>HRMD has contributed to the project of migrating BDT</w:t>
      </w:r>
      <w:r w:rsidR="00B146DD">
        <w:rPr>
          <w:bCs/>
        </w:rPr>
        <w:t>’s</w:t>
      </w:r>
      <w:r w:rsidRPr="00BB5DED">
        <w:rPr>
          <w:bCs/>
        </w:rPr>
        <w:t xml:space="preserve"> </w:t>
      </w:r>
      <w:r w:rsidR="00B146DD">
        <w:rPr>
          <w:bCs/>
        </w:rPr>
        <w:t xml:space="preserve">expert recruitment </w:t>
      </w:r>
      <w:r w:rsidRPr="00BB5DED">
        <w:rPr>
          <w:bCs/>
        </w:rPr>
        <w:t>management system to SAP-ERP.</w:t>
      </w:r>
    </w:p>
    <w:p w14:paraId="1C91AC73" w14:textId="034F5274"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11.</w:t>
      </w:r>
      <w:r w:rsidRPr="00BB5DED">
        <w:rPr>
          <w:bCs/>
        </w:rPr>
        <w:tab/>
        <w:t>The voluntary separation programme (SO 23/03) launched on 17</w:t>
      </w:r>
      <w:r w:rsidR="00A614DE">
        <w:rPr>
          <w:bCs/>
        </w:rPr>
        <w:t xml:space="preserve"> March </w:t>
      </w:r>
      <w:r w:rsidRPr="00BB5DED">
        <w:rPr>
          <w:bCs/>
        </w:rPr>
        <w:t>2023</w:t>
      </w:r>
      <w:r w:rsidR="00580886" w:rsidRPr="00BB5DED">
        <w:rPr>
          <w:bCs/>
        </w:rPr>
        <w:t xml:space="preserve"> was</w:t>
      </w:r>
      <w:r w:rsidRPr="00BB5DED">
        <w:rPr>
          <w:bCs/>
        </w:rPr>
        <w:t xml:space="preserve"> accompanied by an information session for all staff</w:t>
      </w:r>
      <w:r w:rsidR="003901BB">
        <w:rPr>
          <w:bCs/>
        </w:rPr>
        <w:t xml:space="preserve">. </w:t>
      </w:r>
      <w:r w:rsidR="000355D7">
        <w:rPr>
          <w:bCs/>
        </w:rPr>
        <w:t xml:space="preserve">Interested staff members were supported with </w:t>
      </w:r>
      <w:r w:rsidRPr="00BB5DED">
        <w:rPr>
          <w:bCs/>
        </w:rPr>
        <w:t xml:space="preserve">information resources </w:t>
      </w:r>
      <w:r w:rsidR="000355D7">
        <w:rPr>
          <w:bCs/>
        </w:rPr>
        <w:t xml:space="preserve">including </w:t>
      </w:r>
      <w:r w:rsidR="00A6341C" w:rsidRPr="00BB5DED">
        <w:rPr>
          <w:bCs/>
        </w:rPr>
        <w:t>an</w:t>
      </w:r>
      <w:r w:rsidR="00E40BC5">
        <w:rPr>
          <w:bCs/>
        </w:rPr>
        <w:t xml:space="preserve"> online estimate calculator</w:t>
      </w:r>
      <w:r w:rsidRPr="00BB5DED">
        <w:rPr>
          <w:bCs/>
        </w:rPr>
        <w:t xml:space="preserve"> and</w:t>
      </w:r>
      <w:r w:rsidR="000355D7">
        <w:rPr>
          <w:bCs/>
        </w:rPr>
        <w:t xml:space="preserve"> an FAQ</w:t>
      </w:r>
      <w:r w:rsidRPr="00BB5DED">
        <w:rPr>
          <w:bCs/>
        </w:rPr>
        <w:t>.</w:t>
      </w:r>
    </w:p>
    <w:p w14:paraId="3561E790" w14:textId="036E60C1" w:rsidR="000C56E7" w:rsidRPr="00BB5DED" w:rsidRDefault="000C56E7" w:rsidP="004501D0">
      <w:pPr>
        <w:tabs>
          <w:tab w:val="clear" w:pos="567"/>
          <w:tab w:val="clear" w:pos="1134"/>
          <w:tab w:val="clear" w:pos="1701"/>
          <w:tab w:val="clear" w:pos="2268"/>
          <w:tab w:val="clear" w:pos="2835"/>
        </w:tabs>
        <w:overflowPunct/>
        <w:autoSpaceDE/>
        <w:autoSpaceDN/>
        <w:adjustRightInd/>
        <w:spacing w:before="360" w:after="120"/>
        <w:jc w:val="both"/>
        <w:textAlignment w:val="auto"/>
        <w:rPr>
          <w:b/>
        </w:rPr>
      </w:pPr>
      <w:r w:rsidRPr="00BB5DED">
        <w:rPr>
          <w:b/>
          <w:sz w:val="28"/>
          <w:szCs w:val="22"/>
        </w:rPr>
        <w:t>Pillar 3: Excellence</w:t>
      </w:r>
      <w:r w:rsidR="00E40BC5">
        <w:rPr>
          <w:b/>
          <w:sz w:val="28"/>
          <w:szCs w:val="22"/>
        </w:rPr>
        <w:t>-d</w:t>
      </w:r>
      <w:r w:rsidRPr="00BB5DED">
        <w:rPr>
          <w:b/>
          <w:sz w:val="28"/>
          <w:szCs w:val="22"/>
        </w:rPr>
        <w:t xml:space="preserve">riven HR </w:t>
      </w:r>
      <w:r w:rsidR="00053361">
        <w:rPr>
          <w:b/>
          <w:sz w:val="28"/>
          <w:szCs w:val="22"/>
        </w:rPr>
        <w:t>s</w:t>
      </w:r>
      <w:r w:rsidRPr="00BB5DED">
        <w:rPr>
          <w:b/>
          <w:sz w:val="28"/>
          <w:szCs w:val="22"/>
        </w:rPr>
        <w:t>ervices</w:t>
      </w:r>
    </w:p>
    <w:p w14:paraId="07FD423A" w14:textId="67649D4C"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jc w:val="both"/>
        <w:textAlignment w:val="auto"/>
      </w:pPr>
      <w:r w:rsidRPr="00BB5DED">
        <w:t xml:space="preserve">The third pillar aims to establish a business partnering and results-based HR model that aligns with the institutional strategy, modernizes working </w:t>
      </w:r>
      <w:proofErr w:type="gramStart"/>
      <w:r w:rsidRPr="00BB5DED">
        <w:t>methods</w:t>
      </w:r>
      <w:proofErr w:type="gramEnd"/>
      <w:r w:rsidRPr="00BB5DED">
        <w:t xml:space="preserve"> and processes, and focuses on the people implications. HRMD </w:t>
      </w:r>
      <w:r w:rsidR="006E6344">
        <w:t xml:space="preserve">is </w:t>
      </w:r>
      <w:r w:rsidRPr="00BB5DED">
        <w:t>seek</w:t>
      </w:r>
      <w:r w:rsidR="006E6344">
        <w:t>ing</w:t>
      </w:r>
      <w:r w:rsidRPr="00BB5DED">
        <w:t xml:space="preserve"> to become a trusted and accountable partner that adds value</w:t>
      </w:r>
      <w:r w:rsidR="00ED7720">
        <w:t xml:space="preserve"> and</w:t>
      </w:r>
      <w:r w:rsidRPr="00BB5DED">
        <w:t xml:space="preserve"> is pro-active and service-minded while continu</w:t>
      </w:r>
      <w:r w:rsidR="00B63E0D">
        <w:t>ally</w:t>
      </w:r>
      <w:r w:rsidRPr="00BB5DED">
        <w:t xml:space="preserve"> delivering high-quality HR services that ensure organizational equity. The department also emphasizes connecting with internal customers with curiosity, purpose, and impact to streamline HR services, promote a paperless work environment, and build business plans and program</w:t>
      </w:r>
      <w:r w:rsidR="00954895">
        <w:t>me</w:t>
      </w:r>
      <w:r w:rsidRPr="00BB5DED">
        <w:t xml:space="preserve">s oriented to clients. </w:t>
      </w:r>
    </w:p>
    <w:p w14:paraId="19E2666B" w14:textId="6599346D"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jc w:val="both"/>
        <w:textAlignment w:val="auto"/>
        <w:rPr>
          <w:bCs/>
        </w:rPr>
      </w:pPr>
      <w:r w:rsidRPr="00BB5DED">
        <w:rPr>
          <w:bCs/>
        </w:rPr>
        <w:t>HRMD aims to strengthen the culture of internal communication at the corporate level, review and update HR and administrative regulatory frameworks,</w:t>
      </w:r>
      <w:r w:rsidR="00E97F20" w:rsidRPr="00BB5DED">
        <w:rPr>
          <w:bCs/>
        </w:rPr>
        <w:t xml:space="preserve"> </w:t>
      </w:r>
      <w:r w:rsidR="00386E81">
        <w:rPr>
          <w:bCs/>
        </w:rPr>
        <w:t xml:space="preserve">and </w:t>
      </w:r>
      <w:r w:rsidRPr="00BB5DED">
        <w:rPr>
          <w:bCs/>
        </w:rPr>
        <w:t xml:space="preserve">ensure capacity building and </w:t>
      </w:r>
      <w:r w:rsidR="00CE0752" w:rsidRPr="00BB5DED">
        <w:rPr>
          <w:bCs/>
        </w:rPr>
        <w:t xml:space="preserve">empowerment </w:t>
      </w:r>
      <w:r w:rsidR="00CE0752">
        <w:rPr>
          <w:bCs/>
        </w:rPr>
        <w:t xml:space="preserve">of the </w:t>
      </w:r>
      <w:r w:rsidRPr="00BB5DED">
        <w:rPr>
          <w:bCs/>
        </w:rPr>
        <w:t>Bureaux</w:t>
      </w:r>
      <w:r w:rsidR="00CE0752">
        <w:rPr>
          <w:bCs/>
        </w:rPr>
        <w:t xml:space="preserve"> and </w:t>
      </w:r>
      <w:r w:rsidRPr="00BB5DED">
        <w:rPr>
          <w:bCs/>
        </w:rPr>
        <w:t xml:space="preserve">SG </w:t>
      </w:r>
      <w:r w:rsidR="00CE0752">
        <w:rPr>
          <w:bCs/>
        </w:rPr>
        <w:t>d</w:t>
      </w:r>
      <w:r w:rsidRPr="00BB5DED">
        <w:rPr>
          <w:bCs/>
        </w:rPr>
        <w:t xml:space="preserve">epartments to ensure success in HR service delivery and decision making. </w:t>
      </w:r>
    </w:p>
    <w:p w14:paraId="1D7FC4F4" w14:textId="52256B36"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jc w:val="both"/>
        <w:textAlignment w:val="auto"/>
        <w:rPr>
          <w:bCs/>
        </w:rPr>
      </w:pPr>
      <w:bookmarkStart w:id="6" w:name="here"/>
      <w:r w:rsidRPr="00BB5DED">
        <w:rPr>
          <w:bCs/>
        </w:rPr>
        <w:t xml:space="preserve">ITU has prioritized the effective use of HR data and analytics, developing a Workforce Analytic Report </w:t>
      </w:r>
      <w:r w:rsidR="00AE4AAD">
        <w:rPr>
          <w:bCs/>
        </w:rPr>
        <w:t xml:space="preserve">using </w:t>
      </w:r>
      <w:r w:rsidRPr="00BB5DED">
        <w:rPr>
          <w:bCs/>
        </w:rPr>
        <w:t xml:space="preserve">Power BI to provide up-to-date, reliable data for informed decision-making. This report has been </w:t>
      </w:r>
      <w:r w:rsidR="0039218A">
        <w:rPr>
          <w:bCs/>
        </w:rPr>
        <w:t xml:space="preserve">posted on </w:t>
      </w:r>
      <w:r w:rsidRPr="00BB5DED">
        <w:rPr>
          <w:bCs/>
        </w:rPr>
        <w:t>the Council dashboard, further demonstrating the organization's commitment to data-driven decision-making.</w:t>
      </w:r>
    </w:p>
    <w:bookmarkEnd w:id="6"/>
    <w:p w14:paraId="49B39351" w14:textId="7855CBC8"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jc w:val="both"/>
        <w:textAlignment w:val="auto"/>
        <w:rPr>
          <w:bCs/>
        </w:rPr>
      </w:pPr>
      <w:r w:rsidRPr="00BB5DED">
        <w:rPr>
          <w:bCs/>
        </w:rPr>
        <w:t xml:space="preserve">Efforts have been made to improve communication with HR clients </w:t>
      </w:r>
      <w:r w:rsidR="005A47B0">
        <w:rPr>
          <w:bCs/>
        </w:rPr>
        <w:t xml:space="preserve">through </w:t>
      </w:r>
      <w:r w:rsidRPr="00BB5DED">
        <w:rPr>
          <w:bCs/>
        </w:rPr>
        <w:t xml:space="preserve">town hall meetings and announcements on the portal to keep staff informed on </w:t>
      </w:r>
      <w:r w:rsidR="00EA3C33">
        <w:rPr>
          <w:bCs/>
        </w:rPr>
        <w:t xml:space="preserve">relevant </w:t>
      </w:r>
      <w:r w:rsidRPr="00BB5DED">
        <w:rPr>
          <w:bCs/>
        </w:rPr>
        <w:t>HR matters. These initiatives have contributed to a more transparent and inclusive work environment, which aims to enable staff to feel supported and well-informed about HR-related issues and developments.</w:t>
      </w:r>
    </w:p>
    <w:p w14:paraId="092759A1" w14:textId="00A21948"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jc w:val="both"/>
        <w:textAlignment w:val="auto"/>
        <w:rPr>
          <w:bCs/>
        </w:rPr>
      </w:pPr>
      <w:r w:rsidRPr="00BB5DED">
        <w:rPr>
          <w:bCs/>
        </w:rPr>
        <w:t xml:space="preserve">Key </w:t>
      </w:r>
      <w:r w:rsidR="00E97F20" w:rsidRPr="00BB5DED">
        <w:rPr>
          <w:bCs/>
        </w:rPr>
        <w:t>achievements</w:t>
      </w:r>
      <w:r w:rsidRPr="00BB5DED">
        <w:rPr>
          <w:bCs/>
        </w:rPr>
        <w:t>:</w:t>
      </w:r>
    </w:p>
    <w:p w14:paraId="45A628BD" w14:textId="38CE8FE9"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1.</w:t>
      </w:r>
      <w:r w:rsidRPr="00BB5DED">
        <w:rPr>
          <w:bCs/>
        </w:rPr>
        <w:tab/>
        <w:t>Several business processes have been incorporated into the ERP system</w:t>
      </w:r>
      <w:r w:rsidR="003955A5">
        <w:rPr>
          <w:bCs/>
        </w:rPr>
        <w:t>, moving from</w:t>
      </w:r>
      <w:r w:rsidRPr="00BB5DED">
        <w:rPr>
          <w:bCs/>
        </w:rPr>
        <w:t xml:space="preserve"> manual processing </w:t>
      </w:r>
      <w:r w:rsidR="003955A5">
        <w:rPr>
          <w:bCs/>
        </w:rPr>
        <w:t xml:space="preserve">towards greater </w:t>
      </w:r>
      <w:r w:rsidRPr="00BB5DED">
        <w:rPr>
          <w:bCs/>
        </w:rPr>
        <w:t xml:space="preserve">automation with </w:t>
      </w:r>
      <w:r w:rsidR="00E96C38">
        <w:rPr>
          <w:bCs/>
        </w:rPr>
        <w:t xml:space="preserve">the </w:t>
      </w:r>
      <w:r w:rsidRPr="00BB5DED">
        <w:rPr>
          <w:bCs/>
        </w:rPr>
        <w:t>objective</w:t>
      </w:r>
      <w:r w:rsidR="00E96C38">
        <w:rPr>
          <w:bCs/>
        </w:rPr>
        <w:t>s</w:t>
      </w:r>
      <w:r w:rsidRPr="00BB5DED">
        <w:rPr>
          <w:bCs/>
        </w:rPr>
        <w:t xml:space="preserve"> of simplification, </w:t>
      </w:r>
      <w:r w:rsidR="00E96C38">
        <w:rPr>
          <w:bCs/>
        </w:rPr>
        <w:t xml:space="preserve">faster </w:t>
      </w:r>
      <w:r w:rsidRPr="00BB5DED">
        <w:rPr>
          <w:bCs/>
        </w:rPr>
        <w:t>processing, and reduction of risks</w:t>
      </w:r>
      <w:r w:rsidR="001C2B16">
        <w:rPr>
          <w:bCs/>
        </w:rPr>
        <w:t>,</w:t>
      </w:r>
      <w:r w:rsidRPr="00BB5DED">
        <w:rPr>
          <w:bCs/>
        </w:rPr>
        <w:t xml:space="preserve"> in collaboration with ISD. </w:t>
      </w:r>
    </w:p>
    <w:p w14:paraId="1275BDCB" w14:textId="5282E0F1"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2.</w:t>
      </w:r>
      <w:r w:rsidRPr="00BB5DED">
        <w:rPr>
          <w:bCs/>
        </w:rPr>
        <w:tab/>
        <w:t xml:space="preserve">New functionalities have been deployed: </w:t>
      </w:r>
      <w:r w:rsidR="001C2B16">
        <w:rPr>
          <w:bCs/>
        </w:rPr>
        <w:t>n</w:t>
      </w:r>
      <w:r w:rsidRPr="00BB5DED">
        <w:rPr>
          <w:bCs/>
        </w:rPr>
        <w:t xml:space="preserve">ew UNSMIS reports, automated generation of </w:t>
      </w:r>
      <w:r w:rsidR="001C2B16">
        <w:rPr>
          <w:bCs/>
        </w:rPr>
        <w:t>l</w:t>
      </w:r>
      <w:r w:rsidRPr="00BB5DED">
        <w:rPr>
          <w:bCs/>
        </w:rPr>
        <w:t>etter</w:t>
      </w:r>
      <w:r w:rsidR="001C2B16">
        <w:rPr>
          <w:bCs/>
        </w:rPr>
        <w:t>s</w:t>
      </w:r>
      <w:r w:rsidRPr="00BB5DED">
        <w:rPr>
          <w:bCs/>
        </w:rPr>
        <w:t xml:space="preserve"> of appointment and </w:t>
      </w:r>
      <w:r w:rsidR="001C2B16">
        <w:rPr>
          <w:bCs/>
        </w:rPr>
        <w:t xml:space="preserve">contract </w:t>
      </w:r>
      <w:r w:rsidRPr="00BB5DED">
        <w:rPr>
          <w:bCs/>
        </w:rPr>
        <w:t>extension</w:t>
      </w:r>
      <w:r w:rsidR="001C2B16">
        <w:rPr>
          <w:bCs/>
        </w:rPr>
        <w:t>s</w:t>
      </w:r>
      <w:r w:rsidRPr="00BB5DED">
        <w:rPr>
          <w:bCs/>
        </w:rPr>
        <w:t xml:space="preserve">, </w:t>
      </w:r>
      <w:r w:rsidR="00CF320A">
        <w:rPr>
          <w:bCs/>
        </w:rPr>
        <w:t>and e</w:t>
      </w:r>
      <w:r w:rsidRPr="00BB5DED">
        <w:rPr>
          <w:bCs/>
        </w:rPr>
        <w:t xml:space="preserve">ducation grant HR modules. The </w:t>
      </w:r>
      <w:r w:rsidR="00CF320A">
        <w:rPr>
          <w:bCs/>
        </w:rPr>
        <w:t>e</w:t>
      </w:r>
      <w:r w:rsidRPr="00BB5DED">
        <w:rPr>
          <w:bCs/>
        </w:rPr>
        <w:t xml:space="preserve">ducation </w:t>
      </w:r>
      <w:r w:rsidR="00CF320A">
        <w:rPr>
          <w:bCs/>
        </w:rPr>
        <w:t>g</w:t>
      </w:r>
      <w:r w:rsidRPr="00BB5DED">
        <w:rPr>
          <w:bCs/>
        </w:rPr>
        <w:t xml:space="preserve">rant HR module is in use since July 2022. </w:t>
      </w:r>
    </w:p>
    <w:p w14:paraId="49FED423" w14:textId="1D832C43"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3.</w:t>
      </w:r>
      <w:r w:rsidRPr="00BB5DED">
        <w:rPr>
          <w:bCs/>
        </w:rPr>
        <w:tab/>
        <w:t xml:space="preserve">The new role of Strategic HR Policy Advisor was filled in December 2022, to address the need to update the </w:t>
      </w:r>
      <w:r w:rsidR="00CF320A">
        <w:rPr>
          <w:bCs/>
        </w:rPr>
        <w:t>h</w:t>
      </w:r>
      <w:r w:rsidRPr="00BB5DED">
        <w:rPr>
          <w:bCs/>
        </w:rPr>
        <w:t xml:space="preserve">uman </w:t>
      </w:r>
      <w:r w:rsidR="00CF320A">
        <w:rPr>
          <w:bCs/>
        </w:rPr>
        <w:t>r</w:t>
      </w:r>
      <w:r w:rsidRPr="00BB5DED">
        <w:rPr>
          <w:bCs/>
        </w:rPr>
        <w:t>esource regulatory framework and policies.</w:t>
      </w:r>
    </w:p>
    <w:p w14:paraId="501D0FD1" w14:textId="6DD1E93A"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pPr>
      <w:r w:rsidRPr="00BB5DED">
        <w:t>4.</w:t>
      </w:r>
      <w:r w:rsidRPr="00BB5DED">
        <w:tab/>
        <w:t xml:space="preserve">HR business processes </w:t>
      </w:r>
      <w:r w:rsidR="31FC24A4" w:rsidRPr="00BB5DED">
        <w:t xml:space="preserve">are </w:t>
      </w:r>
      <w:r w:rsidR="00E97F20" w:rsidRPr="00BB5DED">
        <w:t>be</w:t>
      </w:r>
      <w:r w:rsidR="7F6D9ED6" w:rsidRPr="00BB5DED">
        <w:t>ing</w:t>
      </w:r>
      <w:r w:rsidR="00E97F20" w:rsidRPr="00BB5DED">
        <w:t xml:space="preserve"> streamlined and simplified through</w:t>
      </w:r>
      <w:r w:rsidRPr="00BB5DED">
        <w:t xml:space="preserve"> ongoing reviews and reengineering efforts.</w:t>
      </w:r>
    </w:p>
    <w:p w14:paraId="05F49B3F" w14:textId="297A529F"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lastRenderedPageBreak/>
        <w:t>5.</w:t>
      </w:r>
      <w:r w:rsidRPr="00BB5DED">
        <w:rPr>
          <w:bCs/>
        </w:rPr>
        <w:tab/>
      </w:r>
      <w:r w:rsidR="00E97F20" w:rsidRPr="00BB5DED">
        <w:rPr>
          <w:bCs/>
        </w:rPr>
        <w:t>T</w:t>
      </w:r>
      <w:r w:rsidRPr="00BB5DED">
        <w:rPr>
          <w:bCs/>
        </w:rPr>
        <w:t>he Learning Management System and Recruitment Management System</w:t>
      </w:r>
      <w:r w:rsidR="00E97F20" w:rsidRPr="00BB5DED">
        <w:rPr>
          <w:bCs/>
        </w:rPr>
        <w:t xml:space="preserve"> </w:t>
      </w:r>
      <w:r w:rsidR="00F2620D">
        <w:rPr>
          <w:bCs/>
        </w:rPr>
        <w:t xml:space="preserve">were </w:t>
      </w:r>
      <w:r w:rsidR="00E97F20" w:rsidRPr="00BB5DED">
        <w:rPr>
          <w:bCs/>
        </w:rPr>
        <w:t>implemented</w:t>
      </w:r>
      <w:r w:rsidR="006F7389" w:rsidRPr="00BB5DED">
        <w:rPr>
          <w:bCs/>
        </w:rPr>
        <w:t xml:space="preserve"> in early 2022</w:t>
      </w:r>
      <w:r w:rsidRPr="00BB5DED">
        <w:rPr>
          <w:bCs/>
        </w:rPr>
        <w:t>.</w:t>
      </w:r>
    </w:p>
    <w:p w14:paraId="13F47CF5" w14:textId="54E22A12"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6.</w:t>
      </w:r>
      <w:r w:rsidRPr="00BB5DED">
        <w:rPr>
          <w:bCs/>
        </w:rPr>
        <w:tab/>
      </w:r>
      <w:r w:rsidR="00E97F20" w:rsidRPr="00BB5DED">
        <w:rPr>
          <w:bCs/>
        </w:rPr>
        <w:t>T</w:t>
      </w:r>
      <w:r w:rsidRPr="00BB5DED">
        <w:rPr>
          <w:bCs/>
        </w:rPr>
        <w:t>he HR Workforce Analytic Report using Power BI for data-driven decision-making</w:t>
      </w:r>
      <w:r w:rsidR="00E97F20" w:rsidRPr="00BB5DED">
        <w:rPr>
          <w:bCs/>
        </w:rPr>
        <w:t xml:space="preserve"> was developed</w:t>
      </w:r>
      <w:r w:rsidRPr="00BB5DED">
        <w:rPr>
          <w:bCs/>
        </w:rPr>
        <w:t>.</w:t>
      </w:r>
    </w:p>
    <w:p w14:paraId="256A77E8" w14:textId="64825116"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7.</w:t>
      </w:r>
      <w:r w:rsidRPr="00BB5DED">
        <w:rPr>
          <w:bCs/>
        </w:rPr>
        <w:tab/>
      </w:r>
      <w:r w:rsidR="00E97F20" w:rsidRPr="00BB5DED">
        <w:rPr>
          <w:bCs/>
        </w:rPr>
        <w:t>T</w:t>
      </w:r>
      <w:r w:rsidRPr="00BB5DED">
        <w:rPr>
          <w:bCs/>
        </w:rPr>
        <w:t>he life insurance contract update and actuarial services contract procurement</w:t>
      </w:r>
      <w:r w:rsidR="00E97F20" w:rsidRPr="00BB5DED">
        <w:rPr>
          <w:bCs/>
        </w:rPr>
        <w:t xml:space="preserve"> have been successfully completed</w:t>
      </w:r>
      <w:r w:rsidRPr="00BB5DED">
        <w:rPr>
          <w:bCs/>
        </w:rPr>
        <w:t>.</w:t>
      </w:r>
    </w:p>
    <w:p w14:paraId="0086BBE7" w14:textId="041F40C2"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pPr>
      <w:r w:rsidRPr="00BB5DED">
        <w:t>8.</w:t>
      </w:r>
      <w:r w:rsidRPr="00BB5DED">
        <w:tab/>
      </w:r>
      <w:r w:rsidR="0066686E">
        <w:t xml:space="preserve">The </w:t>
      </w:r>
      <w:r w:rsidRPr="00BB5DED">
        <w:t>Staff Pension Committee election</w:t>
      </w:r>
      <w:r w:rsidR="00E97F20" w:rsidRPr="00BB5DED">
        <w:t xml:space="preserve"> w</w:t>
      </w:r>
      <w:r w:rsidR="0F156364" w:rsidRPr="00BB5DED">
        <w:t>as</w:t>
      </w:r>
      <w:r w:rsidRPr="00BB5DED">
        <w:t xml:space="preserve"> successfully completed.</w:t>
      </w:r>
    </w:p>
    <w:p w14:paraId="4BE33E5F" w14:textId="7C3491EA"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9.</w:t>
      </w:r>
      <w:r w:rsidRPr="00BB5DED">
        <w:rPr>
          <w:bCs/>
        </w:rPr>
        <w:tab/>
      </w:r>
      <w:r w:rsidR="00D66D22">
        <w:rPr>
          <w:bCs/>
        </w:rPr>
        <w:t>In e</w:t>
      </w:r>
      <w:r w:rsidRPr="00BB5DED">
        <w:rPr>
          <w:bCs/>
        </w:rPr>
        <w:t xml:space="preserve">arly 2023, a mass data clean-up of certain personnel information </w:t>
      </w:r>
      <w:r w:rsidR="00E97F20" w:rsidRPr="00BB5DED">
        <w:rPr>
          <w:bCs/>
        </w:rPr>
        <w:t xml:space="preserve">was conducted </w:t>
      </w:r>
      <w:r w:rsidRPr="00BB5DED">
        <w:rPr>
          <w:bCs/>
        </w:rPr>
        <w:t>to ensure quality of data both internally in HRMD as well as externally to partners</w:t>
      </w:r>
      <w:r w:rsidR="008150D1">
        <w:rPr>
          <w:bCs/>
        </w:rPr>
        <w:t>. R</w:t>
      </w:r>
      <w:r w:rsidRPr="00BB5DED">
        <w:rPr>
          <w:bCs/>
        </w:rPr>
        <w:t>eports</w:t>
      </w:r>
      <w:r w:rsidR="00E97F20" w:rsidRPr="00BB5DED">
        <w:rPr>
          <w:bCs/>
        </w:rPr>
        <w:t xml:space="preserve"> were</w:t>
      </w:r>
      <w:r w:rsidRPr="00BB5DED">
        <w:rPr>
          <w:bCs/>
        </w:rPr>
        <w:t xml:space="preserve"> provided to members.</w:t>
      </w:r>
    </w:p>
    <w:p w14:paraId="67DC97DB" w14:textId="77777777"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10.</w:t>
      </w:r>
      <w:r w:rsidRPr="00BB5DED">
        <w:rPr>
          <w:bCs/>
        </w:rPr>
        <w:tab/>
        <w:t>An exit interview has been developed and is currently being piloted prior to implementation.</w:t>
      </w:r>
    </w:p>
    <w:p w14:paraId="14BA8D98" w14:textId="14560267"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11.</w:t>
      </w:r>
      <w:r w:rsidRPr="00BB5DED">
        <w:rPr>
          <w:bCs/>
        </w:rPr>
        <w:tab/>
        <w:t xml:space="preserve">HRMD followed up on </w:t>
      </w:r>
      <w:r w:rsidR="00BB0CE0">
        <w:rPr>
          <w:bCs/>
        </w:rPr>
        <w:t>thirtee</w:t>
      </w:r>
      <w:r w:rsidR="000F3725">
        <w:rPr>
          <w:bCs/>
        </w:rPr>
        <w:t xml:space="preserve">n </w:t>
      </w:r>
      <w:r w:rsidRPr="00BB5DED">
        <w:rPr>
          <w:bCs/>
        </w:rPr>
        <w:t xml:space="preserve">Internal Audit (IA) reports and </w:t>
      </w:r>
      <w:r w:rsidR="00033302">
        <w:rPr>
          <w:bCs/>
        </w:rPr>
        <w:t>re</w:t>
      </w:r>
      <w:r w:rsidRPr="00BB5DED">
        <w:rPr>
          <w:bCs/>
        </w:rPr>
        <w:t xml:space="preserve">solved </w:t>
      </w:r>
      <w:r w:rsidR="000F3725">
        <w:rPr>
          <w:bCs/>
        </w:rPr>
        <w:t xml:space="preserve">fourteen </w:t>
      </w:r>
      <w:r w:rsidRPr="00BB5DED">
        <w:rPr>
          <w:bCs/>
        </w:rPr>
        <w:t xml:space="preserve">recommendations </w:t>
      </w:r>
      <w:r w:rsidR="007C129F">
        <w:rPr>
          <w:bCs/>
        </w:rPr>
        <w:t xml:space="preserve">to the Department </w:t>
      </w:r>
      <w:r w:rsidRPr="00BB5DED">
        <w:rPr>
          <w:bCs/>
        </w:rPr>
        <w:t xml:space="preserve">and </w:t>
      </w:r>
      <w:r w:rsidR="000F3725">
        <w:rPr>
          <w:bCs/>
        </w:rPr>
        <w:t xml:space="preserve">one </w:t>
      </w:r>
      <w:r w:rsidRPr="00BB5DED">
        <w:rPr>
          <w:bCs/>
        </w:rPr>
        <w:t>for IMAC</w:t>
      </w:r>
      <w:r w:rsidR="007C129F">
        <w:rPr>
          <w:bCs/>
        </w:rPr>
        <w:t>, relating to</w:t>
      </w:r>
      <w:r w:rsidRPr="00BB5DED">
        <w:rPr>
          <w:bCs/>
        </w:rPr>
        <w:t xml:space="preserve"> recruitment, </w:t>
      </w:r>
      <w:r w:rsidR="007C129F">
        <w:rPr>
          <w:bCs/>
        </w:rPr>
        <w:t xml:space="preserve">the </w:t>
      </w:r>
      <w:r w:rsidRPr="00BB5DED">
        <w:rPr>
          <w:bCs/>
        </w:rPr>
        <w:t>ERP system, internal controls, overtime management and staff entitlement</w:t>
      </w:r>
      <w:r w:rsidR="007C129F">
        <w:rPr>
          <w:bCs/>
        </w:rPr>
        <w:t>s</w:t>
      </w:r>
      <w:r w:rsidRPr="00BB5DED">
        <w:rPr>
          <w:bCs/>
        </w:rPr>
        <w:t>.</w:t>
      </w:r>
    </w:p>
    <w:p w14:paraId="70031676" w14:textId="52C9A297" w:rsidR="000C56E7" w:rsidRPr="00BB5DED" w:rsidRDefault="000C56E7" w:rsidP="004501D0">
      <w:pPr>
        <w:tabs>
          <w:tab w:val="clear" w:pos="567"/>
          <w:tab w:val="clear" w:pos="1134"/>
          <w:tab w:val="clear" w:pos="1701"/>
          <w:tab w:val="clear" w:pos="2268"/>
          <w:tab w:val="clear" w:pos="2835"/>
        </w:tabs>
        <w:overflowPunct/>
        <w:autoSpaceDE/>
        <w:autoSpaceDN/>
        <w:adjustRightInd/>
        <w:spacing w:before="360" w:after="120"/>
        <w:jc w:val="both"/>
        <w:textAlignment w:val="auto"/>
        <w:rPr>
          <w:b/>
        </w:rPr>
      </w:pPr>
      <w:r w:rsidRPr="00BB5DED">
        <w:rPr>
          <w:b/>
          <w:sz w:val="28"/>
          <w:szCs w:val="22"/>
        </w:rPr>
        <w:t xml:space="preserve">Pillar 4: Enabling </w:t>
      </w:r>
      <w:r w:rsidR="007C129F">
        <w:rPr>
          <w:b/>
          <w:sz w:val="28"/>
          <w:szCs w:val="22"/>
        </w:rPr>
        <w:t>w</w:t>
      </w:r>
      <w:r w:rsidRPr="00BB5DED">
        <w:rPr>
          <w:b/>
          <w:sz w:val="28"/>
          <w:szCs w:val="22"/>
        </w:rPr>
        <w:t xml:space="preserve">ork </w:t>
      </w:r>
      <w:proofErr w:type="gramStart"/>
      <w:r w:rsidR="007C129F">
        <w:rPr>
          <w:b/>
          <w:sz w:val="28"/>
          <w:szCs w:val="22"/>
        </w:rPr>
        <w:t>e</w:t>
      </w:r>
      <w:r w:rsidRPr="00BB5DED">
        <w:rPr>
          <w:b/>
          <w:sz w:val="28"/>
          <w:szCs w:val="22"/>
        </w:rPr>
        <w:t>nvironment</w:t>
      </w:r>
      <w:proofErr w:type="gramEnd"/>
    </w:p>
    <w:p w14:paraId="41819F0F" w14:textId="785AD624"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jc w:val="both"/>
        <w:textAlignment w:val="auto"/>
        <w:rPr>
          <w:bCs/>
        </w:rPr>
      </w:pPr>
      <w:r w:rsidRPr="00BB5DED">
        <w:rPr>
          <w:bCs/>
        </w:rPr>
        <w:t xml:space="preserve">The last pillar aims to establish a healthy and respectful workplace that values diversity and inclusion and supports staff well-being through medical services, psychological </w:t>
      </w:r>
      <w:proofErr w:type="gramStart"/>
      <w:r w:rsidRPr="00BB5DED">
        <w:rPr>
          <w:bCs/>
        </w:rPr>
        <w:t>support</w:t>
      </w:r>
      <w:proofErr w:type="gramEnd"/>
      <w:r w:rsidRPr="00BB5DED">
        <w:rPr>
          <w:bCs/>
        </w:rPr>
        <w:t xml:space="preserve"> and occupational health. The organization seeks to enable a healthy work-life balance through flexible work arrangements. </w:t>
      </w:r>
      <w:r w:rsidR="00722F5F">
        <w:rPr>
          <w:bCs/>
        </w:rPr>
        <w:t>D</w:t>
      </w:r>
      <w:r w:rsidRPr="00BB5DED">
        <w:rPr>
          <w:bCs/>
        </w:rPr>
        <w:t xml:space="preserve">ecisions </w:t>
      </w:r>
      <w:r w:rsidR="00722F5F">
        <w:rPr>
          <w:bCs/>
        </w:rPr>
        <w:t xml:space="preserve">with a personal impact </w:t>
      </w:r>
      <w:r w:rsidRPr="00BB5DED">
        <w:rPr>
          <w:bCs/>
        </w:rPr>
        <w:t xml:space="preserve">will be </w:t>
      </w:r>
      <w:r w:rsidR="00722F5F">
        <w:rPr>
          <w:bCs/>
        </w:rPr>
        <w:t xml:space="preserve">taken </w:t>
      </w:r>
      <w:r w:rsidRPr="00BB5DED">
        <w:rPr>
          <w:bCs/>
        </w:rPr>
        <w:t xml:space="preserve">closer to people, ensuring effective delegation of authority and accountability in line with organizational governance and administrative/legal frameworks. </w:t>
      </w:r>
    </w:p>
    <w:p w14:paraId="24BFD566" w14:textId="2B65788B"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jc w:val="both"/>
        <w:textAlignment w:val="auto"/>
        <w:rPr>
          <w:bCs/>
        </w:rPr>
      </w:pPr>
      <w:r w:rsidRPr="00BB5DED">
        <w:rPr>
          <w:bCs/>
        </w:rPr>
        <w:t xml:space="preserve">Regular staff consultations will be conducted to identify internal factors and develop action plans to influence the organizational culture of ITU, including promoting healthier habits, reducing stress, and strengthening resilience. The organization aims to establish a culture of accountability, dialogue, and understanding of organizational and staff needs, minimizing conflicts and promoting innovation. ITU also seeks to ensure adequate channels are available for staff to report misconduct </w:t>
      </w:r>
      <w:r w:rsidR="00FB0734">
        <w:rPr>
          <w:bCs/>
        </w:rPr>
        <w:t xml:space="preserve">and </w:t>
      </w:r>
      <w:r w:rsidRPr="00BB5DED">
        <w:rPr>
          <w:bCs/>
        </w:rPr>
        <w:t xml:space="preserve">wrongdoing, protect whistle-blowers and handle retaliation cases. The organization will review and </w:t>
      </w:r>
      <w:r w:rsidR="009B1DF0">
        <w:rPr>
          <w:bCs/>
        </w:rPr>
        <w:t xml:space="preserve">update </w:t>
      </w:r>
      <w:r w:rsidRPr="00BB5DED">
        <w:rPr>
          <w:bCs/>
        </w:rPr>
        <w:t xml:space="preserve">rules </w:t>
      </w:r>
      <w:r w:rsidR="009B1DF0">
        <w:rPr>
          <w:bCs/>
        </w:rPr>
        <w:t xml:space="preserve">to </w:t>
      </w:r>
      <w:r w:rsidRPr="00BB5DED">
        <w:rPr>
          <w:bCs/>
        </w:rPr>
        <w:t>provid</w:t>
      </w:r>
      <w:r w:rsidR="009B1DF0">
        <w:rPr>
          <w:bCs/>
        </w:rPr>
        <w:t>e</w:t>
      </w:r>
      <w:r w:rsidRPr="00BB5DED">
        <w:rPr>
          <w:bCs/>
        </w:rPr>
        <w:t xml:space="preserve"> adequate compensation for injury, illness, disability, </w:t>
      </w:r>
      <w:r w:rsidR="009B1DF0">
        <w:rPr>
          <w:bCs/>
        </w:rPr>
        <w:t xml:space="preserve">and </w:t>
      </w:r>
      <w:r w:rsidRPr="00BB5DED">
        <w:rPr>
          <w:bCs/>
        </w:rPr>
        <w:t xml:space="preserve">death attributable to the performance of official duties and </w:t>
      </w:r>
      <w:r w:rsidR="009B1DF0">
        <w:rPr>
          <w:bCs/>
        </w:rPr>
        <w:t xml:space="preserve">to manage </w:t>
      </w:r>
      <w:r w:rsidRPr="00BB5DED">
        <w:rPr>
          <w:bCs/>
        </w:rPr>
        <w:t xml:space="preserve">cases of deteriorated health condition, difficult family situations or other precarious situations, harassment of </w:t>
      </w:r>
      <w:r w:rsidR="00977534">
        <w:rPr>
          <w:bCs/>
        </w:rPr>
        <w:t xml:space="preserve">all </w:t>
      </w:r>
      <w:r w:rsidRPr="00BB5DED">
        <w:rPr>
          <w:bCs/>
        </w:rPr>
        <w:t>kind</w:t>
      </w:r>
      <w:r w:rsidR="00977534">
        <w:rPr>
          <w:bCs/>
        </w:rPr>
        <w:t>s</w:t>
      </w:r>
      <w:r w:rsidRPr="00BB5DED">
        <w:rPr>
          <w:bCs/>
        </w:rPr>
        <w:t xml:space="preserve">, </w:t>
      </w:r>
      <w:r w:rsidR="00977534">
        <w:rPr>
          <w:bCs/>
        </w:rPr>
        <w:t xml:space="preserve">and </w:t>
      </w:r>
      <w:r w:rsidRPr="00BB5DED">
        <w:rPr>
          <w:bCs/>
        </w:rPr>
        <w:t xml:space="preserve">unfavourable working conditions. </w:t>
      </w:r>
    </w:p>
    <w:p w14:paraId="6E6A6073" w14:textId="77777777"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jc w:val="both"/>
        <w:textAlignment w:val="auto"/>
        <w:rPr>
          <w:bCs/>
        </w:rPr>
      </w:pPr>
      <w:r w:rsidRPr="00BB5DED">
        <w:rPr>
          <w:bCs/>
        </w:rPr>
        <w:t>Key highlights:</w:t>
      </w:r>
    </w:p>
    <w:p w14:paraId="0203170A" w14:textId="4A335F92"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1.</w:t>
      </w:r>
      <w:r w:rsidRPr="00BB5DED">
        <w:rPr>
          <w:bCs/>
        </w:rPr>
        <w:tab/>
      </w:r>
      <w:r w:rsidR="00E97F20" w:rsidRPr="00BB5DED">
        <w:rPr>
          <w:bCs/>
        </w:rPr>
        <w:t>A d</w:t>
      </w:r>
      <w:r w:rsidRPr="00BB5DED">
        <w:rPr>
          <w:bCs/>
        </w:rPr>
        <w:t xml:space="preserve">raft ITU mental health and well-being strategy </w:t>
      </w:r>
      <w:r w:rsidR="00E97F20" w:rsidRPr="00BB5DED">
        <w:rPr>
          <w:bCs/>
        </w:rPr>
        <w:t>will</w:t>
      </w:r>
      <w:r w:rsidRPr="00BB5DED">
        <w:rPr>
          <w:bCs/>
        </w:rPr>
        <w:t xml:space="preserve"> be finalized in 2023.</w:t>
      </w:r>
    </w:p>
    <w:p w14:paraId="4B978677" w14:textId="747C6CD4"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pPr>
      <w:r w:rsidRPr="00BB5DED">
        <w:t>2.</w:t>
      </w:r>
      <w:r w:rsidRPr="00BB5DED">
        <w:tab/>
      </w:r>
      <w:r w:rsidR="00E97F20" w:rsidRPr="00BB5DED">
        <w:t xml:space="preserve">Twelve </w:t>
      </w:r>
      <w:r w:rsidRPr="00BB5DED">
        <w:t xml:space="preserve">outreach awareness sessions </w:t>
      </w:r>
      <w:r w:rsidR="00977534">
        <w:t xml:space="preserve">were </w:t>
      </w:r>
      <w:r w:rsidRPr="00BB5DED">
        <w:t>led by the Staff Counsellor, focusing on prevention and support.</w:t>
      </w:r>
    </w:p>
    <w:p w14:paraId="0F0E670A" w14:textId="0B370FC8"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3.</w:t>
      </w:r>
      <w:r w:rsidRPr="00BB5DED">
        <w:rPr>
          <w:bCs/>
        </w:rPr>
        <w:tab/>
        <w:t xml:space="preserve">Service Order 22/03 </w:t>
      </w:r>
      <w:r w:rsidR="00192E57" w:rsidRPr="00BB5DED">
        <w:rPr>
          <w:bCs/>
        </w:rPr>
        <w:t xml:space="preserve">was issued </w:t>
      </w:r>
      <w:r w:rsidR="00192E57">
        <w:rPr>
          <w:bCs/>
        </w:rPr>
        <w:t xml:space="preserve">setting out </w:t>
      </w:r>
      <w:r w:rsidRPr="00BB5DED">
        <w:rPr>
          <w:bCs/>
        </w:rPr>
        <w:t xml:space="preserve">ITU's </w:t>
      </w:r>
      <w:r w:rsidR="00E5613F">
        <w:rPr>
          <w:bCs/>
        </w:rPr>
        <w:t>p</w:t>
      </w:r>
      <w:r w:rsidRPr="00BB5DED">
        <w:rPr>
          <w:bCs/>
        </w:rPr>
        <w:t xml:space="preserve">olicy </w:t>
      </w:r>
      <w:r w:rsidR="00192E57">
        <w:rPr>
          <w:bCs/>
        </w:rPr>
        <w:t xml:space="preserve">on </w:t>
      </w:r>
      <w:r w:rsidR="00E5613F">
        <w:rPr>
          <w:bCs/>
        </w:rPr>
        <w:t>h</w:t>
      </w:r>
      <w:r w:rsidRPr="00BB5DED">
        <w:rPr>
          <w:bCs/>
        </w:rPr>
        <w:t xml:space="preserve">arassment, including sexual harassment, </w:t>
      </w:r>
      <w:r w:rsidR="00E5613F">
        <w:rPr>
          <w:bCs/>
        </w:rPr>
        <w:t>a</w:t>
      </w:r>
      <w:r w:rsidRPr="00BB5DED">
        <w:rPr>
          <w:bCs/>
        </w:rPr>
        <w:t xml:space="preserve">buse of </w:t>
      </w:r>
      <w:r w:rsidR="00E5613F">
        <w:rPr>
          <w:bCs/>
        </w:rPr>
        <w:t>a</w:t>
      </w:r>
      <w:r w:rsidRPr="00BB5DED">
        <w:rPr>
          <w:bCs/>
        </w:rPr>
        <w:t xml:space="preserve">uthority, and </w:t>
      </w:r>
      <w:r w:rsidR="00E5613F">
        <w:rPr>
          <w:bCs/>
        </w:rPr>
        <w:t>d</w:t>
      </w:r>
      <w:r w:rsidRPr="00BB5DED">
        <w:rPr>
          <w:bCs/>
        </w:rPr>
        <w:t>iscrimination.</w:t>
      </w:r>
    </w:p>
    <w:p w14:paraId="3693B304" w14:textId="3C3419D1"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pPr>
      <w:r w:rsidRPr="00BB5DED">
        <w:t>4.</w:t>
      </w:r>
      <w:r w:rsidRPr="00BB5DED">
        <w:tab/>
      </w:r>
      <w:r w:rsidR="00E97F20" w:rsidRPr="00BB5DED">
        <w:t>A</w:t>
      </w:r>
      <w:r w:rsidRPr="00BB5DED">
        <w:t xml:space="preserve"> new parental leave entitlement</w:t>
      </w:r>
      <w:r w:rsidR="00192E57" w:rsidRPr="00192E57">
        <w:t xml:space="preserve"> </w:t>
      </w:r>
      <w:r w:rsidR="00192E57" w:rsidRPr="00BB5DED">
        <w:t>has been implemented</w:t>
      </w:r>
      <w:r w:rsidRPr="00BB5DED">
        <w:t>, increas</w:t>
      </w:r>
      <w:r w:rsidR="008313A7">
        <w:t>ing</w:t>
      </w:r>
      <w:r w:rsidRPr="00BB5DED">
        <w:t xml:space="preserve"> the amount of leave available to all parents and provid</w:t>
      </w:r>
      <w:r w:rsidR="008313A7">
        <w:t>ing</w:t>
      </w:r>
      <w:r w:rsidRPr="00BB5DED">
        <w:t xml:space="preserve"> greater flexibility in how staff may take leave within the first year following a child's birth or adoption</w:t>
      </w:r>
      <w:r w:rsidR="00E97F20" w:rsidRPr="00BB5DED">
        <w:t xml:space="preserve"> </w:t>
      </w:r>
      <w:r w:rsidR="00354465" w:rsidRPr="00BB5DED">
        <w:t xml:space="preserve">(in accordance with Resolution </w:t>
      </w:r>
      <w:r w:rsidR="00354465" w:rsidRPr="00BB5DED">
        <w:lastRenderedPageBreak/>
        <w:t xml:space="preserve">A/RES/77/256 A–B </w:t>
      </w:r>
      <w:r w:rsidR="001408D8" w:rsidRPr="00BB5DED">
        <w:t xml:space="preserve">of the General Assembly </w:t>
      </w:r>
      <w:r w:rsidR="007D5563" w:rsidRPr="00BB5DED">
        <w:t xml:space="preserve">of the United Nations </w:t>
      </w:r>
      <w:r w:rsidR="00354465" w:rsidRPr="00BB5DED">
        <w:t>on the new parental leave framework and on the basis of recommendations from the International Civil Service Commission)</w:t>
      </w:r>
      <w:r w:rsidRPr="00BB5DED">
        <w:t>.</w:t>
      </w:r>
    </w:p>
    <w:p w14:paraId="5B4765C3" w14:textId="7AC4D022"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5.</w:t>
      </w:r>
      <w:r w:rsidRPr="00BB5DED">
        <w:rPr>
          <w:bCs/>
        </w:rPr>
        <w:tab/>
      </w:r>
      <w:r w:rsidR="00E97F20" w:rsidRPr="00BB5DED">
        <w:rPr>
          <w:bCs/>
        </w:rPr>
        <w:t>A</w:t>
      </w:r>
      <w:r w:rsidRPr="00BB5DED">
        <w:rPr>
          <w:bCs/>
        </w:rPr>
        <w:t xml:space="preserve"> new policy on </w:t>
      </w:r>
      <w:r w:rsidR="008313A7">
        <w:rPr>
          <w:bCs/>
        </w:rPr>
        <w:t>f</w:t>
      </w:r>
      <w:r w:rsidRPr="00BB5DED">
        <w:rPr>
          <w:bCs/>
        </w:rPr>
        <w:t xml:space="preserve">lexible </w:t>
      </w:r>
      <w:r w:rsidR="008313A7">
        <w:rPr>
          <w:bCs/>
        </w:rPr>
        <w:t>w</w:t>
      </w:r>
      <w:r w:rsidRPr="00BB5DED">
        <w:rPr>
          <w:bCs/>
        </w:rPr>
        <w:t xml:space="preserve">orking </w:t>
      </w:r>
      <w:r w:rsidR="008313A7">
        <w:rPr>
          <w:bCs/>
        </w:rPr>
        <w:t>a</w:t>
      </w:r>
      <w:r w:rsidRPr="00BB5DED">
        <w:rPr>
          <w:bCs/>
        </w:rPr>
        <w:t xml:space="preserve">rrangements </w:t>
      </w:r>
      <w:r w:rsidR="00E97F20" w:rsidRPr="00BB5DED">
        <w:rPr>
          <w:bCs/>
        </w:rPr>
        <w:t xml:space="preserve">will be issued </w:t>
      </w:r>
      <w:r w:rsidRPr="00BB5DED">
        <w:rPr>
          <w:bCs/>
        </w:rPr>
        <w:t>in mid-2023.</w:t>
      </w:r>
    </w:p>
    <w:p w14:paraId="5D17C45A" w14:textId="2C1EE78E"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6.</w:t>
      </w:r>
      <w:r w:rsidRPr="00BB5DED">
        <w:rPr>
          <w:bCs/>
        </w:rPr>
        <w:tab/>
        <w:t>An online system (</w:t>
      </w:r>
      <w:r w:rsidR="008313A7">
        <w:rPr>
          <w:bCs/>
        </w:rPr>
        <w:t xml:space="preserve">using </w:t>
      </w:r>
      <w:r w:rsidR="004223C7">
        <w:rPr>
          <w:bCs/>
        </w:rPr>
        <w:t>P</w:t>
      </w:r>
      <w:r w:rsidRPr="00BB5DED">
        <w:rPr>
          <w:bCs/>
        </w:rPr>
        <w:t xml:space="preserve">ower BI) has been developed </w:t>
      </w:r>
      <w:r w:rsidR="006B7B15">
        <w:rPr>
          <w:bCs/>
        </w:rPr>
        <w:t xml:space="preserve">to give </w:t>
      </w:r>
      <w:r w:rsidRPr="00BB5DED">
        <w:rPr>
          <w:bCs/>
        </w:rPr>
        <w:t>an overview of sick leave data.</w:t>
      </w:r>
    </w:p>
    <w:p w14:paraId="73D49AB7" w14:textId="0BB13BDA"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pPr>
      <w:r w:rsidRPr="00BB5DED">
        <w:t>7.</w:t>
      </w:r>
      <w:r w:rsidRPr="00BB5DED">
        <w:tab/>
      </w:r>
      <w:r w:rsidR="008246A3">
        <w:t xml:space="preserve">ITU participated in </w:t>
      </w:r>
      <w:r w:rsidR="004B6ABD">
        <w:t xml:space="preserve">the </w:t>
      </w:r>
      <w:r w:rsidR="00830E01">
        <w:t>United Nations</w:t>
      </w:r>
      <w:r w:rsidR="00892A0F">
        <w:t>-wide</w:t>
      </w:r>
      <w:r w:rsidR="00830E01">
        <w:t xml:space="preserve"> </w:t>
      </w:r>
      <w:r w:rsidR="00AF4C20">
        <w:t>h</w:t>
      </w:r>
      <w:r w:rsidRPr="00BB5DED">
        <w:t xml:space="preserve">ealth and </w:t>
      </w:r>
      <w:r w:rsidR="00AF4C20">
        <w:t>w</w:t>
      </w:r>
      <w:r w:rsidRPr="00BB5DED">
        <w:t>ell</w:t>
      </w:r>
      <w:r w:rsidR="00AF4C20">
        <w:t>-</w:t>
      </w:r>
      <w:r w:rsidRPr="00BB5DED">
        <w:t xml:space="preserve">being </w:t>
      </w:r>
      <w:r w:rsidR="00AF4C20">
        <w:t>s</w:t>
      </w:r>
      <w:r w:rsidRPr="00BB5DED">
        <w:t>urvey</w:t>
      </w:r>
      <w:r w:rsidR="00B55B5C">
        <w:t xml:space="preserve"> which sought </w:t>
      </w:r>
      <w:r w:rsidRPr="00BB5DED">
        <w:t xml:space="preserve">input from all staff on </w:t>
      </w:r>
      <w:r w:rsidR="00B55B5C">
        <w:t xml:space="preserve">their overall </w:t>
      </w:r>
      <w:r w:rsidRPr="00BB5DED">
        <w:t>health and well</w:t>
      </w:r>
      <w:r w:rsidR="00AF4C20">
        <w:t>-</w:t>
      </w:r>
      <w:r w:rsidRPr="00BB5DED">
        <w:t xml:space="preserve">being, </w:t>
      </w:r>
      <w:r w:rsidR="00B55B5C">
        <w:t xml:space="preserve">but also </w:t>
      </w:r>
      <w:r w:rsidRPr="00BB5DED">
        <w:t xml:space="preserve">the impact of the </w:t>
      </w:r>
      <w:r w:rsidR="00AF4C20">
        <w:t xml:space="preserve">COVID-19 </w:t>
      </w:r>
      <w:r w:rsidRPr="00BB5DED">
        <w:t>pandemic and work</w:t>
      </w:r>
      <w:r w:rsidR="00011B09">
        <w:t xml:space="preserve">ing from home. The survey </w:t>
      </w:r>
      <w:r w:rsidR="00B55B5C">
        <w:t xml:space="preserve">collected </w:t>
      </w:r>
      <w:r w:rsidR="00C56CC1">
        <w:t xml:space="preserve">information on </w:t>
      </w:r>
      <w:r w:rsidRPr="00BB5DED">
        <w:t>demographic</w:t>
      </w:r>
      <w:r w:rsidR="00C56CC1">
        <w:t>s</w:t>
      </w:r>
      <w:r w:rsidRPr="00BB5DED">
        <w:t xml:space="preserve">, employment </w:t>
      </w:r>
      <w:r w:rsidR="00C56CC1">
        <w:t>status</w:t>
      </w:r>
      <w:r w:rsidRPr="00BB5DED">
        <w:t xml:space="preserve">, </w:t>
      </w:r>
      <w:r w:rsidR="00C56CC1">
        <w:t xml:space="preserve">the </w:t>
      </w:r>
      <w:r w:rsidR="00F8693F">
        <w:t>COVID</w:t>
      </w:r>
      <w:r w:rsidRPr="00BB5DED">
        <w:t>-19 pandemic impact, physical health, mental health, domestic abuse, work environment, perception of health, and plans for improving health.</w:t>
      </w:r>
    </w:p>
    <w:p w14:paraId="3E405F82" w14:textId="2B72CF9E" w:rsidR="000C56E7"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8.</w:t>
      </w:r>
      <w:r w:rsidRPr="00BB5DED">
        <w:rPr>
          <w:bCs/>
        </w:rPr>
        <w:tab/>
        <w:t xml:space="preserve">A cross-functional working group was established in January 2023 </w:t>
      </w:r>
      <w:proofErr w:type="gramStart"/>
      <w:r w:rsidRPr="00BB5DED">
        <w:rPr>
          <w:bCs/>
        </w:rPr>
        <w:t>to</w:t>
      </w:r>
      <w:r w:rsidR="00EA5740">
        <w:rPr>
          <w:bCs/>
        </w:rPr>
        <w:t>:</w:t>
      </w:r>
      <w:proofErr w:type="gramEnd"/>
      <w:r w:rsidRPr="00BB5DED">
        <w:rPr>
          <w:bCs/>
        </w:rPr>
        <w:t xml:space="preserve"> define the meaning and components of a victim-centred approach </w:t>
      </w:r>
      <w:r w:rsidR="00BC5CFD">
        <w:rPr>
          <w:bCs/>
        </w:rPr>
        <w:t xml:space="preserve">to </w:t>
      </w:r>
      <w:r w:rsidR="008A1C69">
        <w:rPr>
          <w:bCs/>
        </w:rPr>
        <w:t xml:space="preserve">tackling sexual harassment at </w:t>
      </w:r>
      <w:r w:rsidRPr="00BB5DED">
        <w:rPr>
          <w:bCs/>
        </w:rPr>
        <w:t>ITU; design a consistent</w:t>
      </w:r>
      <w:r w:rsidR="007925D1">
        <w:rPr>
          <w:bCs/>
        </w:rPr>
        <w:t>,</w:t>
      </w:r>
      <w:r w:rsidRPr="00BB5DED">
        <w:rPr>
          <w:bCs/>
        </w:rPr>
        <w:t xml:space="preserve"> coherent</w:t>
      </w:r>
      <w:r w:rsidR="007925D1">
        <w:rPr>
          <w:bCs/>
        </w:rPr>
        <w:t>, fit-for-purpose</w:t>
      </w:r>
      <w:r w:rsidRPr="00BB5DED">
        <w:rPr>
          <w:bCs/>
        </w:rPr>
        <w:t xml:space="preserve"> approach; revise existing policies accordingly; and develop a </w:t>
      </w:r>
      <w:r w:rsidR="008A1C69">
        <w:rPr>
          <w:bCs/>
        </w:rPr>
        <w:t xml:space="preserve">staff </w:t>
      </w:r>
      <w:r w:rsidRPr="00BB5DED">
        <w:rPr>
          <w:bCs/>
        </w:rPr>
        <w:t>training and outreach program</w:t>
      </w:r>
      <w:r w:rsidR="008A1C69">
        <w:rPr>
          <w:bCs/>
        </w:rPr>
        <w:t>me</w:t>
      </w:r>
      <w:r w:rsidRPr="00BB5DED">
        <w:rPr>
          <w:bCs/>
        </w:rPr>
        <w:t xml:space="preserve"> on </w:t>
      </w:r>
      <w:r w:rsidR="008A1C69">
        <w:rPr>
          <w:bCs/>
        </w:rPr>
        <w:t xml:space="preserve">the </w:t>
      </w:r>
      <w:r w:rsidR="00EA63C2">
        <w:rPr>
          <w:bCs/>
        </w:rPr>
        <w:t xml:space="preserve">new </w:t>
      </w:r>
      <w:r w:rsidRPr="00BB5DED">
        <w:rPr>
          <w:bCs/>
        </w:rPr>
        <w:t>approach.</w:t>
      </w:r>
    </w:p>
    <w:p w14:paraId="16566EB5" w14:textId="192468D0" w:rsidR="00A514A4" w:rsidRPr="00BB5DED" w:rsidRDefault="000C56E7" w:rsidP="004501D0">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bCs/>
        </w:rPr>
      </w:pPr>
      <w:r w:rsidRPr="00BB5DED">
        <w:rPr>
          <w:bCs/>
        </w:rPr>
        <w:t>9.</w:t>
      </w:r>
      <w:r w:rsidRPr="00BB5DED">
        <w:rPr>
          <w:bCs/>
        </w:rPr>
        <w:tab/>
        <w:t xml:space="preserve">Guidance </w:t>
      </w:r>
      <w:r w:rsidR="00C72E60" w:rsidRPr="00BB5DED">
        <w:rPr>
          <w:bCs/>
        </w:rPr>
        <w:t xml:space="preserve">on teleworking arrangements </w:t>
      </w:r>
      <w:r w:rsidRPr="00BB5DED">
        <w:rPr>
          <w:bCs/>
        </w:rPr>
        <w:t>has been published for staff (</w:t>
      </w:r>
      <w:r w:rsidR="00C72E60">
        <w:rPr>
          <w:bCs/>
        </w:rPr>
        <w:t xml:space="preserve">including a list of </w:t>
      </w:r>
      <w:r w:rsidRPr="00BB5DED">
        <w:rPr>
          <w:bCs/>
        </w:rPr>
        <w:t xml:space="preserve">frequently asked questions) and a teleworking app has been launched to give staff and managers </w:t>
      </w:r>
      <w:r w:rsidR="00E8007D">
        <w:rPr>
          <w:bCs/>
        </w:rPr>
        <w:t xml:space="preserve">an </w:t>
      </w:r>
      <w:r w:rsidRPr="00BB5DED">
        <w:rPr>
          <w:bCs/>
        </w:rPr>
        <w:t xml:space="preserve">accurate </w:t>
      </w:r>
      <w:r w:rsidR="00717EF6">
        <w:rPr>
          <w:bCs/>
        </w:rPr>
        <w:t>overview of current teleworking status</w:t>
      </w:r>
      <w:r w:rsidRPr="00BB5DED">
        <w:rPr>
          <w:bCs/>
        </w:rPr>
        <w:t>.</w:t>
      </w:r>
    </w:p>
    <w:p w14:paraId="733D6999" w14:textId="10D2C86D" w:rsidR="004501D0" w:rsidRPr="00BB5DED" w:rsidRDefault="004501D0" w:rsidP="004501D0">
      <w:pPr>
        <w:tabs>
          <w:tab w:val="clear" w:pos="567"/>
          <w:tab w:val="clear" w:pos="1134"/>
          <w:tab w:val="clear" w:pos="1701"/>
          <w:tab w:val="clear" w:pos="2268"/>
          <w:tab w:val="clear" w:pos="2835"/>
        </w:tabs>
        <w:overflowPunct/>
        <w:autoSpaceDE/>
        <w:autoSpaceDN/>
        <w:adjustRightInd/>
        <w:spacing w:before="840" w:after="120"/>
        <w:ind w:left="567" w:hanging="567"/>
        <w:jc w:val="center"/>
        <w:textAlignment w:val="auto"/>
        <w:rPr>
          <w:bCs/>
        </w:rPr>
      </w:pPr>
      <w:r w:rsidRPr="00BB5DED">
        <w:rPr>
          <w:bCs/>
        </w:rPr>
        <w:t>_________________</w:t>
      </w:r>
    </w:p>
    <w:sectPr w:rsidR="004501D0" w:rsidRPr="00BB5DED"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ADB9" w14:textId="77777777" w:rsidR="00484A03" w:rsidRDefault="00484A03">
      <w:r>
        <w:separator/>
      </w:r>
    </w:p>
  </w:endnote>
  <w:endnote w:type="continuationSeparator" w:id="0">
    <w:p w14:paraId="392926A6" w14:textId="77777777" w:rsidR="00484A03" w:rsidRDefault="0048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0504B539" w:rsidR="00EE49E8" w:rsidRDefault="00EE49E8" w:rsidP="00EE49E8">
          <w:pPr>
            <w:pStyle w:val="Header"/>
            <w:jc w:val="left"/>
            <w:rPr>
              <w:noProof/>
            </w:rPr>
          </w:pPr>
          <w:r>
            <w:rPr>
              <w:noProof/>
            </w:rPr>
            <w:t xml:space="preserve">DPS </w:t>
          </w:r>
          <w:r w:rsidR="008C7DFE">
            <w:rPr>
              <w:noProof/>
            </w:rPr>
            <w:t>521089</w:t>
          </w:r>
        </w:p>
      </w:tc>
      <w:tc>
        <w:tcPr>
          <w:tcW w:w="8261" w:type="dxa"/>
        </w:tcPr>
        <w:p w14:paraId="35709C74" w14:textId="4D0829B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8C7DFE">
            <w:rPr>
              <w:bCs/>
            </w:rPr>
            <w:t>55</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434CEA"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7EF8033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8C7DFE">
            <w:rPr>
              <w:bCs/>
            </w:rPr>
            <w:t>55</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BEBE5" w14:textId="77777777" w:rsidR="00484A03" w:rsidRDefault="00484A03">
      <w:r>
        <w:t>____________________</w:t>
      </w:r>
    </w:p>
  </w:footnote>
  <w:footnote w:type="continuationSeparator" w:id="0">
    <w:p w14:paraId="722AA3E0" w14:textId="77777777" w:rsidR="00484A03" w:rsidRDefault="00484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E7CD4"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4F0C8E"/>
    <w:multiLevelType w:val="hybridMultilevel"/>
    <w:tmpl w:val="9D8C86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341718"/>
    <w:multiLevelType w:val="hybridMultilevel"/>
    <w:tmpl w:val="9D8C86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2303D2"/>
    <w:multiLevelType w:val="hybridMultilevel"/>
    <w:tmpl w:val="9D8C86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8D6060"/>
    <w:multiLevelType w:val="hybridMultilevel"/>
    <w:tmpl w:val="9D8C86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4816267">
    <w:abstractNumId w:val="0"/>
  </w:num>
  <w:num w:numId="2" w16cid:durableId="1489857732">
    <w:abstractNumId w:val="3"/>
  </w:num>
  <w:num w:numId="3" w16cid:durableId="1966958804">
    <w:abstractNumId w:val="2"/>
  </w:num>
  <w:num w:numId="4" w16cid:durableId="1291592443">
    <w:abstractNumId w:val="1"/>
  </w:num>
  <w:num w:numId="5" w16cid:durableId="894240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NjQ3M7EwMzOwtDBR0lEKTi0uzszPAykwrAUAlSP7lSwAAAA="/>
  </w:docVars>
  <w:rsids>
    <w:rsidRoot w:val="00A54171"/>
    <w:rsid w:val="00011B09"/>
    <w:rsid w:val="000210D4"/>
    <w:rsid w:val="0002363B"/>
    <w:rsid w:val="000331DB"/>
    <w:rsid w:val="00033302"/>
    <w:rsid w:val="000355D7"/>
    <w:rsid w:val="00035655"/>
    <w:rsid w:val="00053361"/>
    <w:rsid w:val="00055F64"/>
    <w:rsid w:val="000578EE"/>
    <w:rsid w:val="00063016"/>
    <w:rsid w:val="00066795"/>
    <w:rsid w:val="00076AF6"/>
    <w:rsid w:val="00085CF2"/>
    <w:rsid w:val="0009327D"/>
    <w:rsid w:val="000A6057"/>
    <w:rsid w:val="000A621D"/>
    <w:rsid w:val="000B1705"/>
    <w:rsid w:val="000C56E7"/>
    <w:rsid w:val="000D75B2"/>
    <w:rsid w:val="000E6763"/>
    <w:rsid w:val="000F168A"/>
    <w:rsid w:val="000F3725"/>
    <w:rsid w:val="000F4DF9"/>
    <w:rsid w:val="00100109"/>
    <w:rsid w:val="001021FC"/>
    <w:rsid w:val="001121F5"/>
    <w:rsid w:val="00122963"/>
    <w:rsid w:val="00125A93"/>
    <w:rsid w:val="001400DC"/>
    <w:rsid w:val="001408D8"/>
    <w:rsid w:val="00140CE1"/>
    <w:rsid w:val="001445FB"/>
    <w:rsid w:val="00152827"/>
    <w:rsid w:val="0016480E"/>
    <w:rsid w:val="0017539C"/>
    <w:rsid w:val="00175AC2"/>
    <w:rsid w:val="0017609F"/>
    <w:rsid w:val="0017624E"/>
    <w:rsid w:val="00192E57"/>
    <w:rsid w:val="001A7D1D"/>
    <w:rsid w:val="001B0E05"/>
    <w:rsid w:val="001B4AA4"/>
    <w:rsid w:val="001B51DD"/>
    <w:rsid w:val="001C1076"/>
    <w:rsid w:val="001C2B16"/>
    <w:rsid w:val="001C628E"/>
    <w:rsid w:val="001E0F7B"/>
    <w:rsid w:val="001E5506"/>
    <w:rsid w:val="001E6374"/>
    <w:rsid w:val="002119FD"/>
    <w:rsid w:val="002130E0"/>
    <w:rsid w:val="00225793"/>
    <w:rsid w:val="00226DDE"/>
    <w:rsid w:val="002336EC"/>
    <w:rsid w:val="00264425"/>
    <w:rsid w:val="00265875"/>
    <w:rsid w:val="0027303B"/>
    <w:rsid w:val="0028109B"/>
    <w:rsid w:val="002975FD"/>
    <w:rsid w:val="002A20AF"/>
    <w:rsid w:val="002A2188"/>
    <w:rsid w:val="002B1F58"/>
    <w:rsid w:val="002C1C7A"/>
    <w:rsid w:val="002C54E2"/>
    <w:rsid w:val="002C5BAD"/>
    <w:rsid w:val="0030160F"/>
    <w:rsid w:val="00320223"/>
    <w:rsid w:val="00322D0D"/>
    <w:rsid w:val="00354465"/>
    <w:rsid w:val="00354E59"/>
    <w:rsid w:val="003610E2"/>
    <w:rsid w:val="00361465"/>
    <w:rsid w:val="00363AAD"/>
    <w:rsid w:val="00386E81"/>
    <w:rsid w:val="003877F5"/>
    <w:rsid w:val="003901BB"/>
    <w:rsid w:val="00390EAF"/>
    <w:rsid w:val="0039218A"/>
    <w:rsid w:val="003942D4"/>
    <w:rsid w:val="003955A5"/>
    <w:rsid w:val="003958A8"/>
    <w:rsid w:val="003B4DE8"/>
    <w:rsid w:val="003C2533"/>
    <w:rsid w:val="003D5A7F"/>
    <w:rsid w:val="003E5C82"/>
    <w:rsid w:val="0040435A"/>
    <w:rsid w:val="00416A24"/>
    <w:rsid w:val="004223C7"/>
    <w:rsid w:val="00431D9E"/>
    <w:rsid w:val="00433CE8"/>
    <w:rsid w:val="00434A5C"/>
    <w:rsid w:val="00434CEA"/>
    <w:rsid w:val="004501D0"/>
    <w:rsid w:val="004544D9"/>
    <w:rsid w:val="004556E6"/>
    <w:rsid w:val="00456294"/>
    <w:rsid w:val="00464201"/>
    <w:rsid w:val="00472BAD"/>
    <w:rsid w:val="00484009"/>
    <w:rsid w:val="00484A03"/>
    <w:rsid w:val="00490E72"/>
    <w:rsid w:val="00491157"/>
    <w:rsid w:val="004921C8"/>
    <w:rsid w:val="00495B0B"/>
    <w:rsid w:val="004A1B8B"/>
    <w:rsid w:val="004B6ABD"/>
    <w:rsid w:val="004C1553"/>
    <w:rsid w:val="004C5829"/>
    <w:rsid w:val="004D1851"/>
    <w:rsid w:val="004D599D"/>
    <w:rsid w:val="004E2EA5"/>
    <w:rsid w:val="004E3AEB"/>
    <w:rsid w:val="005017F9"/>
    <w:rsid w:val="0050223C"/>
    <w:rsid w:val="005243FF"/>
    <w:rsid w:val="00564FBC"/>
    <w:rsid w:val="0056730D"/>
    <w:rsid w:val="005800BC"/>
    <w:rsid w:val="00580886"/>
    <w:rsid w:val="005810F2"/>
    <w:rsid w:val="00582442"/>
    <w:rsid w:val="005A47B0"/>
    <w:rsid w:val="005F3269"/>
    <w:rsid w:val="00613130"/>
    <w:rsid w:val="00623AE3"/>
    <w:rsid w:val="0064737F"/>
    <w:rsid w:val="006535F1"/>
    <w:rsid w:val="0065557D"/>
    <w:rsid w:val="00660D50"/>
    <w:rsid w:val="00662984"/>
    <w:rsid w:val="0066686E"/>
    <w:rsid w:val="006716BB"/>
    <w:rsid w:val="006922A7"/>
    <w:rsid w:val="006B1859"/>
    <w:rsid w:val="006B6680"/>
    <w:rsid w:val="006B6DCC"/>
    <w:rsid w:val="006B7B15"/>
    <w:rsid w:val="006E6344"/>
    <w:rsid w:val="006F7389"/>
    <w:rsid w:val="00702DEF"/>
    <w:rsid w:val="00705960"/>
    <w:rsid w:val="00706861"/>
    <w:rsid w:val="00715AC9"/>
    <w:rsid w:val="00717EF6"/>
    <w:rsid w:val="00722F5F"/>
    <w:rsid w:val="0075051B"/>
    <w:rsid w:val="00781AE9"/>
    <w:rsid w:val="007925D1"/>
    <w:rsid w:val="00793188"/>
    <w:rsid w:val="00794D34"/>
    <w:rsid w:val="007A7A95"/>
    <w:rsid w:val="007C129F"/>
    <w:rsid w:val="007D5563"/>
    <w:rsid w:val="007E0D1E"/>
    <w:rsid w:val="00813E5E"/>
    <w:rsid w:val="008150D1"/>
    <w:rsid w:val="008246A3"/>
    <w:rsid w:val="00830E01"/>
    <w:rsid w:val="008313A7"/>
    <w:rsid w:val="0083581B"/>
    <w:rsid w:val="00836C54"/>
    <w:rsid w:val="008473C8"/>
    <w:rsid w:val="00847DD2"/>
    <w:rsid w:val="00863874"/>
    <w:rsid w:val="00864AFF"/>
    <w:rsid w:val="00865925"/>
    <w:rsid w:val="00892A0F"/>
    <w:rsid w:val="008A1C69"/>
    <w:rsid w:val="008B3B68"/>
    <w:rsid w:val="008B4A6A"/>
    <w:rsid w:val="008C13A0"/>
    <w:rsid w:val="008C6897"/>
    <w:rsid w:val="008C7DFE"/>
    <w:rsid w:val="008C7E27"/>
    <w:rsid w:val="008D2024"/>
    <w:rsid w:val="008F7448"/>
    <w:rsid w:val="0090147A"/>
    <w:rsid w:val="009173EF"/>
    <w:rsid w:val="00917862"/>
    <w:rsid w:val="00932906"/>
    <w:rsid w:val="00954895"/>
    <w:rsid w:val="00961B0B"/>
    <w:rsid w:val="00977534"/>
    <w:rsid w:val="009B1DF0"/>
    <w:rsid w:val="009B38C3"/>
    <w:rsid w:val="009C1841"/>
    <w:rsid w:val="009E17BD"/>
    <w:rsid w:val="009E485A"/>
    <w:rsid w:val="00A04CEC"/>
    <w:rsid w:val="00A1263B"/>
    <w:rsid w:val="00A27F92"/>
    <w:rsid w:val="00A32257"/>
    <w:rsid w:val="00A36D20"/>
    <w:rsid w:val="00A44716"/>
    <w:rsid w:val="00A514A4"/>
    <w:rsid w:val="00A54171"/>
    <w:rsid w:val="00A55622"/>
    <w:rsid w:val="00A614DE"/>
    <w:rsid w:val="00A619CE"/>
    <w:rsid w:val="00A6341C"/>
    <w:rsid w:val="00A657A0"/>
    <w:rsid w:val="00A83502"/>
    <w:rsid w:val="00A920B7"/>
    <w:rsid w:val="00A96E3F"/>
    <w:rsid w:val="00AD15B3"/>
    <w:rsid w:val="00AD3606"/>
    <w:rsid w:val="00AD4A3D"/>
    <w:rsid w:val="00AE2F46"/>
    <w:rsid w:val="00AE4AAD"/>
    <w:rsid w:val="00AF0F7B"/>
    <w:rsid w:val="00AF4C20"/>
    <w:rsid w:val="00AF6E49"/>
    <w:rsid w:val="00B04A67"/>
    <w:rsid w:val="00B0583C"/>
    <w:rsid w:val="00B146DD"/>
    <w:rsid w:val="00B2055A"/>
    <w:rsid w:val="00B21014"/>
    <w:rsid w:val="00B322AC"/>
    <w:rsid w:val="00B40A81"/>
    <w:rsid w:val="00B44910"/>
    <w:rsid w:val="00B55B5C"/>
    <w:rsid w:val="00B569A8"/>
    <w:rsid w:val="00B63E0D"/>
    <w:rsid w:val="00B72267"/>
    <w:rsid w:val="00B76EB6"/>
    <w:rsid w:val="00B7737B"/>
    <w:rsid w:val="00B824C8"/>
    <w:rsid w:val="00B84B9D"/>
    <w:rsid w:val="00BB0CE0"/>
    <w:rsid w:val="00BB5DED"/>
    <w:rsid w:val="00BC251A"/>
    <w:rsid w:val="00BC5CFD"/>
    <w:rsid w:val="00BD032B"/>
    <w:rsid w:val="00BE2640"/>
    <w:rsid w:val="00BE2DDE"/>
    <w:rsid w:val="00BF361E"/>
    <w:rsid w:val="00C01189"/>
    <w:rsid w:val="00C04449"/>
    <w:rsid w:val="00C17A62"/>
    <w:rsid w:val="00C22D3E"/>
    <w:rsid w:val="00C374DE"/>
    <w:rsid w:val="00C41D7A"/>
    <w:rsid w:val="00C47AD4"/>
    <w:rsid w:val="00C50FDC"/>
    <w:rsid w:val="00C50FE3"/>
    <w:rsid w:val="00C52D81"/>
    <w:rsid w:val="00C55198"/>
    <w:rsid w:val="00C56CC1"/>
    <w:rsid w:val="00C72E60"/>
    <w:rsid w:val="00C73B87"/>
    <w:rsid w:val="00C746E8"/>
    <w:rsid w:val="00C774CB"/>
    <w:rsid w:val="00C933EE"/>
    <w:rsid w:val="00CA6393"/>
    <w:rsid w:val="00CB18FF"/>
    <w:rsid w:val="00CB73A8"/>
    <w:rsid w:val="00CD0C08"/>
    <w:rsid w:val="00CD53E2"/>
    <w:rsid w:val="00CE03FB"/>
    <w:rsid w:val="00CE0752"/>
    <w:rsid w:val="00CE433C"/>
    <w:rsid w:val="00CF0161"/>
    <w:rsid w:val="00CF320A"/>
    <w:rsid w:val="00CF33F3"/>
    <w:rsid w:val="00CF5156"/>
    <w:rsid w:val="00D06183"/>
    <w:rsid w:val="00D22C42"/>
    <w:rsid w:val="00D65041"/>
    <w:rsid w:val="00D66D22"/>
    <w:rsid w:val="00DB1936"/>
    <w:rsid w:val="00DB2040"/>
    <w:rsid w:val="00DB384B"/>
    <w:rsid w:val="00DB7269"/>
    <w:rsid w:val="00DC748E"/>
    <w:rsid w:val="00DD08C6"/>
    <w:rsid w:val="00DF0189"/>
    <w:rsid w:val="00E06FD5"/>
    <w:rsid w:val="00E10E80"/>
    <w:rsid w:val="00E124F0"/>
    <w:rsid w:val="00E21550"/>
    <w:rsid w:val="00E40BC5"/>
    <w:rsid w:val="00E5613F"/>
    <w:rsid w:val="00E60F04"/>
    <w:rsid w:val="00E65B24"/>
    <w:rsid w:val="00E8007D"/>
    <w:rsid w:val="00E854E4"/>
    <w:rsid w:val="00E86DBF"/>
    <w:rsid w:val="00E96B17"/>
    <w:rsid w:val="00E96C38"/>
    <w:rsid w:val="00E97F20"/>
    <w:rsid w:val="00EA3C33"/>
    <w:rsid w:val="00EA5740"/>
    <w:rsid w:val="00EA63C2"/>
    <w:rsid w:val="00EB0D6F"/>
    <w:rsid w:val="00EB2232"/>
    <w:rsid w:val="00EC0DD1"/>
    <w:rsid w:val="00EC5337"/>
    <w:rsid w:val="00ED7720"/>
    <w:rsid w:val="00EE49E8"/>
    <w:rsid w:val="00EE56E4"/>
    <w:rsid w:val="00F0200D"/>
    <w:rsid w:val="00F16BAB"/>
    <w:rsid w:val="00F2150A"/>
    <w:rsid w:val="00F231D8"/>
    <w:rsid w:val="00F2620D"/>
    <w:rsid w:val="00F35872"/>
    <w:rsid w:val="00F36233"/>
    <w:rsid w:val="00F44C00"/>
    <w:rsid w:val="00F46C5F"/>
    <w:rsid w:val="00F53B68"/>
    <w:rsid w:val="00F632C0"/>
    <w:rsid w:val="00F8693F"/>
    <w:rsid w:val="00F94A63"/>
    <w:rsid w:val="00FA1C28"/>
    <w:rsid w:val="00FB0734"/>
    <w:rsid w:val="00FB1279"/>
    <w:rsid w:val="00FB1D99"/>
    <w:rsid w:val="00FB6B76"/>
    <w:rsid w:val="00FB7596"/>
    <w:rsid w:val="00FC5DBF"/>
    <w:rsid w:val="00FE4077"/>
    <w:rsid w:val="00FE77D2"/>
    <w:rsid w:val="01D87022"/>
    <w:rsid w:val="05BEDCE8"/>
    <w:rsid w:val="08F67DAA"/>
    <w:rsid w:val="0EC3E0BE"/>
    <w:rsid w:val="0F156364"/>
    <w:rsid w:val="195ACC57"/>
    <w:rsid w:val="202BFFC8"/>
    <w:rsid w:val="20508941"/>
    <w:rsid w:val="21F3B57A"/>
    <w:rsid w:val="238E1E50"/>
    <w:rsid w:val="242523B8"/>
    <w:rsid w:val="26F97092"/>
    <w:rsid w:val="2BDE2724"/>
    <w:rsid w:val="2C08C313"/>
    <w:rsid w:val="2C453F80"/>
    <w:rsid w:val="2DB2DDA1"/>
    <w:rsid w:val="3161933B"/>
    <w:rsid w:val="31FC24A4"/>
    <w:rsid w:val="3EBCC45E"/>
    <w:rsid w:val="4E43D046"/>
    <w:rsid w:val="5635B9CE"/>
    <w:rsid w:val="64838E4D"/>
    <w:rsid w:val="70C76627"/>
    <w:rsid w:val="7F6D9E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336EC"/>
    <w:pPr>
      <w:framePr w:hSpace="180" w:wrap="around" w:vAnchor="page" w:hAnchor="page" w:x="1821" w:y="2317"/>
      <w:spacing w:before="2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pPr>
    <w:rPr>
      <w:b w:val="0"/>
    </w:rPr>
  </w:style>
  <w:style w:type="paragraph" w:customStyle="1" w:styleId="Title2">
    <w:name w:val="Title 2"/>
    <w:basedOn w:val="Source"/>
    <w:next w:val="Title3"/>
    <w:rsid w:val="00813E5E"/>
    <w:pPr>
      <w:framePr w:wrap="around"/>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2336EC"/>
    <w:rPr>
      <w:color w:val="605E5C"/>
      <w:shd w:val="clear" w:color="auto" w:fill="E1DFDD"/>
    </w:rPr>
  </w:style>
  <w:style w:type="paragraph" w:styleId="ListParagraph">
    <w:name w:val="List Paragraph"/>
    <w:basedOn w:val="Normal"/>
    <w:uiPriority w:val="34"/>
    <w:qFormat/>
    <w:rsid w:val="002336EC"/>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paragraph" w:styleId="Revision">
    <w:name w:val="Revision"/>
    <w:hidden/>
    <w:uiPriority w:val="99"/>
    <w:semiHidden/>
    <w:rsid w:val="00C41D7A"/>
    <w:rPr>
      <w:rFonts w:ascii="Calibri" w:hAnsi="Calibri"/>
      <w:sz w:val="24"/>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EE56E4"/>
    <w:rPr>
      <w:b/>
      <w:bCs/>
    </w:rPr>
  </w:style>
  <w:style w:type="character" w:customStyle="1" w:styleId="CommentSubjectChar">
    <w:name w:val="Comment Subject Char"/>
    <w:basedOn w:val="CommentTextChar"/>
    <w:link w:val="CommentSubject"/>
    <w:semiHidden/>
    <w:rsid w:val="00EE56E4"/>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CL-INF-0006/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1-CL-C-0054/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0-CL-C-0054/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048-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4" ma:contentTypeDescription="Create a new document." ma:contentTypeScope="" ma:versionID="90e34251fc94717518d3a4e6eccd2f18">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254a05c69358776f32ebf6508b3eb4c4"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BA096622-2DE5-4591-AF5D-682ED5F8A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A98C9-885E-4E8D-99A9-06612457E076}">
  <ds:schemaRefs>
    <ds:schemaRef ds:uri="http://schemas.microsoft.com/sharepoint/v3/contenttype/forms"/>
  </ds:schemaRefs>
</ds:datastoreItem>
</file>

<file path=customXml/itemProps4.xml><?xml version="1.0" encoding="utf-8"?>
<ds:datastoreItem xmlns:ds="http://schemas.openxmlformats.org/officeDocument/2006/customXml" ds:itemID="{A0C0098A-7321-4B36-9FF7-618A30F913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2159</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PROGRESS REPORT ON THE IMPLEMENTATION OF THE HUMAN RESOURCES STRATEGIC PLAN AND OF RESOLUTION 48 (REV. DUBAI, 2018 &amp; REV. BUCHAREST, 2022)</vt:lpstr>
    </vt:vector>
  </TitlesOfParts>
  <Manager>General Secretariat - Pool</Manager>
  <Company>International Telecommunication Union (ITU)</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ON THE IMPLEMENTATION OF THE HUMAN RESOURCES STRATEGIC PLAN AND OF RESOLUTION 48 (REV. DUBAI, 2018 &amp; REV. BUCHAREST, 2022)</dc:title>
  <dc:subject>Council 2023</dc:subject>
  <dc:creator>Pluchon, Beatrice</dc:creator>
  <cp:keywords>C2023, C23, Council-23</cp:keywords>
  <dc:description/>
  <cp:lastModifiedBy>Xue, Kun</cp:lastModifiedBy>
  <cp:revision>5</cp:revision>
  <cp:lastPrinted>2023-06-07T12:10:00Z</cp:lastPrinted>
  <dcterms:created xsi:type="dcterms:W3CDTF">2023-06-07T12:57:00Z</dcterms:created>
  <dcterms:modified xsi:type="dcterms:W3CDTF">2023-06-09T09:47:00Z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y fmtid="{D5CDD505-2E9C-101B-9397-08002B2CF9AE}" pid="9" name="GrammarlyDocumentId">
    <vt:lpwstr>9671785406c9365f299ffaeae71ddebc49c496de95a565b98b2d2294d6f3e2dd</vt:lpwstr>
  </property>
</Properties>
</file>