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D649787" w14:textId="77777777" w:rsidTr="00C538FC">
        <w:trPr>
          <w:cantSplit/>
          <w:trHeight w:val="23"/>
        </w:trPr>
        <w:tc>
          <w:tcPr>
            <w:tcW w:w="3969" w:type="dxa"/>
            <w:vMerge w:val="restart"/>
            <w:tcMar>
              <w:left w:w="0" w:type="dxa"/>
            </w:tcMar>
          </w:tcPr>
          <w:p w14:paraId="2715B8F4" w14:textId="770F8D46" w:rsidR="00FE57F6" w:rsidRPr="00E85629" w:rsidRDefault="00E01F57" w:rsidP="00C538FC">
            <w:pPr>
              <w:tabs>
                <w:tab w:val="left" w:pos="851"/>
              </w:tabs>
              <w:spacing w:before="0" w:line="240" w:lineRule="atLeast"/>
              <w:rPr>
                <w:b/>
              </w:rPr>
            </w:pPr>
            <w:bookmarkStart w:id="0" w:name="_Hlk133421839"/>
            <w:r w:rsidRPr="00E01F57">
              <w:rPr>
                <w:b/>
              </w:rPr>
              <w:t>Punto del orden del día: ADM 3</w:t>
            </w:r>
          </w:p>
        </w:tc>
        <w:tc>
          <w:tcPr>
            <w:tcW w:w="5245" w:type="dxa"/>
          </w:tcPr>
          <w:p w14:paraId="07651F0B" w14:textId="49E4D377"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E01F57">
              <w:rPr>
                <w:b/>
              </w:rPr>
              <w:t>54</w:t>
            </w:r>
            <w:r>
              <w:rPr>
                <w:b/>
              </w:rPr>
              <w:t>-</w:t>
            </w:r>
            <w:r w:rsidR="00F24B71">
              <w:rPr>
                <w:b/>
              </w:rPr>
              <w:t>S</w:t>
            </w:r>
          </w:p>
        </w:tc>
      </w:tr>
      <w:tr w:rsidR="00FE57F6" w:rsidRPr="00813E5E" w14:paraId="3D712495" w14:textId="77777777" w:rsidTr="00C538FC">
        <w:trPr>
          <w:cantSplit/>
        </w:trPr>
        <w:tc>
          <w:tcPr>
            <w:tcW w:w="3969" w:type="dxa"/>
            <w:vMerge/>
          </w:tcPr>
          <w:p w14:paraId="2715E82B" w14:textId="77777777" w:rsidR="00FE57F6" w:rsidRPr="00813E5E" w:rsidRDefault="00FE57F6" w:rsidP="00C538FC">
            <w:pPr>
              <w:tabs>
                <w:tab w:val="left" w:pos="851"/>
              </w:tabs>
              <w:spacing w:line="240" w:lineRule="atLeast"/>
              <w:rPr>
                <w:b/>
              </w:rPr>
            </w:pPr>
          </w:p>
        </w:tc>
        <w:tc>
          <w:tcPr>
            <w:tcW w:w="5245" w:type="dxa"/>
          </w:tcPr>
          <w:p w14:paraId="0E787019" w14:textId="744BD38E" w:rsidR="00FE57F6" w:rsidRPr="00E85629" w:rsidRDefault="00E01F57" w:rsidP="00C538FC">
            <w:pPr>
              <w:tabs>
                <w:tab w:val="left" w:pos="851"/>
              </w:tabs>
              <w:spacing w:before="0"/>
              <w:jc w:val="right"/>
              <w:rPr>
                <w:b/>
              </w:rPr>
            </w:pPr>
            <w:r w:rsidRPr="00E01F57">
              <w:rPr>
                <w:b/>
              </w:rPr>
              <w:t>16 de mayo de 2023</w:t>
            </w:r>
          </w:p>
        </w:tc>
      </w:tr>
      <w:tr w:rsidR="00FE57F6" w:rsidRPr="00F24B71" w14:paraId="754C15DD" w14:textId="77777777" w:rsidTr="00C538FC">
        <w:trPr>
          <w:cantSplit/>
          <w:trHeight w:val="23"/>
        </w:trPr>
        <w:tc>
          <w:tcPr>
            <w:tcW w:w="3969" w:type="dxa"/>
            <w:vMerge/>
          </w:tcPr>
          <w:p w14:paraId="38953621" w14:textId="77777777" w:rsidR="00FE57F6" w:rsidRPr="00813E5E" w:rsidRDefault="00FE57F6" w:rsidP="00C538FC">
            <w:pPr>
              <w:tabs>
                <w:tab w:val="left" w:pos="851"/>
              </w:tabs>
              <w:spacing w:line="240" w:lineRule="atLeast"/>
              <w:rPr>
                <w:b/>
              </w:rPr>
            </w:pPr>
          </w:p>
        </w:tc>
        <w:tc>
          <w:tcPr>
            <w:tcW w:w="5245" w:type="dxa"/>
          </w:tcPr>
          <w:p w14:paraId="4F4A6D33"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7B749C1F" w14:textId="77777777" w:rsidTr="00C538FC">
        <w:trPr>
          <w:cantSplit/>
          <w:trHeight w:val="23"/>
        </w:trPr>
        <w:tc>
          <w:tcPr>
            <w:tcW w:w="3969" w:type="dxa"/>
          </w:tcPr>
          <w:p w14:paraId="02EFC569" w14:textId="77777777" w:rsidR="00FE57F6" w:rsidRPr="00813E5E" w:rsidRDefault="00FE57F6" w:rsidP="00C538FC">
            <w:pPr>
              <w:tabs>
                <w:tab w:val="left" w:pos="851"/>
              </w:tabs>
              <w:spacing w:line="240" w:lineRule="atLeast"/>
              <w:rPr>
                <w:b/>
              </w:rPr>
            </w:pPr>
          </w:p>
        </w:tc>
        <w:tc>
          <w:tcPr>
            <w:tcW w:w="5245" w:type="dxa"/>
          </w:tcPr>
          <w:p w14:paraId="43750604" w14:textId="77777777" w:rsidR="00FE57F6" w:rsidRDefault="00FE57F6" w:rsidP="00C538FC">
            <w:pPr>
              <w:tabs>
                <w:tab w:val="left" w:pos="851"/>
              </w:tabs>
              <w:spacing w:before="0" w:line="240" w:lineRule="atLeast"/>
              <w:jc w:val="right"/>
              <w:rPr>
                <w:b/>
              </w:rPr>
            </w:pPr>
          </w:p>
        </w:tc>
      </w:tr>
      <w:tr w:rsidR="00FE57F6" w:rsidRPr="00FE57F6" w14:paraId="77E87D99" w14:textId="77777777" w:rsidTr="00C538FC">
        <w:trPr>
          <w:cantSplit/>
        </w:trPr>
        <w:tc>
          <w:tcPr>
            <w:tcW w:w="9214" w:type="dxa"/>
            <w:gridSpan w:val="2"/>
            <w:tcMar>
              <w:left w:w="0" w:type="dxa"/>
            </w:tcMar>
          </w:tcPr>
          <w:p w14:paraId="43964BD8" w14:textId="4893FF55" w:rsidR="00FE57F6" w:rsidRPr="00943E75" w:rsidRDefault="00F24B71" w:rsidP="00E01F57">
            <w:pPr>
              <w:pStyle w:val="Source"/>
              <w:spacing w:before="480"/>
              <w:jc w:val="left"/>
              <w:rPr>
                <w:sz w:val="34"/>
                <w:szCs w:val="34"/>
                <w:lang w:val="es-ES"/>
              </w:rPr>
            </w:pPr>
            <w:r w:rsidRPr="00C538FC">
              <w:rPr>
                <w:rFonts w:cstheme="minorHAnsi"/>
                <w:sz w:val="34"/>
                <w:szCs w:val="34"/>
              </w:rPr>
              <w:t>Informe de</w:t>
            </w:r>
            <w:r w:rsidR="00943E75">
              <w:rPr>
                <w:rFonts w:cstheme="minorHAnsi"/>
                <w:sz w:val="34"/>
                <w:szCs w:val="34"/>
              </w:rPr>
              <w:t xml:space="preserve"> </w:t>
            </w:r>
            <w:r w:rsidRPr="00C538FC">
              <w:rPr>
                <w:rFonts w:cstheme="minorHAnsi"/>
                <w:sz w:val="34"/>
                <w:szCs w:val="34"/>
              </w:rPr>
              <w:t>l</w:t>
            </w:r>
            <w:r w:rsidR="00943E75">
              <w:rPr>
                <w:rFonts w:cstheme="minorHAnsi"/>
                <w:sz w:val="34"/>
                <w:szCs w:val="34"/>
              </w:rPr>
              <w:t>a</w:t>
            </w:r>
            <w:r w:rsidRPr="00C538FC">
              <w:rPr>
                <w:rFonts w:cstheme="minorHAnsi"/>
                <w:sz w:val="34"/>
                <w:szCs w:val="34"/>
              </w:rPr>
              <w:t xml:space="preserve"> Secretari</w:t>
            </w:r>
            <w:r w:rsidR="00943E75">
              <w:rPr>
                <w:rFonts w:cstheme="minorHAnsi"/>
                <w:sz w:val="34"/>
                <w:szCs w:val="34"/>
              </w:rPr>
              <w:t>a</w:t>
            </w:r>
            <w:r w:rsidRPr="00C538FC">
              <w:rPr>
                <w:rFonts w:cstheme="minorHAnsi"/>
                <w:sz w:val="34"/>
                <w:szCs w:val="34"/>
              </w:rPr>
              <w:t xml:space="preserve"> General</w:t>
            </w:r>
          </w:p>
        </w:tc>
      </w:tr>
      <w:tr w:rsidR="00FE57F6" w:rsidRPr="00813E5E" w14:paraId="597B4BDE" w14:textId="77777777" w:rsidTr="00C538FC">
        <w:trPr>
          <w:cantSplit/>
        </w:trPr>
        <w:tc>
          <w:tcPr>
            <w:tcW w:w="9214" w:type="dxa"/>
            <w:gridSpan w:val="2"/>
            <w:tcMar>
              <w:left w:w="0" w:type="dxa"/>
            </w:tcMar>
          </w:tcPr>
          <w:p w14:paraId="2D275882" w14:textId="20E81F5B" w:rsidR="00FE57F6" w:rsidRPr="00E01F57" w:rsidRDefault="00E01F57" w:rsidP="00E01F57">
            <w:pPr>
              <w:pStyle w:val="Subtitle"/>
              <w:framePr w:hSpace="0" w:wrap="auto" w:hAnchor="text" w:xAlign="left" w:yAlign="inline"/>
              <w:spacing w:after="120"/>
              <w:rPr>
                <w:lang w:val="es-ES"/>
              </w:rPr>
            </w:pPr>
            <w:r w:rsidRPr="00E01F57">
              <w:rPr>
                <w:lang w:val="es-ES"/>
              </w:rPr>
              <w:t>INFORME SOBRE LA APLICACIÓN DE LA RESOLUCIÓN 167 (REV.</w:t>
            </w:r>
            <w:r>
              <w:rPr>
                <w:lang w:val="es-ES"/>
              </w:rPr>
              <w:t> </w:t>
            </w:r>
            <w:r w:rsidRPr="00E01F57">
              <w:rPr>
                <w:lang w:val="es-ES"/>
              </w:rPr>
              <w:t>BUCAREST, 2022) DE LA CONFERENCIA DE PLENIPOTENCIARIOS</w:t>
            </w:r>
          </w:p>
        </w:tc>
      </w:tr>
      <w:tr w:rsidR="00FE57F6" w:rsidRPr="00813E5E" w14:paraId="781A3C4D" w14:textId="77777777" w:rsidTr="00C538FC">
        <w:trPr>
          <w:cantSplit/>
        </w:trPr>
        <w:tc>
          <w:tcPr>
            <w:tcW w:w="9214" w:type="dxa"/>
            <w:gridSpan w:val="2"/>
            <w:tcBorders>
              <w:top w:val="single" w:sz="4" w:space="0" w:color="auto"/>
              <w:bottom w:val="single" w:sz="4" w:space="0" w:color="auto"/>
            </w:tcBorders>
            <w:tcMar>
              <w:left w:w="0" w:type="dxa"/>
            </w:tcMar>
          </w:tcPr>
          <w:p w14:paraId="6A1A58EA" w14:textId="3DDD720A" w:rsidR="00FE57F6" w:rsidRPr="00F24B71" w:rsidRDefault="00F24B71" w:rsidP="00E01F57">
            <w:pPr>
              <w:rPr>
                <w:b/>
                <w:bCs/>
                <w:sz w:val="26"/>
                <w:szCs w:val="26"/>
                <w:lang w:val="es-ES"/>
              </w:rPr>
            </w:pPr>
            <w:r w:rsidRPr="00F24B71">
              <w:rPr>
                <w:b/>
                <w:bCs/>
                <w:sz w:val="26"/>
                <w:szCs w:val="26"/>
                <w:lang w:val="es-ES"/>
              </w:rPr>
              <w:t>Finalidad</w:t>
            </w:r>
          </w:p>
          <w:p w14:paraId="7A3EC55B" w14:textId="77777777" w:rsidR="00E01F57" w:rsidRPr="00E01F57" w:rsidRDefault="00E01F57" w:rsidP="00E01F57">
            <w:r w:rsidRPr="00E01F57">
              <w:t>En la Resolución 167 (Rev. Bucarest, 2022) de la Conferencia de Plenipotenciarios se encarga al Consejo de la UIT:</w:t>
            </w:r>
          </w:p>
          <w:p w14:paraId="55262C18" w14:textId="249743D0" w:rsidR="00E01F57" w:rsidRPr="00E01F57" w:rsidRDefault="00E01F57" w:rsidP="00E01F57">
            <w:pPr>
              <w:pStyle w:val="enumlev1"/>
            </w:pPr>
            <w:r>
              <w:t>1)</w:t>
            </w:r>
            <w:r>
              <w:tab/>
            </w:r>
            <w:r w:rsidRPr="00E01F57">
              <w:t>que estudie y elabore orientaciones de alto nivel para la gestión y la gobernanza de las reuniones totalmente virtuales y las reuniones presenciales con participación a distancia, teniendo en cuenta el Anexo 1 a dicha Resolución;</w:t>
            </w:r>
          </w:p>
          <w:p w14:paraId="34766E42" w14:textId="44B08AD7" w:rsidR="00E01F57" w:rsidRPr="00E01F57" w:rsidRDefault="00E01F57" w:rsidP="00E01F57">
            <w:pPr>
              <w:pStyle w:val="enumlev1"/>
            </w:pPr>
            <w:r>
              <w:t>2)</w:t>
            </w:r>
            <w:r>
              <w:tab/>
            </w:r>
            <w:r w:rsidRPr="00E01F57">
              <w:t>que examine la financiación necesaria para llevar a efecto la Resolución y asigne los recursos financieros necesarios, con sujeción a los recursos disponibles y en consonancia con los Planes Financiero y Estratégico;</w:t>
            </w:r>
          </w:p>
          <w:p w14:paraId="3E70B624" w14:textId="3B0B69D4" w:rsidR="00E01F57" w:rsidRPr="00E01F57" w:rsidRDefault="00E01F57" w:rsidP="00E01F57">
            <w:pPr>
              <w:pStyle w:val="enumlev1"/>
            </w:pPr>
            <w:r>
              <w:t>3)</w:t>
            </w:r>
            <w:r>
              <w:tab/>
            </w:r>
            <w:r w:rsidRPr="00E01F57">
              <w:t>que informe a la Conferencia de Plenipotenciarios de 2026 y le formule sus recomendaciones.</w:t>
            </w:r>
          </w:p>
          <w:p w14:paraId="0FD1FDF9" w14:textId="3FE7B2EC" w:rsidR="00FE57F6" w:rsidRPr="00E01F57" w:rsidRDefault="00E01F57" w:rsidP="00E01F57">
            <w:r w:rsidRPr="00E01F57">
              <w:t>En el presente informe se exponen las actividades realizadas y los avances logrados desde la Conferencia de Plenipotenciarios (Bucarest, 2022), a fin de ayudar al Consejo a elaborar orientaciones de alto nivel para la gestión y la gobernanza de las reuniones totalmente virtuales y las reuniones presenciales con participación a distancia.</w:t>
            </w:r>
          </w:p>
          <w:p w14:paraId="060901B1" w14:textId="02F784A1" w:rsidR="00FE57F6" w:rsidRPr="00F24B71" w:rsidRDefault="00F24B71" w:rsidP="00E01F57">
            <w:pPr>
              <w:rPr>
                <w:b/>
                <w:bCs/>
                <w:sz w:val="26"/>
                <w:szCs w:val="26"/>
                <w:lang w:val="es-ES"/>
              </w:rPr>
            </w:pPr>
            <w:r w:rsidRPr="00F24B71">
              <w:rPr>
                <w:b/>
                <w:bCs/>
                <w:sz w:val="26"/>
                <w:szCs w:val="26"/>
                <w:lang w:val="es-ES"/>
              </w:rPr>
              <w:t xml:space="preserve">Acción solicitada </w:t>
            </w:r>
            <w:r w:rsidR="00E01F57">
              <w:rPr>
                <w:b/>
                <w:bCs/>
                <w:sz w:val="26"/>
                <w:szCs w:val="26"/>
                <w:lang w:val="es-ES"/>
              </w:rPr>
              <w:t>a</w:t>
            </w:r>
            <w:r w:rsidRPr="00F24B71">
              <w:rPr>
                <w:b/>
                <w:bCs/>
                <w:sz w:val="26"/>
                <w:szCs w:val="26"/>
                <w:lang w:val="es-ES"/>
              </w:rPr>
              <w:t>l Consejo</w:t>
            </w:r>
          </w:p>
          <w:p w14:paraId="22929AAD" w14:textId="65550902" w:rsidR="00FE57F6" w:rsidRPr="00F24B71" w:rsidRDefault="00E01F57" w:rsidP="00C538FC">
            <w:pPr>
              <w:rPr>
                <w:lang w:val="es-ES"/>
              </w:rPr>
            </w:pPr>
            <w:r w:rsidRPr="00E01F57">
              <w:rPr>
                <w:lang w:val="es-ES"/>
              </w:rPr>
              <w:t xml:space="preserve">Se invita al Consejo a </w:t>
            </w:r>
            <w:r w:rsidRPr="00465C25">
              <w:rPr>
                <w:b/>
                <w:bCs/>
                <w:lang w:val="es-ES"/>
              </w:rPr>
              <w:t>tomar nota</w:t>
            </w:r>
            <w:r w:rsidRPr="00E01F57">
              <w:rPr>
                <w:lang w:val="es-ES"/>
              </w:rPr>
              <w:t xml:space="preserve"> del presente informe y a </w:t>
            </w:r>
            <w:r w:rsidRPr="00465C25">
              <w:rPr>
                <w:b/>
                <w:bCs/>
                <w:lang w:val="es-ES"/>
              </w:rPr>
              <w:t>proporcionar a la Unión orientaciones de alto nivel</w:t>
            </w:r>
            <w:r w:rsidRPr="00E01F57">
              <w:rPr>
                <w:lang w:val="es-ES"/>
              </w:rPr>
              <w:t xml:space="preserve"> para la gestión y la gobernanza de las reuniones totalmente virtuales y las reuniones presenciales con participación a distancia, así como sobre posibles mecanismos de financiación.</w:t>
            </w:r>
          </w:p>
          <w:p w14:paraId="6D449B3D" w14:textId="77777777" w:rsidR="00FE57F6" w:rsidRPr="00F24B71" w:rsidRDefault="00F24B71" w:rsidP="00E01F57">
            <w:pPr>
              <w:rPr>
                <w:b/>
                <w:bCs/>
                <w:sz w:val="26"/>
                <w:szCs w:val="26"/>
                <w:lang w:val="es-ES"/>
              </w:rPr>
            </w:pPr>
            <w:r w:rsidRPr="00F24B71">
              <w:rPr>
                <w:b/>
                <w:bCs/>
                <w:sz w:val="26"/>
                <w:szCs w:val="26"/>
                <w:lang w:val="es-ES"/>
              </w:rPr>
              <w:t>Vínculos pertinentes con el Plan Estratégico</w:t>
            </w:r>
          </w:p>
          <w:p w14:paraId="7C045C6E" w14:textId="41B839DF" w:rsidR="00FE57F6" w:rsidRPr="00F24B71" w:rsidRDefault="00E01F57" w:rsidP="00C538FC">
            <w:pPr>
              <w:rPr>
                <w:lang w:val="es-ES"/>
              </w:rPr>
            </w:pPr>
            <w:r w:rsidRPr="00E01F57">
              <w:rPr>
                <w:lang w:val="es-ES"/>
              </w:rPr>
              <w:t>Excelencia en materia de recursos humanos e innovación institucional; plataformas de encuentro</w:t>
            </w:r>
          </w:p>
          <w:p w14:paraId="4E5AF01B" w14:textId="73F3072B" w:rsidR="00FE57F6" w:rsidRDefault="00F24B71" w:rsidP="00E01F57">
            <w:pPr>
              <w:keepNext/>
              <w:keepLines/>
              <w:rPr>
                <w:b/>
                <w:bCs/>
                <w:sz w:val="26"/>
                <w:szCs w:val="26"/>
              </w:rPr>
            </w:pPr>
            <w:r w:rsidRPr="00F24B71">
              <w:rPr>
                <w:b/>
                <w:bCs/>
                <w:sz w:val="26"/>
                <w:szCs w:val="26"/>
              </w:rPr>
              <w:t>Repercusiones financieras</w:t>
            </w:r>
          </w:p>
          <w:p w14:paraId="3553C9E4" w14:textId="781DFAE2" w:rsidR="00E01F57" w:rsidRDefault="00E01F57" w:rsidP="00E01F57">
            <w:r w:rsidRPr="00E01F57">
              <w:t>855</w:t>
            </w:r>
            <w:r>
              <w:t> </w:t>
            </w:r>
            <w:r w:rsidRPr="00E01F57">
              <w:t>000</w:t>
            </w:r>
            <w:r>
              <w:t> </w:t>
            </w:r>
            <w:r w:rsidRPr="00E01F57">
              <w:t>francos suizos (CHF) al año y una posible inversión de capital de 1 000</w:t>
            </w:r>
            <w:r>
              <w:t> </w:t>
            </w:r>
            <w:r w:rsidRPr="00E01F57">
              <w:t>000</w:t>
            </w:r>
            <w:r>
              <w:t> </w:t>
            </w:r>
            <w:r w:rsidRPr="00E01F57">
              <w:t xml:space="preserve">CHF una vez cada cinco años, según se indica en el </w:t>
            </w:r>
            <w:r w:rsidR="00465C25" w:rsidRPr="00E01F57">
              <w:t xml:space="preserve">Documento </w:t>
            </w:r>
            <w:hyperlink r:id="rId8" w:history="1">
              <w:r w:rsidRPr="00E01F57">
                <w:rPr>
                  <w:rStyle w:val="Hyperlink"/>
                </w:rPr>
                <w:t>PP-22/64</w:t>
              </w:r>
            </w:hyperlink>
            <w:r w:rsidRPr="00E01F57">
              <w:t>, que se financiará con cargo a los recursos generados por las medidas de eficiencia y otros ahorros.</w:t>
            </w:r>
          </w:p>
          <w:p w14:paraId="11BA174D" w14:textId="77777777" w:rsidR="00FE57F6" w:rsidRPr="00813E5E" w:rsidRDefault="00FE57F6" w:rsidP="00E01F57">
            <w:pPr>
              <w:spacing w:after="120"/>
              <w:rPr>
                <w:caps/>
              </w:rPr>
            </w:pPr>
            <w:r w:rsidRPr="00813E5E">
              <w:lastRenderedPageBreak/>
              <w:t>____________</w:t>
            </w:r>
            <w:r>
              <w:t>______</w:t>
            </w:r>
          </w:p>
          <w:p w14:paraId="2B1C9022" w14:textId="50B60180" w:rsidR="00FE57F6" w:rsidRDefault="00F24B71" w:rsidP="00C538FC">
            <w:pPr>
              <w:spacing w:before="160"/>
              <w:rPr>
                <w:b/>
                <w:bCs/>
                <w:sz w:val="26"/>
                <w:szCs w:val="26"/>
              </w:rPr>
            </w:pPr>
            <w:r w:rsidRPr="00F24B71">
              <w:rPr>
                <w:b/>
                <w:bCs/>
                <w:sz w:val="26"/>
                <w:szCs w:val="26"/>
              </w:rPr>
              <w:t>Referencia</w:t>
            </w:r>
            <w:r w:rsidR="00E01F57">
              <w:rPr>
                <w:b/>
                <w:bCs/>
                <w:sz w:val="26"/>
                <w:szCs w:val="26"/>
              </w:rPr>
              <w:t>s</w:t>
            </w:r>
          </w:p>
          <w:p w14:paraId="01D233CF" w14:textId="6FBD3CD6" w:rsidR="00FE57F6" w:rsidRDefault="0078420A" w:rsidP="00E01F57">
            <w:pPr>
              <w:spacing w:after="160"/>
            </w:pPr>
            <w:hyperlink r:id="rId9" w:history="1">
              <w:r w:rsidR="00E01F57" w:rsidRPr="00E01F57">
                <w:rPr>
                  <w:rStyle w:val="Hyperlink"/>
                </w:rPr>
                <w:t>Documento PP-22/64</w:t>
              </w:r>
            </w:hyperlink>
            <w:r w:rsidR="00E01F57" w:rsidRPr="00E01F57">
              <w:t xml:space="preserve">; </w:t>
            </w:r>
            <w:hyperlink r:id="rId10" w:history="1">
              <w:r w:rsidR="00E01F57" w:rsidRPr="00E01F57">
                <w:rPr>
                  <w:rStyle w:val="Hyperlink"/>
                </w:rPr>
                <w:t>Resolución 167 (Rev. Bucarest, 2022) de la Conferencia de Plenipotenciarios</w:t>
              </w:r>
            </w:hyperlink>
          </w:p>
        </w:tc>
      </w:tr>
      <w:bookmarkEnd w:id="0"/>
    </w:tbl>
    <w:p w14:paraId="0425BEA2" w14:textId="77777777" w:rsidR="001559F5" w:rsidRDefault="001559F5" w:rsidP="00E01F57">
      <w:r>
        <w:lastRenderedPageBreak/>
        <w:br w:type="page"/>
      </w:r>
    </w:p>
    <w:p w14:paraId="0F52CA2A" w14:textId="77777777" w:rsidR="00E01F57" w:rsidRPr="00E01F57" w:rsidRDefault="00E01F57" w:rsidP="00E01F57">
      <w:pPr>
        <w:pStyle w:val="Heading1"/>
      </w:pPr>
      <w:r w:rsidRPr="00E01F57">
        <w:lastRenderedPageBreak/>
        <w:t>1</w:t>
      </w:r>
      <w:r w:rsidRPr="00E01F57">
        <w:tab/>
        <w:t>Eventos celebrados desde la PP-22: presenciales, virtuales y presenciales con participación a distancia</w:t>
      </w:r>
    </w:p>
    <w:p w14:paraId="76227842" w14:textId="2B78D846" w:rsidR="00E01F57" w:rsidRPr="00E01F57" w:rsidRDefault="00E01F57" w:rsidP="00E01F57">
      <w:r w:rsidRPr="00E01F57">
        <w:t>1.1</w:t>
      </w:r>
      <w:r w:rsidRPr="00E01F57">
        <w:tab/>
        <w:t xml:space="preserve">La Unión sigue organizando conferencias, eventos y reuniones (denominados de forma colectiva </w:t>
      </w:r>
      <w:r>
        <w:t>"</w:t>
      </w:r>
      <w:r w:rsidRPr="00E01F57">
        <w:rPr>
          <w:b/>
          <w:bCs/>
        </w:rPr>
        <w:t>eventos</w:t>
      </w:r>
      <w:r w:rsidRPr="00E01F57">
        <w:t xml:space="preserve">"), que pueden clasificarse en: 1) totalmente presenciales, 2) totalmente virtuales, o 3) presenciales con participación a distancia. En el Anexo 1 se indica el número de </w:t>
      </w:r>
      <w:r w:rsidRPr="00E01F57">
        <w:rPr>
          <w:b/>
          <w:bCs/>
        </w:rPr>
        <w:t xml:space="preserve">eventos </w:t>
      </w:r>
      <w:r w:rsidRPr="00E01F57">
        <w:t xml:space="preserve">y </w:t>
      </w:r>
      <w:r w:rsidRPr="00E01F57">
        <w:rPr>
          <w:b/>
          <w:bCs/>
        </w:rPr>
        <w:t xml:space="preserve">sesiones </w:t>
      </w:r>
      <w:r w:rsidRPr="00E01F57">
        <w:t>(un evento puede comprender varias sesiones) incluidos en cada categoría</w:t>
      </w:r>
      <w:r w:rsidRPr="00E01F57">
        <w:rPr>
          <w:b/>
          <w:bCs/>
        </w:rPr>
        <w:t xml:space="preserve"> </w:t>
      </w:r>
      <w:r w:rsidRPr="00E01F57">
        <w:t xml:space="preserve">y el número de </w:t>
      </w:r>
      <w:r w:rsidRPr="00E01F57">
        <w:rPr>
          <w:b/>
          <w:bCs/>
        </w:rPr>
        <w:t>participantes presenciales y a distancia</w:t>
      </w:r>
      <w:r w:rsidRPr="00E01F57">
        <w:t xml:space="preserve"> registrados desde la Conferencia de Plenipotenciarios (Bucarest, 2022) (PP-22) para el periodo comprendido entre el 15 de octubre de 2022 y el 24 de marzo de 2023.</w:t>
      </w:r>
    </w:p>
    <w:p w14:paraId="236C755D" w14:textId="658AB5B7" w:rsidR="00E01F57" w:rsidRPr="00E01F57" w:rsidRDefault="00E01F57" w:rsidP="00E01F57">
      <w:r w:rsidRPr="00E01F57">
        <w:t>1.2</w:t>
      </w:r>
      <w:r w:rsidRPr="00E01F57">
        <w:tab/>
        <w:t xml:space="preserve">El Cuadro 1 del </w:t>
      </w:r>
      <w:hyperlink w:anchor="Annex1" w:history="1">
        <w:r w:rsidRPr="00E01F57">
          <w:rPr>
            <w:rStyle w:val="Hyperlink"/>
          </w:rPr>
          <w:t>Anexo 1</w:t>
        </w:r>
      </w:hyperlink>
      <w:r w:rsidRPr="00E01F57">
        <w:t xml:space="preserve"> muestra que pocos de estos eventos fueron totalmente presenciales y que los eventos presenciales con participación a distancia duplicaron practicante en número a los eventos totalmente virtuales. Los eventos totalmente virtuales se inscribieron en su mayoría en el marco del UIT-T. Además, el número de participantes a distancia fue más del doble que el de participantes presenciales, según indica el Cuadro</w:t>
      </w:r>
      <w:r w:rsidR="00272C7F">
        <w:t> </w:t>
      </w:r>
      <w:r w:rsidRPr="00E01F57">
        <w:t>2.</w:t>
      </w:r>
    </w:p>
    <w:p w14:paraId="12DF2E28" w14:textId="77777777" w:rsidR="00E01F57" w:rsidRPr="00E01F57" w:rsidRDefault="00E01F57" w:rsidP="00E01F57">
      <w:r w:rsidRPr="00E01F57">
        <w:t>1.3</w:t>
      </w:r>
      <w:r w:rsidRPr="00E01F57">
        <w:tab/>
        <w:t>Los Cuadros 3 y 4 del Anexo 1 proporcionan información sobre el número de sesiones celebradas después de la PP-22. El número de sesiones presenciales con participación a distancia fue significativamente mayor que el de otras categorías.</w:t>
      </w:r>
    </w:p>
    <w:p w14:paraId="16FA5EF2" w14:textId="77777777" w:rsidR="00E01F57" w:rsidRPr="00E01F57" w:rsidRDefault="00E01F57" w:rsidP="00E01F57">
      <w:r w:rsidRPr="00E01F57">
        <w:t>1.4</w:t>
      </w:r>
      <w:r w:rsidRPr="00E01F57">
        <w:tab/>
        <w:t>La decisión sobre si un evento va a ser totalmente presencial, totalmente virtual o presencial con participación a distancia incumbe a la Oficina o al departamento que lo organiza y se basa en experiencias anteriores. La amplia gama de herramientas utilizadas por los organizadores de los eventos conduce a diversos procesos de inscripción para los participantes y complica la elaboración de estadísticas relativas a los eventos. La Secretaría General y las tres Oficinas están colaborando para normalizar los procedimientos de organización de eventos en la medida de lo posible.</w:t>
      </w:r>
    </w:p>
    <w:p w14:paraId="1E19160D" w14:textId="6255B125" w:rsidR="00E01F57" w:rsidRPr="00E01F57" w:rsidRDefault="00E01F57" w:rsidP="00E01F57">
      <w:r w:rsidRPr="00E01F57">
        <w:t>1.5</w:t>
      </w:r>
      <w:r w:rsidRPr="00E01F57">
        <w:tab/>
        <w:t>En el marco de los eventos presenciales, las sesiones suelen celebrarse durante las horas de trabajo, en una ubicación específica, con cierta flexibilidad horaria: la primera sesión suele comenzar a las 08.00 o a las 09.00</w:t>
      </w:r>
      <w:r w:rsidR="00272C7F">
        <w:t> </w:t>
      </w:r>
      <w:r w:rsidRPr="00E01F57">
        <w:t>horas (hora local) y terminar a las 17.00 o a las 18.00</w:t>
      </w:r>
      <w:r w:rsidR="00272C7F">
        <w:t> </w:t>
      </w:r>
      <w:r w:rsidRPr="00E01F57">
        <w:t>horas, y las pausas para el almuerzo pueden acortarse para tener en cuenta los diferentes husos horarios de los participantes a distancia.</w:t>
      </w:r>
    </w:p>
    <w:p w14:paraId="436FA3AD" w14:textId="77777777" w:rsidR="00E01F57" w:rsidRPr="00E01F57" w:rsidRDefault="00E01F57" w:rsidP="00E01F57">
      <w:r w:rsidRPr="00E01F57">
        <w:t>1.6</w:t>
      </w:r>
      <w:r w:rsidRPr="00E01F57">
        <w:tab/>
        <w:t>En el marco de los eventos totalmente virtuales, los organizadores hacen un mayor esfuerzo por adaptarse a los diferentes husos horarios. A fin de decidir el horario de inicio y finalización de las sesiones, se tienen en cuenta las repercusiones para el personal auxiliar, tanto en la sede como en las oficinas sobre el terreno, las horas extraordinarias del personal y los gastos de interpretación.</w:t>
      </w:r>
    </w:p>
    <w:p w14:paraId="2CE6EB1B" w14:textId="35B32F11" w:rsidR="00E01F57" w:rsidRPr="00E01F57" w:rsidRDefault="00E01F57" w:rsidP="00E01F57">
      <w:r w:rsidRPr="00E01F57">
        <w:t>1.7</w:t>
      </w:r>
      <w:r w:rsidRPr="00E01F57">
        <w:tab/>
        <w:t>En cuanto a las sesiones presenciales con participación a distancia, además de los gastos inherentes a la contratación de un moderador técnico, pueden surgir gastos de apoyo adicionales cuando las sesiones se celebran fuera de la Sede de la UIT. Por ejemplo, las reuniones celebradas en el Centro Internacional de Conferencias de Ginebra (CICG) conllevan un recargo diario de entre 450 y 650</w:t>
      </w:r>
      <w:r w:rsidR="00272C7F">
        <w:t> </w:t>
      </w:r>
      <w:r w:rsidRPr="00E01F57">
        <w:t>CHF atribuible a la contratación de un técnico de audio por cada sala de reunión en la que se vaya a ofrecer participación a distancia.</w:t>
      </w:r>
    </w:p>
    <w:p w14:paraId="31D63AAF" w14:textId="77777777" w:rsidR="00E01F57" w:rsidRPr="00E01F57" w:rsidRDefault="00E01F57" w:rsidP="00E01F57">
      <w:r w:rsidRPr="00E01F57">
        <w:t>1.8</w:t>
      </w:r>
      <w:r w:rsidRPr="00E01F57">
        <w:tab/>
        <w:t xml:space="preserve">Algunas salas de reunión de la UIT están equipadas para que los intérpretes puedan trabajar no solo </w:t>
      </w:r>
      <w:r w:rsidRPr="00E01F57">
        <w:rPr>
          <w:i/>
          <w:iCs/>
        </w:rPr>
        <w:t>in situ</w:t>
      </w:r>
      <w:r w:rsidRPr="00E01F57">
        <w:t xml:space="preserve">, utilizando un sistema de interpretación simultánea con cabinas de interpretación, sino también a distancia, utilizando sistemas de interpretación simultánea a distancia de plataformas de ciberconferencias (véanse los sistemas de Zoom o Interactio). </w:t>
      </w:r>
      <w:r w:rsidRPr="00E01F57">
        <w:lastRenderedPageBreak/>
        <w:t>Otra opción consiste en facilitar los servicios de interpretación a los participantes presenciales a través de auriculares, mientras que los propios intérpretes trabajan a distancia utilizando uno de los sistemas antes mencionados. Esta puede ser una opción factible para aquellos eventos de la UIT que se celebren fuera de la Sede, ya sea en Ginebra o en el extranjero, si los intérpretes aceptan.</w:t>
      </w:r>
    </w:p>
    <w:p w14:paraId="0296172E" w14:textId="77777777" w:rsidR="00E01F57" w:rsidRPr="00E01F57" w:rsidRDefault="00E01F57" w:rsidP="00E01F57">
      <w:pPr>
        <w:pStyle w:val="Heading1"/>
      </w:pPr>
      <w:r w:rsidRPr="00E01F57">
        <w:t>2</w:t>
      </w:r>
      <w:r w:rsidRPr="00E01F57">
        <w:tab/>
        <w:t>Avances en la adopción de reuniones virtuales y reuniones físicas con participación a distancia</w:t>
      </w:r>
    </w:p>
    <w:p w14:paraId="5303FDC0" w14:textId="77777777" w:rsidR="00E01F57" w:rsidRPr="00E01F57" w:rsidRDefault="00E01F57" w:rsidP="00E01F57">
      <w:r w:rsidRPr="00E01F57">
        <w:t>2.1</w:t>
      </w:r>
      <w:r w:rsidRPr="00E01F57">
        <w:tab/>
        <w:t>En 2018, la UIT seguía utilizando hasta ocho plataformas de ciberconferencias. Actualmente, se utilizan tan solo dos: Zoom y MyMeetings.</w:t>
      </w:r>
    </w:p>
    <w:p w14:paraId="5B2A97E0" w14:textId="77777777" w:rsidR="00E01F57" w:rsidRPr="00E01F57" w:rsidRDefault="00E01F57" w:rsidP="00E01F57">
      <w:r w:rsidRPr="00E01F57">
        <w:t>2.2</w:t>
      </w:r>
      <w:r w:rsidRPr="00E01F57">
        <w:tab/>
        <w:t>Además de las ciberconferencias interactivas, la transmisión web sigue siendo una herramienta popular entre los miembros interesados en seguir los debates. En el Foro de la CMSI de 2023, se puso a prueba un nuevo sistema de transmisión web de Amazon Web Services (AWS). La respuesta de los participantes fue positiva. Se ha previsto añadir nuevas funciones a dicha herramienta para convertirla en el sistema de transmisión web del futuro.</w:t>
      </w:r>
    </w:p>
    <w:p w14:paraId="0C115727" w14:textId="77777777" w:rsidR="00E01F57" w:rsidRPr="00E01F57" w:rsidRDefault="00E01F57" w:rsidP="00E01F57">
      <w:r w:rsidRPr="00E01F57">
        <w:t>2.3</w:t>
      </w:r>
      <w:r w:rsidRPr="00E01F57">
        <w:tab/>
        <w:t>En los eventos abiertos únicamente a los miembros de la UIT, los participantes a distancia siguen el mismo proceso de inscripción y acreditación que los presenciales y el acceso a la sala de reunión y a la sala virtual se controla con ayuda de un mecanismo similar de verificación de autorizaciones.</w:t>
      </w:r>
    </w:p>
    <w:p w14:paraId="1049206E" w14:textId="77777777" w:rsidR="00E01F57" w:rsidRPr="00E01F57" w:rsidRDefault="00E01F57" w:rsidP="00E01F57">
      <w:r w:rsidRPr="00E01F57">
        <w:t>2.4</w:t>
      </w:r>
      <w:r w:rsidRPr="00E01F57">
        <w:tab/>
        <w:t>En eventos públicos como la Cumbre AI for Good o el Foro de la CMSI, los participantes a distancia no necesitan pasar por todo el proceso de acreditación. En la mayoría de los casos, basta con una dirección de correo electrónico válida para conectarse a distancia a la sesión del evento público; en cambio, los participantes presenciales siguen teniendo que completar el proceso de acreditación por motivos de seguridad. A finales de 2022, la UIT puso en marcha un sistema de gestión de las relaciones con los clientes (CRM) simplificado, cuyo objetivo es facilitar el proceso de inscripción en estos eventos públicos. La Secretaría General y las tres Oficinas han adoptado este sistema.</w:t>
      </w:r>
    </w:p>
    <w:p w14:paraId="606DC458" w14:textId="77777777" w:rsidR="00E01F57" w:rsidRPr="00E01F57" w:rsidRDefault="00E01F57" w:rsidP="00E01F57">
      <w:pPr>
        <w:pStyle w:val="Heading1"/>
      </w:pPr>
      <w:r w:rsidRPr="00E01F57">
        <w:t>3</w:t>
      </w:r>
      <w:r w:rsidRPr="00E01F57">
        <w:tab/>
        <w:t>Evolución y progresos realizados en la organización de eventos virtuales y eventos presenciales con participación a distancia con otras organizaciones de las Naciones Unidas</w:t>
      </w:r>
    </w:p>
    <w:p w14:paraId="6E12607F" w14:textId="02ED556C" w:rsidR="00E01F57" w:rsidRPr="00E01F57" w:rsidRDefault="00E01F57" w:rsidP="00E01F57">
      <w:r w:rsidRPr="00E01F57">
        <w:t>3.1</w:t>
      </w:r>
      <w:r w:rsidRPr="00E01F57">
        <w:tab/>
        <w:t xml:space="preserve">La UIT es miembro activo de la Junta de los Jefes Ejecutivos del Sistema de las Naciones Unidas para la Coordinación, en particular, de la Red Digital y Tecnológica. En 2020, la UIT tomó la iniciativa con la publicación de </w:t>
      </w:r>
      <w:hyperlink r:id="rId11" w:history="1">
        <w:r w:rsidRPr="00E01F57">
          <w:rPr>
            <w:rStyle w:val="Hyperlink"/>
            <w:i/>
            <w:iCs/>
          </w:rPr>
          <w:t>Virtual Events and Remote Participation – Guidelines and Best Practices</w:t>
        </w:r>
      </w:hyperlink>
      <w:r w:rsidRPr="00E01F57">
        <w:t xml:space="preserve"> (Eventos virtuales y participación a distancia </w:t>
      </w:r>
      <w:r w:rsidR="000D0ABD">
        <w:t>–</w:t>
      </w:r>
      <w:r w:rsidRPr="00E01F57">
        <w:t xml:space="preserve"> Directrices y mejores prácticas).</w:t>
      </w:r>
    </w:p>
    <w:p w14:paraId="520CE3FE" w14:textId="6E74D07F" w:rsidR="00E01F57" w:rsidRPr="00E01F57" w:rsidRDefault="00E01F57" w:rsidP="00E01F57">
      <w:r w:rsidRPr="00E01F57">
        <w:t>3.2</w:t>
      </w:r>
      <w:r w:rsidRPr="00E01F57">
        <w:tab/>
        <w:t xml:space="preserve">La UIT presentó una solicitud de propuestas conjuntamente con la Convención Marco de las Naciones Unidas sobre el Cambio Climático (CMNUCC), a fin de crear un </w:t>
      </w:r>
      <w:r>
        <w:t>"</w:t>
      </w:r>
      <w:r w:rsidRPr="00E01F57">
        <w:t>espacio virtual para eventos</w:t>
      </w:r>
      <w:r>
        <w:t>"</w:t>
      </w:r>
      <w:r w:rsidRPr="00E01F57">
        <w:t xml:space="preserve"> basado en una plataforma en línea y facilitar así la comunicación y el intercambio de información entre los participantes presenciales y a distancia durante todo el año. La ejecución de este proyecto se ha paralizado hasta concretar la fuente de financiación.</w:t>
      </w:r>
    </w:p>
    <w:p w14:paraId="53936ADA" w14:textId="77777777" w:rsidR="00E01F57" w:rsidRPr="00E01F57" w:rsidRDefault="00E01F57" w:rsidP="00E01F57">
      <w:r w:rsidRPr="00E01F57">
        <w:lastRenderedPageBreak/>
        <w:t>3.3</w:t>
      </w:r>
      <w:r w:rsidRPr="00E01F57">
        <w:tab/>
        <w:t xml:space="preserve">El Departamento de Servicios Informáticos (IS) ha estado trabajando con la Organización Mundial de la Propiedad Intelectual (OMPI) y la Oficina de las Naciones Unidas en Ginebra (ONUG) en la instalación de la infraestructura necesaria para facilitar la celebración de reuniones presenciales con participación a distancia, incluida la prestación de servicios de interpretación tanto </w:t>
      </w:r>
      <w:r w:rsidRPr="00E01F57">
        <w:rPr>
          <w:i/>
          <w:iCs/>
        </w:rPr>
        <w:t>in situ</w:t>
      </w:r>
      <w:r w:rsidRPr="00E01F57">
        <w:t>, mediante un sistema de audio integrado en cabinas, como a distancia, mediante la interfaz de interpretación simultánea a distancia de una plataforma de ciberconferencias.</w:t>
      </w:r>
    </w:p>
    <w:p w14:paraId="59771665" w14:textId="77777777" w:rsidR="00E01F57" w:rsidRPr="00E01F57" w:rsidRDefault="00E01F57" w:rsidP="00E01F57">
      <w:pPr>
        <w:pStyle w:val="Heading1"/>
      </w:pPr>
      <w:r w:rsidRPr="00E01F57">
        <w:t>4</w:t>
      </w:r>
      <w:r w:rsidRPr="00E01F57">
        <w:tab/>
        <w:t>Contribución a la aplicación de la Resolución 30 (Rev. Bucarest, 2022)</w:t>
      </w:r>
    </w:p>
    <w:p w14:paraId="48A2FB6E" w14:textId="4932A449" w:rsidR="00E01F57" w:rsidRPr="00E01F57" w:rsidRDefault="00E01F57" w:rsidP="00E01F57">
      <w:r w:rsidRPr="00E01F57">
        <w:t>4.1</w:t>
      </w:r>
      <w:r w:rsidRPr="00E01F57">
        <w:tab/>
        <w:t>En virtud de la Resolución 30 (Rev. Bucarest, 2022) de la Conferencia de Plenipotenciarios, la UIT se compromete a aplicar medidas especiales en favor de los países menos adelantados (PMA), los pequeños Estados insulares en desarrollo (PEID), los países en</w:t>
      </w:r>
      <w:r w:rsidR="007A5F44">
        <w:t xml:space="preserve"> </w:t>
      </w:r>
      <w:r w:rsidRPr="00E01F57">
        <w:t>desarrollo sin litoral (PDSL) y los países con economías en transición. Entre dichas medidas figura el fomento de la participación de las instituciones académicas y la industria en la UIT.</w:t>
      </w:r>
    </w:p>
    <w:p w14:paraId="2F948387" w14:textId="168783EE" w:rsidR="00E01F57" w:rsidRPr="00E01F57" w:rsidRDefault="00E01F57" w:rsidP="00E01F57">
      <w:bookmarkStart w:id="1" w:name="here"/>
      <w:r w:rsidRPr="00E01F57">
        <w:t>4.2</w:t>
      </w:r>
      <w:r w:rsidRPr="00E01F57">
        <w:tab/>
      </w:r>
      <w:r w:rsidR="000D0ABD">
        <w:t xml:space="preserve">El </w:t>
      </w:r>
      <w:hyperlink w:anchor="Annex2" w:history="1">
        <w:r w:rsidR="000D0ABD">
          <w:rPr>
            <w:rStyle w:val="Hyperlink"/>
          </w:rPr>
          <w:t>Anexo 2</w:t>
        </w:r>
      </w:hyperlink>
      <w:r w:rsidRPr="00E01F57">
        <w:t xml:space="preserve"> contiene información estadística acerca de la participación de los Estados Miembros en los eventos celebrados por la UIT desde 2018</w:t>
      </w:r>
      <w:bookmarkEnd w:id="1"/>
      <w:r w:rsidRPr="00E01F57">
        <w:t>, así como del número de participantes procedentes de países desarrollados, en desarrollo y menos adelantados en dichos eventos. El número de participantes de todos estos grupos de países ha ido aumentando paulatinamente, en gran parte, gracias a la participación a distancia.</w:t>
      </w:r>
    </w:p>
    <w:p w14:paraId="6F86A057" w14:textId="77777777" w:rsidR="00E01F57" w:rsidRPr="00E01F57" w:rsidRDefault="00E01F57" w:rsidP="00E01F57">
      <w:pPr>
        <w:pStyle w:val="Heading1"/>
      </w:pPr>
      <w:r w:rsidRPr="00E01F57">
        <w:t>5</w:t>
      </w:r>
      <w:r w:rsidRPr="00E01F57">
        <w:tab/>
        <w:t>Consecuencias para la igualdad de género</w:t>
      </w:r>
    </w:p>
    <w:p w14:paraId="1AC222B1" w14:textId="3DA51AB2" w:rsidR="00E01F57" w:rsidRPr="00E01F57" w:rsidRDefault="00E01F57" w:rsidP="00E01F57">
      <w:pPr>
        <w:spacing w:after="120"/>
      </w:pPr>
      <w:r w:rsidRPr="00E01F57">
        <w:t>5.1</w:t>
      </w:r>
      <w:r w:rsidRPr="00E01F57">
        <w:tab/>
        <w:t>En el marco del Objetivo de Desarrollo Sostenible 5, la meta</w:t>
      </w:r>
      <w:r w:rsidR="00272C7F">
        <w:t> </w:t>
      </w:r>
      <w:r w:rsidRPr="00E01F57">
        <w:t>5.5 consiste en asegurar la participación plena y efectiva de las mujeres en los procesos de toma de decisiones. Los eventos virtuales y la participación a distancia pueden aportar flexibilidad y facilitar la participación de un mayor número de mujeres. Gracias a la participación a distancia, más mujeres han participado en eventos recientes. Aun así, una mayor comprensión de las experiencias de las mujeres puede contribuir a que las reuniones de la UIT sean más sensibles a las cuestiones de género.</w:t>
      </w:r>
    </w:p>
    <w:tbl>
      <w:tblPr>
        <w:tblStyle w:val="TableGrid"/>
        <w:tblW w:w="5000" w:type="pct"/>
        <w:jc w:val="center"/>
        <w:tblLook w:val="04A0" w:firstRow="1" w:lastRow="0" w:firstColumn="1" w:lastColumn="0" w:noHBand="0" w:noVBand="1"/>
      </w:tblPr>
      <w:tblGrid>
        <w:gridCol w:w="2266"/>
        <w:gridCol w:w="2265"/>
        <w:gridCol w:w="2265"/>
        <w:gridCol w:w="2265"/>
      </w:tblGrid>
      <w:tr w:rsidR="00E01F57" w:rsidRPr="00E01F57" w14:paraId="558FE511" w14:textId="77777777" w:rsidTr="00E01F57">
        <w:trPr>
          <w:jc w:val="center"/>
        </w:trPr>
        <w:tc>
          <w:tcPr>
            <w:tcW w:w="2254" w:type="dxa"/>
          </w:tcPr>
          <w:p w14:paraId="24B9A829" w14:textId="77777777" w:rsidR="00E01F57" w:rsidRPr="00E01F57" w:rsidRDefault="00E01F57" w:rsidP="00E01F57">
            <w:pPr>
              <w:pStyle w:val="Tablehead"/>
            </w:pPr>
            <w:r w:rsidRPr="00E01F57">
              <w:t>Evento</w:t>
            </w:r>
          </w:p>
        </w:tc>
        <w:tc>
          <w:tcPr>
            <w:tcW w:w="2254" w:type="dxa"/>
          </w:tcPr>
          <w:p w14:paraId="0174E7CB" w14:textId="77777777" w:rsidR="00E01F57" w:rsidRPr="00E01F57" w:rsidRDefault="00E01F57" w:rsidP="00E01F57">
            <w:pPr>
              <w:pStyle w:val="Tablehead"/>
            </w:pPr>
            <w:r w:rsidRPr="00E01F57">
              <w:t>Participantes presenciales, mujeres</w:t>
            </w:r>
          </w:p>
        </w:tc>
        <w:tc>
          <w:tcPr>
            <w:tcW w:w="2254" w:type="dxa"/>
          </w:tcPr>
          <w:p w14:paraId="7CED0160" w14:textId="77777777" w:rsidR="00E01F57" w:rsidRPr="00E01F57" w:rsidRDefault="00E01F57" w:rsidP="00E01F57">
            <w:pPr>
              <w:pStyle w:val="Tablehead"/>
            </w:pPr>
            <w:r w:rsidRPr="00E01F57">
              <w:t>Participantes a distancia, mujeres</w:t>
            </w:r>
          </w:p>
        </w:tc>
        <w:tc>
          <w:tcPr>
            <w:tcW w:w="2254" w:type="dxa"/>
          </w:tcPr>
          <w:p w14:paraId="2B5ACDA4" w14:textId="77777777" w:rsidR="00E01F57" w:rsidRPr="00E01F57" w:rsidRDefault="00E01F57" w:rsidP="00E01F57">
            <w:pPr>
              <w:pStyle w:val="Tablehead"/>
            </w:pPr>
            <w:r w:rsidRPr="00E01F57">
              <w:t>Total de participantes, mujeres</w:t>
            </w:r>
          </w:p>
        </w:tc>
      </w:tr>
      <w:tr w:rsidR="00E01F57" w:rsidRPr="00E01F57" w14:paraId="7154313F" w14:textId="77777777" w:rsidTr="00E01F57">
        <w:trPr>
          <w:jc w:val="center"/>
        </w:trPr>
        <w:tc>
          <w:tcPr>
            <w:tcW w:w="2254" w:type="dxa"/>
          </w:tcPr>
          <w:p w14:paraId="0C53AAE0" w14:textId="77777777" w:rsidR="00E01F57" w:rsidRPr="00E01F57" w:rsidRDefault="00E01F57" w:rsidP="00E01F57">
            <w:pPr>
              <w:pStyle w:val="Tabletext"/>
            </w:pPr>
            <w:r w:rsidRPr="00E01F57">
              <w:t>Consejo-22</w:t>
            </w:r>
          </w:p>
        </w:tc>
        <w:tc>
          <w:tcPr>
            <w:tcW w:w="2254" w:type="dxa"/>
          </w:tcPr>
          <w:p w14:paraId="00CF03DC" w14:textId="77777777" w:rsidR="00E01F57" w:rsidRPr="00E01F57" w:rsidRDefault="00E01F57" w:rsidP="00E01F57">
            <w:pPr>
              <w:pStyle w:val="Tabletext"/>
              <w:jc w:val="center"/>
            </w:pPr>
            <w:r w:rsidRPr="00E01F57">
              <w:t>36%</w:t>
            </w:r>
          </w:p>
        </w:tc>
        <w:tc>
          <w:tcPr>
            <w:tcW w:w="2254" w:type="dxa"/>
          </w:tcPr>
          <w:p w14:paraId="20D3B00B" w14:textId="77777777" w:rsidR="00E01F57" w:rsidRPr="00E01F57" w:rsidRDefault="00E01F57" w:rsidP="00E01F57">
            <w:pPr>
              <w:pStyle w:val="Tabletext"/>
              <w:jc w:val="center"/>
            </w:pPr>
            <w:r w:rsidRPr="00E01F57">
              <w:t>46%</w:t>
            </w:r>
          </w:p>
        </w:tc>
        <w:tc>
          <w:tcPr>
            <w:tcW w:w="2254" w:type="dxa"/>
          </w:tcPr>
          <w:p w14:paraId="74155469" w14:textId="77777777" w:rsidR="00E01F57" w:rsidRPr="00E01F57" w:rsidRDefault="00E01F57" w:rsidP="00E01F57">
            <w:pPr>
              <w:pStyle w:val="Tabletext"/>
              <w:jc w:val="center"/>
            </w:pPr>
            <w:r w:rsidRPr="00E01F57">
              <w:t>38%</w:t>
            </w:r>
          </w:p>
        </w:tc>
      </w:tr>
      <w:tr w:rsidR="00E01F57" w:rsidRPr="00E01F57" w14:paraId="073FB575" w14:textId="77777777" w:rsidTr="00E01F57">
        <w:trPr>
          <w:jc w:val="center"/>
        </w:trPr>
        <w:tc>
          <w:tcPr>
            <w:tcW w:w="2254" w:type="dxa"/>
          </w:tcPr>
          <w:p w14:paraId="45F2321A" w14:textId="77777777" w:rsidR="00E01F57" w:rsidRPr="00E01F57" w:rsidRDefault="00E01F57" w:rsidP="00E01F57">
            <w:pPr>
              <w:pStyle w:val="Tabletext"/>
            </w:pPr>
            <w:r w:rsidRPr="00E01F57">
              <w:t>PP-22</w:t>
            </w:r>
          </w:p>
        </w:tc>
        <w:tc>
          <w:tcPr>
            <w:tcW w:w="2254" w:type="dxa"/>
          </w:tcPr>
          <w:p w14:paraId="7778DECB" w14:textId="77777777" w:rsidR="00E01F57" w:rsidRPr="00E01F57" w:rsidRDefault="00E01F57" w:rsidP="00E01F57">
            <w:pPr>
              <w:pStyle w:val="Tabletext"/>
              <w:jc w:val="center"/>
            </w:pPr>
            <w:r w:rsidRPr="00E01F57">
              <w:t>33%</w:t>
            </w:r>
          </w:p>
        </w:tc>
        <w:tc>
          <w:tcPr>
            <w:tcW w:w="2254" w:type="dxa"/>
          </w:tcPr>
          <w:p w14:paraId="7307F94B" w14:textId="77777777" w:rsidR="00E01F57" w:rsidRPr="00E01F57" w:rsidRDefault="00E01F57" w:rsidP="00E01F57">
            <w:pPr>
              <w:pStyle w:val="Tabletext"/>
              <w:jc w:val="center"/>
            </w:pPr>
            <w:r w:rsidRPr="00E01F57">
              <w:t>43%</w:t>
            </w:r>
          </w:p>
        </w:tc>
        <w:tc>
          <w:tcPr>
            <w:tcW w:w="2254" w:type="dxa"/>
          </w:tcPr>
          <w:p w14:paraId="13F3B3A6" w14:textId="77777777" w:rsidR="00E01F57" w:rsidRPr="00E01F57" w:rsidRDefault="00E01F57" w:rsidP="00E01F57">
            <w:pPr>
              <w:pStyle w:val="Tabletext"/>
              <w:jc w:val="center"/>
            </w:pPr>
            <w:r w:rsidRPr="00E01F57">
              <w:t>34%</w:t>
            </w:r>
          </w:p>
        </w:tc>
      </w:tr>
      <w:tr w:rsidR="00E01F57" w:rsidRPr="00E01F57" w14:paraId="730E2ADA" w14:textId="77777777" w:rsidTr="00E01F57">
        <w:trPr>
          <w:jc w:val="center"/>
        </w:trPr>
        <w:tc>
          <w:tcPr>
            <w:tcW w:w="2254" w:type="dxa"/>
          </w:tcPr>
          <w:p w14:paraId="32210E4A" w14:textId="77777777" w:rsidR="00E01F57" w:rsidRPr="00E01F57" w:rsidRDefault="00E01F57" w:rsidP="00E01F57">
            <w:pPr>
              <w:pStyle w:val="Tabletext"/>
            </w:pPr>
            <w:r w:rsidRPr="00E01F57">
              <w:t>RPC23</w:t>
            </w:r>
          </w:p>
        </w:tc>
        <w:tc>
          <w:tcPr>
            <w:tcW w:w="2254" w:type="dxa"/>
          </w:tcPr>
          <w:p w14:paraId="392DFCFB" w14:textId="77777777" w:rsidR="00E01F57" w:rsidRPr="00E01F57" w:rsidRDefault="00E01F57" w:rsidP="00E01F57">
            <w:pPr>
              <w:pStyle w:val="Tabletext"/>
              <w:jc w:val="center"/>
            </w:pPr>
            <w:r w:rsidRPr="00E01F57">
              <w:t>23%</w:t>
            </w:r>
          </w:p>
        </w:tc>
        <w:tc>
          <w:tcPr>
            <w:tcW w:w="2254" w:type="dxa"/>
          </w:tcPr>
          <w:p w14:paraId="344F09B1" w14:textId="77777777" w:rsidR="00E01F57" w:rsidRPr="00E01F57" w:rsidRDefault="00E01F57" w:rsidP="00E01F57">
            <w:pPr>
              <w:pStyle w:val="Tabletext"/>
              <w:jc w:val="center"/>
            </w:pPr>
            <w:r w:rsidRPr="00E01F57">
              <w:t>25%</w:t>
            </w:r>
          </w:p>
        </w:tc>
        <w:tc>
          <w:tcPr>
            <w:tcW w:w="2254" w:type="dxa"/>
          </w:tcPr>
          <w:p w14:paraId="5733A357" w14:textId="77777777" w:rsidR="00E01F57" w:rsidRPr="00E01F57" w:rsidRDefault="00E01F57" w:rsidP="00E01F57">
            <w:pPr>
              <w:pStyle w:val="Tabletext"/>
              <w:jc w:val="center"/>
            </w:pPr>
            <w:r w:rsidRPr="00E01F57">
              <w:t>24%</w:t>
            </w:r>
          </w:p>
        </w:tc>
      </w:tr>
    </w:tbl>
    <w:p w14:paraId="018EDCC5" w14:textId="77777777" w:rsidR="00E01F57" w:rsidRPr="00E01F57" w:rsidRDefault="00E01F57" w:rsidP="00E01F57">
      <w:pPr>
        <w:pStyle w:val="Heading1"/>
      </w:pPr>
      <w:r w:rsidRPr="00E01F57">
        <w:t>6</w:t>
      </w:r>
      <w:r w:rsidRPr="00E01F57">
        <w:tab/>
        <w:t>Repercusiones financieras</w:t>
      </w:r>
    </w:p>
    <w:p w14:paraId="60B81083" w14:textId="2C5E1586" w:rsidR="00E01F57" w:rsidRPr="00E01F57" w:rsidRDefault="00E01F57" w:rsidP="00E01F57">
      <w:r w:rsidRPr="00E01F57">
        <w:t>6.1</w:t>
      </w:r>
      <w:r w:rsidRPr="00E01F57">
        <w:tab/>
        <w:t>El apoyo a los eventos virtuales y a los eventos presenciales con participación a distancia tiene un coste operativo anual de 855</w:t>
      </w:r>
      <w:r>
        <w:t> </w:t>
      </w:r>
      <w:r w:rsidRPr="00E01F57">
        <w:t>000</w:t>
      </w:r>
      <w:r>
        <w:t> </w:t>
      </w:r>
      <w:r w:rsidRPr="00E01F57">
        <w:t>CHF, lo que equivale a 3</w:t>
      </w:r>
      <w:r>
        <w:t> </w:t>
      </w:r>
      <w:r w:rsidRPr="00E01F57">
        <w:t>420</w:t>
      </w:r>
      <w:r>
        <w:t> </w:t>
      </w:r>
      <w:r w:rsidRPr="00E01F57">
        <w:t>000</w:t>
      </w:r>
      <w:r>
        <w:t> </w:t>
      </w:r>
      <w:r w:rsidRPr="00E01F57">
        <w:t>CHF para el periodo presupuestario 2024-2027, según se indica en el Documento</w:t>
      </w:r>
      <w:r w:rsidR="00AE0EBA">
        <w:t> </w:t>
      </w:r>
      <w:hyperlink r:id="rId12" w:history="1">
        <w:r w:rsidRPr="00E01F57">
          <w:rPr>
            <w:rStyle w:val="Hyperlink"/>
          </w:rPr>
          <w:t>PP-22/64</w:t>
        </w:r>
      </w:hyperlink>
      <w:r w:rsidRPr="00E01F57">
        <w:t>. Además, se calcula que será necesaria una inversión de capital de 1 000</w:t>
      </w:r>
      <w:r>
        <w:t> </w:t>
      </w:r>
      <w:r w:rsidRPr="00E01F57">
        <w:t>000</w:t>
      </w:r>
      <w:r>
        <w:t> </w:t>
      </w:r>
      <w:r w:rsidRPr="00E01F57">
        <w:t>CHF cada cinco años a efectos de la modernización de los equipos utilizados para los eventos virtuales y los eventos presenciales con participación a distancia.</w:t>
      </w:r>
    </w:p>
    <w:p w14:paraId="105E4C1C" w14:textId="77777777" w:rsidR="00E01F57" w:rsidRPr="00E01F57" w:rsidRDefault="00E01F57" w:rsidP="00E01F57">
      <w:pPr>
        <w:pStyle w:val="Heading1"/>
      </w:pPr>
      <w:r w:rsidRPr="00E01F57">
        <w:lastRenderedPageBreak/>
        <w:t>7</w:t>
      </w:r>
      <w:r w:rsidRPr="00E01F57">
        <w:tab/>
        <w:t>Recomendaciones</w:t>
      </w:r>
    </w:p>
    <w:p w14:paraId="0C9A76F0" w14:textId="77777777" w:rsidR="00E01F57" w:rsidRPr="00E01F57" w:rsidRDefault="00E01F57" w:rsidP="00E01F57">
      <w:r w:rsidRPr="00E01F57">
        <w:t>7.1</w:t>
      </w:r>
      <w:r w:rsidRPr="00E01F57">
        <w:tab/>
        <w:t>Se invita al Consejo a</w:t>
      </w:r>
      <w:r w:rsidRPr="00E01F57">
        <w:rPr>
          <w:b/>
          <w:bCs/>
        </w:rPr>
        <w:t xml:space="preserve"> tomar nota del presente informe</w:t>
      </w:r>
      <w:r w:rsidRPr="00E01F57">
        <w:t xml:space="preserve"> y a</w:t>
      </w:r>
      <w:r w:rsidRPr="00E01F57">
        <w:rPr>
          <w:b/>
          <w:bCs/>
        </w:rPr>
        <w:t xml:space="preserve"> proporcionar orientaciones de alto nivel para la gestión y la gobernanza</w:t>
      </w:r>
      <w:r w:rsidRPr="00E01F57">
        <w:t xml:space="preserve"> de las reuniones totalmente virtuales y las reuniones presenciales con participación a distancia descritas anteriormente.</w:t>
      </w:r>
    </w:p>
    <w:p w14:paraId="6C35B448" w14:textId="77777777" w:rsidR="00E01F57" w:rsidRPr="00E01F57" w:rsidRDefault="00E01F57" w:rsidP="00E01F57">
      <w:pPr>
        <w:spacing w:before="1080"/>
      </w:pPr>
      <w:r w:rsidRPr="00E01F57">
        <w:t>Anexos: 2</w:t>
      </w:r>
    </w:p>
    <w:p w14:paraId="1CD18179" w14:textId="6EFFF3B7" w:rsidR="00E01F57" w:rsidRPr="00E01F57" w:rsidRDefault="00E01F57" w:rsidP="00E01F57">
      <w:r w:rsidRPr="00E01F57">
        <w:br w:type="page"/>
      </w:r>
    </w:p>
    <w:p w14:paraId="2C60BFD9" w14:textId="77777777" w:rsidR="00E01F57" w:rsidRPr="00E01F57" w:rsidRDefault="00E01F57" w:rsidP="00E01F57">
      <w:pPr>
        <w:pStyle w:val="AnnexNo"/>
      </w:pPr>
      <w:bookmarkStart w:id="2" w:name="Annex1"/>
      <w:r w:rsidRPr="00E01F57">
        <w:lastRenderedPageBreak/>
        <w:t>Anexo 1</w:t>
      </w:r>
      <w:bookmarkEnd w:id="2"/>
    </w:p>
    <w:p w14:paraId="16ACA6D9" w14:textId="77777777" w:rsidR="00E01F57" w:rsidRPr="00E01F57" w:rsidRDefault="00E01F57" w:rsidP="00E01F57">
      <w:pPr>
        <w:pStyle w:val="Annextitle"/>
      </w:pPr>
      <w:r w:rsidRPr="00E01F57">
        <w:t>Número de eventos, sesiones y participantes desde la PP-22</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26"/>
        <w:gridCol w:w="2681"/>
        <w:gridCol w:w="2681"/>
      </w:tblGrid>
      <w:tr w:rsidR="00E01F57" w:rsidRPr="00E01F57" w14:paraId="52B14AF3" w14:textId="77777777" w:rsidTr="00E01F57">
        <w:tc>
          <w:tcPr>
            <w:tcW w:w="873" w:type="dxa"/>
          </w:tcPr>
          <w:p w14:paraId="53508410" w14:textId="77777777" w:rsidR="00E01F57" w:rsidRPr="00E01F57" w:rsidRDefault="00E01F57" w:rsidP="00E01F57">
            <w:pPr>
              <w:pStyle w:val="Tablehead"/>
            </w:pPr>
          </w:p>
        </w:tc>
        <w:tc>
          <w:tcPr>
            <w:tcW w:w="2826" w:type="dxa"/>
          </w:tcPr>
          <w:p w14:paraId="52E73B71" w14:textId="77777777" w:rsidR="00E01F57" w:rsidRPr="00E01F57" w:rsidRDefault="00E01F57" w:rsidP="00E01F57">
            <w:pPr>
              <w:pStyle w:val="Tablehead"/>
            </w:pPr>
            <w:r w:rsidRPr="00E01F57">
              <w:t>Totalmente presenciales</w:t>
            </w:r>
          </w:p>
        </w:tc>
        <w:tc>
          <w:tcPr>
            <w:tcW w:w="2681" w:type="dxa"/>
          </w:tcPr>
          <w:p w14:paraId="0BE051E5" w14:textId="77777777" w:rsidR="00E01F57" w:rsidRPr="00E01F57" w:rsidRDefault="00E01F57" w:rsidP="00E01F57">
            <w:pPr>
              <w:pStyle w:val="Tablehead"/>
            </w:pPr>
            <w:r w:rsidRPr="00E01F57">
              <w:t>Totalmente virtuales</w:t>
            </w:r>
          </w:p>
        </w:tc>
        <w:tc>
          <w:tcPr>
            <w:tcW w:w="2681" w:type="dxa"/>
          </w:tcPr>
          <w:p w14:paraId="37B26AA0" w14:textId="77777777" w:rsidR="00E01F57" w:rsidRPr="00E01F57" w:rsidRDefault="00E01F57" w:rsidP="00E01F57">
            <w:pPr>
              <w:pStyle w:val="Tablehead"/>
            </w:pPr>
            <w:r w:rsidRPr="00E01F57">
              <w:t>Presenciales con PD</w:t>
            </w:r>
          </w:p>
        </w:tc>
      </w:tr>
      <w:tr w:rsidR="00E01F57" w:rsidRPr="00E01F57" w14:paraId="15605736" w14:textId="77777777" w:rsidTr="00E01F57">
        <w:tc>
          <w:tcPr>
            <w:tcW w:w="873" w:type="dxa"/>
          </w:tcPr>
          <w:p w14:paraId="76952969" w14:textId="77777777" w:rsidR="00E01F57" w:rsidRPr="00E01F57" w:rsidRDefault="00E01F57" w:rsidP="00E01F57">
            <w:pPr>
              <w:pStyle w:val="Tabletext"/>
            </w:pPr>
            <w:r w:rsidRPr="00E01F57">
              <w:t>SG</w:t>
            </w:r>
          </w:p>
        </w:tc>
        <w:tc>
          <w:tcPr>
            <w:tcW w:w="2826" w:type="dxa"/>
          </w:tcPr>
          <w:p w14:paraId="536298E1" w14:textId="77777777" w:rsidR="00E01F57" w:rsidRPr="00E01F57" w:rsidRDefault="00E01F57" w:rsidP="00E01F57">
            <w:pPr>
              <w:pStyle w:val="Tabletext"/>
              <w:jc w:val="center"/>
            </w:pPr>
            <w:r w:rsidRPr="00E01F57">
              <w:t>2</w:t>
            </w:r>
          </w:p>
        </w:tc>
        <w:tc>
          <w:tcPr>
            <w:tcW w:w="2681" w:type="dxa"/>
          </w:tcPr>
          <w:p w14:paraId="088FD3C5" w14:textId="77777777" w:rsidR="00E01F57" w:rsidRPr="00E01F57" w:rsidRDefault="00E01F57" w:rsidP="00E01F57">
            <w:pPr>
              <w:pStyle w:val="Tabletext"/>
              <w:jc w:val="center"/>
            </w:pPr>
            <w:r w:rsidRPr="00E01F57">
              <w:t>2</w:t>
            </w:r>
          </w:p>
        </w:tc>
        <w:tc>
          <w:tcPr>
            <w:tcW w:w="2681" w:type="dxa"/>
          </w:tcPr>
          <w:p w14:paraId="10BBF2DA" w14:textId="77777777" w:rsidR="00E01F57" w:rsidRPr="00E01F57" w:rsidRDefault="00E01F57" w:rsidP="00E01F57">
            <w:pPr>
              <w:pStyle w:val="Tabletext"/>
              <w:jc w:val="center"/>
            </w:pPr>
            <w:r w:rsidRPr="00E01F57">
              <w:t>2</w:t>
            </w:r>
          </w:p>
        </w:tc>
      </w:tr>
      <w:tr w:rsidR="00E01F57" w:rsidRPr="00E01F57" w14:paraId="4B44402A" w14:textId="77777777" w:rsidTr="00E01F57">
        <w:tc>
          <w:tcPr>
            <w:tcW w:w="873" w:type="dxa"/>
          </w:tcPr>
          <w:p w14:paraId="2BFE6712" w14:textId="77777777" w:rsidR="00E01F57" w:rsidRPr="00E01F57" w:rsidRDefault="00E01F57" w:rsidP="00E01F57">
            <w:pPr>
              <w:pStyle w:val="Tabletext"/>
            </w:pPr>
            <w:r w:rsidRPr="00E01F57">
              <w:t>UIT-T</w:t>
            </w:r>
          </w:p>
        </w:tc>
        <w:tc>
          <w:tcPr>
            <w:tcW w:w="2826" w:type="dxa"/>
          </w:tcPr>
          <w:p w14:paraId="59C4D6B5" w14:textId="77777777" w:rsidR="00E01F57" w:rsidRPr="00E01F57" w:rsidRDefault="00E01F57" w:rsidP="00E01F57">
            <w:pPr>
              <w:pStyle w:val="Tabletext"/>
              <w:jc w:val="center"/>
            </w:pPr>
            <w:r w:rsidRPr="00E01F57">
              <w:t>6</w:t>
            </w:r>
          </w:p>
        </w:tc>
        <w:tc>
          <w:tcPr>
            <w:tcW w:w="2681" w:type="dxa"/>
          </w:tcPr>
          <w:p w14:paraId="6F6DCE4B" w14:textId="77777777" w:rsidR="00E01F57" w:rsidRPr="00E01F57" w:rsidRDefault="00E01F57" w:rsidP="00E01F57">
            <w:pPr>
              <w:pStyle w:val="Tabletext"/>
              <w:jc w:val="center"/>
            </w:pPr>
            <w:r w:rsidRPr="00E01F57">
              <w:t>23</w:t>
            </w:r>
          </w:p>
        </w:tc>
        <w:tc>
          <w:tcPr>
            <w:tcW w:w="2681" w:type="dxa"/>
          </w:tcPr>
          <w:p w14:paraId="62900CB4" w14:textId="77777777" w:rsidR="00E01F57" w:rsidRPr="00E01F57" w:rsidRDefault="00E01F57" w:rsidP="00E01F57">
            <w:pPr>
              <w:pStyle w:val="Tabletext"/>
              <w:jc w:val="center"/>
            </w:pPr>
            <w:r w:rsidRPr="00E01F57">
              <w:t>38</w:t>
            </w:r>
          </w:p>
        </w:tc>
      </w:tr>
      <w:tr w:rsidR="00E01F57" w:rsidRPr="00E01F57" w14:paraId="1D8C137C" w14:textId="77777777" w:rsidTr="00E01F57">
        <w:tc>
          <w:tcPr>
            <w:tcW w:w="873" w:type="dxa"/>
          </w:tcPr>
          <w:p w14:paraId="145E5EE1" w14:textId="77777777" w:rsidR="00E01F57" w:rsidRPr="00E01F57" w:rsidRDefault="00E01F57" w:rsidP="00E01F57">
            <w:pPr>
              <w:pStyle w:val="Tabletext"/>
            </w:pPr>
            <w:r w:rsidRPr="00E01F57">
              <w:t>UIT-R</w:t>
            </w:r>
          </w:p>
        </w:tc>
        <w:tc>
          <w:tcPr>
            <w:tcW w:w="2826" w:type="dxa"/>
          </w:tcPr>
          <w:p w14:paraId="036AAC7E" w14:textId="77777777" w:rsidR="00E01F57" w:rsidRPr="00E01F57" w:rsidRDefault="00E01F57" w:rsidP="00E01F57">
            <w:pPr>
              <w:pStyle w:val="Tabletext"/>
              <w:jc w:val="center"/>
            </w:pPr>
            <w:r w:rsidRPr="00E01F57">
              <w:t>1</w:t>
            </w:r>
          </w:p>
        </w:tc>
        <w:tc>
          <w:tcPr>
            <w:tcW w:w="2681" w:type="dxa"/>
          </w:tcPr>
          <w:p w14:paraId="2E680D94" w14:textId="77777777" w:rsidR="00E01F57" w:rsidRPr="00E01F57" w:rsidRDefault="00E01F57" w:rsidP="00E01F57">
            <w:pPr>
              <w:pStyle w:val="Tabletext"/>
              <w:jc w:val="center"/>
            </w:pPr>
            <w:r w:rsidRPr="00E01F57">
              <w:t>1</w:t>
            </w:r>
          </w:p>
        </w:tc>
        <w:tc>
          <w:tcPr>
            <w:tcW w:w="2681" w:type="dxa"/>
          </w:tcPr>
          <w:p w14:paraId="68DDBC42" w14:textId="77777777" w:rsidR="00E01F57" w:rsidRPr="00E01F57" w:rsidRDefault="00E01F57" w:rsidP="00E01F57">
            <w:pPr>
              <w:pStyle w:val="Tabletext"/>
              <w:jc w:val="center"/>
            </w:pPr>
            <w:r w:rsidRPr="00E01F57">
              <w:t>9</w:t>
            </w:r>
          </w:p>
        </w:tc>
      </w:tr>
      <w:tr w:rsidR="00E01F57" w:rsidRPr="00E01F57" w14:paraId="47CC3E6C" w14:textId="77777777" w:rsidTr="00E01F57">
        <w:tc>
          <w:tcPr>
            <w:tcW w:w="873" w:type="dxa"/>
          </w:tcPr>
          <w:p w14:paraId="21D437EB" w14:textId="77777777" w:rsidR="00E01F57" w:rsidRPr="00E01F57" w:rsidRDefault="00E01F57" w:rsidP="00E01F57">
            <w:pPr>
              <w:pStyle w:val="Tabletext"/>
            </w:pPr>
            <w:r w:rsidRPr="00E01F57">
              <w:t>UIT-D</w:t>
            </w:r>
          </w:p>
        </w:tc>
        <w:tc>
          <w:tcPr>
            <w:tcW w:w="2826" w:type="dxa"/>
          </w:tcPr>
          <w:p w14:paraId="6571EADD" w14:textId="77777777" w:rsidR="00E01F57" w:rsidRPr="00E01F57" w:rsidRDefault="00E01F57" w:rsidP="00E01F57">
            <w:pPr>
              <w:pStyle w:val="Tabletext"/>
              <w:jc w:val="center"/>
            </w:pPr>
            <w:r w:rsidRPr="00E01F57">
              <w:t>4</w:t>
            </w:r>
          </w:p>
        </w:tc>
        <w:tc>
          <w:tcPr>
            <w:tcW w:w="2681" w:type="dxa"/>
          </w:tcPr>
          <w:p w14:paraId="5E4C1ED6" w14:textId="77777777" w:rsidR="00E01F57" w:rsidRPr="00E01F57" w:rsidRDefault="00E01F57" w:rsidP="00E01F57">
            <w:pPr>
              <w:pStyle w:val="Tabletext"/>
              <w:jc w:val="center"/>
            </w:pPr>
            <w:r w:rsidRPr="00E01F57">
              <w:t>8</w:t>
            </w:r>
          </w:p>
        </w:tc>
        <w:tc>
          <w:tcPr>
            <w:tcW w:w="2681" w:type="dxa"/>
          </w:tcPr>
          <w:p w14:paraId="2947EFEE" w14:textId="77777777" w:rsidR="00E01F57" w:rsidRPr="00E01F57" w:rsidRDefault="00E01F57" w:rsidP="00E01F57">
            <w:pPr>
              <w:pStyle w:val="Tabletext"/>
              <w:jc w:val="center"/>
            </w:pPr>
            <w:r w:rsidRPr="00E01F57">
              <w:t>9</w:t>
            </w:r>
          </w:p>
        </w:tc>
      </w:tr>
      <w:tr w:rsidR="00E01F57" w:rsidRPr="00E01F57" w14:paraId="6615CA7F" w14:textId="77777777" w:rsidTr="00E01F57">
        <w:tc>
          <w:tcPr>
            <w:tcW w:w="873" w:type="dxa"/>
          </w:tcPr>
          <w:p w14:paraId="0183A196" w14:textId="77777777" w:rsidR="00E01F57" w:rsidRPr="00AE0EBA" w:rsidRDefault="00E01F57" w:rsidP="00E01F57">
            <w:pPr>
              <w:pStyle w:val="Tabletext"/>
              <w:rPr>
                <w:b/>
                <w:bCs/>
              </w:rPr>
            </w:pPr>
            <w:r w:rsidRPr="00AE0EBA">
              <w:rPr>
                <w:b/>
                <w:bCs/>
              </w:rPr>
              <w:t>Total</w:t>
            </w:r>
          </w:p>
        </w:tc>
        <w:tc>
          <w:tcPr>
            <w:tcW w:w="2826" w:type="dxa"/>
          </w:tcPr>
          <w:p w14:paraId="31DA9DA2" w14:textId="77777777" w:rsidR="00E01F57" w:rsidRPr="00AE0EBA" w:rsidRDefault="00E01F57" w:rsidP="00E01F57">
            <w:pPr>
              <w:pStyle w:val="Tabletext"/>
              <w:jc w:val="center"/>
              <w:rPr>
                <w:b/>
                <w:bCs/>
              </w:rPr>
            </w:pPr>
            <w:r w:rsidRPr="00AE0EBA">
              <w:rPr>
                <w:b/>
                <w:bCs/>
              </w:rPr>
              <w:t>13</w:t>
            </w:r>
          </w:p>
        </w:tc>
        <w:tc>
          <w:tcPr>
            <w:tcW w:w="2681" w:type="dxa"/>
          </w:tcPr>
          <w:p w14:paraId="2ADE14CA" w14:textId="77777777" w:rsidR="00E01F57" w:rsidRPr="00AE0EBA" w:rsidRDefault="00E01F57" w:rsidP="00E01F57">
            <w:pPr>
              <w:pStyle w:val="Tabletext"/>
              <w:jc w:val="center"/>
              <w:rPr>
                <w:b/>
                <w:bCs/>
              </w:rPr>
            </w:pPr>
            <w:r w:rsidRPr="00AE0EBA">
              <w:rPr>
                <w:b/>
                <w:bCs/>
              </w:rPr>
              <w:t>34</w:t>
            </w:r>
          </w:p>
        </w:tc>
        <w:tc>
          <w:tcPr>
            <w:tcW w:w="2681" w:type="dxa"/>
          </w:tcPr>
          <w:p w14:paraId="24D04C8F" w14:textId="77777777" w:rsidR="00E01F57" w:rsidRPr="00AE0EBA" w:rsidRDefault="00E01F57" w:rsidP="00E01F57">
            <w:pPr>
              <w:pStyle w:val="Tabletext"/>
              <w:jc w:val="center"/>
              <w:rPr>
                <w:b/>
                <w:bCs/>
              </w:rPr>
            </w:pPr>
            <w:r w:rsidRPr="00AE0EBA">
              <w:rPr>
                <w:b/>
                <w:bCs/>
              </w:rPr>
              <w:t>58</w:t>
            </w:r>
          </w:p>
        </w:tc>
      </w:tr>
    </w:tbl>
    <w:p w14:paraId="6D0669B3" w14:textId="4CBFB609" w:rsidR="00E01F57" w:rsidRPr="00E01F57" w:rsidRDefault="00E01F57" w:rsidP="00AE0EBA">
      <w:pPr>
        <w:pStyle w:val="Tablelegend"/>
        <w:spacing w:after="120"/>
      </w:pPr>
      <w:r w:rsidRPr="00E01F57">
        <w:t>Cuadro 1: Número de eventos, desglosados en eventos totalmente presenciales, totalmente virtuales y presenciales con participación a distancia (PD), celebrados entre el 15 de octubre de 2022 y el 29</w:t>
      </w:r>
      <w:r w:rsidR="00AE0EBA">
        <w:t> </w:t>
      </w:r>
      <w:r w:rsidRPr="00E01F57">
        <w:t>de marzo de 2023 (datos actualizados el 4 de abril de 2023 a las 16.00 horas).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680"/>
        <w:gridCol w:w="2681"/>
        <w:gridCol w:w="2681"/>
      </w:tblGrid>
      <w:tr w:rsidR="00E01F57" w:rsidRPr="00E01F57" w14:paraId="290FDAE2" w14:textId="77777777" w:rsidTr="00E01F57">
        <w:tc>
          <w:tcPr>
            <w:tcW w:w="1019" w:type="dxa"/>
          </w:tcPr>
          <w:p w14:paraId="0CF4320D" w14:textId="77777777" w:rsidR="00E01F57" w:rsidRPr="00E01F57" w:rsidRDefault="00E01F57" w:rsidP="00E01F57">
            <w:pPr>
              <w:pStyle w:val="Tablehead"/>
            </w:pPr>
          </w:p>
        </w:tc>
        <w:tc>
          <w:tcPr>
            <w:tcW w:w="2680" w:type="dxa"/>
          </w:tcPr>
          <w:p w14:paraId="0F30D286" w14:textId="77777777" w:rsidR="00E01F57" w:rsidRPr="00E01F57" w:rsidRDefault="00E01F57" w:rsidP="00E01F57">
            <w:pPr>
              <w:pStyle w:val="Tablehead"/>
            </w:pPr>
            <w:r w:rsidRPr="00E01F57">
              <w:t>Participantes presenciales</w:t>
            </w:r>
          </w:p>
        </w:tc>
        <w:tc>
          <w:tcPr>
            <w:tcW w:w="2681" w:type="dxa"/>
          </w:tcPr>
          <w:p w14:paraId="5F092230" w14:textId="77777777" w:rsidR="00E01F57" w:rsidRPr="00E01F57" w:rsidRDefault="00E01F57" w:rsidP="00E01F57">
            <w:pPr>
              <w:pStyle w:val="Tablehead"/>
            </w:pPr>
            <w:r w:rsidRPr="00E01F57">
              <w:t>Participantes a distancia reales</w:t>
            </w:r>
          </w:p>
        </w:tc>
        <w:tc>
          <w:tcPr>
            <w:tcW w:w="2681" w:type="dxa"/>
          </w:tcPr>
          <w:p w14:paraId="7C717E86" w14:textId="7D90005B" w:rsidR="00E01F57" w:rsidRPr="00E01F57" w:rsidRDefault="00E01F57" w:rsidP="00E01F57">
            <w:pPr>
              <w:pStyle w:val="Tablehead"/>
            </w:pPr>
            <w:r w:rsidRPr="00E01F57">
              <w:t xml:space="preserve">Participantes presenciales conectados también </w:t>
            </w:r>
            <w:r w:rsidR="00AE0EBA">
              <w:br/>
            </w:r>
            <w:r w:rsidRPr="00E01F57">
              <w:t>a la plataforma de ciberconferencias*</w:t>
            </w:r>
          </w:p>
        </w:tc>
      </w:tr>
      <w:tr w:rsidR="00E01F57" w:rsidRPr="00E01F57" w14:paraId="34047324" w14:textId="77777777" w:rsidTr="00E01F57">
        <w:tc>
          <w:tcPr>
            <w:tcW w:w="1019" w:type="dxa"/>
          </w:tcPr>
          <w:p w14:paraId="604CE1D9" w14:textId="77777777" w:rsidR="00E01F57" w:rsidRPr="00E01F57" w:rsidRDefault="00E01F57" w:rsidP="00E01F57">
            <w:pPr>
              <w:pStyle w:val="Tabletext"/>
            </w:pPr>
            <w:r w:rsidRPr="00E01F57">
              <w:t>SG</w:t>
            </w:r>
          </w:p>
        </w:tc>
        <w:tc>
          <w:tcPr>
            <w:tcW w:w="2680" w:type="dxa"/>
          </w:tcPr>
          <w:p w14:paraId="00812232" w14:textId="18A59C32" w:rsidR="00E01F57" w:rsidRPr="00E01F57" w:rsidRDefault="00E01F57" w:rsidP="00E01F57">
            <w:pPr>
              <w:pStyle w:val="Tabletext"/>
              <w:jc w:val="center"/>
            </w:pPr>
            <w:r w:rsidRPr="00E01F57">
              <w:t>1</w:t>
            </w:r>
            <w:r>
              <w:t> </w:t>
            </w:r>
            <w:r w:rsidRPr="00E01F57">
              <w:t>172</w:t>
            </w:r>
          </w:p>
        </w:tc>
        <w:tc>
          <w:tcPr>
            <w:tcW w:w="2681" w:type="dxa"/>
          </w:tcPr>
          <w:p w14:paraId="75097BE7" w14:textId="79120481" w:rsidR="00E01F57" w:rsidRPr="00E01F57" w:rsidRDefault="00E01F57" w:rsidP="00E01F57">
            <w:pPr>
              <w:pStyle w:val="Tabletext"/>
              <w:jc w:val="center"/>
            </w:pPr>
            <w:r w:rsidRPr="00E01F57">
              <w:t>1</w:t>
            </w:r>
            <w:r>
              <w:t> </w:t>
            </w:r>
            <w:r w:rsidRPr="00E01F57">
              <w:t>723</w:t>
            </w:r>
          </w:p>
        </w:tc>
        <w:tc>
          <w:tcPr>
            <w:tcW w:w="2681" w:type="dxa"/>
          </w:tcPr>
          <w:p w14:paraId="07E33F6A" w14:textId="77777777" w:rsidR="00E01F57" w:rsidRPr="00E01F57" w:rsidRDefault="00E01F57" w:rsidP="00E01F57">
            <w:pPr>
              <w:pStyle w:val="Tabletext"/>
              <w:jc w:val="center"/>
            </w:pPr>
            <w:r w:rsidRPr="00E01F57">
              <w:t>101</w:t>
            </w:r>
          </w:p>
        </w:tc>
      </w:tr>
      <w:tr w:rsidR="00E01F57" w:rsidRPr="00E01F57" w14:paraId="7678A399" w14:textId="77777777" w:rsidTr="00E01F57">
        <w:tc>
          <w:tcPr>
            <w:tcW w:w="1019" w:type="dxa"/>
          </w:tcPr>
          <w:p w14:paraId="29C1F74F" w14:textId="77777777" w:rsidR="00E01F57" w:rsidRPr="00E01F57" w:rsidRDefault="00E01F57" w:rsidP="00E01F57">
            <w:pPr>
              <w:pStyle w:val="Tabletext"/>
            </w:pPr>
            <w:r w:rsidRPr="00E01F57">
              <w:t>UIT-T</w:t>
            </w:r>
          </w:p>
        </w:tc>
        <w:tc>
          <w:tcPr>
            <w:tcW w:w="2680" w:type="dxa"/>
          </w:tcPr>
          <w:p w14:paraId="11395344" w14:textId="74591E36" w:rsidR="00E01F57" w:rsidRPr="00E01F57" w:rsidRDefault="00E01F57" w:rsidP="00E01F57">
            <w:pPr>
              <w:pStyle w:val="Tabletext"/>
              <w:jc w:val="center"/>
            </w:pPr>
            <w:r w:rsidRPr="00E01F57">
              <w:t>1</w:t>
            </w:r>
            <w:r>
              <w:t> </w:t>
            </w:r>
            <w:r w:rsidRPr="00E01F57">
              <w:t>199</w:t>
            </w:r>
          </w:p>
        </w:tc>
        <w:tc>
          <w:tcPr>
            <w:tcW w:w="2681" w:type="dxa"/>
          </w:tcPr>
          <w:p w14:paraId="5F3C08B4" w14:textId="4A82F481" w:rsidR="00E01F57" w:rsidRPr="00E01F57" w:rsidRDefault="00E01F57" w:rsidP="00E01F57">
            <w:pPr>
              <w:pStyle w:val="Tabletext"/>
              <w:jc w:val="center"/>
            </w:pPr>
            <w:r w:rsidRPr="00E01F57">
              <w:t>4</w:t>
            </w:r>
            <w:r>
              <w:t> </w:t>
            </w:r>
            <w:r w:rsidRPr="00E01F57">
              <w:t>623</w:t>
            </w:r>
          </w:p>
        </w:tc>
        <w:tc>
          <w:tcPr>
            <w:tcW w:w="2681" w:type="dxa"/>
          </w:tcPr>
          <w:p w14:paraId="1D26D9A7" w14:textId="77777777" w:rsidR="00E01F57" w:rsidRPr="00E01F57" w:rsidRDefault="00E01F57" w:rsidP="00E01F57">
            <w:pPr>
              <w:pStyle w:val="Tabletext"/>
              <w:jc w:val="center"/>
            </w:pPr>
            <w:r w:rsidRPr="00E01F57">
              <w:t>356</w:t>
            </w:r>
          </w:p>
        </w:tc>
      </w:tr>
      <w:tr w:rsidR="00E01F57" w:rsidRPr="00E01F57" w14:paraId="7C9D0FA8" w14:textId="77777777" w:rsidTr="00E01F57">
        <w:tc>
          <w:tcPr>
            <w:tcW w:w="1019" w:type="dxa"/>
          </w:tcPr>
          <w:p w14:paraId="0D290CD0" w14:textId="77777777" w:rsidR="00E01F57" w:rsidRPr="00E01F57" w:rsidRDefault="00E01F57" w:rsidP="00E01F57">
            <w:pPr>
              <w:pStyle w:val="Tabletext"/>
            </w:pPr>
            <w:r w:rsidRPr="00E01F57">
              <w:t>UIT-R</w:t>
            </w:r>
          </w:p>
        </w:tc>
        <w:tc>
          <w:tcPr>
            <w:tcW w:w="2680" w:type="dxa"/>
          </w:tcPr>
          <w:p w14:paraId="7ADD2E26" w14:textId="18758906" w:rsidR="00E01F57" w:rsidRPr="00E01F57" w:rsidRDefault="00E01F57" w:rsidP="00E01F57">
            <w:pPr>
              <w:pStyle w:val="Tabletext"/>
              <w:jc w:val="center"/>
              <w:rPr>
                <w:rFonts w:eastAsiaTheme="minorHAnsi"/>
              </w:rPr>
            </w:pPr>
            <w:r w:rsidRPr="00E01F57">
              <w:t>2</w:t>
            </w:r>
            <w:r>
              <w:t> </w:t>
            </w:r>
            <w:r w:rsidRPr="00E01F57">
              <w:t>473</w:t>
            </w:r>
          </w:p>
        </w:tc>
        <w:tc>
          <w:tcPr>
            <w:tcW w:w="2681" w:type="dxa"/>
          </w:tcPr>
          <w:p w14:paraId="1240568D" w14:textId="115EC8CE" w:rsidR="00E01F57" w:rsidRPr="00E01F57" w:rsidRDefault="00E01F57" w:rsidP="00E01F57">
            <w:pPr>
              <w:pStyle w:val="Tabletext"/>
              <w:jc w:val="center"/>
              <w:rPr>
                <w:rFonts w:eastAsiaTheme="minorHAnsi"/>
              </w:rPr>
            </w:pPr>
            <w:r w:rsidRPr="00E01F57">
              <w:t>2</w:t>
            </w:r>
            <w:r>
              <w:t> </w:t>
            </w:r>
            <w:r w:rsidRPr="00E01F57">
              <w:t>319</w:t>
            </w:r>
          </w:p>
        </w:tc>
        <w:tc>
          <w:tcPr>
            <w:tcW w:w="2681" w:type="dxa"/>
          </w:tcPr>
          <w:p w14:paraId="494524AE" w14:textId="1BE41326" w:rsidR="00E01F57" w:rsidRPr="00E01F57" w:rsidRDefault="00E01F57" w:rsidP="00E01F57">
            <w:pPr>
              <w:pStyle w:val="Tabletext"/>
              <w:jc w:val="center"/>
              <w:rPr>
                <w:rFonts w:eastAsiaTheme="minorHAnsi"/>
              </w:rPr>
            </w:pPr>
            <w:r w:rsidRPr="00E01F57">
              <w:t>1</w:t>
            </w:r>
            <w:r>
              <w:t> </w:t>
            </w:r>
            <w:r w:rsidRPr="00E01F57">
              <w:t>503</w:t>
            </w:r>
          </w:p>
        </w:tc>
      </w:tr>
      <w:tr w:rsidR="00E01F57" w:rsidRPr="00E01F57" w14:paraId="3482C113" w14:textId="77777777" w:rsidTr="00E01F57">
        <w:tc>
          <w:tcPr>
            <w:tcW w:w="1019" w:type="dxa"/>
          </w:tcPr>
          <w:p w14:paraId="306EA82D" w14:textId="77777777" w:rsidR="00E01F57" w:rsidRPr="00E01F57" w:rsidRDefault="00E01F57" w:rsidP="00E01F57">
            <w:pPr>
              <w:pStyle w:val="Tabletext"/>
            </w:pPr>
            <w:r w:rsidRPr="00E01F57">
              <w:t>UIT-D</w:t>
            </w:r>
          </w:p>
        </w:tc>
        <w:tc>
          <w:tcPr>
            <w:tcW w:w="2680" w:type="dxa"/>
          </w:tcPr>
          <w:p w14:paraId="2036A1D6" w14:textId="77777777" w:rsidR="00E01F57" w:rsidRPr="00E01F57" w:rsidRDefault="00E01F57" w:rsidP="00E01F57">
            <w:pPr>
              <w:pStyle w:val="Tabletext"/>
              <w:jc w:val="center"/>
            </w:pPr>
            <w:r w:rsidRPr="00E01F57">
              <w:t>277</w:t>
            </w:r>
          </w:p>
        </w:tc>
        <w:tc>
          <w:tcPr>
            <w:tcW w:w="2681" w:type="dxa"/>
          </w:tcPr>
          <w:p w14:paraId="6AEB6043" w14:textId="77777777" w:rsidR="00E01F57" w:rsidRPr="00E01F57" w:rsidRDefault="00E01F57" w:rsidP="00E01F57">
            <w:pPr>
              <w:pStyle w:val="Tabletext"/>
              <w:jc w:val="center"/>
              <w:rPr>
                <w:rFonts w:eastAsiaTheme="minorHAnsi"/>
              </w:rPr>
            </w:pPr>
            <w:r w:rsidRPr="00E01F57">
              <w:t>954</w:t>
            </w:r>
          </w:p>
        </w:tc>
        <w:tc>
          <w:tcPr>
            <w:tcW w:w="2681" w:type="dxa"/>
          </w:tcPr>
          <w:p w14:paraId="62D8DC27" w14:textId="77777777" w:rsidR="00E01F57" w:rsidRPr="00E01F57" w:rsidRDefault="00E01F57" w:rsidP="00E01F57">
            <w:pPr>
              <w:pStyle w:val="Tabletext"/>
              <w:jc w:val="center"/>
            </w:pPr>
            <w:r w:rsidRPr="00E01F57">
              <w:t>97</w:t>
            </w:r>
          </w:p>
        </w:tc>
      </w:tr>
      <w:tr w:rsidR="00E01F57" w:rsidRPr="00E01F57" w14:paraId="28A00512" w14:textId="77777777" w:rsidTr="00E01F57">
        <w:tc>
          <w:tcPr>
            <w:tcW w:w="1019" w:type="dxa"/>
          </w:tcPr>
          <w:p w14:paraId="1735C7E0" w14:textId="77777777" w:rsidR="00E01F57" w:rsidRPr="00E01F57" w:rsidRDefault="00E01F57" w:rsidP="00E01F57">
            <w:pPr>
              <w:pStyle w:val="Tabletext"/>
              <w:rPr>
                <w:b/>
                <w:bCs/>
              </w:rPr>
            </w:pPr>
            <w:r w:rsidRPr="00E01F57">
              <w:rPr>
                <w:b/>
                <w:bCs/>
              </w:rPr>
              <w:t>Total</w:t>
            </w:r>
          </w:p>
        </w:tc>
        <w:tc>
          <w:tcPr>
            <w:tcW w:w="2680" w:type="dxa"/>
          </w:tcPr>
          <w:p w14:paraId="0541AB47" w14:textId="27B56820" w:rsidR="00E01F57" w:rsidRPr="00E01F57" w:rsidRDefault="00E01F57" w:rsidP="00E01F57">
            <w:pPr>
              <w:pStyle w:val="Tabletext"/>
              <w:jc w:val="center"/>
              <w:rPr>
                <w:rFonts w:eastAsiaTheme="minorHAnsi"/>
                <w:b/>
                <w:bCs/>
              </w:rPr>
            </w:pPr>
            <w:r w:rsidRPr="00E01F57">
              <w:rPr>
                <w:b/>
                <w:bCs/>
              </w:rPr>
              <w:t>5</w:t>
            </w:r>
            <w:r>
              <w:rPr>
                <w:b/>
                <w:bCs/>
              </w:rPr>
              <w:t> </w:t>
            </w:r>
            <w:r w:rsidRPr="00E01F57">
              <w:rPr>
                <w:b/>
                <w:bCs/>
              </w:rPr>
              <w:t>121</w:t>
            </w:r>
          </w:p>
        </w:tc>
        <w:tc>
          <w:tcPr>
            <w:tcW w:w="2681" w:type="dxa"/>
          </w:tcPr>
          <w:p w14:paraId="43548089" w14:textId="3DEC7190" w:rsidR="00E01F57" w:rsidRPr="00E01F57" w:rsidRDefault="00E01F57" w:rsidP="00E01F57">
            <w:pPr>
              <w:pStyle w:val="Tabletext"/>
              <w:jc w:val="center"/>
              <w:rPr>
                <w:b/>
                <w:bCs/>
              </w:rPr>
            </w:pPr>
            <w:r w:rsidRPr="00E01F57">
              <w:rPr>
                <w:b/>
                <w:bCs/>
              </w:rPr>
              <w:t>9</w:t>
            </w:r>
            <w:r>
              <w:rPr>
                <w:b/>
                <w:bCs/>
              </w:rPr>
              <w:t> </w:t>
            </w:r>
            <w:r w:rsidRPr="00E01F57">
              <w:rPr>
                <w:b/>
                <w:bCs/>
              </w:rPr>
              <w:t>619</w:t>
            </w:r>
          </w:p>
        </w:tc>
        <w:tc>
          <w:tcPr>
            <w:tcW w:w="2681" w:type="dxa"/>
          </w:tcPr>
          <w:p w14:paraId="1BD3D506" w14:textId="213D1390" w:rsidR="00E01F57" w:rsidRPr="00E01F57" w:rsidRDefault="00E01F57" w:rsidP="00E01F57">
            <w:pPr>
              <w:pStyle w:val="Tabletext"/>
              <w:jc w:val="center"/>
              <w:rPr>
                <w:b/>
                <w:bCs/>
              </w:rPr>
            </w:pPr>
            <w:r w:rsidRPr="00E01F57">
              <w:rPr>
                <w:b/>
                <w:bCs/>
              </w:rPr>
              <w:t>2</w:t>
            </w:r>
            <w:r>
              <w:rPr>
                <w:b/>
                <w:bCs/>
              </w:rPr>
              <w:t> </w:t>
            </w:r>
            <w:r w:rsidRPr="00E01F57">
              <w:rPr>
                <w:b/>
                <w:bCs/>
              </w:rPr>
              <w:t>057</w:t>
            </w:r>
          </w:p>
        </w:tc>
      </w:tr>
    </w:tbl>
    <w:p w14:paraId="1DEF5EBB" w14:textId="77777777" w:rsidR="00E01F57" w:rsidRPr="00E01F57" w:rsidRDefault="00E01F57" w:rsidP="00AE0EBA">
      <w:pPr>
        <w:pStyle w:val="Tablelegend"/>
        <w:spacing w:after="120"/>
      </w:pPr>
      <w:r w:rsidRPr="00E01F57">
        <w:t xml:space="preserve">Cuadro 2: Número de </w:t>
      </w:r>
      <w:r w:rsidRPr="00E01F57">
        <w:rPr>
          <w:b/>
        </w:rPr>
        <w:t>PARTICIPANTES</w:t>
      </w:r>
      <w:r w:rsidRPr="00E01F57">
        <w:rPr>
          <w:b/>
          <w:bCs/>
        </w:rPr>
        <w:t xml:space="preserve">: </w:t>
      </w:r>
      <w:r w:rsidRPr="00E01F57">
        <w:t xml:space="preserve">participantes presenciales, participantes a distancia reales y participantes </w:t>
      </w:r>
      <w:r w:rsidRPr="00E01F57">
        <w:rPr>
          <w:b/>
          <w:bCs/>
        </w:rPr>
        <w:t xml:space="preserve">presenciales (que recogieron su tarjeta de identificación en la UIT) </w:t>
      </w:r>
      <w:r w:rsidRPr="00E01F57">
        <w:t>conectados a la plataforma de ciberconferencias (por lo que dicha plataforma los contabilizó como participantes a distancia) en los</w:t>
      </w:r>
      <w:r w:rsidRPr="00E01F57">
        <w:rPr>
          <w:b/>
          <w:bCs/>
        </w:rPr>
        <w:t xml:space="preserve"> EVENTOS </w:t>
      </w:r>
      <w:r w:rsidRPr="00E01F57">
        <w:t>celebrados entre el 15 de octubre de 2022 y el 29 de marzo de 2023 (datos actualizados el 20 de abril de 2023 a las 16.00 horas).</w:t>
      </w:r>
      <w:r w:rsidRPr="00E01F57">
        <w:br/>
      </w:r>
      <w:r w:rsidRPr="00E01F57">
        <w:rPr>
          <w:vertAlign w:val="superscript"/>
        </w:rPr>
        <w:t>*</w:t>
      </w:r>
      <w:r w:rsidRPr="00E01F57">
        <w:t>La columna 3 es una subcategoría de la columna 1.</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26"/>
        <w:gridCol w:w="2681"/>
        <w:gridCol w:w="2681"/>
      </w:tblGrid>
      <w:tr w:rsidR="00E01F57" w:rsidRPr="00E01F57" w14:paraId="495D75EF" w14:textId="77777777" w:rsidTr="00E01F57">
        <w:tc>
          <w:tcPr>
            <w:tcW w:w="873" w:type="dxa"/>
          </w:tcPr>
          <w:p w14:paraId="6007ED10" w14:textId="77777777" w:rsidR="00E01F57" w:rsidRPr="00E01F57" w:rsidRDefault="00E01F57" w:rsidP="00E01F57">
            <w:pPr>
              <w:pStyle w:val="Tablehead"/>
            </w:pPr>
          </w:p>
        </w:tc>
        <w:tc>
          <w:tcPr>
            <w:tcW w:w="2826" w:type="dxa"/>
          </w:tcPr>
          <w:p w14:paraId="2B1E7A26" w14:textId="77777777" w:rsidR="00E01F57" w:rsidRPr="00E01F57" w:rsidRDefault="00E01F57" w:rsidP="00E01F57">
            <w:pPr>
              <w:pStyle w:val="Tablehead"/>
            </w:pPr>
            <w:r w:rsidRPr="00E01F57">
              <w:t>Totalmente presenciales</w:t>
            </w:r>
          </w:p>
        </w:tc>
        <w:tc>
          <w:tcPr>
            <w:tcW w:w="2681" w:type="dxa"/>
          </w:tcPr>
          <w:p w14:paraId="4B40CD89" w14:textId="77777777" w:rsidR="00E01F57" w:rsidRPr="00E01F57" w:rsidRDefault="00E01F57" w:rsidP="00E01F57">
            <w:pPr>
              <w:pStyle w:val="Tablehead"/>
            </w:pPr>
            <w:r w:rsidRPr="00E01F57">
              <w:t>Totalmente virtuales</w:t>
            </w:r>
          </w:p>
        </w:tc>
        <w:tc>
          <w:tcPr>
            <w:tcW w:w="2681" w:type="dxa"/>
          </w:tcPr>
          <w:p w14:paraId="1019D06C" w14:textId="77777777" w:rsidR="00E01F57" w:rsidRPr="00E01F57" w:rsidRDefault="00E01F57" w:rsidP="00E01F57">
            <w:pPr>
              <w:pStyle w:val="Tablehead"/>
            </w:pPr>
            <w:r w:rsidRPr="00E01F57">
              <w:t>Presenciales con PD</w:t>
            </w:r>
          </w:p>
        </w:tc>
      </w:tr>
      <w:tr w:rsidR="00E01F57" w:rsidRPr="00E01F57" w14:paraId="3FFE0C79" w14:textId="77777777" w:rsidTr="00E01F57">
        <w:tc>
          <w:tcPr>
            <w:tcW w:w="873" w:type="dxa"/>
          </w:tcPr>
          <w:p w14:paraId="21821C3B" w14:textId="77777777" w:rsidR="00E01F57" w:rsidRPr="00E01F57" w:rsidRDefault="00E01F57" w:rsidP="00E01F57">
            <w:pPr>
              <w:pStyle w:val="Tabletext"/>
            </w:pPr>
            <w:r w:rsidRPr="00E01F57">
              <w:t>SG</w:t>
            </w:r>
          </w:p>
        </w:tc>
        <w:tc>
          <w:tcPr>
            <w:tcW w:w="2826" w:type="dxa"/>
          </w:tcPr>
          <w:p w14:paraId="1781C513" w14:textId="77777777" w:rsidR="00E01F57" w:rsidRPr="00E01F57" w:rsidRDefault="00E01F57" w:rsidP="00E01F57">
            <w:pPr>
              <w:pStyle w:val="Tabletext"/>
              <w:jc w:val="center"/>
            </w:pPr>
            <w:r w:rsidRPr="00E01F57">
              <w:t>92</w:t>
            </w:r>
          </w:p>
        </w:tc>
        <w:tc>
          <w:tcPr>
            <w:tcW w:w="2681" w:type="dxa"/>
          </w:tcPr>
          <w:p w14:paraId="687221DF" w14:textId="77777777" w:rsidR="00E01F57" w:rsidRPr="00E01F57" w:rsidRDefault="00E01F57" w:rsidP="00E01F57">
            <w:pPr>
              <w:pStyle w:val="Tabletext"/>
              <w:jc w:val="center"/>
            </w:pPr>
            <w:r w:rsidRPr="00E01F57">
              <w:t>2</w:t>
            </w:r>
          </w:p>
        </w:tc>
        <w:tc>
          <w:tcPr>
            <w:tcW w:w="2681" w:type="dxa"/>
          </w:tcPr>
          <w:p w14:paraId="7D8A5C26" w14:textId="77777777" w:rsidR="00E01F57" w:rsidRPr="00E01F57" w:rsidRDefault="00E01F57" w:rsidP="00E01F57">
            <w:pPr>
              <w:pStyle w:val="Tabletext"/>
              <w:jc w:val="center"/>
            </w:pPr>
            <w:r w:rsidRPr="00E01F57">
              <w:t>108</w:t>
            </w:r>
          </w:p>
        </w:tc>
      </w:tr>
      <w:tr w:rsidR="00E01F57" w:rsidRPr="00E01F57" w14:paraId="7A2AE41D" w14:textId="77777777" w:rsidTr="00E01F57">
        <w:tc>
          <w:tcPr>
            <w:tcW w:w="873" w:type="dxa"/>
          </w:tcPr>
          <w:p w14:paraId="103162BD" w14:textId="77777777" w:rsidR="00E01F57" w:rsidRPr="00E01F57" w:rsidRDefault="00E01F57" w:rsidP="00E01F57">
            <w:pPr>
              <w:pStyle w:val="Tabletext"/>
            </w:pPr>
            <w:r w:rsidRPr="00E01F57">
              <w:t>UIT-T</w:t>
            </w:r>
          </w:p>
        </w:tc>
        <w:tc>
          <w:tcPr>
            <w:tcW w:w="2826" w:type="dxa"/>
          </w:tcPr>
          <w:p w14:paraId="51A5ABE6" w14:textId="77777777" w:rsidR="00E01F57" w:rsidRPr="00E01F57" w:rsidRDefault="00E01F57" w:rsidP="00E01F57">
            <w:pPr>
              <w:pStyle w:val="Tabletext"/>
              <w:jc w:val="center"/>
            </w:pPr>
            <w:r w:rsidRPr="00E01F57">
              <w:t>8</w:t>
            </w:r>
          </w:p>
        </w:tc>
        <w:tc>
          <w:tcPr>
            <w:tcW w:w="2681" w:type="dxa"/>
          </w:tcPr>
          <w:p w14:paraId="5BC07C15" w14:textId="77777777" w:rsidR="00E01F57" w:rsidRPr="00E01F57" w:rsidRDefault="00E01F57" w:rsidP="00E01F57">
            <w:pPr>
              <w:pStyle w:val="Tabletext"/>
              <w:jc w:val="center"/>
            </w:pPr>
            <w:r w:rsidRPr="00E01F57">
              <w:t>65</w:t>
            </w:r>
          </w:p>
        </w:tc>
        <w:tc>
          <w:tcPr>
            <w:tcW w:w="2681" w:type="dxa"/>
          </w:tcPr>
          <w:p w14:paraId="02651031" w14:textId="77777777" w:rsidR="00E01F57" w:rsidRPr="00E01F57" w:rsidRDefault="00E01F57" w:rsidP="00E01F57">
            <w:pPr>
              <w:pStyle w:val="Tabletext"/>
              <w:jc w:val="center"/>
            </w:pPr>
            <w:r w:rsidRPr="00E01F57">
              <w:t>816</w:t>
            </w:r>
          </w:p>
        </w:tc>
      </w:tr>
      <w:tr w:rsidR="00E01F57" w:rsidRPr="00E01F57" w14:paraId="58466F25" w14:textId="77777777" w:rsidTr="00E01F57">
        <w:tc>
          <w:tcPr>
            <w:tcW w:w="873" w:type="dxa"/>
          </w:tcPr>
          <w:p w14:paraId="5A7E3535" w14:textId="77777777" w:rsidR="00E01F57" w:rsidRPr="00E01F57" w:rsidRDefault="00E01F57" w:rsidP="00E01F57">
            <w:pPr>
              <w:pStyle w:val="Tabletext"/>
            </w:pPr>
            <w:r w:rsidRPr="00E01F57">
              <w:t>UIT-R</w:t>
            </w:r>
          </w:p>
        </w:tc>
        <w:tc>
          <w:tcPr>
            <w:tcW w:w="2826" w:type="dxa"/>
          </w:tcPr>
          <w:p w14:paraId="36CC08CC" w14:textId="77777777" w:rsidR="00E01F57" w:rsidRPr="00E01F57" w:rsidRDefault="00E01F57" w:rsidP="00E01F57">
            <w:pPr>
              <w:pStyle w:val="Tabletext"/>
              <w:jc w:val="center"/>
            </w:pPr>
            <w:r w:rsidRPr="00E01F57">
              <w:t>248</w:t>
            </w:r>
          </w:p>
        </w:tc>
        <w:tc>
          <w:tcPr>
            <w:tcW w:w="2681" w:type="dxa"/>
          </w:tcPr>
          <w:p w14:paraId="4C7A4C15" w14:textId="77777777" w:rsidR="00E01F57" w:rsidRPr="00E01F57" w:rsidRDefault="00E01F57" w:rsidP="00E01F57">
            <w:pPr>
              <w:pStyle w:val="Tabletext"/>
              <w:jc w:val="center"/>
            </w:pPr>
            <w:r w:rsidRPr="00E01F57">
              <w:t>7</w:t>
            </w:r>
          </w:p>
        </w:tc>
        <w:tc>
          <w:tcPr>
            <w:tcW w:w="2681" w:type="dxa"/>
          </w:tcPr>
          <w:p w14:paraId="0AC59088" w14:textId="77777777" w:rsidR="00E01F57" w:rsidRPr="00E01F57" w:rsidRDefault="00E01F57" w:rsidP="00E01F57">
            <w:pPr>
              <w:pStyle w:val="Tabletext"/>
              <w:jc w:val="center"/>
            </w:pPr>
            <w:r w:rsidRPr="00E01F57">
              <w:t>513</w:t>
            </w:r>
          </w:p>
        </w:tc>
      </w:tr>
      <w:tr w:rsidR="00E01F57" w:rsidRPr="00E01F57" w14:paraId="7AF32069" w14:textId="77777777" w:rsidTr="00E01F57">
        <w:tc>
          <w:tcPr>
            <w:tcW w:w="873" w:type="dxa"/>
          </w:tcPr>
          <w:p w14:paraId="2122D20F" w14:textId="77777777" w:rsidR="00E01F57" w:rsidRPr="00E01F57" w:rsidRDefault="00E01F57" w:rsidP="00E01F57">
            <w:pPr>
              <w:pStyle w:val="Tabletext"/>
            </w:pPr>
            <w:r w:rsidRPr="00E01F57">
              <w:t>UIT-D</w:t>
            </w:r>
          </w:p>
        </w:tc>
        <w:tc>
          <w:tcPr>
            <w:tcW w:w="2826" w:type="dxa"/>
          </w:tcPr>
          <w:p w14:paraId="4FE14757" w14:textId="77777777" w:rsidR="00E01F57" w:rsidRPr="00E01F57" w:rsidRDefault="00E01F57" w:rsidP="00E01F57">
            <w:pPr>
              <w:pStyle w:val="Tabletext"/>
              <w:jc w:val="center"/>
            </w:pPr>
            <w:r w:rsidRPr="00E01F57">
              <w:t>2</w:t>
            </w:r>
          </w:p>
        </w:tc>
        <w:tc>
          <w:tcPr>
            <w:tcW w:w="2681" w:type="dxa"/>
          </w:tcPr>
          <w:p w14:paraId="107AAFCC" w14:textId="77777777" w:rsidR="00E01F57" w:rsidRPr="00E01F57" w:rsidRDefault="00E01F57" w:rsidP="00E01F57">
            <w:pPr>
              <w:pStyle w:val="Tabletext"/>
              <w:jc w:val="center"/>
            </w:pPr>
            <w:r w:rsidRPr="00E01F57">
              <w:t>23</w:t>
            </w:r>
          </w:p>
        </w:tc>
        <w:tc>
          <w:tcPr>
            <w:tcW w:w="2681" w:type="dxa"/>
          </w:tcPr>
          <w:p w14:paraId="4DB6DAC2" w14:textId="77777777" w:rsidR="00E01F57" w:rsidRPr="00E01F57" w:rsidRDefault="00E01F57" w:rsidP="00E01F57">
            <w:pPr>
              <w:pStyle w:val="Tabletext"/>
              <w:jc w:val="center"/>
            </w:pPr>
            <w:r w:rsidRPr="00E01F57">
              <w:t>29</w:t>
            </w:r>
          </w:p>
        </w:tc>
      </w:tr>
      <w:tr w:rsidR="00E01F57" w:rsidRPr="00E01F57" w14:paraId="588873C7" w14:textId="77777777" w:rsidTr="00E01F57">
        <w:tc>
          <w:tcPr>
            <w:tcW w:w="873" w:type="dxa"/>
          </w:tcPr>
          <w:p w14:paraId="5C2F577A" w14:textId="77777777" w:rsidR="00E01F57" w:rsidRPr="00E01F57" w:rsidRDefault="00E01F57" w:rsidP="00E01F57">
            <w:pPr>
              <w:pStyle w:val="Tabletext"/>
              <w:rPr>
                <w:b/>
                <w:bCs/>
              </w:rPr>
            </w:pPr>
            <w:r w:rsidRPr="00E01F57">
              <w:rPr>
                <w:b/>
                <w:bCs/>
              </w:rPr>
              <w:t>Total</w:t>
            </w:r>
          </w:p>
        </w:tc>
        <w:tc>
          <w:tcPr>
            <w:tcW w:w="2826" w:type="dxa"/>
          </w:tcPr>
          <w:p w14:paraId="1F3BBC90" w14:textId="77777777" w:rsidR="00E01F57" w:rsidRPr="00E01F57" w:rsidRDefault="00E01F57" w:rsidP="00E01F57">
            <w:pPr>
              <w:pStyle w:val="Tabletext"/>
              <w:jc w:val="center"/>
              <w:rPr>
                <w:b/>
                <w:bCs/>
              </w:rPr>
            </w:pPr>
            <w:r w:rsidRPr="00E01F57">
              <w:rPr>
                <w:b/>
                <w:bCs/>
              </w:rPr>
              <w:t>350</w:t>
            </w:r>
          </w:p>
        </w:tc>
        <w:tc>
          <w:tcPr>
            <w:tcW w:w="2681" w:type="dxa"/>
          </w:tcPr>
          <w:p w14:paraId="51BDA09A" w14:textId="77777777" w:rsidR="00E01F57" w:rsidRPr="00E01F57" w:rsidRDefault="00E01F57" w:rsidP="00E01F57">
            <w:pPr>
              <w:pStyle w:val="Tabletext"/>
              <w:jc w:val="center"/>
              <w:rPr>
                <w:b/>
                <w:bCs/>
              </w:rPr>
            </w:pPr>
            <w:r w:rsidRPr="00E01F57">
              <w:rPr>
                <w:b/>
                <w:bCs/>
              </w:rPr>
              <w:t>97</w:t>
            </w:r>
          </w:p>
        </w:tc>
        <w:tc>
          <w:tcPr>
            <w:tcW w:w="2681" w:type="dxa"/>
          </w:tcPr>
          <w:p w14:paraId="72C707F0" w14:textId="6B58969B" w:rsidR="00E01F57" w:rsidRPr="00E01F57" w:rsidRDefault="00E01F57" w:rsidP="00E01F57">
            <w:pPr>
              <w:pStyle w:val="Tabletext"/>
              <w:jc w:val="center"/>
              <w:rPr>
                <w:b/>
                <w:bCs/>
              </w:rPr>
            </w:pPr>
            <w:r w:rsidRPr="00E01F57">
              <w:rPr>
                <w:b/>
                <w:bCs/>
              </w:rPr>
              <w:t>1</w:t>
            </w:r>
            <w:r>
              <w:rPr>
                <w:b/>
                <w:bCs/>
              </w:rPr>
              <w:t> </w:t>
            </w:r>
            <w:r w:rsidRPr="00E01F57">
              <w:rPr>
                <w:b/>
                <w:bCs/>
              </w:rPr>
              <w:t>466</w:t>
            </w:r>
          </w:p>
        </w:tc>
      </w:tr>
    </w:tbl>
    <w:p w14:paraId="05CE8139" w14:textId="77777777" w:rsidR="00E01F57" w:rsidRPr="00E01F57" w:rsidRDefault="00E01F57" w:rsidP="00195A6E">
      <w:pPr>
        <w:pStyle w:val="Tablelegend"/>
      </w:pPr>
      <w:r w:rsidRPr="00E01F57">
        <w:t xml:space="preserve">Cuadro 3: Número de </w:t>
      </w:r>
      <w:r w:rsidRPr="00E01F57">
        <w:rPr>
          <w:b/>
          <w:bCs/>
        </w:rPr>
        <w:t xml:space="preserve">SESIONES </w:t>
      </w:r>
      <w:r w:rsidRPr="00E01F57">
        <w:t xml:space="preserve">totalmente presenciales, totalmente virtuales y presenciales con participación a distancia (PD) celebradas entre el 15 de octubre de 2022 y el 29 de marzo de 2023 (datos actualizados el 20 de abril de 2023 a las 16.00 horas). Un </w:t>
      </w:r>
      <w:r w:rsidRPr="00E01F57">
        <w:rPr>
          <w:b/>
          <w:bCs/>
        </w:rPr>
        <w:t xml:space="preserve">EVENTO </w:t>
      </w:r>
      <w:r w:rsidRPr="00E01F57">
        <w:t>puede durar medio día o varias semanas y comprender muchas sesiones. Una sesión de mañana y otra de tarde sobre el mismo tema cuentan como dos sesiones.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36"/>
        <w:gridCol w:w="2242"/>
        <w:gridCol w:w="2243"/>
      </w:tblGrid>
      <w:tr w:rsidR="00E01F57" w:rsidRPr="00E01F57" w14:paraId="466F03C1" w14:textId="77777777" w:rsidTr="00E01F57">
        <w:trPr>
          <w:trHeight w:val="300"/>
        </w:trPr>
        <w:tc>
          <w:tcPr>
            <w:tcW w:w="2340" w:type="dxa"/>
          </w:tcPr>
          <w:p w14:paraId="5C00D003" w14:textId="77777777" w:rsidR="00E01F57" w:rsidRPr="00E01F57" w:rsidRDefault="00E01F57" w:rsidP="00E01F57">
            <w:pPr>
              <w:pStyle w:val="Tablehead"/>
            </w:pPr>
          </w:p>
        </w:tc>
        <w:tc>
          <w:tcPr>
            <w:tcW w:w="2236" w:type="dxa"/>
          </w:tcPr>
          <w:p w14:paraId="2638F163" w14:textId="77777777" w:rsidR="00E01F57" w:rsidRPr="00E01F57" w:rsidRDefault="00E01F57" w:rsidP="00E01F57">
            <w:pPr>
              <w:pStyle w:val="Tablehead"/>
            </w:pPr>
            <w:r w:rsidRPr="00E01F57">
              <w:t>Totalmente presenciales</w:t>
            </w:r>
          </w:p>
        </w:tc>
        <w:tc>
          <w:tcPr>
            <w:tcW w:w="2242" w:type="dxa"/>
          </w:tcPr>
          <w:p w14:paraId="719124D3" w14:textId="77777777" w:rsidR="00E01F57" w:rsidRPr="00E01F57" w:rsidRDefault="00E01F57" w:rsidP="00E01F57">
            <w:pPr>
              <w:pStyle w:val="Tablehead"/>
            </w:pPr>
            <w:r w:rsidRPr="00E01F57">
              <w:t>Totalmente virtuales</w:t>
            </w:r>
          </w:p>
        </w:tc>
        <w:tc>
          <w:tcPr>
            <w:tcW w:w="2243" w:type="dxa"/>
          </w:tcPr>
          <w:p w14:paraId="683EA5E4" w14:textId="77777777" w:rsidR="00E01F57" w:rsidRPr="00E01F57" w:rsidRDefault="00E01F57" w:rsidP="00E01F57">
            <w:pPr>
              <w:pStyle w:val="Tablehead"/>
            </w:pPr>
            <w:r w:rsidRPr="00E01F57">
              <w:t>Presenciales con PD</w:t>
            </w:r>
          </w:p>
        </w:tc>
      </w:tr>
      <w:tr w:rsidR="00E01F57" w:rsidRPr="00E01F57" w14:paraId="1ED21ABA" w14:textId="77777777" w:rsidTr="00E01F57">
        <w:trPr>
          <w:trHeight w:val="300"/>
        </w:trPr>
        <w:tc>
          <w:tcPr>
            <w:tcW w:w="2340" w:type="dxa"/>
          </w:tcPr>
          <w:p w14:paraId="2BEFDA7B" w14:textId="77777777" w:rsidR="00E01F57" w:rsidRPr="00E01F57" w:rsidRDefault="00E01F57" w:rsidP="00E01F57">
            <w:pPr>
              <w:pStyle w:val="Tabletext"/>
            </w:pPr>
            <w:r w:rsidRPr="00E01F57">
              <w:t>Reuniones de delegaciones</w:t>
            </w:r>
          </w:p>
        </w:tc>
        <w:tc>
          <w:tcPr>
            <w:tcW w:w="2236" w:type="dxa"/>
          </w:tcPr>
          <w:p w14:paraId="2B9D7295" w14:textId="77777777" w:rsidR="00E01F57" w:rsidRPr="00E01F57" w:rsidRDefault="00E01F57" w:rsidP="00E01F57">
            <w:pPr>
              <w:pStyle w:val="Tabletext"/>
              <w:jc w:val="center"/>
            </w:pPr>
            <w:r w:rsidRPr="00E01F57">
              <w:t>207</w:t>
            </w:r>
          </w:p>
        </w:tc>
        <w:tc>
          <w:tcPr>
            <w:tcW w:w="2242" w:type="dxa"/>
          </w:tcPr>
          <w:p w14:paraId="5241860F" w14:textId="77777777" w:rsidR="00E01F57" w:rsidRPr="00E01F57" w:rsidRDefault="00E01F57" w:rsidP="00E01F57">
            <w:pPr>
              <w:pStyle w:val="Tabletext"/>
              <w:jc w:val="center"/>
            </w:pPr>
          </w:p>
        </w:tc>
        <w:tc>
          <w:tcPr>
            <w:tcW w:w="2243" w:type="dxa"/>
          </w:tcPr>
          <w:p w14:paraId="36C0D5AD" w14:textId="77777777" w:rsidR="00E01F57" w:rsidRPr="00E01F57" w:rsidRDefault="00E01F57" w:rsidP="00E01F57">
            <w:pPr>
              <w:pStyle w:val="Tabletext"/>
              <w:jc w:val="center"/>
            </w:pPr>
            <w:r w:rsidRPr="00E01F57">
              <w:t>7</w:t>
            </w:r>
          </w:p>
        </w:tc>
      </w:tr>
      <w:tr w:rsidR="00E01F57" w:rsidRPr="00E01F57" w14:paraId="7794BC20" w14:textId="77777777" w:rsidTr="00E01F57">
        <w:trPr>
          <w:trHeight w:val="300"/>
        </w:trPr>
        <w:tc>
          <w:tcPr>
            <w:tcW w:w="2340" w:type="dxa"/>
          </w:tcPr>
          <w:p w14:paraId="7D5812FB" w14:textId="77777777" w:rsidR="00E01F57" w:rsidRPr="00E01F57" w:rsidRDefault="00E01F57" w:rsidP="00E01F57">
            <w:pPr>
              <w:pStyle w:val="Tabletext"/>
            </w:pPr>
            <w:r w:rsidRPr="00E01F57">
              <w:t>Categoría no especificada</w:t>
            </w:r>
          </w:p>
        </w:tc>
        <w:tc>
          <w:tcPr>
            <w:tcW w:w="2236" w:type="dxa"/>
          </w:tcPr>
          <w:p w14:paraId="36DD16FA" w14:textId="77777777" w:rsidR="00E01F57" w:rsidRPr="00E01F57" w:rsidRDefault="00E01F57" w:rsidP="00E01F57">
            <w:pPr>
              <w:pStyle w:val="Tabletext"/>
              <w:jc w:val="center"/>
            </w:pPr>
            <w:r w:rsidRPr="00E01F57">
              <w:t>17</w:t>
            </w:r>
          </w:p>
        </w:tc>
        <w:tc>
          <w:tcPr>
            <w:tcW w:w="2242" w:type="dxa"/>
          </w:tcPr>
          <w:p w14:paraId="5AC74EF5" w14:textId="77777777" w:rsidR="00E01F57" w:rsidRPr="00E01F57" w:rsidRDefault="00E01F57" w:rsidP="00E01F57">
            <w:pPr>
              <w:pStyle w:val="Tabletext"/>
              <w:jc w:val="center"/>
            </w:pPr>
            <w:r w:rsidRPr="00E01F57">
              <w:t>7</w:t>
            </w:r>
          </w:p>
        </w:tc>
        <w:tc>
          <w:tcPr>
            <w:tcW w:w="2243" w:type="dxa"/>
          </w:tcPr>
          <w:p w14:paraId="2B2CFA8D" w14:textId="77777777" w:rsidR="00E01F57" w:rsidRPr="00E01F57" w:rsidRDefault="00E01F57" w:rsidP="00E01F57">
            <w:pPr>
              <w:pStyle w:val="Tabletext"/>
              <w:jc w:val="center"/>
            </w:pPr>
            <w:r w:rsidRPr="00E01F57">
              <w:t>16</w:t>
            </w:r>
          </w:p>
        </w:tc>
      </w:tr>
      <w:tr w:rsidR="00E01F57" w:rsidRPr="00E01F57" w14:paraId="5F4E7BF6" w14:textId="77777777" w:rsidTr="00E01F57">
        <w:trPr>
          <w:trHeight w:val="300"/>
        </w:trPr>
        <w:tc>
          <w:tcPr>
            <w:tcW w:w="2340" w:type="dxa"/>
          </w:tcPr>
          <w:p w14:paraId="20020DB7" w14:textId="77777777" w:rsidR="00E01F57" w:rsidRPr="00E01F57" w:rsidRDefault="00E01F57" w:rsidP="00E01F57">
            <w:pPr>
              <w:pStyle w:val="Tabletext"/>
            </w:pPr>
            <w:r w:rsidRPr="00E01F57">
              <w:t>Reuniones oficiales</w:t>
            </w:r>
          </w:p>
        </w:tc>
        <w:tc>
          <w:tcPr>
            <w:tcW w:w="2236" w:type="dxa"/>
          </w:tcPr>
          <w:p w14:paraId="09D4E326" w14:textId="77777777" w:rsidR="00E01F57" w:rsidRPr="00E01F57" w:rsidRDefault="00E01F57" w:rsidP="00E01F57">
            <w:pPr>
              <w:pStyle w:val="Tabletext"/>
              <w:jc w:val="center"/>
            </w:pPr>
            <w:r w:rsidRPr="00E01F57">
              <w:t>100</w:t>
            </w:r>
          </w:p>
        </w:tc>
        <w:tc>
          <w:tcPr>
            <w:tcW w:w="2242" w:type="dxa"/>
          </w:tcPr>
          <w:p w14:paraId="471AEF16" w14:textId="77777777" w:rsidR="00E01F57" w:rsidRPr="00E01F57" w:rsidRDefault="00E01F57" w:rsidP="00E01F57">
            <w:pPr>
              <w:pStyle w:val="Tabletext"/>
              <w:jc w:val="center"/>
            </w:pPr>
            <w:r w:rsidRPr="00E01F57">
              <w:t>85</w:t>
            </w:r>
          </w:p>
        </w:tc>
        <w:tc>
          <w:tcPr>
            <w:tcW w:w="2243" w:type="dxa"/>
          </w:tcPr>
          <w:p w14:paraId="6F53075D" w14:textId="5EA56D3A" w:rsidR="00E01F57" w:rsidRPr="00E01F57" w:rsidRDefault="00E01F57" w:rsidP="00E01F57">
            <w:pPr>
              <w:pStyle w:val="Tabletext"/>
              <w:jc w:val="center"/>
            </w:pPr>
            <w:r w:rsidRPr="00E01F57">
              <w:t>1</w:t>
            </w:r>
            <w:r>
              <w:t> </w:t>
            </w:r>
            <w:r w:rsidRPr="00E01F57">
              <w:t>443</w:t>
            </w:r>
          </w:p>
        </w:tc>
      </w:tr>
      <w:tr w:rsidR="00E01F57" w:rsidRPr="00E01F57" w14:paraId="3D7D0303" w14:textId="77777777" w:rsidTr="00E01F57">
        <w:trPr>
          <w:trHeight w:val="300"/>
        </w:trPr>
        <w:tc>
          <w:tcPr>
            <w:tcW w:w="2340" w:type="dxa"/>
          </w:tcPr>
          <w:p w14:paraId="60F66BE6" w14:textId="77777777" w:rsidR="00E01F57" w:rsidRPr="00E01F57" w:rsidRDefault="00E01F57" w:rsidP="00E01F57">
            <w:pPr>
              <w:pStyle w:val="Tabletext"/>
            </w:pPr>
            <w:r w:rsidRPr="00E01F57">
              <w:t>Reuniones periódicas</w:t>
            </w:r>
          </w:p>
        </w:tc>
        <w:tc>
          <w:tcPr>
            <w:tcW w:w="2236" w:type="dxa"/>
          </w:tcPr>
          <w:p w14:paraId="68964718" w14:textId="77777777" w:rsidR="00E01F57" w:rsidRPr="00E01F57" w:rsidRDefault="00E01F57" w:rsidP="00E01F57">
            <w:pPr>
              <w:pStyle w:val="Tabletext"/>
              <w:jc w:val="center"/>
            </w:pPr>
            <w:r w:rsidRPr="00E01F57">
              <w:t>2</w:t>
            </w:r>
          </w:p>
        </w:tc>
        <w:tc>
          <w:tcPr>
            <w:tcW w:w="2242" w:type="dxa"/>
          </w:tcPr>
          <w:p w14:paraId="68325D2D" w14:textId="77777777" w:rsidR="00E01F57" w:rsidRPr="00E01F57" w:rsidRDefault="00E01F57" w:rsidP="00E01F57">
            <w:pPr>
              <w:pStyle w:val="Tabletext"/>
              <w:jc w:val="center"/>
            </w:pPr>
            <w:r w:rsidRPr="00E01F57">
              <w:t>5</w:t>
            </w:r>
          </w:p>
        </w:tc>
        <w:tc>
          <w:tcPr>
            <w:tcW w:w="2243" w:type="dxa"/>
          </w:tcPr>
          <w:p w14:paraId="6F2D720B" w14:textId="77777777" w:rsidR="00E01F57" w:rsidRPr="00E01F57" w:rsidRDefault="00E01F57" w:rsidP="00E01F57">
            <w:pPr>
              <w:pStyle w:val="Tabletext"/>
              <w:jc w:val="center"/>
            </w:pPr>
          </w:p>
        </w:tc>
      </w:tr>
      <w:tr w:rsidR="00E01F57" w:rsidRPr="00E01F57" w14:paraId="349313D6" w14:textId="77777777" w:rsidTr="00E01F57">
        <w:trPr>
          <w:trHeight w:val="300"/>
        </w:trPr>
        <w:tc>
          <w:tcPr>
            <w:tcW w:w="2340" w:type="dxa"/>
          </w:tcPr>
          <w:p w14:paraId="7FE95D08" w14:textId="77777777" w:rsidR="00E01F57" w:rsidRPr="00E01F57" w:rsidRDefault="00E01F57" w:rsidP="00E01F57">
            <w:pPr>
              <w:pStyle w:val="Tabletext"/>
            </w:pPr>
            <w:r w:rsidRPr="00E01F57">
              <w:t>Actividades paralelas</w:t>
            </w:r>
          </w:p>
        </w:tc>
        <w:tc>
          <w:tcPr>
            <w:tcW w:w="2236" w:type="dxa"/>
          </w:tcPr>
          <w:p w14:paraId="36A2FF08" w14:textId="77777777" w:rsidR="00E01F57" w:rsidRPr="00E01F57" w:rsidRDefault="00E01F57" w:rsidP="00E01F57">
            <w:pPr>
              <w:pStyle w:val="Tabletext"/>
              <w:jc w:val="center"/>
            </w:pPr>
            <w:r w:rsidRPr="00E01F57">
              <w:t>2</w:t>
            </w:r>
          </w:p>
        </w:tc>
        <w:tc>
          <w:tcPr>
            <w:tcW w:w="2242" w:type="dxa"/>
          </w:tcPr>
          <w:p w14:paraId="261EAAF4" w14:textId="77777777" w:rsidR="00E01F57" w:rsidRPr="00E01F57" w:rsidRDefault="00E01F57" w:rsidP="00E01F57">
            <w:pPr>
              <w:pStyle w:val="Tabletext"/>
              <w:jc w:val="center"/>
            </w:pPr>
          </w:p>
        </w:tc>
        <w:tc>
          <w:tcPr>
            <w:tcW w:w="2243" w:type="dxa"/>
          </w:tcPr>
          <w:p w14:paraId="01910C57" w14:textId="77777777" w:rsidR="00E01F57" w:rsidRPr="00E01F57" w:rsidRDefault="00E01F57" w:rsidP="00E01F57">
            <w:pPr>
              <w:pStyle w:val="Tabletext"/>
              <w:jc w:val="center"/>
            </w:pPr>
          </w:p>
        </w:tc>
      </w:tr>
      <w:tr w:rsidR="00E01F57" w:rsidRPr="00E01F57" w14:paraId="5F87651E" w14:textId="77777777" w:rsidTr="00E01F57">
        <w:trPr>
          <w:trHeight w:val="300"/>
        </w:trPr>
        <w:tc>
          <w:tcPr>
            <w:tcW w:w="2340" w:type="dxa"/>
          </w:tcPr>
          <w:p w14:paraId="096CD55C" w14:textId="77777777" w:rsidR="00E01F57" w:rsidRPr="00E01F57" w:rsidRDefault="00E01F57" w:rsidP="00E01F57">
            <w:pPr>
              <w:pStyle w:val="Tabletext"/>
            </w:pPr>
            <w:r w:rsidRPr="00E01F57">
              <w:t>Actividades sociales</w:t>
            </w:r>
          </w:p>
        </w:tc>
        <w:tc>
          <w:tcPr>
            <w:tcW w:w="2236" w:type="dxa"/>
          </w:tcPr>
          <w:p w14:paraId="2F41D685" w14:textId="77777777" w:rsidR="00E01F57" w:rsidRPr="00E01F57" w:rsidRDefault="00E01F57" w:rsidP="00E01F57">
            <w:pPr>
              <w:pStyle w:val="Tabletext"/>
              <w:jc w:val="center"/>
            </w:pPr>
            <w:r w:rsidRPr="00E01F57">
              <w:t>22</w:t>
            </w:r>
          </w:p>
        </w:tc>
        <w:tc>
          <w:tcPr>
            <w:tcW w:w="2242" w:type="dxa"/>
          </w:tcPr>
          <w:p w14:paraId="0BCF6EF8" w14:textId="77777777" w:rsidR="00E01F57" w:rsidRPr="00E01F57" w:rsidRDefault="00E01F57" w:rsidP="00E01F57">
            <w:pPr>
              <w:pStyle w:val="Tabletext"/>
              <w:jc w:val="center"/>
            </w:pPr>
          </w:p>
        </w:tc>
        <w:tc>
          <w:tcPr>
            <w:tcW w:w="2243" w:type="dxa"/>
          </w:tcPr>
          <w:p w14:paraId="2FE0D63B" w14:textId="77777777" w:rsidR="00E01F57" w:rsidRPr="00E01F57" w:rsidRDefault="00E01F57" w:rsidP="00E01F57">
            <w:pPr>
              <w:pStyle w:val="Tabletext"/>
              <w:jc w:val="center"/>
            </w:pPr>
          </w:p>
        </w:tc>
      </w:tr>
      <w:tr w:rsidR="00E01F57" w:rsidRPr="00E01F57" w14:paraId="1A8F1F18" w14:textId="77777777" w:rsidTr="00E01F57">
        <w:trPr>
          <w:trHeight w:val="300"/>
        </w:trPr>
        <w:tc>
          <w:tcPr>
            <w:tcW w:w="2340" w:type="dxa"/>
          </w:tcPr>
          <w:p w14:paraId="683F23A0" w14:textId="77777777" w:rsidR="00E01F57" w:rsidRPr="00E01F57" w:rsidRDefault="00E01F57" w:rsidP="00E01F57">
            <w:pPr>
              <w:pStyle w:val="Tabletext"/>
              <w:rPr>
                <w:b/>
                <w:bCs/>
              </w:rPr>
            </w:pPr>
            <w:r w:rsidRPr="00E01F57">
              <w:rPr>
                <w:b/>
                <w:bCs/>
              </w:rPr>
              <w:t>Total</w:t>
            </w:r>
          </w:p>
        </w:tc>
        <w:tc>
          <w:tcPr>
            <w:tcW w:w="2236" w:type="dxa"/>
          </w:tcPr>
          <w:p w14:paraId="59468CB0" w14:textId="77777777" w:rsidR="00E01F57" w:rsidRPr="00E01F57" w:rsidRDefault="00E01F57" w:rsidP="00E01F57">
            <w:pPr>
              <w:pStyle w:val="Tabletext"/>
              <w:jc w:val="center"/>
              <w:rPr>
                <w:b/>
                <w:bCs/>
              </w:rPr>
            </w:pPr>
            <w:r w:rsidRPr="00E01F57">
              <w:rPr>
                <w:b/>
                <w:bCs/>
              </w:rPr>
              <w:t>350</w:t>
            </w:r>
          </w:p>
        </w:tc>
        <w:tc>
          <w:tcPr>
            <w:tcW w:w="2242" w:type="dxa"/>
          </w:tcPr>
          <w:p w14:paraId="0290146F" w14:textId="77777777" w:rsidR="00E01F57" w:rsidRPr="00E01F57" w:rsidRDefault="00E01F57" w:rsidP="00E01F57">
            <w:pPr>
              <w:pStyle w:val="Tabletext"/>
              <w:jc w:val="center"/>
              <w:rPr>
                <w:b/>
                <w:bCs/>
              </w:rPr>
            </w:pPr>
            <w:r w:rsidRPr="00E01F57">
              <w:rPr>
                <w:b/>
                <w:bCs/>
              </w:rPr>
              <w:t>97</w:t>
            </w:r>
          </w:p>
        </w:tc>
        <w:tc>
          <w:tcPr>
            <w:tcW w:w="2243" w:type="dxa"/>
          </w:tcPr>
          <w:p w14:paraId="6C6C874A" w14:textId="003EAF86" w:rsidR="00E01F57" w:rsidRPr="00E01F57" w:rsidRDefault="00E01F57" w:rsidP="00E01F57">
            <w:pPr>
              <w:pStyle w:val="Tabletext"/>
              <w:jc w:val="center"/>
              <w:rPr>
                <w:b/>
                <w:bCs/>
              </w:rPr>
            </w:pPr>
            <w:r w:rsidRPr="00E01F57">
              <w:rPr>
                <w:b/>
                <w:bCs/>
              </w:rPr>
              <w:t>1</w:t>
            </w:r>
            <w:r>
              <w:rPr>
                <w:b/>
                <w:bCs/>
              </w:rPr>
              <w:t> </w:t>
            </w:r>
            <w:r w:rsidRPr="00E01F57">
              <w:rPr>
                <w:b/>
                <w:bCs/>
              </w:rPr>
              <w:t>466</w:t>
            </w:r>
          </w:p>
        </w:tc>
      </w:tr>
    </w:tbl>
    <w:p w14:paraId="7FA893D6" w14:textId="77777777" w:rsidR="00E01F57" w:rsidRPr="00E01F57" w:rsidRDefault="00E01F57" w:rsidP="00195A6E">
      <w:pPr>
        <w:pStyle w:val="Tablelegend"/>
      </w:pPr>
      <w:r w:rsidRPr="00E01F57">
        <w:t xml:space="preserve">Cuadro 4: Número de </w:t>
      </w:r>
      <w:r w:rsidRPr="00E01F57">
        <w:rPr>
          <w:b/>
          <w:bCs/>
        </w:rPr>
        <w:t xml:space="preserve">SESIONES DE REUNIONES </w:t>
      </w:r>
      <w:r w:rsidRPr="00E01F57">
        <w:t xml:space="preserve">totalmente presenciales, totalmente virtuales y presenciales con participación a distancia (PD) celebradas entre el 15 de octubre de 2022 y el 29 de marzo de 2023 (datos actualizados el 20 de abril de 2023 a las 16.00 horas) y desglosadas además por </w:t>
      </w:r>
      <w:r w:rsidRPr="00E01F57">
        <w:rPr>
          <w:b/>
          <w:bCs/>
        </w:rPr>
        <w:t>TIPO DE REUNIÓN</w:t>
      </w:r>
      <w:r w:rsidRPr="00E01F57">
        <w:t>.</w:t>
      </w:r>
    </w:p>
    <w:p w14:paraId="013C7AD2" w14:textId="77777777" w:rsidR="00E01F57" w:rsidRPr="00E01F57" w:rsidRDefault="00E01F57" w:rsidP="00E01F57">
      <w:r w:rsidRPr="00E01F57">
        <w:br w:type="page"/>
      </w:r>
    </w:p>
    <w:p w14:paraId="08408A5B" w14:textId="77777777" w:rsidR="00E01F57" w:rsidRPr="00E01F57" w:rsidRDefault="00E01F57" w:rsidP="00E01F57">
      <w:pPr>
        <w:pStyle w:val="AnnexNo"/>
      </w:pPr>
      <w:bookmarkStart w:id="3" w:name="Annex2"/>
      <w:r w:rsidRPr="00E01F57">
        <w:lastRenderedPageBreak/>
        <w:t>Anexo 2</w:t>
      </w:r>
      <w:bookmarkEnd w:id="3"/>
    </w:p>
    <w:p w14:paraId="2F088427" w14:textId="77777777" w:rsidR="00E01F57" w:rsidRPr="00E01F57" w:rsidRDefault="00E01F57" w:rsidP="00E01F57">
      <w:pPr>
        <w:pStyle w:val="Annextitle"/>
      </w:pPr>
      <w:r w:rsidRPr="00E01F57">
        <w:t xml:space="preserve">Número de Estados Miembros que participaron en eventos de la UIT </w:t>
      </w:r>
      <w:r w:rsidRPr="00E01F57">
        <w:br/>
        <w:t>entre 2018 y 2022</w:t>
      </w:r>
    </w:p>
    <w:p w14:paraId="74C288E5" w14:textId="77777777" w:rsidR="00E01F57" w:rsidRDefault="00E01F57" w:rsidP="00E01F57">
      <w:r w:rsidRPr="00E01F57">
        <w:t>(1) Número de Estados Miembros por indicador de desarrollo</w:t>
      </w:r>
    </w:p>
    <w:p w14:paraId="42CFEE88" w14:textId="4796368A" w:rsidR="00C7553D" w:rsidRPr="00C7553D" w:rsidRDefault="00C7553D" w:rsidP="00C7553D">
      <w:pPr>
        <w:pStyle w:val="Figure"/>
      </w:pPr>
      <w:r>
        <w:rPr>
          <w:noProof/>
        </w:rPr>
        <w:drawing>
          <wp:inline distT="0" distB="0" distL="0" distR="0" wp14:anchorId="0692C239" wp14:editId="68B71EC7">
            <wp:extent cx="5760000" cy="198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1983600"/>
                    </a:xfrm>
                    <a:prstGeom prst="rect">
                      <a:avLst/>
                    </a:prstGeom>
                    <a:noFill/>
                  </pic:spPr>
                </pic:pic>
              </a:graphicData>
            </a:graphic>
          </wp:inline>
        </w:drawing>
      </w:r>
    </w:p>
    <w:p w14:paraId="4B13AE1E" w14:textId="77777777" w:rsidR="00E01F57" w:rsidRDefault="00E01F57" w:rsidP="00AE0EBA">
      <w:pPr>
        <w:pStyle w:val="Normalaftertitle"/>
      </w:pPr>
      <w:r w:rsidRPr="00E01F57">
        <w:t>(2) Número de participantes de los tres grupos de países</w:t>
      </w:r>
    </w:p>
    <w:p w14:paraId="3AC94DF2" w14:textId="11C162D8" w:rsidR="0044718D" w:rsidRPr="0044718D" w:rsidRDefault="0044718D" w:rsidP="0044718D">
      <w:pPr>
        <w:pStyle w:val="Figure"/>
      </w:pPr>
      <w:r>
        <w:rPr>
          <w:noProof/>
        </w:rPr>
        <w:drawing>
          <wp:inline distT="0" distB="0" distL="0" distR="0" wp14:anchorId="224B4412" wp14:editId="42F9ADBE">
            <wp:extent cx="5760000" cy="1980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1980000"/>
                    </a:xfrm>
                    <a:prstGeom prst="rect">
                      <a:avLst/>
                    </a:prstGeom>
                    <a:noFill/>
                  </pic:spPr>
                </pic:pic>
              </a:graphicData>
            </a:graphic>
          </wp:inline>
        </w:drawing>
      </w:r>
    </w:p>
    <w:p w14:paraId="4AD4856C" w14:textId="7E2154A1" w:rsidR="00E01F57" w:rsidRPr="00E01F57" w:rsidRDefault="00E01F57" w:rsidP="00AE0EBA">
      <w:pPr>
        <w:pStyle w:val="Figurelegend"/>
        <w:keepNext w:val="0"/>
        <w:keepLines w:val="0"/>
        <w:tabs>
          <w:tab w:val="clear" w:pos="567"/>
          <w:tab w:val="left" w:pos="284"/>
        </w:tabs>
      </w:pPr>
      <w:r w:rsidRPr="00E01F57">
        <w:t>*</w:t>
      </w:r>
      <w:r w:rsidR="00AE0EBA">
        <w:tab/>
      </w:r>
      <w:r w:rsidRPr="00E01F57">
        <w:t>Datos de los sistemas EDRS (2018, 2019) y CRM (2018 a 2022) para los eventos celebrados entre el 15 de enero de 2018 y el 31 de diciembre de 2022</w:t>
      </w:r>
    </w:p>
    <w:p w14:paraId="560F68FC" w14:textId="464E162A" w:rsidR="00E01F57" w:rsidRPr="00E01F57" w:rsidRDefault="00E01F57" w:rsidP="00AE0EBA">
      <w:pPr>
        <w:pStyle w:val="Normalaftertitle"/>
        <w:keepNext/>
        <w:keepLines/>
      </w:pPr>
      <w:r w:rsidRPr="00E01F57">
        <w:lastRenderedPageBreak/>
        <w:t>(3) Número de participantes de los tres grupos de países, desglosados a su vez en participantes a distancia reales, participantes presenciales y participantes presenciales pero conectados a la plataforma de ciberconferencias</w:t>
      </w:r>
    </w:p>
    <w:p w14:paraId="18B4C65F" w14:textId="7E08DFB7" w:rsidR="009D0C37" w:rsidRDefault="00FD4BD6" w:rsidP="00AE0EBA">
      <w:pPr>
        <w:pStyle w:val="Figure"/>
        <w:keepNext w:val="0"/>
        <w:keepLines w:val="0"/>
        <w:jc w:val="left"/>
      </w:pPr>
      <w:r>
        <w:rPr>
          <w:noProof/>
        </w:rPr>
        <w:drawing>
          <wp:inline distT="0" distB="0" distL="0" distR="0" wp14:anchorId="208C8BE7" wp14:editId="35D63CF0">
            <wp:extent cx="3124800" cy="25632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800" cy="2563200"/>
                    </a:xfrm>
                    <a:prstGeom prst="rect">
                      <a:avLst/>
                    </a:prstGeom>
                    <a:noFill/>
                  </pic:spPr>
                </pic:pic>
              </a:graphicData>
            </a:graphic>
          </wp:inline>
        </w:drawing>
      </w:r>
    </w:p>
    <w:p w14:paraId="0206DBDC" w14:textId="51695DB5" w:rsidR="00FD4BD6" w:rsidRDefault="00FD4BD6" w:rsidP="00AE0EBA">
      <w:pPr>
        <w:pStyle w:val="Figure"/>
        <w:jc w:val="left"/>
        <w:rPr>
          <w:noProof/>
        </w:rPr>
      </w:pPr>
      <w:r>
        <w:rPr>
          <w:noProof/>
        </w:rPr>
        <w:drawing>
          <wp:inline distT="0" distB="0" distL="0" distR="0" wp14:anchorId="4EDE2474" wp14:editId="523CC716">
            <wp:extent cx="3124800" cy="237240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800" cy="2372400"/>
                    </a:xfrm>
                    <a:prstGeom prst="rect">
                      <a:avLst/>
                    </a:prstGeom>
                    <a:noFill/>
                  </pic:spPr>
                </pic:pic>
              </a:graphicData>
            </a:graphic>
          </wp:inline>
        </w:drawing>
      </w:r>
    </w:p>
    <w:p w14:paraId="4E0F385F" w14:textId="591EBBBB" w:rsidR="00FD4BD6" w:rsidRDefault="000D0ABD" w:rsidP="00AE0EBA">
      <w:pPr>
        <w:pStyle w:val="Figure"/>
        <w:jc w:val="left"/>
        <w:rPr>
          <w:noProof/>
        </w:rPr>
      </w:pPr>
      <w:r>
        <w:rPr>
          <w:noProof/>
        </w:rPr>
        <w:drawing>
          <wp:inline distT="0" distB="0" distL="0" distR="0" wp14:anchorId="7ACE3DCD" wp14:editId="0B14E960">
            <wp:extent cx="3124800" cy="233640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4800" cy="2336400"/>
                    </a:xfrm>
                    <a:prstGeom prst="rect">
                      <a:avLst/>
                    </a:prstGeom>
                    <a:noFill/>
                  </pic:spPr>
                </pic:pic>
              </a:graphicData>
            </a:graphic>
          </wp:inline>
        </w:drawing>
      </w:r>
    </w:p>
    <w:p w14:paraId="21A52E50" w14:textId="77777777" w:rsidR="00E01F57" w:rsidRDefault="00E01F57" w:rsidP="00411C49">
      <w:pPr>
        <w:pStyle w:val="Reasons"/>
      </w:pPr>
    </w:p>
    <w:p w14:paraId="58EE6DCE" w14:textId="77777777" w:rsidR="00E01F57" w:rsidRDefault="00E01F57">
      <w:pPr>
        <w:jc w:val="center"/>
      </w:pPr>
      <w:r>
        <w:t>______________</w:t>
      </w:r>
    </w:p>
    <w:sectPr w:rsidR="00E01F57"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D2E5" w14:textId="77777777" w:rsidR="008A4BD5" w:rsidRDefault="008A4BD5">
      <w:r>
        <w:separator/>
      </w:r>
    </w:p>
  </w:endnote>
  <w:endnote w:type="continuationSeparator" w:id="0">
    <w:p w14:paraId="3381421B" w14:textId="77777777" w:rsidR="008A4BD5" w:rsidRDefault="008A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023E8B4" w14:textId="77777777" w:rsidTr="00E31DCE">
      <w:trPr>
        <w:jc w:val="center"/>
      </w:trPr>
      <w:tc>
        <w:tcPr>
          <w:tcW w:w="1803" w:type="dxa"/>
          <w:vAlign w:val="center"/>
        </w:tcPr>
        <w:p w14:paraId="0A3F25DE" w14:textId="5A5EED54" w:rsidR="003273A4" w:rsidRDefault="003273A4" w:rsidP="003273A4">
          <w:pPr>
            <w:pStyle w:val="Header"/>
            <w:jc w:val="left"/>
            <w:rPr>
              <w:noProof/>
            </w:rPr>
          </w:pPr>
          <w:r>
            <w:rPr>
              <w:noProof/>
            </w:rPr>
            <w:t xml:space="preserve">DPS </w:t>
          </w:r>
          <w:r w:rsidR="00E01F57">
            <w:rPr>
              <w:noProof/>
            </w:rPr>
            <w:t>521088</w:t>
          </w:r>
        </w:p>
      </w:tc>
      <w:tc>
        <w:tcPr>
          <w:tcW w:w="8261" w:type="dxa"/>
        </w:tcPr>
        <w:p w14:paraId="339C598B" w14:textId="6EF58B02"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01F57">
            <w:rPr>
              <w:bCs/>
            </w:rPr>
            <w:t>54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CA2E9E4" w14:textId="3EE8298F" w:rsidR="00760F1C" w:rsidRPr="00E01F57" w:rsidRDefault="00E01F57" w:rsidP="00E01F57">
    <w:pPr>
      <w:pStyle w:val="Footer"/>
      <w:spacing w:before="120"/>
      <w:rPr>
        <w:lang w:val="fr-FR"/>
      </w:rPr>
    </w:pPr>
    <w:r w:rsidRPr="0078420A">
      <w:rPr>
        <w:color w:val="F2F2F2" w:themeColor="background1" w:themeShade="F2"/>
      </w:rPr>
      <w:fldChar w:fldCharType="begin"/>
    </w:r>
    <w:r w:rsidRPr="0078420A">
      <w:rPr>
        <w:color w:val="F2F2F2" w:themeColor="background1" w:themeShade="F2"/>
        <w:lang w:val="fr-FR"/>
      </w:rPr>
      <w:instrText xml:space="preserve"> FILENAME \p  \* MERGEFORMAT </w:instrText>
    </w:r>
    <w:r w:rsidRPr="0078420A">
      <w:rPr>
        <w:color w:val="F2F2F2" w:themeColor="background1" w:themeShade="F2"/>
      </w:rPr>
      <w:fldChar w:fldCharType="separate"/>
    </w:r>
    <w:r w:rsidR="006F30B1" w:rsidRPr="0078420A">
      <w:rPr>
        <w:color w:val="F2F2F2" w:themeColor="background1" w:themeShade="F2"/>
        <w:lang w:val="fr-FR"/>
      </w:rPr>
      <w:t>P:\ESP\SG\CONSEIL\C23\000\054V2S.docx</w:t>
    </w:r>
    <w:r w:rsidRPr="0078420A">
      <w:rPr>
        <w:color w:val="F2F2F2" w:themeColor="background1" w:themeShade="F2"/>
      </w:rPr>
      <w:fldChar w:fldCharType="end"/>
    </w:r>
    <w:r w:rsidRPr="0078420A">
      <w:rPr>
        <w:color w:val="F2F2F2" w:themeColor="background1" w:themeShade="F2"/>
        <w:lang w:val="fr-FR"/>
      </w:rPr>
      <w:t xml:space="preserve"> (521088)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B8C2216" w14:textId="77777777" w:rsidTr="00E31DCE">
      <w:trPr>
        <w:jc w:val="center"/>
      </w:trPr>
      <w:tc>
        <w:tcPr>
          <w:tcW w:w="1803" w:type="dxa"/>
          <w:vAlign w:val="center"/>
        </w:tcPr>
        <w:p w14:paraId="4A4D5AF7" w14:textId="77777777" w:rsidR="00F24B71" w:rsidRDefault="0078420A" w:rsidP="00F24B71">
          <w:pPr>
            <w:pStyle w:val="Header"/>
            <w:jc w:val="left"/>
            <w:rPr>
              <w:noProof/>
            </w:rPr>
          </w:pPr>
          <w:hyperlink r:id="rId1" w:history="1">
            <w:r w:rsidR="00F24B71" w:rsidRPr="00A514A4">
              <w:rPr>
                <w:rStyle w:val="Hyperlink"/>
                <w:szCs w:val="14"/>
              </w:rPr>
              <w:t>www.itu.int/council</w:t>
            </w:r>
          </w:hyperlink>
        </w:p>
      </w:tc>
      <w:tc>
        <w:tcPr>
          <w:tcW w:w="8261" w:type="dxa"/>
        </w:tcPr>
        <w:p w14:paraId="14A791AC" w14:textId="18592C87"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01F57">
            <w:rPr>
              <w:bCs/>
            </w:rPr>
            <w:t>54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A04A572" w14:textId="06C51AF4" w:rsidR="00760F1C" w:rsidRPr="00E01F57" w:rsidRDefault="00E01F57" w:rsidP="00E01F57">
    <w:pPr>
      <w:pStyle w:val="Footer"/>
      <w:spacing w:before="120"/>
      <w:rPr>
        <w:lang w:val="fr-FR"/>
      </w:rPr>
    </w:pPr>
    <w:r w:rsidRPr="0078420A">
      <w:rPr>
        <w:color w:val="F2F2F2" w:themeColor="background1" w:themeShade="F2"/>
      </w:rPr>
      <w:fldChar w:fldCharType="begin"/>
    </w:r>
    <w:r w:rsidRPr="0078420A">
      <w:rPr>
        <w:color w:val="F2F2F2" w:themeColor="background1" w:themeShade="F2"/>
        <w:lang w:val="fr-FR"/>
      </w:rPr>
      <w:instrText xml:space="preserve"> FILENAME \p  \* MERGEFORMAT </w:instrText>
    </w:r>
    <w:r w:rsidRPr="0078420A">
      <w:rPr>
        <w:color w:val="F2F2F2" w:themeColor="background1" w:themeShade="F2"/>
      </w:rPr>
      <w:fldChar w:fldCharType="separate"/>
    </w:r>
    <w:r w:rsidR="006F30B1" w:rsidRPr="0078420A">
      <w:rPr>
        <w:color w:val="F2F2F2" w:themeColor="background1" w:themeShade="F2"/>
        <w:lang w:val="fr-FR"/>
      </w:rPr>
      <w:t>P:\ESP\SG\CONSEIL\C23\000\054V2S.docx</w:t>
    </w:r>
    <w:r w:rsidRPr="0078420A">
      <w:rPr>
        <w:color w:val="F2F2F2" w:themeColor="background1" w:themeShade="F2"/>
      </w:rPr>
      <w:fldChar w:fldCharType="end"/>
    </w:r>
    <w:r w:rsidRPr="0078420A">
      <w:rPr>
        <w:color w:val="F2F2F2" w:themeColor="background1" w:themeShade="F2"/>
        <w:lang w:val="fr-FR"/>
      </w:rPr>
      <w:t xml:space="preserve"> (521088)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06C4" w14:textId="77777777" w:rsidR="008A4BD5" w:rsidRDefault="008A4BD5">
      <w:r>
        <w:t>____________________</w:t>
      </w:r>
    </w:p>
  </w:footnote>
  <w:footnote w:type="continuationSeparator" w:id="0">
    <w:p w14:paraId="7B3D4F78" w14:textId="77777777" w:rsidR="008A4BD5" w:rsidRDefault="008A4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3B56EF9D" w14:textId="77777777" w:rsidTr="00E31DCE">
      <w:trPr>
        <w:trHeight w:val="1104"/>
        <w:jc w:val="center"/>
      </w:trPr>
      <w:tc>
        <w:tcPr>
          <w:tcW w:w="4390" w:type="dxa"/>
          <w:vAlign w:val="center"/>
        </w:tcPr>
        <w:p w14:paraId="3CE51C29"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0A9CD271" wp14:editId="3D420208">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C761E4C" w14:textId="77777777" w:rsidR="001559F5" w:rsidRDefault="001559F5" w:rsidP="001559F5">
          <w:pPr>
            <w:pStyle w:val="Header"/>
            <w:jc w:val="right"/>
            <w:rPr>
              <w:rFonts w:ascii="Arial" w:hAnsi="Arial" w:cs="Arial"/>
              <w:b/>
              <w:bCs/>
              <w:color w:val="009CD6"/>
              <w:szCs w:val="18"/>
            </w:rPr>
          </w:pPr>
        </w:p>
        <w:p w14:paraId="1A751570" w14:textId="77777777" w:rsidR="001559F5" w:rsidRDefault="001559F5" w:rsidP="001559F5">
          <w:pPr>
            <w:pStyle w:val="Header"/>
            <w:jc w:val="right"/>
            <w:rPr>
              <w:rFonts w:ascii="Arial" w:hAnsi="Arial" w:cs="Arial"/>
              <w:b/>
              <w:bCs/>
              <w:color w:val="009CD6"/>
              <w:szCs w:val="18"/>
            </w:rPr>
          </w:pPr>
        </w:p>
        <w:p w14:paraId="18C43CA3"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11332EE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54C39A" wp14:editId="56E0A47D">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087C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3E0A"/>
    <w:multiLevelType w:val="hybridMultilevel"/>
    <w:tmpl w:val="84507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77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D5"/>
    <w:rsid w:val="000007D1"/>
    <w:rsid w:val="00093EEB"/>
    <w:rsid w:val="000B0D00"/>
    <w:rsid w:val="000B7C15"/>
    <w:rsid w:val="000C6258"/>
    <w:rsid w:val="000D0ABD"/>
    <w:rsid w:val="000D1D0F"/>
    <w:rsid w:val="000F5290"/>
    <w:rsid w:val="0010165C"/>
    <w:rsid w:val="00146BFB"/>
    <w:rsid w:val="001559F5"/>
    <w:rsid w:val="00195A6E"/>
    <w:rsid w:val="001F14A2"/>
    <w:rsid w:val="00272C7F"/>
    <w:rsid w:val="002801AA"/>
    <w:rsid w:val="002C4676"/>
    <w:rsid w:val="002C70B0"/>
    <w:rsid w:val="002F3CC4"/>
    <w:rsid w:val="003273A4"/>
    <w:rsid w:val="0044718D"/>
    <w:rsid w:val="00465C25"/>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F30B1"/>
    <w:rsid w:val="00726872"/>
    <w:rsid w:val="00760F1C"/>
    <w:rsid w:val="007657F0"/>
    <w:rsid w:val="0077252D"/>
    <w:rsid w:val="0078420A"/>
    <w:rsid w:val="007955DA"/>
    <w:rsid w:val="007A5F44"/>
    <w:rsid w:val="007E5DD3"/>
    <w:rsid w:val="007F350B"/>
    <w:rsid w:val="00820BE4"/>
    <w:rsid w:val="008451E8"/>
    <w:rsid w:val="008A4BD5"/>
    <w:rsid w:val="008B7AB4"/>
    <w:rsid w:val="00913B9C"/>
    <w:rsid w:val="00927F93"/>
    <w:rsid w:val="00943E75"/>
    <w:rsid w:val="00956E77"/>
    <w:rsid w:val="009D0C37"/>
    <w:rsid w:val="009F4811"/>
    <w:rsid w:val="00AA390C"/>
    <w:rsid w:val="00AE0EBA"/>
    <w:rsid w:val="00B0200A"/>
    <w:rsid w:val="00B574DB"/>
    <w:rsid w:val="00B826C2"/>
    <w:rsid w:val="00B8298E"/>
    <w:rsid w:val="00BD0723"/>
    <w:rsid w:val="00BD2518"/>
    <w:rsid w:val="00BF1D1C"/>
    <w:rsid w:val="00C20C59"/>
    <w:rsid w:val="00C2727F"/>
    <w:rsid w:val="00C538FC"/>
    <w:rsid w:val="00C55B1F"/>
    <w:rsid w:val="00C7553D"/>
    <w:rsid w:val="00CE28AF"/>
    <w:rsid w:val="00CF1A67"/>
    <w:rsid w:val="00D2750E"/>
    <w:rsid w:val="00D50A36"/>
    <w:rsid w:val="00D62446"/>
    <w:rsid w:val="00DA4EA2"/>
    <w:rsid w:val="00DC3D3E"/>
    <w:rsid w:val="00DE2C90"/>
    <w:rsid w:val="00DE3B24"/>
    <w:rsid w:val="00E01F57"/>
    <w:rsid w:val="00E06947"/>
    <w:rsid w:val="00E34072"/>
    <w:rsid w:val="00E3592D"/>
    <w:rsid w:val="00E92DE8"/>
    <w:rsid w:val="00EB1212"/>
    <w:rsid w:val="00ED65AB"/>
    <w:rsid w:val="00F12850"/>
    <w:rsid w:val="00F24B71"/>
    <w:rsid w:val="00F33BF4"/>
    <w:rsid w:val="00F7105E"/>
    <w:rsid w:val="00F75F57"/>
    <w:rsid w:val="00F82FEE"/>
    <w:rsid w:val="00FD4BD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22CD1"/>
  <w15:docId w15:val="{23C76784-D16B-4FC6-934F-38C1E758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AE0EBA"/>
    <w:pPr>
      <w:keepNext/>
      <w:keepLines/>
      <w:spacing w:before="20" w:after="20"/>
    </w:pPr>
    <w:rPr>
      <w:sz w:val="20"/>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F57"/>
    <w:rPr>
      <w:color w:val="605E5C"/>
      <w:shd w:val="clear" w:color="auto" w:fill="E1DFDD"/>
    </w:rPr>
  </w:style>
  <w:style w:type="table" w:styleId="TableGridLight">
    <w:name w:val="Grid Table Light"/>
    <w:basedOn w:val="TableNormal"/>
    <w:uiPriority w:val="40"/>
    <w:rsid w:val="00E01F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B7AB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64/e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2-PP-C-0064/e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ceb.org/virtual-events-interpretatio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itu.int/en/council/Documents/basic-texts-2023/RES-167-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PP-C-0064/es"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7B00-8720-4CC8-B048-E786A5D7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10</Pages>
  <Words>2377</Words>
  <Characters>12984</Characters>
  <Application>Microsoft Office Word</Application>
  <DocSecurity>4</DocSecurity>
  <Lines>108</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15331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aplicaci髇 de la Resoluci髇 167 (Rev. Bucarest, 2022) de la Conferencia de Plenipotenciarios</dc:title>
  <dc:subject>Consejo 2023</dc:subject>
  <dc:creator>Spanish83</dc:creator>
  <cp:keywords>C2023, C23, Council-23</cp:keywords>
  <dc:description/>
  <cp:lastModifiedBy>Xue, Kun</cp:lastModifiedBy>
  <cp:revision>2</cp:revision>
  <cp:lastPrinted>2006-03-24T09:51:00Z</cp:lastPrinted>
  <dcterms:created xsi:type="dcterms:W3CDTF">2023-06-14T08:21:00Z</dcterms:created>
  <dcterms:modified xsi:type="dcterms:W3CDTF">2023-06-14T08:21:00Z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