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13AF9" w14:paraId="2592CC74" w14:textId="77777777" w:rsidTr="00D72F49">
        <w:trPr>
          <w:cantSplit/>
          <w:trHeight w:val="23"/>
        </w:trPr>
        <w:tc>
          <w:tcPr>
            <w:tcW w:w="3969" w:type="dxa"/>
            <w:vMerge w:val="restart"/>
            <w:tcMar>
              <w:left w:w="0" w:type="dxa"/>
            </w:tcMar>
          </w:tcPr>
          <w:p w14:paraId="27E56DEB" w14:textId="42334075" w:rsidR="00D72F49" w:rsidRPr="00513AF9" w:rsidRDefault="00D72F49" w:rsidP="006C48A1">
            <w:pPr>
              <w:tabs>
                <w:tab w:val="left" w:pos="851"/>
              </w:tabs>
              <w:spacing w:before="0"/>
              <w:rPr>
                <w:b/>
              </w:rPr>
            </w:pPr>
            <w:r w:rsidRPr="00513AF9">
              <w:rPr>
                <w:b/>
              </w:rPr>
              <w:t xml:space="preserve">Point de l'ordre du </w:t>
            </w:r>
            <w:proofErr w:type="gramStart"/>
            <w:r w:rsidRPr="00513AF9">
              <w:rPr>
                <w:b/>
              </w:rPr>
              <w:t>jour:</w:t>
            </w:r>
            <w:proofErr w:type="gramEnd"/>
            <w:r w:rsidRPr="00513AF9">
              <w:rPr>
                <w:b/>
              </w:rPr>
              <w:t xml:space="preserve"> </w:t>
            </w:r>
            <w:r w:rsidR="00174013" w:rsidRPr="00513AF9">
              <w:rPr>
                <w:b/>
              </w:rPr>
              <w:t>ADM 3</w:t>
            </w:r>
          </w:p>
        </w:tc>
        <w:tc>
          <w:tcPr>
            <w:tcW w:w="5245" w:type="dxa"/>
          </w:tcPr>
          <w:p w14:paraId="27B6A98A" w14:textId="74595F39" w:rsidR="00D72F49" w:rsidRPr="00513AF9" w:rsidRDefault="00D72F49" w:rsidP="006C48A1">
            <w:pPr>
              <w:tabs>
                <w:tab w:val="left" w:pos="851"/>
              </w:tabs>
              <w:spacing w:before="0"/>
              <w:jc w:val="right"/>
              <w:rPr>
                <w:b/>
              </w:rPr>
            </w:pPr>
            <w:r w:rsidRPr="00513AF9">
              <w:rPr>
                <w:b/>
              </w:rPr>
              <w:t>Document C23/</w:t>
            </w:r>
            <w:r w:rsidR="00174013" w:rsidRPr="00513AF9">
              <w:rPr>
                <w:b/>
              </w:rPr>
              <w:t>54</w:t>
            </w:r>
            <w:r w:rsidRPr="00513AF9">
              <w:rPr>
                <w:b/>
              </w:rPr>
              <w:t>-F</w:t>
            </w:r>
          </w:p>
        </w:tc>
      </w:tr>
      <w:tr w:rsidR="00D72F49" w:rsidRPr="00513AF9" w14:paraId="41096C77" w14:textId="77777777" w:rsidTr="00D72F49">
        <w:trPr>
          <w:cantSplit/>
        </w:trPr>
        <w:tc>
          <w:tcPr>
            <w:tcW w:w="3969" w:type="dxa"/>
            <w:vMerge/>
          </w:tcPr>
          <w:p w14:paraId="0BBA5643" w14:textId="77777777" w:rsidR="00D72F49" w:rsidRPr="00513AF9" w:rsidRDefault="00D72F49" w:rsidP="006C48A1">
            <w:pPr>
              <w:tabs>
                <w:tab w:val="left" w:pos="851"/>
              </w:tabs>
              <w:rPr>
                <w:b/>
              </w:rPr>
            </w:pPr>
          </w:p>
        </w:tc>
        <w:tc>
          <w:tcPr>
            <w:tcW w:w="5245" w:type="dxa"/>
          </w:tcPr>
          <w:p w14:paraId="068BECD5" w14:textId="547A7DFB" w:rsidR="00D72F49" w:rsidRPr="00513AF9" w:rsidRDefault="00174013" w:rsidP="006C48A1">
            <w:pPr>
              <w:tabs>
                <w:tab w:val="left" w:pos="851"/>
              </w:tabs>
              <w:spacing w:before="0"/>
              <w:jc w:val="right"/>
              <w:rPr>
                <w:b/>
              </w:rPr>
            </w:pPr>
            <w:r w:rsidRPr="00513AF9">
              <w:rPr>
                <w:b/>
              </w:rPr>
              <w:t>16 mai</w:t>
            </w:r>
            <w:r w:rsidR="00D72F49" w:rsidRPr="00513AF9">
              <w:rPr>
                <w:b/>
              </w:rPr>
              <w:t xml:space="preserve"> 2023</w:t>
            </w:r>
          </w:p>
        </w:tc>
      </w:tr>
      <w:tr w:rsidR="00D72F49" w:rsidRPr="00513AF9" w14:paraId="17E5B988" w14:textId="77777777" w:rsidTr="00D72F49">
        <w:trPr>
          <w:cantSplit/>
          <w:trHeight w:val="23"/>
        </w:trPr>
        <w:tc>
          <w:tcPr>
            <w:tcW w:w="3969" w:type="dxa"/>
            <w:vMerge/>
          </w:tcPr>
          <w:p w14:paraId="2192D6D7" w14:textId="77777777" w:rsidR="00D72F49" w:rsidRPr="00513AF9" w:rsidRDefault="00D72F49" w:rsidP="006C48A1">
            <w:pPr>
              <w:tabs>
                <w:tab w:val="left" w:pos="851"/>
              </w:tabs>
              <w:rPr>
                <w:b/>
              </w:rPr>
            </w:pPr>
          </w:p>
        </w:tc>
        <w:tc>
          <w:tcPr>
            <w:tcW w:w="5245" w:type="dxa"/>
          </w:tcPr>
          <w:p w14:paraId="1948C622" w14:textId="77777777" w:rsidR="00D72F49" w:rsidRPr="00513AF9" w:rsidRDefault="00D72F49" w:rsidP="006C48A1">
            <w:pPr>
              <w:tabs>
                <w:tab w:val="left" w:pos="851"/>
              </w:tabs>
              <w:spacing w:before="0"/>
              <w:jc w:val="right"/>
              <w:rPr>
                <w:b/>
              </w:rPr>
            </w:pPr>
            <w:proofErr w:type="gramStart"/>
            <w:r w:rsidRPr="00513AF9">
              <w:rPr>
                <w:b/>
              </w:rPr>
              <w:t>Original:</w:t>
            </w:r>
            <w:proofErr w:type="gramEnd"/>
            <w:r w:rsidRPr="00513AF9">
              <w:rPr>
                <w:b/>
              </w:rPr>
              <w:t xml:space="preserve"> anglais</w:t>
            </w:r>
          </w:p>
        </w:tc>
      </w:tr>
      <w:tr w:rsidR="00D72F49" w:rsidRPr="00513AF9" w14:paraId="53623BEE" w14:textId="77777777" w:rsidTr="00D72F49">
        <w:trPr>
          <w:cantSplit/>
          <w:trHeight w:val="23"/>
        </w:trPr>
        <w:tc>
          <w:tcPr>
            <w:tcW w:w="3969" w:type="dxa"/>
          </w:tcPr>
          <w:p w14:paraId="630B4C34" w14:textId="77777777" w:rsidR="00D72F49" w:rsidRPr="00513AF9" w:rsidRDefault="00D72F49" w:rsidP="006C48A1">
            <w:pPr>
              <w:tabs>
                <w:tab w:val="left" w:pos="851"/>
              </w:tabs>
              <w:rPr>
                <w:b/>
              </w:rPr>
            </w:pPr>
          </w:p>
        </w:tc>
        <w:tc>
          <w:tcPr>
            <w:tcW w:w="5245" w:type="dxa"/>
          </w:tcPr>
          <w:p w14:paraId="437750C4" w14:textId="77777777" w:rsidR="00D72F49" w:rsidRPr="00513AF9" w:rsidRDefault="00D72F49" w:rsidP="006C48A1">
            <w:pPr>
              <w:tabs>
                <w:tab w:val="left" w:pos="851"/>
              </w:tabs>
              <w:spacing w:before="0"/>
              <w:jc w:val="right"/>
              <w:rPr>
                <w:b/>
              </w:rPr>
            </w:pPr>
          </w:p>
        </w:tc>
      </w:tr>
      <w:tr w:rsidR="00D72F49" w:rsidRPr="00513AF9" w14:paraId="31FFA2A5" w14:textId="77777777" w:rsidTr="00D72F49">
        <w:trPr>
          <w:cantSplit/>
        </w:trPr>
        <w:tc>
          <w:tcPr>
            <w:tcW w:w="9214" w:type="dxa"/>
            <w:gridSpan w:val="2"/>
            <w:tcMar>
              <w:left w:w="0" w:type="dxa"/>
            </w:tcMar>
          </w:tcPr>
          <w:p w14:paraId="7AA1F34C" w14:textId="7A3FF5C0" w:rsidR="00D72F49" w:rsidRPr="00513AF9" w:rsidRDefault="00D72F49" w:rsidP="006C48A1">
            <w:pPr>
              <w:pStyle w:val="Source"/>
              <w:jc w:val="left"/>
              <w:rPr>
                <w:sz w:val="34"/>
                <w:szCs w:val="34"/>
              </w:rPr>
            </w:pPr>
            <w:r w:rsidRPr="00513AF9">
              <w:rPr>
                <w:rFonts w:cstheme="minorHAnsi"/>
                <w:color w:val="000000"/>
                <w:sz w:val="34"/>
                <w:szCs w:val="34"/>
              </w:rPr>
              <w:t xml:space="preserve">Rapport </w:t>
            </w:r>
            <w:r w:rsidR="00E95647" w:rsidRPr="00513AF9">
              <w:rPr>
                <w:rFonts w:cstheme="minorHAnsi"/>
                <w:color w:val="000000"/>
                <w:sz w:val="34"/>
                <w:szCs w:val="34"/>
              </w:rPr>
              <w:t xml:space="preserve">de la </w:t>
            </w:r>
            <w:r w:rsidRPr="00513AF9">
              <w:rPr>
                <w:rFonts w:cstheme="minorHAnsi"/>
                <w:color w:val="000000"/>
                <w:sz w:val="34"/>
                <w:szCs w:val="34"/>
              </w:rPr>
              <w:t>Secrétaire général</w:t>
            </w:r>
            <w:r w:rsidR="00E95647" w:rsidRPr="00513AF9">
              <w:rPr>
                <w:rFonts w:cstheme="minorHAnsi"/>
                <w:color w:val="000000"/>
                <w:sz w:val="34"/>
                <w:szCs w:val="34"/>
              </w:rPr>
              <w:t>e</w:t>
            </w:r>
          </w:p>
        </w:tc>
      </w:tr>
      <w:tr w:rsidR="00D72F49" w:rsidRPr="00513AF9" w14:paraId="65E7E3D8" w14:textId="77777777" w:rsidTr="00D72F49">
        <w:trPr>
          <w:cantSplit/>
        </w:trPr>
        <w:tc>
          <w:tcPr>
            <w:tcW w:w="9214" w:type="dxa"/>
            <w:gridSpan w:val="2"/>
            <w:tcMar>
              <w:left w:w="0" w:type="dxa"/>
            </w:tcMar>
          </w:tcPr>
          <w:p w14:paraId="370F6D7B" w14:textId="6F27775A" w:rsidR="00D72F49" w:rsidRPr="00513AF9" w:rsidRDefault="00174013" w:rsidP="006C48A1">
            <w:pPr>
              <w:pStyle w:val="Subtitle"/>
              <w:framePr w:hSpace="0" w:wrap="auto" w:hAnchor="text" w:xAlign="left" w:yAlign="inline"/>
              <w:rPr>
                <w:lang w:val="fr-FR"/>
              </w:rPr>
            </w:pPr>
            <w:bookmarkStart w:id="0" w:name="_Hlk137711919"/>
            <w:r w:rsidRPr="00513AF9">
              <w:rPr>
                <w:rFonts w:cstheme="minorHAnsi"/>
                <w:lang w:val="fr-FR"/>
              </w:rPr>
              <w:t xml:space="preserve">RAPPORT D'ACTIVITÉ SUR LA MISE EN ŒUVRE DE LA RÉSOLUTION 167 (RÉV. BUCAREST, 2022) DE LA </w:t>
            </w:r>
            <w:r w:rsidR="00973340" w:rsidRPr="00513AF9">
              <w:rPr>
                <w:rFonts w:cstheme="minorHAnsi"/>
                <w:lang w:val="fr-FR"/>
              </w:rPr>
              <w:br/>
            </w:r>
            <w:r w:rsidRPr="00513AF9">
              <w:rPr>
                <w:rFonts w:cstheme="minorHAnsi"/>
                <w:lang w:val="fr-FR"/>
              </w:rPr>
              <w:t>CONFÉRENCE DE PLÉNIPOTENTIAIRES</w:t>
            </w:r>
            <w:bookmarkEnd w:id="0"/>
          </w:p>
        </w:tc>
      </w:tr>
      <w:tr w:rsidR="00D72F49" w:rsidRPr="00513AF9"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777CCC87" w:rsidR="00D72F49" w:rsidRPr="00513AF9" w:rsidRDefault="00F37FE5" w:rsidP="006C48A1">
            <w:pPr>
              <w:spacing w:before="160"/>
              <w:rPr>
                <w:b/>
                <w:bCs/>
                <w:sz w:val="26"/>
                <w:szCs w:val="26"/>
              </w:rPr>
            </w:pPr>
            <w:r w:rsidRPr="00513AF9">
              <w:rPr>
                <w:b/>
                <w:bCs/>
                <w:sz w:val="26"/>
                <w:szCs w:val="26"/>
              </w:rPr>
              <w:t>Objet</w:t>
            </w:r>
          </w:p>
          <w:p w14:paraId="45E55FB2" w14:textId="4E36D432" w:rsidR="00D72F49" w:rsidRPr="00513AF9" w:rsidRDefault="00882132" w:rsidP="006C48A1">
            <w:r w:rsidRPr="00513AF9">
              <w:t>Dans sa</w:t>
            </w:r>
            <w:r w:rsidR="00174013" w:rsidRPr="00513AF9">
              <w:t xml:space="preserve"> Résolution 167 (Rév. Bucarest, 2022)</w:t>
            </w:r>
            <w:r w:rsidRPr="00513AF9">
              <w:t xml:space="preserve">, la Conférence de plénipotentiaires charge le Conseil de </w:t>
            </w:r>
            <w:proofErr w:type="gramStart"/>
            <w:r w:rsidRPr="00513AF9">
              <w:t>l</w:t>
            </w:r>
            <w:r w:rsidR="005E633D" w:rsidRPr="00513AF9">
              <w:t>'</w:t>
            </w:r>
            <w:r w:rsidRPr="00513AF9">
              <w:t>UIT:</w:t>
            </w:r>
            <w:proofErr w:type="gramEnd"/>
          </w:p>
          <w:p w14:paraId="57295A80" w14:textId="2FDB4AC1" w:rsidR="00174013" w:rsidRPr="00513AF9" w:rsidRDefault="00174013" w:rsidP="006C48A1">
            <w:pPr>
              <w:pStyle w:val="enumlev1"/>
            </w:pPr>
            <w:r w:rsidRPr="00513AF9">
              <w:t>1)</w:t>
            </w:r>
            <w:r w:rsidRPr="00513AF9">
              <w:tab/>
              <w:t xml:space="preserve">d'étudier et d'élaborer des orientations de haut niveau pour la gestion et la gouvernance des réunions entièrement virtuelles et des réunions physiques avec participation à distance, compte tenu de l'Annexe 1 de la </w:t>
            </w:r>
            <w:proofErr w:type="gramStart"/>
            <w:r w:rsidRPr="00513AF9">
              <w:t>Résolution;</w:t>
            </w:r>
            <w:proofErr w:type="gramEnd"/>
          </w:p>
          <w:p w14:paraId="6881B1F2" w14:textId="75122EF6" w:rsidR="00174013" w:rsidRPr="00513AF9" w:rsidRDefault="00174013" w:rsidP="006C48A1">
            <w:pPr>
              <w:pStyle w:val="enumlev1"/>
            </w:pPr>
            <w:r w:rsidRPr="00513AF9">
              <w:t>2)</w:t>
            </w:r>
            <w:r w:rsidRPr="00513AF9">
              <w:tab/>
              <w:t xml:space="preserve">d'examiner les besoins financiers nécessaires à la mise en œuvre de la Résolution et d'allouer les ressources financières requises, dans les limites des ressources disponibles et conformément aux plans financier et </w:t>
            </w:r>
            <w:proofErr w:type="gramStart"/>
            <w:r w:rsidRPr="00513AF9">
              <w:t>stratégique;</w:t>
            </w:r>
            <w:proofErr w:type="gramEnd"/>
          </w:p>
          <w:p w14:paraId="59CDA043" w14:textId="111B2F10" w:rsidR="00174013" w:rsidRPr="00513AF9" w:rsidRDefault="00174013" w:rsidP="006C48A1">
            <w:pPr>
              <w:pStyle w:val="enumlev1"/>
            </w:pPr>
            <w:r w:rsidRPr="00513AF9">
              <w:t>3)</w:t>
            </w:r>
            <w:r w:rsidRPr="00513AF9">
              <w:tab/>
              <w:t>de présenter un rapport et de soumettre des recommandations à la Conférence de plénipotentiaires de 2026.</w:t>
            </w:r>
          </w:p>
          <w:p w14:paraId="414EA249" w14:textId="064BDB28" w:rsidR="00174013" w:rsidRPr="00513AF9" w:rsidRDefault="00882132" w:rsidP="006C48A1">
            <w:r w:rsidRPr="00513AF9">
              <w:t>Le présent rapport indique les activités menées et les faits nouveaux intervenus</w:t>
            </w:r>
            <w:r w:rsidR="00174013" w:rsidRPr="00513AF9">
              <w:t xml:space="preserve"> </w:t>
            </w:r>
            <w:r w:rsidRPr="00513AF9">
              <w:t>depuis la Conférence de plénipotentiaires (Bucarest, 2022), afin d</w:t>
            </w:r>
            <w:r w:rsidR="005E633D" w:rsidRPr="00513AF9">
              <w:t>'</w:t>
            </w:r>
            <w:r w:rsidRPr="00513AF9">
              <w:t xml:space="preserve">aider le Conseil à élaborer </w:t>
            </w:r>
            <w:r w:rsidR="00174013" w:rsidRPr="00513AF9">
              <w:t>des orientations de haut niveau pour la gestion et la gouvernance des réunions entièrement virtuelles et des réunions physiques avec participation à distance.</w:t>
            </w:r>
          </w:p>
          <w:p w14:paraId="0B950982" w14:textId="77777777" w:rsidR="00D72F49" w:rsidRPr="00513AF9" w:rsidRDefault="00D72F49" w:rsidP="006C48A1">
            <w:pPr>
              <w:spacing w:before="160"/>
              <w:rPr>
                <w:b/>
                <w:bCs/>
                <w:sz w:val="26"/>
                <w:szCs w:val="26"/>
              </w:rPr>
            </w:pPr>
            <w:proofErr w:type="gramStart"/>
            <w:r w:rsidRPr="00513AF9">
              <w:rPr>
                <w:b/>
                <w:bCs/>
                <w:sz w:val="26"/>
                <w:szCs w:val="26"/>
              </w:rPr>
              <w:t>Suite à</w:t>
            </w:r>
            <w:proofErr w:type="gramEnd"/>
            <w:r w:rsidRPr="00513AF9">
              <w:rPr>
                <w:b/>
                <w:bCs/>
                <w:sz w:val="26"/>
                <w:szCs w:val="26"/>
              </w:rPr>
              <w:t xml:space="preserve"> donner par le Conseil</w:t>
            </w:r>
          </w:p>
          <w:p w14:paraId="6F9A6B88" w14:textId="63716176" w:rsidR="00D72F49" w:rsidRPr="00513AF9" w:rsidRDefault="00882132" w:rsidP="006C48A1">
            <w:r w:rsidRPr="00513AF9">
              <w:t xml:space="preserve">Le Conseil est invité à </w:t>
            </w:r>
            <w:r w:rsidRPr="00513AF9">
              <w:rPr>
                <w:b/>
              </w:rPr>
              <w:t xml:space="preserve">prendre note </w:t>
            </w:r>
            <w:r w:rsidRPr="00513AF9">
              <w:t xml:space="preserve">du présent rapport et à </w:t>
            </w:r>
            <w:r w:rsidRPr="00513AF9">
              <w:rPr>
                <w:b/>
              </w:rPr>
              <w:t>présenter à l</w:t>
            </w:r>
            <w:r w:rsidR="005E633D" w:rsidRPr="00513AF9">
              <w:rPr>
                <w:b/>
              </w:rPr>
              <w:t>'</w:t>
            </w:r>
            <w:r w:rsidRPr="00513AF9">
              <w:rPr>
                <w:b/>
              </w:rPr>
              <w:t xml:space="preserve">Union </w:t>
            </w:r>
            <w:r w:rsidR="00174013" w:rsidRPr="00513AF9">
              <w:rPr>
                <w:b/>
                <w:bCs/>
              </w:rPr>
              <w:t>des orientations de haut niveau</w:t>
            </w:r>
            <w:r w:rsidR="00174013" w:rsidRPr="00513AF9">
              <w:t xml:space="preserve"> pour la gestion et la gouvernance des réunions entièrement virtuelles et des réunions physiques avec participation à distance</w:t>
            </w:r>
            <w:r w:rsidR="00174013" w:rsidRPr="00513AF9">
              <w:rPr>
                <w:rFonts w:asciiTheme="minorHAnsi" w:eastAsiaTheme="minorEastAsia" w:hAnsiTheme="minorHAnsi" w:cstheme="minorHAnsi"/>
              </w:rPr>
              <w:t xml:space="preserve"> </w:t>
            </w:r>
            <w:r w:rsidRPr="00513AF9">
              <w:rPr>
                <w:rFonts w:asciiTheme="minorHAnsi" w:eastAsiaTheme="minorEastAsia" w:hAnsiTheme="minorHAnsi" w:cstheme="minorHAnsi"/>
              </w:rPr>
              <w:t>et pour les mécanismes de financement possibles.</w:t>
            </w:r>
          </w:p>
          <w:p w14:paraId="121C402A" w14:textId="4FDE1FF1" w:rsidR="00D72F49" w:rsidRPr="00513AF9" w:rsidRDefault="00D72F49" w:rsidP="006C48A1">
            <w:pPr>
              <w:spacing w:before="160"/>
              <w:rPr>
                <w:b/>
                <w:bCs/>
                <w:sz w:val="26"/>
                <w:szCs w:val="26"/>
              </w:rPr>
            </w:pPr>
            <w:r w:rsidRPr="00513AF9">
              <w:rPr>
                <w:b/>
                <w:bCs/>
                <w:sz w:val="26"/>
                <w:szCs w:val="26"/>
              </w:rPr>
              <w:t xml:space="preserve">Lien(s) pertinent(s) avec le </w:t>
            </w:r>
            <w:r w:rsidR="00F37FE5" w:rsidRPr="00513AF9">
              <w:rPr>
                <w:b/>
                <w:bCs/>
                <w:sz w:val="26"/>
                <w:szCs w:val="26"/>
              </w:rPr>
              <w:t>p</w:t>
            </w:r>
            <w:r w:rsidRPr="00513AF9">
              <w:rPr>
                <w:b/>
                <w:bCs/>
                <w:sz w:val="26"/>
                <w:szCs w:val="26"/>
              </w:rPr>
              <w:t>lan stratégique</w:t>
            </w:r>
          </w:p>
          <w:p w14:paraId="60D63331" w14:textId="01650027" w:rsidR="00D72F49" w:rsidRPr="00513AF9" w:rsidRDefault="00E354DB" w:rsidP="006C48A1">
            <w:r w:rsidRPr="00513AF9">
              <w:t xml:space="preserve">Excellence en matière de ressources humaines et d'innovation </w:t>
            </w:r>
            <w:proofErr w:type="gramStart"/>
            <w:r w:rsidRPr="00513AF9">
              <w:t>institutionnelle;</w:t>
            </w:r>
            <w:proofErr w:type="gramEnd"/>
            <w:r w:rsidRPr="00513AF9">
              <w:rPr>
                <w:rFonts w:eastAsia="SimSun"/>
                <w:sz w:val="26"/>
                <w:szCs w:val="26"/>
              </w:rPr>
              <w:t xml:space="preserve"> </w:t>
            </w:r>
            <w:r w:rsidR="00882132" w:rsidRPr="00513AF9">
              <w:t>plate</w:t>
            </w:r>
            <w:r w:rsidR="00513AF9">
              <w:t>s</w:t>
            </w:r>
            <w:r w:rsidR="00882132" w:rsidRPr="00513AF9">
              <w:t>-formes fédératrices.</w:t>
            </w:r>
          </w:p>
          <w:p w14:paraId="3B399B5C" w14:textId="03037CFA" w:rsidR="00D72F49" w:rsidRPr="00513AF9" w:rsidRDefault="00D72F49" w:rsidP="006C48A1">
            <w:pPr>
              <w:spacing w:after="160"/>
            </w:pPr>
          </w:p>
        </w:tc>
      </w:tr>
      <w:tr w:rsidR="00D545AB" w:rsidRPr="00513AF9" w14:paraId="46D11135" w14:textId="77777777" w:rsidTr="00D72F49">
        <w:trPr>
          <w:cantSplit/>
        </w:trPr>
        <w:tc>
          <w:tcPr>
            <w:tcW w:w="9214" w:type="dxa"/>
            <w:gridSpan w:val="2"/>
            <w:tcBorders>
              <w:top w:val="single" w:sz="4" w:space="0" w:color="auto"/>
              <w:bottom w:val="single" w:sz="4" w:space="0" w:color="auto"/>
            </w:tcBorders>
            <w:tcMar>
              <w:left w:w="0" w:type="dxa"/>
            </w:tcMar>
          </w:tcPr>
          <w:p w14:paraId="37DE46DB" w14:textId="77777777" w:rsidR="00D545AB" w:rsidRPr="00513AF9" w:rsidRDefault="00D545AB" w:rsidP="00D545AB">
            <w:pPr>
              <w:keepNext/>
              <w:keepLines/>
              <w:spacing w:before="160"/>
              <w:rPr>
                <w:b/>
                <w:bCs/>
                <w:sz w:val="26"/>
                <w:szCs w:val="26"/>
              </w:rPr>
            </w:pPr>
            <w:r w:rsidRPr="00513AF9">
              <w:rPr>
                <w:b/>
                <w:bCs/>
                <w:sz w:val="26"/>
                <w:szCs w:val="26"/>
              </w:rPr>
              <w:lastRenderedPageBreak/>
              <w:t xml:space="preserve">Incidences </w:t>
            </w:r>
            <w:proofErr w:type="gramStart"/>
            <w:r w:rsidRPr="00513AF9">
              <w:rPr>
                <w:b/>
                <w:bCs/>
                <w:sz w:val="26"/>
                <w:szCs w:val="26"/>
              </w:rPr>
              <w:t>financières:</w:t>
            </w:r>
            <w:proofErr w:type="gramEnd"/>
          </w:p>
          <w:p w14:paraId="655116B3" w14:textId="653E38AF" w:rsidR="00D545AB" w:rsidRPr="00513AF9" w:rsidRDefault="00D545AB" w:rsidP="00D545AB">
            <w:pPr>
              <w:spacing w:before="160"/>
              <w:rPr>
                <w:b/>
                <w:bCs/>
                <w:sz w:val="26"/>
                <w:szCs w:val="26"/>
              </w:rPr>
            </w:pPr>
            <w:r w:rsidRPr="00513AF9">
              <w:t>855 000 CHF/an et investissements éventuels d</w:t>
            </w:r>
            <w:r w:rsidR="005E633D" w:rsidRPr="00513AF9">
              <w:t>'</w:t>
            </w:r>
            <w:r w:rsidRPr="00513AF9">
              <w:t xml:space="preserve">un montant de 1 million de CHF tous les cinq ans, comme indiqué dans le document </w:t>
            </w:r>
            <w:hyperlink r:id="rId7" w:history="1">
              <w:r w:rsidRPr="00513AF9">
                <w:rPr>
                  <w:rStyle w:val="Hyperlink"/>
                </w:rPr>
                <w:t>PP-22/64</w:t>
              </w:r>
            </w:hyperlink>
            <w:r w:rsidRPr="00513AF9">
              <w:t>, à financer, dans la limite des ressources disponibles, à l</w:t>
            </w:r>
            <w:r w:rsidR="005E633D" w:rsidRPr="00513AF9">
              <w:t>'</w:t>
            </w:r>
            <w:r w:rsidRPr="00513AF9">
              <w:t>aide des mesures d'efficacité et des autres économies réalisées.</w:t>
            </w:r>
          </w:p>
          <w:p w14:paraId="72E0CB62" w14:textId="77777777" w:rsidR="00D545AB" w:rsidRPr="00513AF9" w:rsidRDefault="00D545AB" w:rsidP="00D545AB">
            <w:pPr>
              <w:spacing w:before="160"/>
              <w:rPr>
                <w:caps/>
                <w:sz w:val="22"/>
              </w:rPr>
            </w:pPr>
            <w:r w:rsidRPr="00513AF9">
              <w:rPr>
                <w:sz w:val="22"/>
              </w:rPr>
              <w:t>__________________</w:t>
            </w:r>
          </w:p>
          <w:p w14:paraId="34E76032" w14:textId="77777777" w:rsidR="00D545AB" w:rsidRPr="00513AF9" w:rsidRDefault="00D545AB" w:rsidP="00D545AB">
            <w:pPr>
              <w:spacing w:before="160"/>
              <w:rPr>
                <w:b/>
                <w:bCs/>
                <w:sz w:val="26"/>
                <w:szCs w:val="26"/>
              </w:rPr>
            </w:pPr>
            <w:r w:rsidRPr="00513AF9">
              <w:rPr>
                <w:b/>
                <w:bCs/>
                <w:sz w:val="26"/>
                <w:szCs w:val="26"/>
              </w:rPr>
              <w:t>Références</w:t>
            </w:r>
          </w:p>
          <w:p w14:paraId="0E895D68" w14:textId="1C9466B3" w:rsidR="00D545AB" w:rsidRPr="00513AF9" w:rsidRDefault="00DB4932" w:rsidP="00D545AB">
            <w:pPr>
              <w:spacing w:before="160"/>
              <w:rPr>
                <w:b/>
                <w:bCs/>
                <w:sz w:val="26"/>
                <w:szCs w:val="26"/>
              </w:rPr>
            </w:pPr>
            <w:hyperlink r:id="rId8" w:history="1">
              <w:r w:rsidR="00D545AB" w:rsidRPr="00513AF9">
                <w:rPr>
                  <w:rStyle w:val="Hyperlink"/>
                </w:rPr>
                <w:t>Document PP-22/64</w:t>
              </w:r>
            </w:hyperlink>
            <w:r w:rsidR="00D545AB" w:rsidRPr="00513AF9">
              <w:t xml:space="preserve">; </w:t>
            </w:r>
            <w:hyperlink r:id="rId9" w:history="1">
              <w:r w:rsidR="00D545AB" w:rsidRPr="00513AF9">
                <w:rPr>
                  <w:rStyle w:val="Hyperlink"/>
                </w:rPr>
                <w:t>Résolution 167 (Rév. Bucarest, 2022) de la Conférence de plénipotentiaires</w:t>
              </w:r>
            </w:hyperlink>
          </w:p>
        </w:tc>
      </w:tr>
    </w:tbl>
    <w:p w14:paraId="3B7150AC" w14:textId="77777777" w:rsidR="00A51849" w:rsidRPr="00513AF9" w:rsidRDefault="00A51849" w:rsidP="006C48A1">
      <w:pPr>
        <w:tabs>
          <w:tab w:val="clear" w:pos="567"/>
          <w:tab w:val="clear" w:pos="1134"/>
          <w:tab w:val="clear" w:pos="1701"/>
          <w:tab w:val="clear" w:pos="2268"/>
          <w:tab w:val="clear" w:pos="2835"/>
        </w:tabs>
        <w:overflowPunct/>
        <w:autoSpaceDE/>
        <w:autoSpaceDN/>
        <w:adjustRightInd/>
        <w:spacing w:before="0"/>
        <w:textAlignment w:val="auto"/>
      </w:pPr>
      <w:r w:rsidRPr="00513AF9">
        <w:br w:type="page"/>
      </w:r>
    </w:p>
    <w:p w14:paraId="445B3CD3" w14:textId="671C23F9" w:rsidR="00E354DB" w:rsidRPr="00513AF9" w:rsidRDefault="00E354DB" w:rsidP="006C48A1">
      <w:pPr>
        <w:pStyle w:val="Heading1"/>
      </w:pPr>
      <w:r w:rsidRPr="00513AF9">
        <w:lastRenderedPageBreak/>
        <w:t>1</w:t>
      </w:r>
      <w:r w:rsidRPr="00513AF9">
        <w:tab/>
      </w:r>
      <w:r w:rsidR="009C01E9" w:rsidRPr="00513AF9">
        <w:t>Manifestations organisées depuis la PP-</w:t>
      </w:r>
      <w:proofErr w:type="gramStart"/>
      <w:r w:rsidR="009C01E9" w:rsidRPr="00513AF9">
        <w:t>22:</w:t>
      </w:r>
      <w:proofErr w:type="gramEnd"/>
      <w:r w:rsidR="009C01E9" w:rsidRPr="00513AF9">
        <w:t xml:space="preserve"> physiques, virtuelles et physiques avec participation à distance</w:t>
      </w:r>
    </w:p>
    <w:p w14:paraId="7B393700" w14:textId="3A29FF12" w:rsidR="00E354DB" w:rsidRPr="00513AF9" w:rsidRDefault="006B6FB5" w:rsidP="006C48A1">
      <w:r w:rsidRPr="00513AF9">
        <w:t>1.1</w:t>
      </w:r>
      <w:r w:rsidRPr="00513AF9">
        <w:tab/>
      </w:r>
      <w:r w:rsidR="009C01E9" w:rsidRPr="00513AF9">
        <w:t>L'Union continue d'organiser des conférences, des manifestations et des réunions (désignées collectivement</w:t>
      </w:r>
      <w:r w:rsidR="00F64553" w:rsidRPr="00513AF9">
        <w:t xml:space="preserve"> ci-après</w:t>
      </w:r>
      <w:r w:rsidR="009C01E9" w:rsidRPr="00513AF9">
        <w:t xml:space="preserve"> sous le nom de </w:t>
      </w:r>
      <w:r w:rsidR="00485567" w:rsidRPr="00513AF9">
        <w:t>"</w:t>
      </w:r>
      <w:r w:rsidR="009C01E9" w:rsidRPr="00513AF9">
        <w:rPr>
          <w:b/>
        </w:rPr>
        <w:t>manifestations</w:t>
      </w:r>
      <w:r w:rsidR="00485567" w:rsidRPr="00513AF9">
        <w:t>"</w:t>
      </w:r>
      <w:r w:rsidR="009C01E9" w:rsidRPr="00513AF9">
        <w:t xml:space="preserve">) </w:t>
      </w:r>
      <w:r w:rsidRPr="00513AF9">
        <w:t>que l</w:t>
      </w:r>
      <w:r w:rsidR="005E633D" w:rsidRPr="00513AF9">
        <w:t>'</w:t>
      </w:r>
      <w:r w:rsidRPr="00513AF9">
        <w:t xml:space="preserve">on classe dans </w:t>
      </w:r>
      <w:r w:rsidR="009C01E9" w:rsidRPr="00513AF9">
        <w:t xml:space="preserve">les catégories </w:t>
      </w:r>
      <w:proofErr w:type="gramStart"/>
      <w:r w:rsidR="009C01E9" w:rsidRPr="00513AF9">
        <w:t>suivantes:</w:t>
      </w:r>
      <w:proofErr w:type="gramEnd"/>
      <w:r w:rsidR="009C01E9" w:rsidRPr="00513AF9">
        <w:t xml:space="preserve"> 1) entièrement physiques, 2) entièrement virtuelles ou 3)</w:t>
      </w:r>
      <w:r w:rsidR="005E633D" w:rsidRPr="00513AF9">
        <w:t> </w:t>
      </w:r>
      <w:r w:rsidR="009C01E9" w:rsidRPr="00513AF9">
        <w:t>physiques avec participation à distance. L'</w:t>
      </w:r>
      <w:r w:rsidRPr="00513AF9">
        <w:t>A</w:t>
      </w:r>
      <w:r w:rsidR="009C01E9" w:rsidRPr="00513AF9">
        <w:t xml:space="preserve">nnexe 1 présente le nombre </w:t>
      </w:r>
      <w:r w:rsidRPr="00513AF9">
        <w:t xml:space="preserve">de </w:t>
      </w:r>
      <w:r w:rsidRPr="00513AF9">
        <w:rPr>
          <w:b/>
        </w:rPr>
        <w:t>manifestations</w:t>
      </w:r>
      <w:r w:rsidRPr="00513AF9">
        <w:t xml:space="preserve"> et de </w:t>
      </w:r>
      <w:r w:rsidRPr="00513AF9">
        <w:rPr>
          <w:b/>
        </w:rPr>
        <w:t>séances</w:t>
      </w:r>
      <w:r w:rsidRPr="00513AF9">
        <w:t xml:space="preserve"> </w:t>
      </w:r>
      <w:r w:rsidR="009C01E9" w:rsidRPr="00513AF9">
        <w:t>(un</w:t>
      </w:r>
      <w:r w:rsidRPr="00513AF9">
        <w:t xml:space="preserve">e manifestation </w:t>
      </w:r>
      <w:r w:rsidR="009C01E9" w:rsidRPr="00513AF9">
        <w:t xml:space="preserve">peut comporter plusieurs </w:t>
      </w:r>
      <w:r w:rsidRPr="00513AF9">
        <w:t>séances</w:t>
      </w:r>
      <w:r w:rsidR="009C01E9" w:rsidRPr="00513AF9">
        <w:t xml:space="preserve">) </w:t>
      </w:r>
      <w:r w:rsidRPr="00513AF9">
        <w:t xml:space="preserve">relevé </w:t>
      </w:r>
      <w:r w:rsidR="009C01E9" w:rsidRPr="00513AF9">
        <w:t xml:space="preserve">dans les trois catégories, ainsi que le nombre de participants </w:t>
      </w:r>
      <w:r w:rsidR="009C01E9" w:rsidRPr="00513AF9">
        <w:rPr>
          <w:b/>
        </w:rPr>
        <w:t>sur place et à distance</w:t>
      </w:r>
      <w:r w:rsidR="009C01E9" w:rsidRPr="00513AF9">
        <w:t xml:space="preserve"> depuis la Conférence de plénipotentiaires (Bucarest, 2022) (PP-22), pour la période allant du 15 octobre</w:t>
      </w:r>
      <w:r w:rsidR="00A86330" w:rsidRPr="00513AF9">
        <w:t> </w:t>
      </w:r>
      <w:r w:rsidR="009C01E9" w:rsidRPr="00513AF9">
        <w:t>2022 au</w:t>
      </w:r>
      <w:r w:rsidR="00A86330" w:rsidRPr="00513AF9">
        <w:t> </w:t>
      </w:r>
      <w:r w:rsidR="009C01E9" w:rsidRPr="00513AF9">
        <w:t>24 mars 2023</w:t>
      </w:r>
      <w:r w:rsidRPr="00513AF9">
        <w:t>.</w:t>
      </w:r>
    </w:p>
    <w:p w14:paraId="5CFFFEB9" w14:textId="42E99718" w:rsidR="00E354DB" w:rsidRPr="00513AF9" w:rsidRDefault="00E354DB" w:rsidP="006C48A1">
      <w:r w:rsidRPr="00513AF9">
        <w:t>1.2</w:t>
      </w:r>
      <w:r w:rsidRPr="00513AF9">
        <w:tab/>
      </w:r>
      <w:r w:rsidR="006B6FB5" w:rsidRPr="00513AF9">
        <w:t>Très peu de ces manifestations ont été entièrement physiques, comme le montre le Tableau</w:t>
      </w:r>
      <w:r w:rsidR="00E537EB" w:rsidRPr="00513AF9">
        <w:t> </w:t>
      </w:r>
      <w:r w:rsidR="006B6FB5" w:rsidRPr="00513AF9">
        <w:t>1 de l'</w:t>
      </w:r>
      <w:hyperlink w:anchor="Annex1" w:history="1">
        <w:r w:rsidR="006B6FB5" w:rsidRPr="00513AF9">
          <w:rPr>
            <w:rStyle w:val="Hyperlink"/>
          </w:rPr>
          <w:t>Annexe 1</w:t>
        </w:r>
      </w:hyperlink>
      <w:r w:rsidR="006B6FB5" w:rsidRPr="00513AF9">
        <w:t>, et le nombre de manifestations physiques avec participation à distance a été près de deux fois supérieur à celui des manifestations entièrement virtuelles. Les manifestations entièrement virtuelles ont été pour la plupart des manifestations de</w:t>
      </w:r>
      <w:r w:rsidR="00A86330" w:rsidRPr="00513AF9">
        <w:t> </w:t>
      </w:r>
      <w:r w:rsidR="006B6FB5" w:rsidRPr="00513AF9">
        <w:t>l'UIT-T. De même, le nombre de participants à distance était presque deux fois plus élevé que celui des événements entièrement virtuels. De même, le nombre de participants à distance a été près deux fois supérieur à celui des participants sur place, comme l</w:t>
      </w:r>
      <w:r w:rsidR="005E633D" w:rsidRPr="00513AF9">
        <w:t>'</w:t>
      </w:r>
      <w:r w:rsidR="006B6FB5" w:rsidRPr="00513AF9">
        <w:t>indique le</w:t>
      </w:r>
      <w:r w:rsidR="00A86330" w:rsidRPr="00513AF9">
        <w:t> </w:t>
      </w:r>
      <w:r w:rsidR="006B6FB5" w:rsidRPr="00513AF9">
        <w:t>Tableau 2.</w:t>
      </w:r>
    </w:p>
    <w:p w14:paraId="0246E166" w14:textId="227B4956" w:rsidR="006B6FB5" w:rsidRPr="00513AF9" w:rsidRDefault="00E354DB" w:rsidP="006C48A1">
      <w:r w:rsidRPr="00513AF9">
        <w:t>1.3</w:t>
      </w:r>
      <w:r w:rsidRPr="00513AF9">
        <w:tab/>
      </w:r>
      <w:r w:rsidR="006B6FB5" w:rsidRPr="00513AF9">
        <w:t xml:space="preserve">Les Tableaux 3 et 4 de l'Annexe 1 renseignent sur le nombre de </w:t>
      </w:r>
      <w:r w:rsidR="00FA3C3D" w:rsidRPr="00513AF9">
        <w:t>réunions</w:t>
      </w:r>
      <w:r w:rsidR="006B6FB5" w:rsidRPr="00513AF9">
        <w:t xml:space="preserve"> tenues après la</w:t>
      </w:r>
      <w:r w:rsidR="00A86330" w:rsidRPr="00513AF9">
        <w:t> </w:t>
      </w:r>
      <w:r w:rsidR="006B6FB5" w:rsidRPr="00513AF9">
        <w:t xml:space="preserve">PP-22. Le nombre de </w:t>
      </w:r>
      <w:r w:rsidR="00FA3C3D" w:rsidRPr="00513AF9">
        <w:t>réunions</w:t>
      </w:r>
      <w:r w:rsidR="006B6FB5" w:rsidRPr="00513AF9">
        <w:t xml:space="preserve"> physiques avec participation à distance a été sensiblement plus élevé que pour les deux autres catégories.</w:t>
      </w:r>
    </w:p>
    <w:p w14:paraId="06055D4F" w14:textId="147A90DE" w:rsidR="00E354DB" w:rsidRPr="00513AF9" w:rsidRDefault="00E354DB" w:rsidP="006C48A1">
      <w:r w:rsidRPr="00513AF9">
        <w:t>1.4</w:t>
      </w:r>
      <w:r w:rsidRPr="00513AF9">
        <w:tab/>
      </w:r>
      <w:r w:rsidR="006B6FB5" w:rsidRPr="00513AF9">
        <w:t xml:space="preserve">La décision de savoir si une manifestation sera entièrement physique, entièrement virtuelle ou physique avec participation à distance est prise par le Bureau ou le département organisateur, sur la base de l'expérience acquise lors des manifestations antérieures. La diversité des outils utilisés par les organisateurs de manifestations donne lieu à des processus différents d'inscription des participants et complique la communication des statistiques relatives aux manifestations. Le Secrétariat général et les trois Bureaux </w:t>
      </w:r>
      <w:r w:rsidR="00CE1B4F" w:rsidRPr="00513AF9">
        <w:t xml:space="preserve">conjuguent leurs efforts pour normaliser autant que possible </w:t>
      </w:r>
      <w:r w:rsidR="006B6FB5" w:rsidRPr="00513AF9">
        <w:t xml:space="preserve">les procédures d'organisation </w:t>
      </w:r>
      <w:r w:rsidR="00CE1B4F" w:rsidRPr="00513AF9">
        <w:t>des manifestations</w:t>
      </w:r>
      <w:r w:rsidR="006B6FB5" w:rsidRPr="00513AF9">
        <w:t>.</w:t>
      </w:r>
    </w:p>
    <w:p w14:paraId="121A1828" w14:textId="0BD52992" w:rsidR="00CE1B4F" w:rsidRPr="00513AF9" w:rsidRDefault="00E354DB" w:rsidP="006C48A1">
      <w:r w:rsidRPr="00513AF9">
        <w:t>1.5</w:t>
      </w:r>
      <w:r w:rsidRPr="00513AF9">
        <w:tab/>
      </w:r>
      <w:r w:rsidR="00CE1B4F" w:rsidRPr="00513AF9">
        <w:t xml:space="preserve">Pour les manifestations avec présence physique, les </w:t>
      </w:r>
      <w:r w:rsidR="00FA3C3D" w:rsidRPr="00513AF9">
        <w:t xml:space="preserve">réunions ont généralement lieu </w:t>
      </w:r>
      <w:r w:rsidR="00CE1B4F" w:rsidRPr="00513AF9">
        <w:t xml:space="preserve">pendant les heures de travail sur le site physique, en ménageant une certaine souplesse quant aux </w:t>
      </w:r>
      <w:proofErr w:type="gramStart"/>
      <w:r w:rsidR="00CE1B4F" w:rsidRPr="00513AF9">
        <w:t>horaires:</w:t>
      </w:r>
      <w:proofErr w:type="gramEnd"/>
      <w:r w:rsidR="00CE1B4F" w:rsidRPr="00513AF9">
        <w:t xml:space="preserve"> la première </w:t>
      </w:r>
      <w:r w:rsidR="00FA3C3D" w:rsidRPr="00513AF9">
        <w:t>réunion</w:t>
      </w:r>
      <w:r w:rsidR="00CE1B4F" w:rsidRPr="00513AF9">
        <w:t xml:space="preserve"> commence habituellement à 8</w:t>
      </w:r>
      <w:r w:rsidR="00A86330" w:rsidRPr="00513AF9">
        <w:t> </w:t>
      </w:r>
      <w:r w:rsidR="00CE1B4F" w:rsidRPr="00513AF9">
        <w:t xml:space="preserve">heures ou </w:t>
      </w:r>
      <w:r w:rsidR="000F64E6" w:rsidRPr="00513AF9">
        <w:t>à</w:t>
      </w:r>
      <w:r w:rsidR="00A86330" w:rsidRPr="00513AF9">
        <w:t> </w:t>
      </w:r>
      <w:r w:rsidR="00CE1B4F" w:rsidRPr="00513AF9">
        <w:t>9</w:t>
      </w:r>
      <w:r w:rsidR="00A86330" w:rsidRPr="00513AF9">
        <w:t> </w:t>
      </w:r>
      <w:r w:rsidR="00CE1B4F" w:rsidRPr="00513AF9">
        <w:t>heures, heure locale, et s</w:t>
      </w:r>
      <w:r w:rsidR="005E633D" w:rsidRPr="00513AF9">
        <w:t>'</w:t>
      </w:r>
      <w:r w:rsidR="00CE1B4F" w:rsidRPr="00513AF9">
        <w:t xml:space="preserve">achève à 17 heures ou </w:t>
      </w:r>
      <w:r w:rsidR="000F64E6" w:rsidRPr="00513AF9">
        <w:t xml:space="preserve">à </w:t>
      </w:r>
      <w:r w:rsidR="00CE1B4F" w:rsidRPr="00513AF9">
        <w:t>18 heures, les pauses déjeuner pouvant être écourtées pour tenir compte des différents fuseaux horaires des participants à distance.</w:t>
      </w:r>
    </w:p>
    <w:p w14:paraId="2A027AE7" w14:textId="1B23734C" w:rsidR="00E354DB" w:rsidRPr="00513AF9" w:rsidRDefault="00E354DB" w:rsidP="006C48A1">
      <w:r w:rsidRPr="00513AF9">
        <w:t>1.6</w:t>
      </w:r>
      <w:r w:rsidRPr="00513AF9">
        <w:tab/>
      </w:r>
      <w:r w:rsidR="00FA3C3D" w:rsidRPr="00513AF9">
        <w:t xml:space="preserve">Pour les réunions entièrement virtuelles, les organisateurs </w:t>
      </w:r>
      <w:proofErr w:type="gramStart"/>
      <w:r w:rsidR="00FA3C3D" w:rsidRPr="00513AF9">
        <w:t>font</w:t>
      </w:r>
      <w:proofErr w:type="gramEnd"/>
      <w:r w:rsidR="00FA3C3D" w:rsidRPr="00513AF9">
        <w:t xml:space="preserve"> un effort supplémentaire pour tenir compte des différents fuseaux horaires. Les décisions relatives aux heures de début et de fin des réunions tiennent compte des incidences pour le personnel d'appui au siège et dans les bureaux hors siège, les heures supplémentaires du personnel et les coûts d'interprétation.</w:t>
      </w:r>
    </w:p>
    <w:p w14:paraId="3C31AB7D" w14:textId="7E371999" w:rsidR="00E354DB" w:rsidRPr="00513AF9" w:rsidRDefault="00E354DB" w:rsidP="00A86330">
      <w:pPr>
        <w:keepNext/>
        <w:keepLines/>
      </w:pPr>
      <w:r w:rsidRPr="00513AF9">
        <w:lastRenderedPageBreak/>
        <w:t>1.7</w:t>
      </w:r>
      <w:r w:rsidRPr="00513AF9">
        <w:tab/>
      </w:r>
      <w:r w:rsidR="002620FF" w:rsidRPr="00513AF9">
        <w:t xml:space="preserve">Pour les réunions physiques avec participation à distance, outre le coût du recrutement d'un modérateur technique, </w:t>
      </w:r>
      <w:r w:rsidR="0020052A" w:rsidRPr="00513AF9">
        <w:t xml:space="preserve">des dépenses </w:t>
      </w:r>
      <w:r w:rsidR="002620FF" w:rsidRPr="00513AF9">
        <w:t xml:space="preserve">d'appui supplémentaires </w:t>
      </w:r>
      <w:r w:rsidR="0020052A" w:rsidRPr="00513AF9">
        <w:t xml:space="preserve">sont possibles </w:t>
      </w:r>
      <w:r w:rsidR="002620FF" w:rsidRPr="00513AF9">
        <w:t xml:space="preserve">lorsque les </w:t>
      </w:r>
      <w:r w:rsidR="0020052A" w:rsidRPr="00513AF9">
        <w:t xml:space="preserve">réunions ont lieu </w:t>
      </w:r>
      <w:r w:rsidR="002620FF" w:rsidRPr="00513AF9">
        <w:t xml:space="preserve">en dehors des locaux de l'UIT. </w:t>
      </w:r>
      <w:r w:rsidR="0020052A" w:rsidRPr="00513AF9">
        <w:t>Ainsi</w:t>
      </w:r>
      <w:r w:rsidR="002620FF" w:rsidRPr="00513AF9">
        <w:t xml:space="preserve">, les réunions organisées au Centre international de conférences de Genève (CICG) </w:t>
      </w:r>
      <w:r w:rsidR="000F64E6" w:rsidRPr="00513AF9">
        <w:t xml:space="preserve">occasionnent </w:t>
      </w:r>
      <w:r w:rsidR="002620FF" w:rsidRPr="00513AF9">
        <w:t xml:space="preserve">un </w:t>
      </w:r>
      <w:r w:rsidR="00731D4C" w:rsidRPr="00513AF9">
        <w:t xml:space="preserve">surcoût </w:t>
      </w:r>
      <w:r w:rsidR="002620FF" w:rsidRPr="00513AF9">
        <w:t>de 450</w:t>
      </w:r>
      <w:r w:rsidR="00731D4C" w:rsidRPr="00513AF9">
        <w:t xml:space="preserve"> à </w:t>
      </w:r>
      <w:r w:rsidR="002620FF" w:rsidRPr="00513AF9">
        <w:t xml:space="preserve">650 CHF </w:t>
      </w:r>
      <w:r w:rsidR="00731D4C" w:rsidRPr="00513AF9">
        <w:t xml:space="preserve">par jour </w:t>
      </w:r>
      <w:r w:rsidR="002620FF" w:rsidRPr="00513AF9">
        <w:t xml:space="preserve">pour l'emploi d'un technicien audio </w:t>
      </w:r>
      <w:r w:rsidR="00731D4C" w:rsidRPr="00513AF9">
        <w:t xml:space="preserve">pour </w:t>
      </w:r>
      <w:r w:rsidR="002620FF" w:rsidRPr="00513AF9">
        <w:t xml:space="preserve">chaque salle de réunion où </w:t>
      </w:r>
      <w:r w:rsidR="00731D4C" w:rsidRPr="00513AF9">
        <w:t xml:space="preserve">un appui est nécessaire pour </w:t>
      </w:r>
      <w:r w:rsidR="002620FF" w:rsidRPr="00513AF9">
        <w:t>la participation à distance.</w:t>
      </w:r>
    </w:p>
    <w:p w14:paraId="588C9D65" w14:textId="68C077E9" w:rsidR="00E354DB" w:rsidRPr="00513AF9" w:rsidRDefault="00E354DB" w:rsidP="006C48A1">
      <w:r w:rsidRPr="00513AF9">
        <w:t>1.8</w:t>
      </w:r>
      <w:r w:rsidRPr="00513AF9">
        <w:tab/>
      </w:r>
      <w:r w:rsidR="00731D4C" w:rsidRPr="00513AF9">
        <w:t xml:space="preserve">Certaines salles de réunion de l'UIT ont été équipées pour permettre le travail d'interprètes non seulement sur place, </w:t>
      </w:r>
      <w:r w:rsidR="000F64E6" w:rsidRPr="00513AF9">
        <w:t>par le</w:t>
      </w:r>
      <w:r w:rsidR="00731D4C" w:rsidRPr="00513AF9">
        <w:t xml:space="preserve"> système d'interprétation simultanée </w:t>
      </w:r>
      <w:r w:rsidR="000F64E6" w:rsidRPr="00513AF9">
        <w:t xml:space="preserve">installé dans les </w:t>
      </w:r>
      <w:r w:rsidR="00731D4C" w:rsidRPr="00513AF9">
        <w:t xml:space="preserve">cabines d'interprétation, mais aussi hors site, </w:t>
      </w:r>
      <w:r w:rsidR="000F64E6" w:rsidRPr="00513AF9">
        <w:t xml:space="preserve">par les </w:t>
      </w:r>
      <w:r w:rsidR="00731D4C" w:rsidRPr="00513AF9">
        <w:t xml:space="preserve">systèmes d'interprétation simultanée à distance (RSI) des plates-formes de conférence </w:t>
      </w:r>
      <w:r w:rsidR="000F64E6" w:rsidRPr="00513AF9">
        <w:t>en ligne</w:t>
      </w:r>
      <w:r w:rsidR="00731D4C" w:rsidRPr="00513AF9">
        <w:t xml:space="preserve"> (à titre d</w:t>
      </w:r>
      <w:r w:rsidR="005E633D" w:rsidRPr="00513AF9">
        <w:t>'</w:t>
      </w:r>
      <w:r w:rsidR="00731D4C" w:rsidRPr="00513AF9">
        <w:t>exemple, Zoom</w:t>
      </w:r>
      <w:r w:rsidR="00A86330" w:rsidRPr="00513AF9">
        <w:t> </w:t>
      </w:r>
      <w:r w:rsidR="00731D4C" w:rsidRPr="00513AF9">
        <w:t>RSI, Interactio RSI). Une autre option consiste à mettre des casques à la disposition des participants sur place pour l</w:t>
      </w:r>
      <w:r w:rsidR="005E633D" w:rsidRPr="00513AF9">
        <w:t>'</w:t>
      </w:r>
      <w:r w:rsidR="00731D4C" w:rsidRPr="00513AF9">
        <w:t>écoute de l</w:t>
      </w:r>
      <w:r w:rsidR="005E633D" w:rsidRPr="00513AF9">
        <w:t>'</w:t>
      </w:r>
      <w:r w:rsidR="00731D4C" w:rsidRPr="00513AF9">
        <w:t>interprétation, les interprètes eux-mêmes travaillant à distance au moyen du système RSI. Cette option est possible pour les manifestations de</w:t>
      </w:r>
      <w:r w:rsidR="00A86330" w:rsidRPr="00513AF9">
        <w:t> </w:t>
      </w:r>
      <w:r w:rsidR="00731D4C" w:rsidRPr="00513AF9">
        <w:t>l'UIT tenues hors siège, soit dans un autre lieu à Genève, soit à l'étranger, si elle est acceptée par les interprètes.</w:t>
      </w:r>
    </w:p>
    <w:p w14:paraId="4BDB68D9" w14:textId="7824295D" w:rsidR="00E354DB" w:rsidRPr="00513AF9" w:rsidRDefault="00E354DB" w:rsidP="006C48A1">
      <w:pPr>
        <w:pStyle w:val="Heading1"/>
      </w:pPr>
      <w:r w:rsidRPr="00513AF9">
        <w:t>2</w:t>
      </w:r>
      <w:r w:rsidRPr="00513AF9">
        <w:tab/>
      </w:r>
      <w:r w:rsidR="00696603" w:rsidRPr="00513AF9">
        <w:t>Faits nouveaux concernant l'adoption de réunions virtuelles et de réunions physiques avec participation à distance</w:t>
      </w:r>
    </w:p>
    <w:p w14:paraId="3B522C84" w14:textId="2C69468A" w:rsidR="00E354DB" w:rsidRPr="00513AF9" w:rsidRDefault="00E354DB" w:rsidP="006C48A1">
      <w:r w:rsidRPr="00513AF9">
        <w:t>2.1</w:t>
      </w:r>
      <w:r w:rsidRPr="00513AF9">
        <w:tab/>
      </w:r>
      <w:r w:rsidR="00696603" w:rsidRPr="00513AF9">
        <w:t>En 2018, l'UIT utilisait encore pas moins de huit plate</w:t>
      </w:r>
      <w:r w:rsidR="00485567" w:rsidRPr="00513AF9">
        <w:t>s-</w:t>
      </w:r>
      <w:r w:rsidR="00696603" w:rsidRPr="00513AF9">
        <w:t>formes de conférence en ligne. Ce</w:t>
      </w:r>
      <w:r w:rsidR="00A86330" w:rsidRPr="00513AF9">
        <w:t> </w:t>
      </w:r>
      <w:r w:rsidR="00696603" w:rsidRPr="00513AF9">
        <w:t xml:space="preserve">nombre a été réduit à deux </w:t>
      </w:r>
      <w:proofErr w:type="gramStart"/>
      <w:r w:rsidR="00696603" w:rsidRPr="00513AF9">
        <w:t>plateformes:</w:t>
      </w:r>
      <w:proofErr w:type="gramEnd"/>
      <w:r w:rsidR="00696603" w:rsidRPr="00513AF9">
        <w:t xml:space="preserve"> Zoom et MyMeetings.</w:t>
      </w:r>
    </w:p>
    <w:p w14:paraId="5A829C11" w14:textId="34811316" w:rsidR="00E354DB" w:rsidRPr="00513AF9" w:rsidRDefault="00E354DB" w:rsidP="006C48A1">
      <w:r w:rsidRPr="00513AF9">
        <w:t>2.2</w:t>
      </w:r>
      <w:r w:rsidRPr="00513AF9">
        <w:tab/>
      </w:r>
      <w:r w:rsidR="00696603" w:rsidRPr="00513AF9">
        <w:t xml:space="preserve">Outre les conférences en ligne interactives, la diffusion </w:t>
      </w:r>
      <w:r w:rsidR="000F64E6" w:rsidRPr="00513AF9">
        <w:t xml:space="preserve">en ligne </w:t>
      </w:r>
      <w:r w:rsidR="00696603" w:rsidRPr="00513AF9">
        <w:t xml:space="preserve">reste un outil prisé des membres pour suivre les débats. Un nouveau système de diffusion sur Amazon Web Services (AWS) a </w:t>
      </w:r>
      <w:r w:rsidR="000F64E6" w:rsidRPr="00513AF9">
        <w:t xml:space="preserve">été </w:t>
      </w:r>
      <w:r w:rsidR="00696603" w:rsidRPr="00513AF9">
        <w:t>mis à l</w:t>
      </w:r>
      <w:r w:rsidR="005E633D" w:rsidRPr="00513AF9">
        <w:t>'</w:t>
      </w:r>
      <w:r w:rsidR="00696603" w:rsidRPr="00513AF9">
        <w:t>essai au Forum 2023 du SMSI. Les réactions des participants ont été favorables. De nouvelles fonctionnalités seront ajoutées, de façon à pouvoir en faire le système de production</w:t>
      </w:r>
      <w:r w:rsidR="000F64E6" w:rsidRPr="00513AF9">
        <w:t xml:space="preserve"> privilégié</w:t>
      </w:r>
      <w:r w:rsidR="00696603" w:rsidRPr="00513AF9">
        <w:t xml:space="preserve"> pour la diffusion </w:t>
      </w:r>
      <w:r w:rsidR="000F64E6" w:rsidRPr="00513AF9">
        <w:t xml:space="preserve">en ligne </w:t>
      </w:r>
      <w:r w:rsidR="00696603" w:rsidRPr="00513AF9">
        <w:t>à l'avenir.</w:t>
      </w:r>
    </w:p>
    <w:p w14:paraId="5FAA2964" w14:textId="7F6A79DD" w:rsidR="00E354DB" w:rsidRPr="00513AF9" w:rsidRDefault="00E354DB" w:rsidP="006C48A1">
      <w:r w:rsidRPr="00513AF9">
        <w:t>2.3</w:t>
      </w:r>
      <w:r w:rsidRPr="00513AF9">
        <w:tab/>
      </w:r>
      <w:r w:rsidR="00696603" w:rsidRPr="00513AF9">
        <w:t>Pour les manifestation</w:t>
      </w:r>
      <w:r w:rsidR="000F64E6" w:rsidRPr="00513AF9">
        <w:t>s</w:t>
      </w:r>
      <w:r w:rsidR="00696603" w:rsidRPr="00513AF9">
        <w:t xml:space="preserve"> ouvertes aux seuls membres de l'UIT, les participants à distance suivent la même procédure d'inscription et d'accréditation que les participants sur place, et l'accès à la salle physique et à la salle virtuelle est contrôlé au moyen d'un mécanisme analogue de vérification des </w:t>
      </w:r>
      <w:r w:rsidR="000F64E6" w:rsidRPr="00513AF9">
        <w:t>accréditations</w:t>
      </w:r>
      <w:r w:rsidR="00696603" w:rsidRPr="00513AF9">
        <w:t>.</w:t>
      </w:r>
    </w:p>
    <w:p w14:paraId="1E02CCC7" w14:textId="07FDEC83" w:rsidR="00E354DB" w:rsidRPr="00513AF9" w:rsidRDefault="00E354DB" w:rsidP="006C48A1">
      <w:r w:rsidRPr="00513AF9">
        <w:t>2.4</w:t>
      </w:r>
      <w:r w:rsidRPr="00513AF9">
        <w:tab/>
      </w:r>
      <w:r w:rsidR="00D9386E" w:rsidRPr="00513AF9">
        <w:t>Pour des manifestations publiques comme le Sommet mondial sur l</w:t>
      </w:r>
      <w:r w:rsidR="005E633D" w:rsidRPr="00513AF9">
        <w:t>'</w:t>
      </w:r>
      <w:r w:rsidR="00D9386E" w:rsidRPr="00513AF9">
        <w:t>intelligence artificielle au service du bien social ou le Forum du SMSI, les participants à distance n'ont pas à accomplir la totalité de la procédure d'accréditation. Le plus souvent, une adresse électronique valide est suffisante pour se connecter à distance à la réunion de la manifestation publique, tandis que pour la participation sur place, un processus d'accréditation complet est toujours demandé pour des raisons de sécurité. Fin 2022, l'UIT a mis en place un système CRM simplifié pour faciliter l'inscription aux manifestations susmentionnées. Celui-ci a été adopté par le Secrétariat général et les trois Bureaux.</w:t>
      </w:r>
    </w:p>
    <w:p w14:paraId="6C76B3E6" w14:textId="28ED817A" w:rsidR="00E354DB" w:rsidRPr="00513AF9" w:rsidRDefault="00E354DB" w:rsidP="006C48A1">
      <w:pPr>
        <w:pStyle w:val="Heading1"/>
      </w:pPr>
      <w:r w:rsidRPr="00513AF9">
        <w:lastRenderedPageBreak/>
        <w:t>3</w:t>
      </w:r>
      <w:r w:rsidRPr="00513AF9">
        <w:tab/>
      </w:r>
      <w:r w:rsidR="00D9386E" w:rsidRPr="00513AF9">
        <w:t>Faits nouveaux et progrès accomplis en ce qui concerne l'organisation de manifestations virtuelles et de manifestations physiques avec participation à distance avec d'autres organisations des Nations Unies</w:t>
      </w:r>
    </w:p>
    <w:p w14:paraId="20E074F2" w14:textId="06A1374C" w:rsidR="00E354DB" w:rsidRPr="00513AF9" w:rsidRDefault="00E354DB" w:rsidP="00A86330">
      <w:pPr>
        <w:keepNext/>
        <w:keepLines/>
      </w:pPr>
      <w:r w:rsidRPr="00513AF9">
        <w:t>3.1</w:t>
      </w:r>
      <w:r w:rsidRPr="00513AF9">
        <w:tab/>
      </w:r>
      <w:r w:rsidR="00192B6E" w:rsidRPr="00513AF9">
        <w:t>L'UIT est un membre actif du Conseil des chefs de secrétariat du système des Nations</w:t>
      </w:r>
      <w:r w:rsidR="00485567" w:rsidRPr="00513AF9">
        <w:t> </w:t>
      </w:r>
      <w:r w:rsidR="00192B6E" w:rsidRPr="00513AF9">
        <w:t>Unies pour la coordination, en particulier du Réseau Technologie et numérique. En</w:t>
      </w:r>
      <w:r w:rsidR="00485567" w:rsidRPr="00513AF9">
        <w:t> </w:t>
      </w:r>
      <w:r w:rsidR="00192B6E" w:rsidRPr="00513AF9">
        <w:t xml:space="preserve">2020, elle a pris l'initiative en publiant les </w:t>
      </w:r>
      <w:r w:rsidR="00485567" w:rsidRPr="00513AF9">
        <w:t>"</w:t>
      </w:r>
      <w:hyperlink r:id="rId10" w:history="1">
        <w:r w:rsidR="00192B6E" w:rsidRPr="00513AF9">
          <w:rPr>
            <w:rStyle w:val="Hyperlink"/>
          </w:rPr>
          <w:t>Lignes directrices et bonnes pratiques pour les manifestations virtuelles et la participation à distance</w:t>
        </w:r>
      </w:hyperlink>
      <w:r w:rsidR="00485567" w:rsidRPr="00513AF9">
        <w:t>"</w:t>
      </w:r>
      <w:r w:rsidRPr="00513AF9">
        <w:t>.</w:t>
      </w:r>
    </w:p>
    <w:p w14:paraId="20E8FDFB" w14:textId="2CCA24DC" w:rsidR="00192B6E" w:rsidRPr="00513AF9" w:rsidRDefault="00E354DB" w:rsidP="006C48A1">
      <w:r w:rsidRPr="00513AF9">
        <w:t>3.2</w:t>
      </w:r>
      <w:r w:rsidRPr="00513AF9">
        <w:tab/>
      </w:r>
      <w:r w:rsidR="00192B6E" w:rsidRPr="00513AF9">
        <w:t xml:space="preserve">L'UIT a présenté une demande </w:t>
      </w:r>
      <w:r w:rsidR="000A4CE0" w:rsidRPr="00513AF9">
        <w:t xml:space="preserve">conjointe </w:t>
      </w:r>
      <w:r w:rsidR="00192B6E" w:rsidRPr="00513AF9">
        <w:t>de propositions avec le secrétariat de la Convention</w:t>
      </w:r>
      <w:r w:rsidR="00A86330" w:rsidRPr="00513AF9">
        <w:noBreakHyphen/>
      </w:r>
      <w:r w:rsidR="00192B6E" w:rsidRPr="00513AF9">
        <w:t xml:space="preserve">cadre des Nations unies sur les changements climatiques pour </w:t>
      </w:r>
      <w:r w:rsidR="00F0013B" w:rsidRPr="00513AF9">
        <w:t xml:space="preserve">la mise </w:t>
      </w:r>
      <w:r w:rsidR="003B711A" w:rsidRPr="00513AF9">
        <w:t xml:space="preserve">en </w:t>
      </w:r>
      <w:r w:rsidR="00F0013B" w:rsidRPr="00513AF9">
        <w:t>œuvre d</w:t>
      </w:r>
      <w:r w:rsidR="005E633D" w:rsidRPr="00513AF9">
        <w:t>'</w:t>
      </w:r>
      <w:r w:rsidR="00192B6E" w:rsidRPr="00513AF9">
        <w:t xml:space="preserve">une </w:t>
      </w:r>
      <w:r w:rsidR="00485567" w:rsidRPr="00513AF9">
        <w:t>"</w:t>
      </w:r>
      <w:r w:rsidR="00192B6E" w:rsidRPr="00513AF9">
        <w:t>plate-forme simulant le lieu des manifestations virtuelles</w:t>
      </w:r>
      <w:r w:rsidR="00485567" w:rsidRPr="00513AF9">
        <w:t>"</w:t>
      </w:r>
      <w:r w:rsidR="00192B6E" w:rsidRPr="00513AF9">
        <w:t xml:space="preserve"> apte à faciliter la communication et l</w:t>
      </w:r>
      <w:r w:rsidR="005E633D" w:rsidRPr="00513AF9">
        <w:t>'</w:t>
      </w:r>
      <w:r w:rsidR="00192B6E" w:rsidRPr="00513AF9">
        <w:t xml:space="preserve">échange d'informations entre les participants sur place et à distance tout au long de l'année. La mise en œuvre est </w:t>
      </w:r>
      <w:r w:rsidR="00F0013B" w:rsidRPr="00513AF9">
        <w:t xml:space="preserve">actuellement </w:t>
      </w:r>
      <w:r w:rsidR="00192B6E" w:rsidRPr="00513AF9">
        <w:t xml:space="preserve">en suspens, dans l'attente d'une clarification </w:t>
      </w:r>
      <w:r w:rsidR="00F0013B" w:rsidRPr="00513AF9">
        <w:t xml:space="preserve">quant à </w:t>
      </w:r>
      <w:r w:rsidR="00192B6E" w:rsidRPr="00513AF9">
        <w:t>la source de financement.</w:t>
      </w:r>
    </w:p>
    <w:p w14:paraId="49F0D2D4" w14:textId="75B5C47E" w:rsidR="00F0013B" w:rsidRPr="00513AF9" w:rsidRDefault="00E354DB" w:rsidP="006C48A1">
      <w:r w:rsidRPr="00513AF9">
        <w:t>3.3</w:t>
      </w:r>
      <w:r w:rsidRPr="00513AF9">
        <w:tab/>
      </w:r>
      <w:r w:rsidR="00F0013B" w:rsidRPr="00513AF9">
        <w:t>Le Département des services informatiques a coopéré avec l'Organisation mondiale de la propriété intellectuelle (OMPI) et l'Office des Nations unies à Genève (ONUG) pour mettre en place l'infrastructure nécessaire à l</w:t>
      </w:r>
      <w:r w:rsidR="005E633D" w:rsidRPr="00513AF9">
        <w:t>'</w:t>
      </w:r>
      <w:r w:rsidR="00F0013B" w:rsidRPr="00513AF9">
        <w:t xml:space="preserve">appui des réunions physiques avec participation à distance, y compris pour l'interprétation sur place au moyen du système audio installé dans les cabines et pour l'interprétation à distance au moyen de l'interface RSI </w:t>
      </w:r>
      <w:r w:rsidR="000A4CE0" w:rsidRPr="00513AF9">
        <w:t xml:space="preserve">de la </w:t>
      </w:r>
      <w:r w:rsidR="00F0013B" w:rsidRPr="00513AF9">
        <w:t>plate</w:t>
      </w:r>
      <w:r w:rsidR="00485567" w:rsidRPr="00513AF9">
        <w:t>-</w:t>
      </w:r>
      <w:r w:rsidR="00F0013B" w:rsidRPr="00513AF9">
        <w:t>forme de conférence en ligne.</w:t>
      </w:r>
    </w:p>
    <w:p w14:paraId="05309BCC" w14:textId="754F58A5" w:rsidR="00897553" w:rsidRPr="00513AF9" w:rsidRDefault="00E354DB" w:rsidP="006C48A1">
      <w:pPr>
        <w:pStyle w:val="Heading1"/>
      </w:pPr>
      <w:r w:rsidRPr="00513AF9">
        <w:t>4</w:t>
      </w:r>
      <w:r w:rsidRPr="00513AF9">
        <w:tab/>
      </w:r>
      <w:r w:rsidR="00F0013B" w:rsidRPr="00513AF9">
        <w:t>Contribution à la mise en œuvre de la Résolution 30 (Rév.</w:t>
      </w:r>
      <w:r w:rsidR="00A86330" w:rsidRPr="00513AF9">
        <w:t> </w:t>
      </w:r>
      <w:r w:rsidR="00F0013B" w:rsidRPr="00513AF9">
        <w:t>Bucarest,</w:t>
      </w:r>
      <w:r w:rsidR="00A86330" w:rsidRPr="00513AF9">
        <w:t> </w:t>
      </w:r>
      <w:r w:rsidR="00F0013B" w:rsidRPr="00513AF9">
        <w:t>2022)</w:t>
      </w:r>
    </w:p>
    <w:p w14:paraId="51974EEE" w14:textId="7C5E10E0" w:rsidR="00E354DB" w:rsidRPr="00513AF9" w:rsidRDefault="00E354DB" w:rsidP="006C48A1">
      <w:r w:rsidRPr="00513AF9">
        <w:t>4.1</w:t>
      </w:r>
      <w:r w:rsidRPr="00513AF9">
        <w:tab/>
      </w:r>
      <w:r w:rsidR="00F0013B" w:rsidRPr="00513AF9">
        <w:t xml:space="preserve">Par la </w:t>
      </w:r>
      <w:r w:rsidRPr="00513AF9">
        <w:t xml:space="preserve">Résolution 30 (Rév. Bucarest, 2022) </w:t>
      </w:r>
      <w:r w:rsidR="00243E6A" w:rsidRPr="00513AF9">
        <w:t>de la Conférence de plénipotentiaires</w:t>
      </w:r>
      <w:r w:rsidR="00F0013B" w:rsidRPr="00513AF9">
        <w:t>, l</w:t>
      </w:r>
      <w:r w:rsidR="005E633D" w:rsidRPr="00513AF9">
        <w:t>'</w:t>
      </w:r>
      <w:r w:rsidR="00F0013B" w:rsidRPr="00513AF9">
        <w:t>UIT s</w:t>
      </w:r>
      <w:r w:rsidR="005E633D" w:rsidRPr="00513AF9">
        <w:t>'</w:t>
      </w:r>
      <w:r w:rsidR="00F0013B" w:rsidRPr="00513AF9">
        <w:t xml:space="preserve">engage à appliquer des </w:t>
      </w:r>
      <w:bookmarkStart w:id="1" w:name="_Toc407016191"/>
      <w:bookmarkStart w:id="2" w:name="_Toc536017928"/>
      <w:r w:rsidR="00A86330" w:rsidRPr="00513AF9">
        <w:t>mesures</w:t>
      </w:r>
      <w:r w:rsidRPr="00513AF9">
        <w:t xml:space="preserve"> spéciales en faveur des pays les moins avancés, des petits États insulaires en développement, des pays en développement sans littoral et des pays dont l'économie est en transition</w:t>
      </w:r>
      <w:bookmarkEnd w:id="1"/>
      <w:bookmarkEnd w:id="2"/>
      <w:r w:rsidRPr="00513AF9">
        <w:t xml:space="preserve">. </w:t>
      </w:r>
      <w:r w:rsidR="005044EB" w:rsidRPr="00513AF9">
        <w:t>Ces mesures prévoient d</w:t>
      </w:r>
      <w:r w:rsidR="005E633D" w:rsidRPr="00513AF9">
        <w:t>'</w:t>
      </w:r>
      <w:r w:rsidR="005044EB" w:rsidRPr="00513AF9">
        <w:t>accroître la participation des établissements universitaires et du secteur privé aux travaux de l</w:t>
      </w:r>
      <w:r w:rsidR="005E633D" w:rsidRPr="00513AF9">
        <w:t>'</w:t>
      </w:r>
      <w:r w:rsidR="005044EB" w:rsidRPr="00513AF9">
        <w:t>UIT.</w:t>
      </w:r>
    </w:p>
    <w:p w14:paraId="34BBF0EE" w14:textId="6CCB1619" w:rsidR="00E354DB" w:rsidRPr="00513AF9" w:rsidRDefault="00E354DB" w:rsidP="006C48A1">
      <w:bookmarkStart w:id="3" w:name="here"/>
      <w:r w:rsidRPr="00513AF9">
        <w:t>4.2</w:t>
      </w:r>
      <w:r w:rsidRPr="00513AF9">
        <w:tab/>
      </w:r>
      <w:bookmarkEnd w:id="3"/>
      <w:r w:rsidR="005044EB" w:rsidRPr="00513AF9">
        <w:t>On trouvera à l</w:t>
      </w:r>
      <w:r w:rsidR="005E633D" w:rsidRPr="00513AF9">
        <w:t>'</w:t>
      </w:r>
      <w:hyperlink w:anchor="Annex2" w:history="1">
        <w:r w:rsidR="005044EB" w:rsidRPr="00513AF9">
          <w:rPr>
            <w:rStyle w:val="Hyperlink"/>
          </w:rPr>
          <w:t>Annexe 2</w:t>
        </w:r>
      </w:hyperlink>
      <w:r w:rsidR="005044EB" w:rsidRPr="00513AF9">
        <w:t xml:space="preserve"> des statistiques sur le nombre d'États Membres ayant participé à des manifestations de l'UIT depuis 2018, ainsi que le nombre de participants de pays développés, de pays en développement et de pays les moins avancés à ces manifestations. Le nombre de participants de tous ces groupes de pays a augmenté régulièrement, </w:t>
      </w:r>
      <w:r w:rsidR="00351617" w:rsidRPr="00513AF9">
        <w:t xml:space="preserve">largement grâce à </w:t>
      </w:r>
      <w:r w:rsidR="005044EB" w:rsidRPr="00513AF9">
        <w:t>la participation à distance.</w:t>
      </w:r>
    </w:p>
    <w:p w14:paraId="15BB8EFC" w14:textId="09B0D7E3" w:rsidR="00E354DB" w:rsidRPr="00513AF9" w:rsidRDefault="00243E6A" w:rsidP="006C48A1">
      <w:pPr>
        <w:pStyle w:val="Heading1"/>
      </w:pPr>
      <w:r w:rsidRPr="00513AF9">
        <w:t>5</w:t>
      </w:r>
      <w:r w:rsidRPr="00513AF9">
        <w:tab/>
        <w:t>Incidences sur le plan de l'égalité hommes-femmes</w:t>
      </w:r>
    </w:p>
    <w:p w14:paraId="3A1F90EE" w14:textId="5538CC5A" w:rsidR="00243E6A" w:rsidRPr="00513AF9" w:rsidRDefault="00243E6A" w:rsidP="006C48A1">
      <w:r w:rsidRPr="00513AF9">
        <w:t>5.1</w:t>
      </w:r>
      <w:r w:rsidRPr="00513AF9">
        <w:tab/>
      </w:r>
      <w:r w:rsidR="00BF667E" w:rsidRPr="00513AF9">
        <w:t>La cible 5</w:t>
      </w:r>
      <w:r w:rsidR="003B711A" w:rsidRPr="00513AF9">
        <w:t>.5</w:t>
      </w:r>
      <w:r w:rsidR="00BF667E" w:rsidRPr="00513AF9">
        <w:t xml:space="preserve"> de l</w:t>
      </w:r>
      <w:r w:rsidR="005E633D" w:rsidRPr="00513AF9">
        <w:t>'</w:t>
      </w:r>
      <w:r w:rsidR="00BF667E" w:rsidRPr="00513AF9">
        <w:t xml:space="preserve">Objectif de développement durable </w:t>
      </w:r>
      <w:r w:rsidR="003B711A" w:rsidRPr="00513AF9">
        <w:t>N</w:t>
      </w:r>
      <w:r w:rsidR="00BF667E" w:rsidRPr="00513AF9">
        <w:t xml:space="preserve">° 5 consiste à veiller à ce que les femmes participent pleinement et effectivement à la prise des décisions. </w:t>
      </w:r>
      <w:r w:rsidRPr="00513AF9">
        <w:t xml:space="preserve">Les manifestations virtuelles et la participation à distance peuvent offrir la souplesse nécessaire au renforcement de la participation des femmes aux manifestations de l'UIT. </w:t>
      </w:r>
      <w:r w:rsidR="00BF667E" w:rsidRPr="00513AF9">
        <w:t xml:space="preserve">La participation à distance a permis à davantage de femmes de participer aux manifestations récentes. </w:t>
      </w:r>
      <w:r w:rsidRPr="00513AF9">
        <w:t xml:space="preserve">Une meilleure compréhension de </w:t>
      </w:r>
      <w:r w:rsidR="00BF667E" w:rsidRPr="00513AF9">
        <w:t>la façon dont les femmes vivent les réunions peut cependant aider à rendre les réunions de l</w:t>
      </w:r>
      <w:r w:rsidR="005E633D" w:rsidRPr="00513AF9">
        <w:t>'</w:t>
      </w:r>
      <w:r w:rsidR="00BF667E" w:rsidRPr="00513AF9">
        <w:t>UIT plus adaptées à leurs besoins et préoccupations.</w:t>
      </w:r>
    </w:p>
    <w:tbl>
      <w:tblPr>
        <w:tblStyle w:val="TableGrid"/>
        <w:tblW w:w="0" w:type="auto"/>
        <w:tblLook w:val="04A0" w:firstRow="1" w:lastRow="0" w:firstColumn="1" w:lastColumn="0" w:noHBand="0" w:noVBand="1"/>
      </w:tblPr>
      <w:tblGrid>
        <w:gridCol w:w="2254"/>
        <w:gridCol w:w="2254"/>
        <w:gridCol w:w="2254"/>
        <w:gridCol w:w="2254"/>
      </w:tblGrid>
      <w:tr w:rsidR="00243E6A" w:rsidRPr="00513AF9" w14:paraId="45065ACB" w14:textId="77777777" w:rsidTr="00D9386E">
        <w:tc>
          <w:tcPr>
            <w:tcW w:w="2254" w:type="dxa"/>
          </w:tcPr>
          <w:p w14:paraId="6F1018D4" w14:textId="3E9476B8" w:rsidR="00243E6A" w:rsidRPr="00513AF9" w:rsidRDefault="00BF667E" w:rsidP="00A86330">
            <w:pPr>
              <w:pStyle w:val="Tabletext"/>
              <w:jc w:val="center"/>
            </w:pPr>
            <w:r w:rsidRPr="00513AF9">
              <w:lastRenderedPageBreak/>
              <w:t>Manifestation</w:t>
            </w:r>
          </w:p>
        </w:tc>
        <w:tc>
          <w:tcPr>
            <w:tcW w:w="2254" w:type="dxa"/>
          </w:tcPr>
          <w:p w14:paraId="57957294" w14:textId="570CC39B" w:rsidR="00243E6A" w:rsidRPr="00513AF9" w:rsidRDefault="00F409AE" w:rsidP="00A86330">
            <w:pPr>
              <w:pStyle w:val="Tabletext"/>
              <w:jc w:val="center"/>
            </w:pPr>
            <w:r w:rsidRPr="00513AF9">
              <w:t>P</w:t>
            </w:r>
            <w:r w:rsidR="00BF667E" w:rsidRPr="00513AF9">
              <w:t xml:space="preserve">roportion de femmes parmi les </w:t>
            </w:r>
            <w:r w:rsidR="00243E6A" w:rsidRPr="00513AF9">
              <w:t>participants</w:t>
            </w:r>
            <w:r w:rsidR="00BF667E" w:rsidRPr="00513AF9">
              <w:t xml:space="preserve"> physiques</w:t>
            </w:r>
          </w:p>
        </w:tc>
        <w:tc>
          <w:tcPr>
            <w:tcW w:w="2254" w:type="dxa"/>
          </w:tcPr>
          <w:p w14:paraId="1B597175" w14:textId="13898955" w:rsidR="00243E6A" w:rsidRPr="00513AF9" w:rsidRDefault="00F409AE" w:rsidP="00A86330">
            <w:pPr>
              <w:pStyle w:val="Tabletext"/>
              <w:jc w:val="center"/>
            </w:pPr>
            <w:r w:rsidRPr="00513AF9">
              <w:t>P</w:t>
            </w:r>
            <w:r w:rsidR="00BF667E" w:rsidRPr="00513AF9">
              <w:t>roportion de femmes parmi les participants à distance</w:t>
            </w:r>
          </w:p>
        </w:tc>
        <w:tc>
          <w:tcPr>
            <w:tcW w:w="2254" w:type="dxa"/>
          </w:tcPr>
          <w:p w14:paraId="5162593D" w14:textId="5604E898" w:rsidR="00243E6A" w:rsidRPr="00513AF9" w:rsidRDefault="00F409AE" w:rsidP="00A86330">
            <w:pPr>
              <w:pStyle w:val="Tabletext"/>
              <w:jc w:val="center"/>
            </w:pPr>
            <w:r w:rsidRPr="00513AF9">
              <w:t>P</w:t>
            </w:r>
            <w:r w:rsidR="00BF667E" w:rsidRPr="00513AF9">
              <w:t>roportion de femmes dans le nombre total de participants</w:t>
            </w:r>
          </w:p>
        </w:tc>
      </w:tr>
      <w:tr w:rsidR="00243E6A" w:rsidRPr="00513AF9" w14:paraId="3CB5FA46" w14:textId="77777777" w:rsidTr="00D9386E">
        <w:tc>
          <w:tcPr>
            <w:tcW w:w="2254" w:type="dxa"/>
          </w:tcPr>
          <w:p w14:paraId="1FD5EB39" w14:textId="200D4A1E" w:rsidR="00243E6A" w:rsidRPr="00513AF9" w:rsidRDefault="00243E6A" w:rsidP="00F409AE">
            <w:pPr>
              <w:pStyle w:val="Tabletext"/>
              <w:jc w:val="center"/>
            </w:pPr>
            <w:r w:rsidRPr="00513AF9">
              <w:t>Conseil-22</w:t>
            </w:r>
          </w:p>
        </w:tc>
        <w:tc>
          <w:tcPr>
            <w:tcW w:w="2254" w:type="dxa"/>
          </w:tcPr>
          <w:p w14:paraId="6CADBC80" w14:textId="77777777" w:rsidR="00243E6A" w:rsidRPr="00513AF9" w:rsidRDefault="00243E6A" w:rsidP="00A86330">
            <w:pPr>
              <w:pStyle w:val="Tabletext"/>
              <w:jc w:val="center"/>
            </w:pPr>
            <w:r w:rsidRPr="00513AF9">
              <w:t>36%</w:t>
            </w:r>
          </w:p>
        </w:tc>
        <w:tc>
          <w:tcPr>
            <w:tcW w:w="2254" w:type="dxa"/>
          </w:tcPr>
          <w:p w14:paraId="60256FB0" w14:textId="77777777" w:rsidR="00243E6A" w:rsidRPr="00513AF9" w:rsidRDefault="00243E6A" w:rsidP="00A86330">
            <w:pPr>
              <w:pStyle w:val="Tabletext"/>
              <w:jc w:val="center"/>
            </w:pPr>
            <w:r w:rsidRPr="00513AF9">
              <w:t>46%</w:t>
            </w:r>
          </w:p>
        </w:tc>
        <w:tc>
          <w:tcPr>
            <w:tcW w:w="2254" w:type="dxa"/>
          </w:tcPr>
          <w:p w14:paraId="173A9014" w14:textId="77777777" w:rsidR="00243E6A" w:rsidRPr="00513AF9" w:rsidRDefault="00243E6A" w:rsidP="00A86330">
            <w:pPr>
              <w:pStyle w:val="Tabletext"/>
              <w:jc w:val="center"/>
            </w:pPr>
            <w:r w:rsidRPr="00513AF9">
              <w:t>38%</w:t>
            </w:r>
          </w:p>
        </w:tc>
      </w:tr>
      <w:tr w:rsidR="00243E6A" w:rsidRPr="00513AF9" w14:paraId="61E35E6B" w14:textId="77777777" w:rsidTr="00D9386E">
        <w:tc>
          <w:tcPr>
            <w:tcW w:w="2254" w:type="dxa"/>
          </w:tcPr>
          <w:p w14:paraId="2C4F3350" w14:textId="77777777" w:rsidR="00243E6A" w:rsidRPr="00513AF9" w:rsidRDefault="00243E6A" w:rsidP="00F409AE">
            <w:pPr>
              <w:pStyle w:val="Tabletext"/>
              <w:jc w:val="center"/>
            </w:pPr>
            <w:r w:rsidRPr="00513AF9">
              <w:t>PP-22</w:t>
            </w:r>
          </w:p>
        </w:tc>
        <w:tc>
          <w:tcPr>
            <w:tcW w:w="2254" w:type="dxa"/>
          </w:tcPr>
          <w:p w14:paraId="75703C68" w14:textId="77777777" w:rsidR="00243E6A" w:rsidRPr="00513AF9" w:rsidRDefault="00243E6A" w:rsidP="00A86330">
            <w:pPr>
              <w:pStyle w:val="Tabletext"/>
              <w:jc w:val="center"/>
            </w:pPr>
            <w:r w:rsidRPr="00513AF9">
              <w:t>33%</w:t>
            </w:r>
          </w:p>
        </w:tc>
        <w:tc>
          <w:tcPr>
            <w:tcW w:w="2254" w:type="dxa"/>
          </w:tcPr>
          <w:p w14:paraId="6DCA5265" w14:textId="77777777" w:rsidR="00243E6A" w:rsidRPr="00513AF9" w:rsidRDefault="00243E6A" w:rsidP="00A86330">
            <w:pPr>
              <w:pStyle w:val="Tabletext"/>
              <w:jc w:val="center"/>
            </w:pPr>
            <w:r w:rsidRPr="00513AF9">
              <w:t>43%</w:t>
            </w:r>
          </w:p>
        </w:tc>
        <w:tc>
          <w:tcPr>
            <w:tcW w:w="2254" w:type="dxa"/>
          </w:tcPr>
          <w:p w14:paraId="05C7ED33" w14:textId="77777777" w:rsidR="00243E6A" w:rsidRPr="00513AF9" w:rsidRDefault="00243E6A" w:rsidP="00A86330">
            <w:pPr>
              <w:pStyle w:val="Tabletext"/>
              <w:jc w:val="center"/>
            </w:pPr>
            <w:r w:rsidRPr="00513AF9">
              <w:t>34%</w:t>
            </w:r>
          </w:p>
        </w:tc>
      </w:tr>
      <w:tr w:rsidR="00243E6A" w:rsidRPr="00513AF9" w14:paraId="70857E35" w14:textId="77777777" w:rsidTr="00D9386E">
        <w:tc>
          <w:tcPr>
            <w:tcW w:w="2254" w:type="dxa"/>
          </w:tcPr>
          <w:p w14:paraId="6AAA251B" w14:textId="667FB0D7" w:rsidR="00243E6A" w:rsidRPr="00513AF9" w:rsidRDefault="00243E6A" w:rsidP="00F409AE">
            <w:pPr>
              <w:pStyle w:val="Tabletext"/>
              <w:jc w:val="center"/>
            </w:pPr>
            <w:r w:rsidRPr="00513AF9">
              <w:t>RPC23</w:t>
            </w:r>
          </w:p>
        </w:tc>
        <w:tc>
          <w:tcPr>
            <w:tcW w:w="2254" w:type="dxa"/>
          </w:tcPr>
          <w:p w14:paraId="1C5E6EC7" w14:textId="77777777" w:rsidR="00243E6A" w:rsidRPr="00513AF9" w:rsidRDefault="00243E6A" w:rsidP="00A86330">
            <w:pPr>
              <w:pStyle w:val="Tabletext"/>
              <w:jc w:val="center"/>
            </w:pPr>
            <w:r w:rsidRPr="00513AF9">
              <w:t>23%</w:t>
            </w:r>
          </w:p>
        </w:tc>
        <w:tc>
          <w:tcPr>
            <w:tcW w:w="2254" w:type="dxa"/>
          </w:tcPr>
          <w:p w14:paraId="6DCC8655" w14:textId="77777777" w:rsidR="00243E6A" w:rsidRPr="00513AF9" w:rsidRDefault="00243E6A" w:rsidP="00A86330">
            <w:pPr>
              <w:pStyle w:val="Tabletext"/>
              <w:jc w:val="center"/>
            </w:pPr>
            <w:r w:rsidRPr="00513AF9">
              <w:t>25%</w:t>
            </w:r>
          </w:p>
        </w:tc>
        <w:tc>
          <w:tcPr>
            <w:tcW w:w="2254" w:type="dxa"/>
          </w:tcPr>
          <w:p w14:paraId="5A4A5401" w14:textId="77777777" w:rsidR="00243E6A" w:rsidRPr="00513AF9" w:rsidRDefault="00243E6A" w:rsidP="00A86330">
            <w:pPr>
              <w:pStyle w:val="Tabletext"/>
              <w:jc w:val="center"/>
            </w:pPr>
            <w:r w:rsidRPr="00513AF9">
              <w:t>24%</w:t>
            </w:r>
          </w:p>
        </w:tc>
      </w:tr>
    </w:tbl>
    <w:p w14:paraId="2A43DB0F" w14:textId="18F5061F" w:rsidR="00243E6A" w:rsidRPr="00513AF9" w:rsidRDefault="00243E6A" w:rsidP="006C48A1">
      <w:pPr>
        <w:pStyle w:val="Heading1"/>
      </w:pPr>
      <w:r w:rsidRPr="00513AF9">
        <w:t>6</w:t>
      </w:r>
      <w:r w:rsidRPr="00513AF9">
        <w:tab/>
      </w:r>
      <w:r w:rsidR="003D1EE5" w:rsidRPr="00513AF9">
        <w:t>Incidences financières</w:t>
      </w:r>
    </w:p>
    <w:p w14:paraId="37BCBCA7" w14:textId="04E5B526" w:rsidR="00226436" w:rsidRPr="00513AF9" w:rsidRDefault="00243E6A" w:rsidP="006C48A1">
      <w:r w:rsidRPr="00513AF9">
        <w:t>6.1</w:t>
      </w:r>
      <w:r w:rsidRPr="00513AF9">
        <w:tab/>
      </w:r>
      <w:r w:rsidR="00226436" w:rsidRPr="00513AF9">
        <w:t>Les dépenses d</w:t>
      </w:r>
      <w:r w:rsidR="005E633D" w:rsidRPr="00513AF9">
        <w:t>'</w:t>
      </w:r>
      <w:r w:rsidR="00226436" w:rsidRPr="00513AF9">
        <w:t>exploitation annuelles pour l</w:t>
      </w:r>
      <w:r w:rsidR="005E633D" w:rsidRPr="00513AF9">
        <w:t>'</w:t>
      </w:r>
      <w:r w:rsidR="00226436" w:rsidRPr="00513AF9">
        <w:t>appui aux manifestations virtuelles et aux manifestations physiques avec participation à distance s</w:t>
      </w:r>
      <w:r w:rsidR="005E633D" w:rsidRPr="00513AF9">
        <w:t>'</w:t>
      </w:r>
      <w:r w:rsidR="00226436" w:rsidRPr="00513AF9">
        <w:t>élève à 855 000 CHF, soit</w:t>
      </w:r>
      <w:r w:rsidR="00A86330" w:rsidRPr="00513AF9">
        <w:t> </w:t>
      </w:r>
      <w:r w:rsidR="00226436" w:rsidRPr="00513AF9">
        <w:t>3,42</w:t>
      </w:r>
      <w:r w:rsidR="00A86330" w:rsidRPr="00513AF9">
        <w:t> </w:t>
      </w:r>
      <w:r w:rsidR="00226436" w:rsidRPr="00513AF9">
        <w:t xml:space="preserve">millions de CHF pour la période budgétaire 2024-2027, comme indiqué dans le </w:t>
      </w:r>
      <w:r w:rsidR="00F409AE" w:rsidRPr="00513AF9">
        <w:t>D</w:t>
      </w:r>
      <w:r w:rsidR="00226436" w:rsidRPr="00513AF9">
        <w:t xml:space="preserve">ocument </w:t>
      </w:r>
      <w:hyperlink r:id="rId11" w:history="1">
        <w:r w:rsidR="00226436" w:rsidRPr="00513AF9">
          <w:rPr>
            <w:rStyle w:val="Hyperlink"/>
          </w:rPr>
          <w:t>PP-22/64</w:t>
        </w:r>
      </w:hyperlink>
      <w:r w:rsidR="00226436" w:rsidRPr="00513AF9">
        <w:t xml:space="preserve">. En outre, on estime qu'un investissement de 1 million </w:t>
      </w:r>
      <w:r w:rsidR="00351617" w:rsidRPr="00513AF9">
        <w:t xml:space="preserve">de </w:t>
      </w:r>
      <w:r w:rsidR="00226436" w:rsidRPr="00513AF9">
        <w:t>CHF sera néces</w:t>
      </w:r>
      <w:r w:rsidR="00351617" w:rsidRPr="00513AF9">
        <w:t xml:space="preserve">saire tous les cinq ans pour le renouvellement </w:t>
      </w:r>
      <w:r w:rsidR="00226436" w:rsidRPr="00513AF9">
        <w:t>du matériel utilisé à l</w:t>
      </w:r>
      <w:r w:rsidR="005E633D" w:rsidRPr="00513AF9">
        <w:t>'</w:t>
      </w:r>
      <w:r w:rsidR="00226436" w:rsidRPr="00513AF9">
        <w:t>appui des manifestations virtuelles et des manifestations physiques avec participation à distance.</w:t>
      </w:r>
    </w:p>
    <w:p w14:paraId="5A2628B8" w14:textId="451EB3B2" w:rsidR="00243E6A" w:rsidRPr="00513AF9" w:rsidRDefault="00243E6A" w:rsidP="006C48A1">
      <w:pPr>
        <w:pStyle w:val="Heading1"/>
      </w:pPr>
      <w:r w:rsidRPr="00513AF9">
        <w:t>7</w:t>
      </w:r>
      <w:r w:rsidR="00226436" w:rsidRPr="00513AF9">
        <w:tab/>
        <w:t>Recomma</w:t>
      </w:r>
      <w:r w:rsidRPr="00513AF9">
        <w:t>ndations</w:t>
      </w:r>
    </w:p>
    <w:p w14:paraId="04F51043" w14:textId="3B723AD0" w:rsidR="00243E6A" w:rsidRPr="00513AF9" w:rsidRDefault="00243E6A" w:rsidP="006C48A1">
      <w:r w:rsidRPr="00513AF9">
        <w:t>7.1</w:t>
      </w:r>
      <w:r w:rsidRPr="00513AF9">
        <w:tab/>
      </w:r>
      <w:r w:rsidR="00D37A7C" w:rsidRPr="00513AF9">
        <w:t xml:space="preserve">Le Conseil est invité à </w:t>
      </w:r>
      <w:r w:rsidR="00D37A7C" w:rsidRPr="00513AF9">
        <w:rPr>
          <w:b/>
        </w:rPr>
        <w:t>examiner le rapport et à formuler</w:t>
      </w:r>
      <w:r w:rsidR="00D37A7C" w:rsidRPr="00513AF9">
        <w:t xml:space="preserve"> </w:t>
      </w:r>
      <w:r w:rsidRPr="00513AF9">
        <w:rPr>
          <w:b/>
          <w:bCs/>
        </w:rPr>
        <w:t>des orientations de haut niveau pour la gestion et la gouvernance</w:t>
      </w:r>
      <w:r w:rsidRPr="00513AF9">
        <w:t xml:space="preserve"> des réunions entièrement virtuelles et des réunions physiques avec participation à distance </w:t>
      </w:r>
      <w:r w:rsidR="00D37A7C" w:rsidRPr="00513AF9">
        <w:t>mentionnées précédemment</w:t>
      </w:r>
      <w:r w:rsidRPr="00513AF9">
        <w:t>.</w:t>
      </w:r>
    </w:p>
    <w:p w14:paraId="78459D04" w14:textId="44B814F5" w:rsidR="00243E6A" w:rsidRPr="00513AF9" w:rsidRDefault="00243E6A" w:rsidP="00F409AE">
      <w:pPr>
        <w:spacing w:before="480"/>
      </w:pPr>
      <w:proofErr w:type="gramStart"/>
      <w:r w:rsidRPr="00513AF9">
        <w:rPr>
          <w:i/>
          <w:iCs/>
        </w:rPr>
        <w:t>Annexes:</w:t>
      </w:r>
      <w:proofErr w:type="gramEnd"/>
      <w:r w:rsidRPr="00513AF9">
        <w:rPr>
          <w:i/>
          <w:iCs/>
        </w:rPr>
        <w:t xml:space="preserve"> </w:t>
      </w:r>
      <w:r w:rsidRPr="00513AF9">
        <w:rPr>
          <w:b/>
          <w:bCs/>
          <w:i/>
          <w:iCs/>
        </w:rPr>
        <w:t>2</w:t>
      </w:r>
      <w:r w:rsidRPr="00513AF9">
        <w:br w:type="page"/>
      </w:r>
    </w:p>
    <w:p w14:paraId="5B35547B" w14:textId="2EE6AA97" w:rsidR="00243E6A" w:rsidRPr="00513AF9" w:rsidRDefault="00243E6A" w:rsidP="006C48A1">
      <w:pPr>
        <w:pStyle w:val="AnnexNo"/>
      </w:pPr>
      <w:r w:rsidRPr="00513AF9">
        <w:lastRenderedPageBreak/>
        <w:t>An</w:t>
      </w:r>
      <w:bookmarkStart w:id="4" w:name="Annex1"/>
      <w:bookmarkEnd w:id="4"/>
      <w:r w:rsidRPr="00513AF9">
        <w:t>nexe 1</w:t>
      </w:r>
    </w:p>
    <w:p w14:paraId="1ECEF05C" w14:textId="5B7184DF" w:rsidR="00243E6A" w:rsidRPr="00513AF9" w:rsidRDefault="00D37A7C" w:rsidP="006C48A1">
      <w:pPr>
        <w:pStyle w:val="Annextitle"/>
      </w:pPr>
      <w:r w:rsidRPr="00513AF9">
        <w:t xml:space="preserve">Nombre de manifestations, de réunions et de </w:t>
      </w:r>
      <w:r w:rsidR="00243E6A" w:rsidRPr="00513AF9">
        <w:t xml:space="preserve">participants </w:t>
      </w:r>
      <w:r w:rsidRPr="00513AF9">
        <w:t xml:space="preserve">depuis la </w:t>
      </w:r>
      <w:r w:rsidR="00243E6A" w:rsidRPr="00513AF9">
        <w:t>PP-22</w:t>
      </w:r>
    </w:p>
    <w:tbl>
      <w:tblPr>
        <w:tblStyle w:val="TableGrid"/>
        <w:tblW w:w="0" w:type="auto"/>
        <w:tblLook w:val="04A0" w:firstRow="1" w:lastRow="0" w:firstColumn="1" w:lastColumn="0" w:noHBand="0" w:noVBand="1"/>
      </w:tblPr>
      <w:tblGrid>
        <w:gridCol w:w="1192"/>
        <w:gridCol w:w="2598"/>
        <w:gridCol w:w="2599"/>
        <w:gridCol w:w="2599"/>
      </w:tblGrid>
      <w:tr w:rsidR="00243E6A" w:rsidRPr="00513AF9" w14:paraId="68C2613F" w14:textId="77777777" w:rsidTr="00D9386E">
        <w:tc>
          <w:tcPr>
            <w:tcW w:w="988" w:type="dxa"/>
          </w:tcPr>
          <w:p w14:paraId="44FF7FA8" w14:textId="77777777" w:rsidR="00243E6A" w:rsidRPr="00513AF9" w:rsidRDefault="00243E6A" w:rsidP="006C48A1"/>
        </w:tc>
        <w:tc>
          <w:tcPr>
            <w:tcW w:w="2598" w:type="dxa"/>
          </w:tcPr>
          <w:p w14:paraId="18D116C4" w14:textId="00505A69" w:rsidR="00243E6A" w:rsidRPr="00513AF9" w:rsidRDefault="00D37A7C" w:rsidP="00086B94">
            <w:pPr>
              <w:pStyle w:val="Tabletext"/>
              <w:jc w:val="center"/>
            </w:pPr>
            <w:r w:rsidRPr="00513AF9">
              <w:t>Réunions entièrement physiques</w:t>
            </w:r>
          </w:p>
        </w:tc>
        <w:tc>
          <w:tcPr>
            <w:tcW w:w="2599" w:type="dxa"/>
          </w:tcPr>
          <w:p w14:paraId="286322AA" w14:textId="4DACCC66" w:rsidR="00243E6A" w:rsidRPr="00513AF9" w:rsidRDefault="00D37A7C" w:rsidP="00086B94">
            <w:pPr>
              <w:pStyle w:val="Tabletext"/>
              <w:jc w:val="center"/>
            </w:pPr>
            <w:r w:rsidRPr="00513AF9">
              <w:t>Réunions entièrement virtuelles</w:t>
            </w:r>
          </w:p>
        </w:tc>
        <w:tc>
          <w:tcPr>
            <w:tcW w:w="2599" w:type="dxa"/>
          </w:tcPr>
          <w:p w14:paraId="7E3595D7" w14:textId="32A8B0AE" w:rsidR="00243E6A" w:rsidRPr="00513AF9" w:rsidRDefault="00D37A7C" w:rsidP="00086B94">
            <w:pPr>
              <w:pStyle w:val="Tabletext"/>
              <w:jc w:val="center"/>
            </w:pPr>
            <w:r w:rsidRPr="00513AF9">
              <w:t>Réunions physiques avec participation à distance</w:t>
            </w:r>
          </w:p>
        </w:tc>
      </w:tr>
      <w:tr w:rsidR="00243E6A" w:rsidRPr="00513AF9" w14:paraId="56893298" w14:textId="77777777" w:rsidTr="00F409AE">
        <w:tc>
          <w:tcPr>
            <w:tcW w:w="988" w:type="dxa"/>
          </w:tcPr>
          <w:p w14:paraId="0419AFBE" w14:textId="7FA9887B" w:rsidR="00243E6A" w:rsidRPr="00513AF9" w:rsidRDefault="00243E6A" w:rsidP="00264D19">
            <w:pPr>
              <w:pStyle w:val="Tabletext"/>
            </w:pPr>
            <w:r w:rsidRPr="00513AF9">
              <w:t>S</w:t>
            </w:r>
            <w:r w:rsidR="00D37A7C" w:rsidRPr="00513AF9">
              <w:t>ecrétariat général</w:t>
            </w:r>
          </w:p>
        </w:tc>
        <w:tc>
          <w:tcPr>
            <w:tcW w:w="2598" w:type="dxa"/>
            <w:vAlign w:val="center"/>
          </w:tcPr>
          <w:p w14:paraId="6877B72E" w14:textId="77777777" w:rsidR="00243E6A" w:rsidRPr="00513AF9" w:rsidRDefault="00243E6A" w:rsidP="00F409AE">
            <w:pPr>
              <w:pStyle w:val="Tabletext"/>
              <w:jc w:val="center"/>
            </w:pPr>
            <w:r w:rsidRPr="00513AF9">
              <w:t>2</w:t>
            </w:r>
          </w:p>
        </w:tc>
        <w:tc>
          <w:tcPr>
            <w:tcW w:w="2599" w:type="dxa"/>
            <w:vAlign w:val="center"/>
          </w:tcPr>
          <w:p w14:paraId="53BB5187" w14:textId="77777777" w:rsidR="00243E6A" w:rsidRPr="00513AF9" w:rsidRDefault="00243E6A" w:rsidP="00F409AE">
            <w:pPr>
              <w:pStyle w:val="Tabletext"/>
              <w:jc w:val="center"/>
              <w:rPr>
                <w:rFonts w:eastAsia="Calibri" w:cs="Calibri"/>
                <w:szCs w:val="24"/>
              </w:rPr>
            </w:pPr>
            <w:r w:rsidRPr="00513AF9">
              <w:t>2</w:t>
            </w:r>
          </w:p>
        </w:tc>
        <w:tc>
          <w:tcPr>
            <w:tcW w:w="2599" w:type="dxa"/>
            <w:vAlign w:val="center"/>
          </w:tcPr>
          <w:p w14:paraId="54337E82" w14:textId="77777777" w:rsidR="00243E6A" w:rsidRPr="00513AF9" w:rsidRDefault="00243E6A" w:rsidP="00F409AE">
            <w:pPr>
              <w:pStyle w:val="Tabletext"/>
              <w:jc w:val="center"/>
            </w:pPr>
            <w:r w:rsidRPr="00513AF9">
              <w:t>2</w:t>
            </w:r>
          </w:p>
        </w:tc>
      </w:tr>
      <w:tr w:rsidR="00243E6A" w:rsidRPr="00513AF9" w14:paraId="2E26905E" w14:textId="77777777" w:rsidTr="00F409AE">
        <w:tc>
          <w:tcPr>
            <w:tcW w:w="988" w:type="dxa"/>
          </w:tcPr>
          <w:p w14:paraId="6866C43D" w14:textId="7264357F" w:rsidR="00243E6A" w:rsidRPr="00513AF9" w:rsidRDefault="00243E6A" w:rsidP="00264D19">
            <w:pPr>
              <w:pStyle w:val="Tabletext"/>
            </w:pPr>
            <w:r w:rsidRPr="00513AF9">
              <w:t>UIT-T</w:t>
            </w:r>
          </w:p>
        </w:tc>
        <w:tc>
          <w:tcPr>
            <w:tcW w:w="2598" w:type="dxa"/>
            <w:vAlign w:val="center"/>
          </w:tcPr>
          <w:p w14:paraId="49833BE4" w14:textId="77777777" w:rsidR="00243E6A" w:rsidRPr="00513AF9" w:rsidRDefault="00243E6A" w:rsidP="00F409AE">
            <w:pPr>
              <w:pStyle w:val="Tabletext"/>
              <w:jc w:val="center"/>
            </w:pPr>
            <w:r w:rsidRPr="00513AF9">
              <w:t>6</w:t>
            </w:r>
          </w:p>
        </w:tc>
        <w:tc>
          <w:tcPr>
            <w:tcW w:w="2599" w:type="dxa"/>
            <w:vAlign w:val="center"/>
          </w:tcPr>
          <w:p w14:paraId="4A9D6A9A" w14:textId="77777777" w:rsidR="00243E6A" w:rsidRPr="00513AF9" w:rsidRDefault="00243E6A" w:rsidP="00F409AE">
            <w:pPr>
              <w:pStyle w:val="Tabletext"/>
              <w:jc w:val="center"/>
            </w:pPr>
            <w:r w:rsidRPr="00513AF9">
              <w:t>23</w:t>
            </w:r>
          </w:p>
        </w:tc>
        <w:tc>
          <w:tcPr>
            <w:tcW w:w="2599" w:type="dxa"/>
            <w:vAlign w:val="center"/>
          </w:tcPr>
          <w:p w14:paraId="140F6872" w14:textId="77777777" w:rsidR="00243E6A" w:rsidRPr="00513AF9" w:rsidRDefault="00243E6A" w:rsidP="00F409AE">
            <w:pPr>
              <w:pStyle w:val="Tabletext"/>
              <w:jc w:val="center"/>
            </w:pPr>
            <w:r w:rsidRPr="00513AF9">
              <w:t>38</w:t>
            </w:r>
          </w:p>
        </w:tc>
      </w:tr>
      <w:tr w:rsidR="00243E6A" w:rsidRPr="00513AF9" w14:paraId="4DA3B3BD" w14:textId="77777777" w:rsidTr="00F409AE">
        <w:tc>
          <w:tcPr>
            <w:tcW w:w="988" w:type="dxa"/>
          </w:tcPr>
          <w:p w14:paraId="187D2D68" w14:textId="3EA7A09B" w:rsidR="00243E6A" w:rsidRPr="00513AF9" w:rsidRDefault="00243E6A" w:rsidP="00264D19">
            <w:pPr>
              <w:pStyle w:val="Tabletext"/>
            </w:pPr>
            <w:r w:rsidRPr="00513AF9">
              <w:t>UIT-R</w:t>
            </w:r>
          </w:p>
        </w:tc>
        <w:tc>
          <w:tcPr>
            <w:tcW w:w="2598" w:type="dxa"/>
            <w:vAlign w:val="center"/>
          </w:tcPr>
          <w:p w14:paraId="1543BEA8" w14:textId="77777777" w:rsidR="00243E6A" w:rsidRPr="00513AF9" w:rsidRDefault="00243E6A" w:rsidP="00F409AE">
            <w:pPr>
              <w:pStyle w:val="Tabletext"/>
              <w:jc w:val="center"/>
            </w:pPr>
            <w:r w:rsidRPr="00513AF9">
              <w:t>1</w:t>
            </w:r>
          </w:p>
        </w:tc>
        <w:tc>
          <w:tcPr>
            <w:tcW w:w="2599" w:type="dxa"/>
            <w:vAlign w:val="center"/>
          </w:tcPr>
          <w:p w14:paraId="62F5FEA2" w14:textId="77777777" w:rsidR="00243E6A" w:rsidRPr="00513AF9" w:rsidRDefault="00243E6A" w:rsidP="00F409AE">
            <w:pPr>
              <w:pStyle w:val="Tabletext"/>
              <w:jc w:val="center"/>
            </w:pPr>
            <w:r w:rsidRPr="00513AF9">
              <w:t>1</w:t>
            </w:r>
          </w:p>
        </w:tc>
        <w:tc>
          <w:tcPr>
            <w:tcW w:w="2599" w:type="dxa"/>
            <w:vAlign w:val="center"/>
          </w:tcPr>
          <w:p w14:paraId="12367142" w14:textId="77777777" w:rsidR="00243E6A" w:rsidRPr="00513AF9" w:rsidRDefault="00243E6A" w:rsidP="00F409AE">
            <w:pPr>
              <w:pStyle w:val="Tabletext"/>
              <w:jc w:val="center"/>
            </w:pPr>
            <w:r w:rsidRPr="00513AF9">
              <w:t>9</w:t>
            </w:r>
          </w:p>
        </w:tc>
      </w:tr>
      <w:tr w:rsidR="00243E6A" w:rsidRPr="00513AF9" w14:paraId="56F5B54F" w14:textId="77777777" w:rsidTr="00F409AE">
        <w:tc>
          <w:tcPr>
            <w:tcW w:w="988" w:type="dxa"/>
          </w:tcPr>
          <w:p w14:paraId="1C332D6F" w14:textId="7C24E831" w:rsidR="00243E6A" w:rsidRPr="00513AF9" w:rsidRDefault="00243E6A" w:rsidP="00264D19">
            <w:pPr>
              <w:pStyle w:val="Tabletext"/>
            </w:pPr>
            <w:r w:rsidRPr="00513AF9">
              <w:t>UIT-D</w:t>
            </w:r>
          </w:p>
        </w:tc>
        <w:tc>
          <w:tcPr>
            <w:tcW w:w="2598" w:type="dxa"/>
            <w:vAlign w:val="center"/>
          </w:tcPr>
          <w:p w14:paraId="7262B1A5" w14:textId="77777777" w:rsidR="00243E6A" w:rsidRPr="00513AF9" w:rsidRDefault="00243E6A" w:rsidP="00F409AE">
            <w:pPr>
              <w:pStyle w:val="Tabletext"/>
              <w:jc w:val="center"/>
            </w:pPr>
            <w:r w:rsidRPr="00513AF9">
              <w:t>4</w:t>
            </w:r>
          </w:p>
        </w:tc>
        <w:tc>
          <w:tcPr>
            <w:tcW w:w="2599" w:type="dxa"/>
            <w:vAlign w:val="center"/>
          </w:tcPr>
          <w:p w14:paraId="4F45FB3B" w14:textId="77777777" w:rsidR="00243E6A" w:rsidRPr="00513AF9" w:rsidRDefault="00243E6A" w:rsidP="00F409AE">
            <w:pPr>
              <w:pStyle w:val="Tabletext"/>
              <w:jc w:val="center"/>
            </w:pPr>
            <w:r w:rsidRPr="00513AF9">
              <w:t>8</w:t>
            </w:r>
          </w:p>
        </w:tc>
        <w:tc>
          <w:tcPr>
            <w:tcW w:w="2599" w:type="dxa"/>
            <w:vAlign w:val="center"/>
          </w:tcPr>
          <w:p w14:paraId="4AC3DCAD" w14:textId="77777777" w:rsidR="00243E6A" w:rsidRPr="00513AF9" w:rsidRDefault="00243E6A" w:rsidP="00F409AE">
            <w:pPr>
              <w:pStyle w:val="Tabletext"/>
              <w:jc w:val="center"/>
            </w:pPr>
            <w:r w:rsidRPr="00513AF9">
              <w:t>9</w:t>
            </w:r>
          </w:p>
        </w:tc>
      </w:tr>
      <w:tr w:rsidR="00243E6A" w:rsidRPr="00513AF9" w14:paraId="57A6C7D1" w14:textId="77777777" w:rsidTr="00F409AE">
        <w:tc>
          <w:tcPr>
            <w:tcW w:w="988" w:type="dxa"/>
          </w:tcPr>
          <w:p w14:paraId="2B397716" w14:textId="77777777" w:rsidR="00243E6A" w:rsidRPr="00513AF9" w:rsidRDefault="00243E6A" w:rsidP="00264D19">
            <w:pPr>
              <w:pStyle w:val="Tabletext"/>
              <w:rPr>
                <w:b/>
                <w:bCs/>
              </w:rPr>
            </w:pPr>
            <w:r w:rsidRPr="00513AF9">
              <w:rPr>
                <w:b/>
                <w:bCs/>
              </w:rPr>
              <w:t>Total</w:t>
            </w:r>
          </w:p>
        </w:tc>
        <w:tc>
          <w:tcPr>
            <w:tcW w:w="2598" w:type="dxa"/>
            <w:vAlign w:val="center"/>
          </w:tcPr>
          <w:p w14:paraId="569A433C" w14:textId="77777777" w:rsidR="00243E6A" w:rsidRPr="00513AF9" w:rsidRDefault="00243E6A" w:rsidP="00F409AE">
            <w:pPr>
              <w:pStyle w:val="Tabletext"/>
              <w:jc w:val="center"/>
              <w:rPr>
                <w:b/>
                <w:bCs/>
              </w:rPr>
            </w:pPr>
            <w:r w:rsidRPr="00513AF9">
              <w:rPr>
                <w:b/>
                <w:bCs/>
              </w:rPr>
              <w:t>13</w:t>
            </w:r>
          </w:p>
        </w:tc>
        <w:tc>
          <w:tcPr>
            <w:tcW w:w="2599" w:type="dxa"/>
            <w:vAlign w:val="center"/>
          </w:tcPr>
          <w:p w14:paraId="77123022" w14:textId="77777777" w:rsidR="00243E6A" w:rsidRPr="00513AF9" w:rsidRDefault="00243E6A" w:rsidP="00F409AE">
            <w:pPr>
              <w:pStyle w:val="Tabletext"/>
              <w:jc w:val="center"/>
            </w:pPr>
            <w:r w:rsidRPr="00513AF9">
              <w:rPr>
                <w:b/>
                <w:bCs/>
              </w:rPr>
              <w:t>34</w:t>
            </w:r>
          </w:p>
        </w:tc>
        <w:tc>
          <w:tcPr>
            <w:tcW w:w="2599" w:type="dxa"/>
            <w:vAlign w:val="center"/>
          </w:tcPr>
          <w:p w14:paraId="0FCD724E" w14:textId="77777777" w:rsidR="00243E6A" w:rsidRPr="00513AF9" w:rsidRDefault="00243E6A" w:rsidP="00F409AE">
            <w:pPr>
              <w:pStyle w:val="Tabletext"/>
              <w:jc w:val="center"/>
            </w:pPr>
            <w:r w:rsidRPr="00513AF9">
              <w:rPr>
                <w:b/>
                <w:bCs/>
              </w:rPr>
              <w:t>58</w:t>
            </w:r>
          </w:p>
        </w:tc>
      </w:tr>
    </w:tbl>
    <w:p w14:paraId="279982ED" w14:textId="4877B9E7" w:rsidR="00243E6A" w:rsidRPr="00513AF9" w:rsidRDefault="00243E6A" w:rsidP="00264D19">
      <w:pPr>
        <w:pStyle w:val="Tablelegend"/>
      </w:pPr>
      <w:r w:rsidRPr="00513AF9">
        <w:t xml:space="preserve">Tableau </w:t>
      </w:r>
      <w:proofErr w:type="gramStart"/>
      <w:r w:rsidRPr="00513AF9">
        <w:t>1:</w:t>
      </w:r>
      <w:proofErr w:type="gramEnd"/>
      <w:r w:rsidRPr="00513AF9">
        <w:t xml:space="preserve"> </w:t>
      </w:r>
      <w:r w:rsidR="00D37A7C" w:rsidRPr="00513AF9">
        <w:t>Nombre de manifestations</w:t>
      </w:r>
      <w:r w:rsidR="009468DA" w:rsidRPr="00513AF9">
        <w:t>, ventilé</w:t>
      </w:r>
      <w:r w:rsidR="00351617" w:rsidRPr="00513AF9">
        <w:t>es selon que la manifestation</w:t>
      </w:r>
      <w:r w:rsidR="00D37A7C" w:rsidRPr="00513AF9">
        <w:t xml:space="preserve"> </w:t>
      </w:r>
      <w:r w:rsidR="00351617" w:rsidRPr="00513AF9">
        <w:t xml:space="preserve">est </w:t>
      </w:r>
      <w:r w:rsidR="00D37A7C" w:rsidRPr="00513AF9">
        <w:t>entièrement</w:t>
      </w:r>
      <w:r w:rsidR="00351617" w:rsidRPr="00513AF9">
        <w:t xml:space="preserve"> physique, entièrement virtuelle</w:t>
      </w:r>
      <w:r w:rsidR="00D37A7C" w:rsidRPr="00513AF9">
        <w:t xml:space="preserve"> </w:t>
      </w:r>
      <w:r w:rsidR="00351617" w:rsidRPr="00513AF9">
        <w:t xml:space="preserve">ou </w:t>
      </w:r>
      <w:r w:rsidR="00D37A7C" w:rsidRPr="00513AF9">
        <w:t>physiques avec participation à distance, tenues entre le</w:t>
      </w:r>
      <w:r w:rsidR="00086B94" w:rsidRPr="00513AF9">
        <w:t> </w:t>
      </w:r>
      <w:r w:rsidR="00D37A7C" w:rsidRPr="00513AF9">
        <w:t>15</w:t>
      </w:r>
      <w:r w:rsidR="00086B94" w:rsidRPr="00513AF9">
        <w:t> </w:t>
      </w:r>
      <w:r w:rsidR="00D37A7C" w:rsidRPr="00513AF9">
        <w:t xml:space="preserve">octobre 2022 et le 29 mars 2023 (données à jour </w:t>
      </w:r>
      <w:r w:rsidR="009468DA" w:rsidRPr="00513AF9">
        <w:t>à la date du</w:t>
      </w:r>
      <w:r w:rsidR="00D37A7C" w:rsidRPr="00513AF9">
        <w:t xml:space="preserve"> 4 avril 2023</w:t>
      </w:r>
      <w:r w:rsidR="009468DA" w:rsidRPr="00513AF9">
        <w:t>,</w:t>
      </w:r>
      <w:r w:rsidR="00D37A7C" w:rsidRPr="00513AF9">
        <w:t xml:space="preserve"> à 16 h</w:t>
      </w:r>
      <w:r w:rsidR="00264D19" w:rsidRPr="00513AF9">
        <w:t xml:space="preserve"> 00</w:t>
      </w:r>
      <w:r w:rsidR="00D37A7C" w:rsidRPr="00513AF9">
        <w:t>).</w:t>
      </w:r>
    </w:p>
    <w:tbl>
      <w:tblPr>
        <w:tblStyle w:val="TableGrid"/>
        <w:tblW w:w="0" w:type="auto"/>
        <w:tblLook w:val="04A0" w:firstRow="1" w:lastRow="0" w:firstColumn="1" w:lastColumn="0" w:noHBand="0" w:noVBand="1"/>
      </w:tblPr>
      <w:tblGrid>
        <w:gridCol w:w="1192"/>
        <w:gridCol w:w="2598"/>
        <w:gridCol w:w="2599"/>
        <w:gridCol w:w="2599"/>
      </w:tblGrid>
      <w:tr w:rsidR="00764895" w:rsidRPr="00513AF9" w14:paraId="2BF6A3A4" w14:textId="77777777" w:rsidTr="00264D19">
        <w:tc>
          <w:tcPr>
            <w:tcW w:w="988" w:type="dxa"/>
            <w:shd w:val="clear" w:color="auto" w:fill="auto"/>
          </w:tcPr>
          <w:p w14:paraId="094C18B1" w14:textId="77777777" w:rsidR="00764895" w:rsidRPr="00513AF9" w:rsidRDefault="00764895" w:rsidP="006C48A1"/>
        </w:tc>
        <w:tc>
          <w:tcPr>
            <w:tcW w:w="2598" w:type="dxa"/>
            <w:shd w:val="clear" w:color="auto" w:fill="auto"/>
            <w:vAlign w:val="center"/>
          </w:tcPr>
          <w:p w14:paraId="475C0628" w14:textId="221B5DCC" w:rsidR="00764895" w:rsidRPr="00513AF9" w:rsidRDefault="00D37A7C" w:rsidP="00264D19">
            <w:pPr>
              <w:pStyle w:val="Tabletext"/>
              <w:jc w:val="center"/>
            </w:pPr>
            <w:r w:rsidRPr="00513AF9">
              <w:t>P</w:t>
            </w:r>
            <w:r w:rsidR="00764895" w:rsidRPr="00513AF9">
              <w:t>articipants</w:t>
            </w:r>
            <w:r w:rsidRPr="00513AF9">
              <w:t xml:space="preserve"> sur place</w:t>
            </w:r>
          </w:p>
        </w:tc>
        <w:tc>
          <w:tcPr>
            <w:tcW w:w="2599" w:type="dxa"/>
            <w:shd w:val="clear" w:color="auto" w:fill="auto"/>
            <w:vAlign w:val="center"/>
          </w:tcPr>
          <w:p w14:paraId="30650DCA" w14:textId="2872D90C" w:rsidR="00764895" w:rsidRPr="00513AF9" w:rsidRDefault="00D37A7C" w:rsidP="00264D19">
            <w:pPr>
              <w:pStyle w:val="Tabletext"/>
              <w:jc w:val="center"/>
            </w:pPr>
            <w:r w:rsidRPr="00513AF9">
              <w:t>P</w:t>
            </w:r>
            <w:r w:rsidR="00764895" w:rsidRPr="00513AF9">
              <w:t>articipants</w:t>
            </w:r>
            <w:r w:rsidRPr="00513AF9">
              <w:t xml:space="preserve"> </w:t>
            </w:r>
            <w:r w:rsidR="009468DA" w:rsidRPr="00513AF9">
              <w:t xml:space="preserve">véritablement </w:t>
            </w:r>
            <w:r w:rsidRPr="00513AF9">
              <w:t>à distance</w:t>
            </w:r>
          </w:p>
        </w:tc>
        <w:tc>
          <w:tcPr>
            <w:tcW w:w="2599" w:type="dxa"/>
            <w:shd w:val="clear" w:color="auto" w:fill="auto"/>
            <w:vAlign w:val="center"/>
          </w:tcPr>
          <w:p w14:paraId="2FCECF62" w14:textId="0E4CB223" w:rsidR="00764895" w:rsidRPr="00513AF9" w:rsidRDefault="00D37A7C" w:rsidP="00264D19">
            <w:pPr>
              <w:pStyle w:val="Tabletext"/>
              <w:jc w:val="center"/>
            </w:pPr>
            <w:r w:rsidRPr="00513AF9">
              <w:t>Participants à distance également connectés à la plate</w:t>
            </w:r>
            <w:r w:rsidR="00086B94" w:rsidRPr="00513AF9">
              <w:noBreakHyphen/>
            </w:r>
            <w:r w:rsidRPr="00513AF9">
              <w:t>forme de conférence en ligne</w:t>
            </w:r>
            <w:r w:rsidR="00764895" w:rsidRPr="00513AF9">
              <w:rPr>
                <w:rStyle w:val="FootnoteReference"/>
              </w:rPr>
              <w:t>*</w:t>
            </w:r>
          </w:p>
        </w:tc>
      </w:tr>
      <w:tr w:rsidR="00764895" w:rsidRPr="00513AF9" w14:paraId="6CC0E395" w14:textId="77777777" w:rsidTr="00264D19">
        <w:tc>
          <w:tcPr>
            <w:tcW w:w="988" w:type="dxa"/>
            <w:shd w:val="clear" w:color="auto" w:fill="auto"/>
          </w:tcPr>
          <w:p w14:paraId="2FF09788" w14:textId="632ED37F" w:rsidR="00764895" w:rsidRPr="00513AF9" w:rsidRDefault="00D37A7C" w:rsidP="00264D19">
            <w:pPr>
              <w:pStyle w:val="Tabletext"/>
            </w:pPr>
            <w:r w:rsidRPr="00513AF9">
              <w:t>Secrétariat général</w:t>
            </w:r>
          </w:p>
        </w:tc>
        <w:tc>
          <w:tcPr>
            <w:tcW w:w="2598" w:type="dxa"/>
            <w:shd w:val="clear" w:color="auto" w:fill="auto"/>
            <w:vAlign w:val="center"/>
          </w:tcPr>
          <w:p w14:paraId="3BF204CA" w14:textId="77777777" w:rsidR="00764895" w:rsidRPr="00513AF9" w:rsidRDefault="00764895" w:rsidP="00264D19">
            <w:pPr>
              <w:pStyle w:val="Tabletext"/>
              <w:jc w:val="center"/>
            </w:pPr>
            <w:r w:rsidRPr="00513AF9">
              <w:t>1 172</w:t>
            </w:r>
          </w:p>
        </w:tc>
        <w:tc>
          <w:tcPr>
            <w:tcW w:w="2599" w:type="dxa"/>
            <w:shd w:val="clear" w:color="auto" w:fill="auto"/>
            <w:vAlign w:val="center"/>
          </w:tcPr>
          <w:p w14:paraId="4EAE7EB1" w14:textId="77777777" w:rsidR="00764895" w:rsidRPr="00513AF9" w:rsidRDefault="00764895" w:rsidP="00264D19">
            <w:pPr>
              <w:pStyle w:val="Tabletext"/>
              <w:jc w:val="center"/>
            </w:pPr>
            <w:r w:rsidRPr="00513AF9">
              <w:t>1 723</w:t>
            </w:r>
          </w:p>
        </w:tc>
        <w:tc>
          <w:tcPr>
            <w:tcW w:w="2599" w:type="dxa"/>
            <w:shd w:val="clear" w:color="auto" w:fill="auto"/>
            <w:vAlign w:val="center"/>
          </w:tcPr>
          <w:p w14:paraId="173F26D1" w14:textId="77777777" w:rsidR="00764895" w:rsidRPr="00513AF9" w:rsidRDefault="00764895" w:rsidP="00264D19">
            <w:pPr>
              <w:pStyle w:val="Tabletext"/>
              <w:jc w:val="center"/>
            </w:pPr>
            <w:r w:rsidRPr="00513AF9">
              <w:t>101</w:t>
            </w:r>
          </w:p>
        </w:tc>
      </w:tr>
      <w:tr w:rsidR="00764895" w:rsidRPr="00513AF9" w14:paraId="1B0263A2" w14:textId="77777777" w:rsidTr="00D9386E">
        <w:tc>
          <w:tcPr>
            <w:tcW w:w="988" w:type="dxa"/>
            <w:shd w:val="clear" w:color="auto" w:fill="auto"/>
          </w:tcPr>
          <w:p w14:paraId="3EE7CC28" w14:textId="4F9B724C" w:rsidR="00764895" w:rsidRPr="00513AF9" w:rsidRDefault="00764895" w:rsidP="00264D19">
            <w:pPr>
              <w:pStyle w:val="Tabletext"/>
            </w:pPr>
            <w:r w:rsidRPr="00513AF9">
              <w:t>UIT-T</w:t>
            </w:r>
          </w:p>
        </w:tc>
        <w:tc>
          <w:tcPr>
            <w:tcW w:w="2598" w:type="dxa"/>
            <w:shd w:val="clear" w:color="auto" w:fill="auto"/>
          </w:tcPr>
          <w:p w14:paraId="5D8FEC47" w14:textId="77777777" w:rsidR="00764895" w:rsidRPr="00513AF9" w:rsidRDefault="00764895" w:rsidP="00086B94">
            <w:pPr>
              <w:pStyle w:val="Tabletext"/>
              <w:jc w:val="center"/>
            </w:pPr>
            <w:r w:rsidRPr="00513AF9">
              <w:t>1 199</w:t>
            </w:r>
          </w:p>
        </w:tc>
        <w:tc>
          <w:tcPr>
            <w:tcW w:w="2599" w:type="dxa"/>
            <w:shd w:val="clear" w:color="auto" w:fill="auto"/>
          </w:tcPr>
          <w:p w14:paraId="75684026" w14:textId="77777777" w:rsidR="00764895" w:rsidRPr="00513AF9" w:rsidRDefault="00764895" w:rsidP="00086B94">
            <w:pPr>
              <w:pStyle w:val="Tabletext"/>
              <w:jc w:val="center"/>
            </w:pPr>
            <w:r w:rsidRPr="00513AF9">
              <w:t>4 623</w:t>
            </w:r>
          </w:p>
        </w:tc>
        <w:tc>
          <w:tcPr>
            <w:tcW w:w="2599" w:type="dxa"/>
            <w:shd w:val="clear" w:color="auto" w:fill="auto"/>
          </w:tcPr>
          <w:p w14:paraId="3B71E246" w14:textId="77777777" w:rsidR="00764895" w:rsidRPr="00513AF9" w:rsidRDefault="00764895" w:rsidP="00086B94">
            <w:pPr>
              <w:pStyle w:val="Tabletext"/>
              <w:jc w:val="center"/>
            </w:pPr>
            <w:r w:rsidRPr="00513AF9">
              <w:t>356</w:t>
            </w:r>
          </w:p>
        </w:tc>
      </w:tr>
      <w:tr w:rsidR="00764895" w:rsidRPr="00513AF9" w14:paraId="32FFECEA" w14:textId="77777777" w:rsidTr="00D9386E">
        <w:tc>
          <w:tcPr>
            <w:tcW w:w="988" w:type="dxa"/>
            <w:shd w:val="clear" w:color="auto" w:fill="auto"/>
          </w:tcPr>
          <w:p w14:paraId="45B50D47" w14:textId="2A8647D0" w:rsidR="00764895" w:rsidRPr="00513AF9" w:rsidRDefault="00764895" w:rsidP="00264D19">
            <w:pPr>
              <w:pStyle w:val="Tabletext"/>
            </w:pPr>
            <w:r w:rsidRPr="00513AF9">
              <w:t>UIT-R</w:t>
            </w:r>
          </w:p>
        </w:tc>
        <w:tc>
          <w:tcPr>
            <w:tcW w:w="2598" w:type="dxa"/>
            <w:shd w:val="clear" w:color="auto" w:fill="auto"/>
          </w:tcPr>
          <w:p w14:paraId="4DCB24F3" w14:textId="77777777" w:rsidR="00764895" w:rsidRPr="00513AF9" w:rsidRDefault="00764895" w:rsidP="00086B94">
            <w:pPr>
              <w:pStyle w:val="Tabletext"/>
              <w:jc w:val="center"/>
              <w:rPr>
                <w:rFonts w:eastAsia="Calibri" w:cs="Calibri"/>
              </w:rPr>
            </w:pPr>
            <w:r w:rsidRPr="00513AF9">
              <w:t>2 473</w:t>
            </w:r>
          </w:p>
        </w:tc>
        <w:tc>
          <w:tcPr>
            <w:tcW w:w="2599" w:type="dxa"/>
            <w:shd w:val="clear" w:color="auto" w:fill="auto"/>
          </w:tcPr>
          <w:p w14:paraId="0555550C" w14:textId="77777777" w:rsidR="00764895" w:rsidRPr="00513AF9" w:rsidRDefault="00764895" w:rsidP="00086B94">
            <w:pPr>
              <w:pStyle w:val="Tabletext"/>
              <w:jc w:val="center"/>
              <w:rPr>
                <w:rFonts w:eastAsia="Calibri" w:cs="Calibri"/>
              </w:rPr>
            </w:pPr>
            <w:r w:rsidRPr="00513AF9">
              <w:t>2 319</w:t>
            </w:r>
          </w:p>
        </w:tc>
        <w:tc>
          <w:tcPr>
            <w:tcW w:w="2599" w:type="dxa"/>
            <w:shd w:val="clear" w:color="auto" w:fill="auto"/>
          </w:tcPr>
          <w:p w14:paraId="35AC6DE0" w14:textId="77777777" w:rsidR="00764895" w:rsidRPr="00513AF9" w:rsidRDefault="00764895" w:rsidP="00086B94">
            <w:pPr>
              <w:pStyle w:val="Tabletext"/>
              <w:jc w:val="center"/>
              <w:rPr>
                <w:rFonts w:eastAsia="Calibri" w:cs="Calibri"/>
              </w:rPr>
            </w:pPr>
            <w:r w:rsidRPr="00513AF9">
              <w:t>1 503</w:t>
            </w:r>
          </w:p>
        </w:tc>
      </w:tr>
      <w:tr w:rsidR="00764895" w:rsidRPr="00513AF9" w14:paraId="779EF804" w14:textId="77777777" w:rsidTr="00D9386E">
        <w:tc>
          <w:tcPr>
            <w:tcW w:w="988" w:type="dxa"/>
            <w:shd w:val="clear" w:color="auto" w:fill="auto"/>
          </w:tcPr>
          <w:p w14:paraId="1F308BE0" w14:textId="35999814" w:rsidR="00764895" w:rsidRPr="00513AF9" w:rsidRDefault="00764895" w:rsidP="00264D19">
            <w:pPr>
              <w:pStyle w:val="Tabletext"/>
            </w:pPr>
            <w:r w:rsidRPr="00513AF9">
              <w:t>UIT-D</w:t>
            </w:r>
          </w:p>
        </w:tc>
        <w:tc>
          <w:tcPr>
            <w:tcW w:w="2598" w:type="dxa"/>
            <w:shd w:val="clear" w:color="auto" w:fill="auto"/>
          </w:tcPr>
          <w:p w14:paraId="2472D310" w14:textId="77777777" w:rsidR="00764895" w:rsidRPr="00513AF9" w:rsidRDefault="00764895" w:rsidP="00086B94">
            <w:pPr>
              <w:pStyle w:val="Tabletext"/>
              <w:jc w:val="center"/>
            </w:pPr>
            <w:r w:rsidRPr="00513AF9">
              <w:t>277</w:t>
            </w:r>
          </w:p>
        </w:tc>
        <w:tc>
          <w:tcPr>
            <w:tcW w:w="2599" w:type="dxa"/>
            <w:shd w:val="clear" w:color="auto" w:fill="auto"/>
          </w:tcPr>
          <w:p w14:paraId="6417D99D" w14:textId="77777777" w:rsidR="00764895" w:rsidRPr="00513AF9" w:rsidRDefault="00764895" w:rsidP="00086B94">
            <w:pPr>
              <w:pStyle w:val="Tabletext"/>
              <w:jc w:val="center"/>
              <w:rPr>
                <w:rFonts w:eastAsia="Calibri" w:cs="Calibri"/>
              </w:rPr>
            </w:pPr>
            <w:r w:rsidRPr="00513AF9">
              <w:t>954</w:t>
            </w:r>
          </w:p>
        </w:tc>
        <w:tc>
          <w:tcPr>
            <w:tcW w:w="2599" w:type="dxa"/>
            <w:shd w:val="clear" w:color="auto" w:fill="auto"/>
          </w:tcPr>
          <w:p w14:paraId="02043CD9" w14:textId="77777777" w:rsidR="00764895" w:rsidRPr="00513AF9" w:rsidRDefault="00764895" w:rsidP="00086B94">
            <w:pPr>
              <w:pStyle w:val="Tabletext"/>
              <w:jc w:val="center"/>
            </w:pPr>
            <w:r w:rsidRPr="00513AF9">
              <w:t>97</w:t>
            </w:r>
          </w:p>
        </w:tc>
      </w:tr>
      <w:tr w:rsidR="00764895" w:rsidRPr="00513AF9" w14:paraId="75BC97EF" w14:textId="77777777" w:rsidTr="00D9386E">
        <w:tc>
          <w:tcPr>
            <w:tcW w:w="988" w:type="dxa"/>
          </w:tcPr>
          <w:p w14:paraId="289DB196" w14:textId="77777777" w:rsidR="00764895" w:rsidRPr="00513AF9" w:rsidRDefault="00764895" w:rsidP="00264D19">
            <w:pPr>
              <w:pStyle w:val="Tabletext"/>
              <w:rPr>
                <w:b/>
                <w:bCs/>
              </w:rPr>
            </w:pPr>
            <w:r w:rsidRPr="00513AF9">
              <w:rPr>
                <w:b/>
                <w:bCs/>
              </w:rPr>
              <w:t>Total</w:t>
            </w:r>
          </w:p>
        </w:tc>
        <w:tc>
          <w:tcPr>
            <w:tcW w:w="2598" w:type="dxa"/>
          </w:tcPr>
          <w:p w14:paraId="44B282E9" w14:textId="77777777" w:rsidR="00764895" w:rsidRPr="00513AF9" w:rsidRDefault="00764895" w:rsidP="00086B94">
            <w:pPr>
              <w:pStyle w:val="Tabletext"/>
              <w:jc w:val="center"/>
              <w:rPr>
                <w:rFonts w:eastAsia="Calibri" w:cs="Calibri"/>
              </w:rPr>
            </w:pPr>
            <w:r w:rsidRPr="00513AF9">
              <w:rPr>
                <w:b/>
                <w:bCs/>
              </w:rPr>
              <w:t>5 121</w:t>
            </w:r>
          </w:p>
        </w:tc>
        <w:tc>
          <w:tcPr>
            <w:tcW w:w="2599" w:type="dxa"/>
          </w:tcPr>
          <w:p w14:paraId="0F55000F" w14:textId="77777777" w:rsidR="00764895" w:rsidRPr="00513AF9" w:rsidRDefault="00764895" w:rsidP="00086B94">
            <w:pPr>
              <w:pStyle w:val="Tabletext"/>
              <w:jc w:val="center"/>
            </w:pPr>
            <w:r w:rsidRPr="00513AF9">
              <w:rPr>
                <w:b/>
                <w:bCs/>
              </w:rPr>
              <w:t>9 619</w:t>
            </w:r>
          </w:p>
        </w:tc>
        <w:tc>
          <w:tcPr>
            <w:tcW w:w="2599" w:type="dxa"/>
          </w:tcPr>
          <w:p w14:paraId="4AF00A01" w14:textId="77777777" w:rsidR="00764895" w:rsidRPr="00513AF9" w:rsidRDefault="00764895" w:rsidP="00086B94">
            <w:pPr>
              <w:pStyle w:val="Tabletext"/>
              <w:jc w:val="center"/>
            </w:pPr>
            <w:r w:rsidRPr="00513AF9">
              <w:rPr>
                <w:b/>
                <w:bCs/>
              </w:rPr>
              <w:t>2 057</w:t>
            </w:r>
          </w:p>
        </w:tc>
      </w:tr>
    </w:tbl>
    <w:p w14:paraId="1A44FCCF" w14:textId="2FE732F3" w:rsidR="00086B94" w:rsidRPr="00513AF9" w:rsidRDefault="00764895" w:rsidP="00264D19">
      <w:pPr>
        <w:pStyle w:val="Tablelegend"/>
      </w:pPr>
      <w:r w:rsidRPr="00513AF9">
        <w:t xml:space="preserve">Tableau </w:t>
      </w:r>
      <w:proofErr w:type="gramStart"/>
      <w:r w:rsidRPr="00513AF9">
        <w:t>2:</w:t>
      </w:r>
      <w:proofErr w:type="gramEnd"/>
      <w:r w:rsidRPr="00513AF9">
        <w:t xml:space="preserve"> </w:t>
      </w:r>
      <w:r w:rsidR="009468DA" w:rsidRPr="00513AF9">
        <w:t xml:space="preserve">Nombre de </w:t>
      </w:r>
      <w:r w:rsidR="009468DA" w:rsidRPr="00513AF9">
        <w:rPr>
          <w:b/>
        </w:rPr>
        <w:t>PARTICIPANTS</w:t>
      </w:r>
      <w:r w:rsidR="009468DA" w:rsidRPr="00513AF9">
        <w:t xml:space="preserve">: participants sur place, participants véritablement à distance et participants qui se trouvaient </w:t>
      </w:r>
      <w:r w:rsidR="009468DA" w:rsidRPr="00513AF9">
        <w:rPr>
          <w:b/>
          <w:bCs/>
        </w:rPr>
        <w:t xml:space="preserve">sur place </w:t>
      </w:r>
      <w:r w:rsidR="009468DA" w:rsidRPr="00513AF9">
        <w:t>(</w:t>
      </w:r>
      <w:r w:rsidR="009468DA" w:rsidRPr="00513AF9">
        <w:rPr>
          <w:b/>
          <w:bCs/>
        </w:rPr>
        <w:t>badge retiré à l'UIT</w:t>
      </w:r>
      <w:r w:rsidR="009468DA" w:rsidRPr="00513AF9">
        <w:t>) mais se sont connectés à la plate-forme de conférence en ligne (et ont donc aussi été considérés comme des participants à distance par la plate</w:t>
      </w:r>
      <w:r w:rsidR="00E537EB" w:rsidRPr="00513AF9">
        <w:noBreakHyphen/>
      </w:r>
      <w:r w:rsidR="009468DA" w:rsidRPr="00513AF9">
        <w:t xml:space="preserve">forme de conférence en ligne), lors des </w:t>
      </w:r>
      <w:r w:rsidR="00264D19" w:rsidRPr="00513AF9">
        <w:rPr>
          <w:b/>
          <w:bCs/>
        </w:rPr>
        <w:t>MANIFESTATIONS</w:t>
      </w:r>
      <w:r w:rsidR="00264D19" w:rsidRPr="00513AF9">
        <w:t xml:space="preserve"> </w:t>
      </w:r>
      <w:r w:rsidR="009468DA" w:rsidRPr="00513AF9">
        <w:t>qui ont eu lieu du 15 octobre</w:t>
      </w:r>
      <w:r w:rsidR="00086B94" w:rsidRPr="00513AF9">
        <w:t> </w:t>
      </w:r>
      <w:r w:rsidR="009468DA" w:rsidRPr="00513AF9">
        <w:t>2022 au</w:t>
      </w:r>
      <w:r w:rsidR="00086B94" w:rsidRPr="00513AF9">
        <w:t> </w:t>
      </w:r>
      <w:r w:rsidR="009468DA" w:rsidRPr="00513AF9">
        <w:t>29 mars 2023</w:t>
      </w:r>
      <w:r w:rsidRPr="00513AF9">
        <w:t xml:space="preserve"> (</w:t>
      </w:r>
      <w:r w:rsidR="009468DA" w:rsidRPr="00513AF9">
        <w:t>données à jour à la date du 4 avril 2023, à 16 h</w:t>
      </w:r>
      <w:r w:rsidR="00264D19" w:rsidRPr="00513AF9">
        <w:t xml:space="preserve"> 00</w:t>
      </w:r>
      <w:r w:rsidR="009468DA" w:rsidRPr="00513AF9">
        <w:t>).</w:t>
      </w:r>
    </w:p>
    <w:p w14:paraId="553D25C4" w14:textId="4BFEC26A" w:rsidR="00764895" w:rsidRPr="00513AF9" w:rsidRDefault="00764895" w:rsidP="00264D19">
      <w:pPr>
        <w:pStyle w:val="FootnoteText"/>
        <w:spacing w:after="120"/>
        <w:rPr>
          <w:sz w:val="22"/>
          <w:szCs w:val="22"/>
        </w:rPr>
      </w:pPr>
      <w:r w:rsidRPr="00513AF9">
        <w:rPr>
          <w:sz w:val="22"/>
          <w:szCs w:val="22"/>
        </w:rPr>
        <w:t>*</w:t>
      </w:r>
      <w:r w:rsidR="00264D19" w:rsidRPr="00513AF9">
        <w:rPr>
          <w:sz w:val="22"/>
          <w:szCs w:val="22"/>
        </w:rPr>
        <w:tab/>
      </w:r>
      <w:r w:rsidR="009468DA" w:rsidRPr="00513AF9">
        <w:rPr>
          <w:sz w:val="22"/>
          <w:szCs w:val="22"/>
        </w:rPr>
        <w:t xml:space="preserve">La colonne </w:t>
      </w:r>
      <w:r w:rsidRPr="00513AF9">
        <w:rPr>
          <w:sz w:val="22"/>
          <w:szCs w:val="22"/>
        </w:rPr>
        <w:t xml:space="preserve">3 </w:t>
      </w:r>
      <w:r w:rsidR="009468DA" w:rsidRPr="00513AF9">
        <w:rPr>
          <w:sz w:val="22"/>
          <w:szCs w:val="22"/>
        </w:rPr>
        <w:t xml:space="preserve">est un sous-ensemble de la colonne </w:t>
      </w:r>
      <w:r w:rsidRPr="00513AF9">
        <w:rPr>
          <w:sz w:val="22"/>
          <w:szCs w:val="22"/>
        </w:rPr>
        <w:t>1.</w:t>
      </w:r>
    </w:p>
    <w:p w14:paraId="6815E413" w14:textId="2ADB9E58" w:rsidR="00264D19" w:rsidRPr="00513AF9" w:rsidRDefault="00264D19">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513AF9">
        <w:rPr>
          <w:sz w:val="22"/>
          <w:szCs w:val="22"/>
        </w:rPr>
        <w:br w:type="page"/>
      </w:r>
    </w:p>
    <w:tbl>
      <w:tblPr>
        <w:tblStyle w:val="TableGrid"/>
        <w:tblW w:w="0" w:type="auto"/>
        <w:tblLook w:val="04A0" w:firstRow="1" w:lastRow="0" w:firstColumn="1" w:lastColumn="0" w:noHBand="0" w:noVBand="1"/>
      </w:tblPr>
      <w:tblGrid>
        <w:gridCol w:w="1192"/>
        <w:gridCol w:w="2598"/>
        <w:gridCol w:w="2599"/>
        <w:gridCol w:w="2599"/>
      </w:tblGrid>
      <w:tr w:rsidR="00764895" w:rsidRPr="00513AF9" w14:paraId="73D5D744" w14:textId="77777777" w:rsidTr="00264D19">
        <w:tc>
          <w:tcPr>
            <w:tcW w:w="1192" w:type="dxa"/>
          </w:tcPr>
          <w:p w14:paraId="66E5CAE9" w14:textId="77777777" w:rsidR="00764895" w:rsidRPr="00513AF9" w:rsidRDefault="00764895" w:rsidP="006C48A1"/>
        </w:tc>
        <w:tc>
          <w:tcPr>
            <w:tcW w:w="2598" w:type="dxa"/>
          </w:tcPr>
          <w:p w14:paraId="18A64834" w14:textId="120E3084" w:rsidR="00764895" w:rsidRPr="00513AF9" w:rsidRDefault="00D37A7C" w:rsidP="00086B94">
            <w:pPr>
              <w:pStyle w:val="Tabletext"/>
              <w:jc w:val="center"/>
            </w:pPr>
            <w:r w:rsidRPr="00513AF9">
              <w:t>Réunions entièrement physiques</w:t>
            </w:r>
          </w:p>
        </w:tc>
        <w:tc>
          <w:tcPr>
            <w:tcW w:w="2599" w:type="dxa"/>
          </w:tcPr>
          <w:p w14:paraId="3E2CBA86" w14:textId="1974699F" w:rsidR="00764895" w:rsidRPr="00513AF9" w:rsidRDefault="00D37A7C" w:rsidP="00086B94">
            <w:pPr>
              <w:pStyle w:val="Tabletext"/>
              <w:jc w:val="center"/>
            </w:pPr>
            <w:r w:rsidRPr="00513AF9">
              <w:t>Réunions entièrement virtuelles</w:t>
            </w:r>
          </w:p>
        </w:tc>
        <w:tc>
          <w:tcPr>
            <w:tcW w:w="2599" w:type="dxa"/>
          </w:tcPr>
          <w:p w14:paraId="54FC7308" w14:textId="50AC88F3" w:rsidR="00764895" w:rsidRPr="00513AF9" w:rsidRDefault="00D37A7C" w:rsidP="00086B94">
            <w:pPr>
              <w:pStyle w:val="Tabletext"/>
              <w:jc w:val="center"/>
            </w:pPr>
            <w:r w:rsidRPr="00513AF9">
              <w:t>Réunions physiques avec participation à distance</w:t>
            </w:r>
          </w:p>
        </w:tc>
      </w:tr>
      <w:tr w:rsidR="00764895" w:rsidRPr="00513AF9" w14:paraId="48FC4386" w14:textId="77777777" w:rsidTr="00264D19">
        <w:tc>
          <w:tcPr>
            <w:tcW w:w="1192" w:type="dxa"/>
          </w:tcPr>
          <w:p w14:paraId="6DB031FA" w14:textId="2DEAE982" w:rsidR="00764895" w:rsidRPr="00513AF9" w:rsidRDefault="00351617" w:rsidP="00264D19">
            <w:pPr>
              <w:pStyle w:val="Tabletext"/>
            </w:pPr>
            <w:r w:rsidRPr="00513AF9">
              <w:t>Secrétariat général</w:t>
            </w:r>
          </w:p>
        </w:tc>
        <w:tc>
          <w:tcPr>
            <w:tcW w:w="2598" w:type="dxa"/>
            <w:vAlign w:val="center"/>
          </w:tcPr>
          <w:p w14:paraId="1B7A41C7" w14:textId="77777777" w:rsidR="00764895" w:rsidRPr="00513AF9" w:rsidRDefault="00764895" w:rsidP="00264D19">
            <w:pPr>
              <w:pStyle w:val="Tabletext"/>
              <w:jc w:val="center"/>
            </w:pPr>
            <w:r w:rsidRPr="00513AF9">
              <w:t>92</w:t>
            </w:r>
          </w:p>
        </w:tc>
        <w:tc>
          <w:tcPr>
            <w:tcW w:w="2599" w:type="dxa"/>
            <w:vAlign w:val="center"/>
          </w:tcPr>
          <w:p w14:paraId="3C3A2FCF" w14:textId="77777777" w:rsidR="00764895" w:rsidRPr="00513AF9" w:rsidRDefault="00764895" w:rsidP="00264D19">
            <w:pPr>
              <w:pStyle w:val="Tabletext"/>
              <w:jc w:val="center"/>
            </w:pPr>
            <w:r w:rsidRPr="00513AF9">
              <w:t>2</w:t>
            </w:r>
          </w:p>
        </w:tc>
        <w:tc>
          <w:tcPr>
            <w:tcW w:w="2599" w:type="dxa"/>
            <w:vAlign w:val="center"/>
          </w:tcPr>
          <w:p w14:paraId="1F48DABD" w14:textId="77777777" w:rsidR="00764895" w:rsidRPr="00513AF9" w:rsidRDefault="00764895" w:rsidP="00264D19">
            <w:pPr>
              <w:pStyle w:val="Tabletext"/>
              <w:jc w:val="center"/>
            </w:pPr>
            <w:r w:rsidRPr="00513AF9">
              <w:t>108</w:t>
            </w:r>
          </w:p>
        </w:tc>
      </w:tr>
      <w:tr w:rsidR="00764895" w:rsidRPr="00513AF9" w14:paraId="2F975B30" w14:textId="77777777" w:rsidTr="00264D19">
        <w:tc>
          <w:tcPr>
            <w:tcW w:w="1192" w:type="dxa"/>
          </w:tcPr>
          <w:p w14:paraId="10B754BB" w14:textId="6844138A" w:rsidR="00764895" w:rsidRPr="00513AF9" w:rsidRDefault="00764895" w:rsidP="00264D19">
            <w:pPr>
              <w:pStyle w:val="Tabletext"/>
            </w:pPr>
            <w:r w:rsidRPr="00513AF9">
              <w:t>UIT-T</w:t>
            </w:r>
          </w:p>
        </w:tc>
        <w:tc>
          <w:tcPr>
            <w:tcW w:w="2598" w:type="dxa"/>
          </w:tcPr>
          <w:p w14:paraId="643A56BC" w14:textId="77777777" w:rsidR="00764895" w:rsidRPr="00513AF9" w:rsidRDefault="00764895" w:rsidP="00086B94">
            <w:pPr>
              <w:pStyle w:val="Tabletext"/>
              <w:jc w:val="center"/>
            </w:pPr>
            <w:r w:rsidRPr="00513AF9">
              <w:t>8</w:t>
            </w:r>
          </w:p>
        </w:tc>
        <w:tc>
          <w:tcPr>
            <w:tcW w:w="2599" w:type="dxa"/>
          </w:tcPr>
          <w:p w14:paraId="2D1E4B1B" w14:textId="77777777" w:rsidR="00764895" w:rsidRPr="00513AF9" w:rsidRDefault="00764895" w:rsidP="00086B94">
            <w:pPr>
              <w:pStyle w:val="Tabletext"/>
              <w:jc w:val="center"/>
            </w:pPr>
            <w:r w:rsidRPr="00513AF9">
              <w:t>65</w:t>
            </w:r>
          </w:p>
        </w:tc>
        <w:tc>
          <w:tcPr>
            <w:tcW w:w="2599" w:type="dxa"/>
          </w:tcPr>
          <w:p w14:paraId="7E34185B" w14:textId="77777777" w:rsidR="00764895" w:rsidRPr="00513AF9" w:rsidRDefault="00764895" w:rsidP="00086B94">
            <w:pPr>
              <w:pStyle w:val="Tabletext"/>
              <w:jc w:val="center"/>
            </w:pPr>
            <w:r w:rsidRPr="00513AF9">
              <w:t>816</w:t>
            </w:r>
          </w:p>
        </w:tc>
      </w:tr>
      <w:tr w:rsidR="00764895" w:rsidRPr="00513AF9" w14:paraId="62E611DD" w14:textId="77777777" w:rsidTr="00264D19">
        <w:tc>
          <w:tcPr>
            <w:tcW w:w="1192" w:type="dxa"/>
          </w:tcPr>
          <w:p w14:paraId="5C920B4A" w14:textId="417EA31B" w:rsidR="00764895" w:rsidRPr="00513AF9" w:rsidRDefault="00764895" w:rsidP="00264D19">
            <w:pPr>
              <w:pStyle w:val="Tabletext"/>
            </w:pPr>
            <w:r w:rsidRPr="00513AF9">
              <w:t>UIT-R</w:t>
            </w:r>
          </w:p>
        </w:tc>
        <w:tc>
          <w:tcPr>
            <w:tcW w:w="2598" w:type="dxa"/>
          </w:tcPr>
          <w:p w14:paraId="69C80154" w14:textId="77777777" w:rsidR="00764895" w:rsidRPr="00513AF9" w:rsidRDefault="00764895" w:rsidP="00086B94">
            <w:pPr>
              <w:pStyle w:val="Tabletext"/>
              <w:jc w:val="center"/>
            </w:pPr>
            <w:r w:rsidRPr="00513AF9">
              <w:t>248</w:t>
            </w:r>
          </w:p>
        </w:tc>
        <w:tc>
          <w:tcPr>
            <w:tcW w:w="2599" w:type="dxa"/>
          </w:tcPr>
          <w:p w14:paraId="38E7DF7D" w14:textId="77777777" w:rsidR="00764895" w:rsidRPr="00513AF9" w:rsidRDefault="00764895" w:rsidP="00086B94">
            <w:pPr>
              <w:pStyle w:val="Tabletext"/>
              <w:jc w:val="center"/>
            </w:pPr>
            <w:r w:rsidRPr="00513AF9">
              <w:t>7</w:t>
            </w:r>
          </w:p>
        </w:tc>
        <w:tc>
          <w:tcPr>
            <w:tcW w:w="2599" w:type="dxa"/>
          </w:tcPr>
          <w:p w14:paraId="32758E6F" w14:textId="77777777" w:rsidR="00764895" w:rsidRPr="00513AF9" w:rsidRDefault="00764895" w:rsidP="00086B94">
            <w:pPr>
              <w:pStyle w:val="Tabletext"/>
              <w:jc w:val="center"/>
            </w:pPr>
            <w:r w:rsidRPr="00513AF9">
              <w:t>513</w:t>
            </w:r>
          </w:p>
        </w:tc>
      </w:tr>
      <w:tr w:rsidR="00764895" w:rsidRPr="00513AF9" w14:paraId="42A49243" w14:textId="77777777" w:rsidTr="00264D19">
        <w:tc>
          <w:tcPr>
            <w:tcW w:w="1192" w:type="dxa"/>
          </w:tcPr>
          <w:p w14:paraId="2F482773" w14:textId="79BB6198" w:rsidR="00764895" w:rsidRPr="00513AF9" w:rsidRDefault="00764895" w:rsidP="00264D19">
            <w:pPr>
              <w:pStyle w:val="Tabletext"/>
            </w:pPr>
            <w:r w:rsidRPr="00513AF9">
              <w:t>UIT-D</w:t>
            </w:r>
          </w:p>
        </w:tc>
        <w:tc>
          <w:tcPr>
            <w:tcW w:w="2598" w:type="dxa"/>
          </w:tcPr>
          <w:p w14:paraId="7E1E2A49" w14:textId="77777777" w:rsidR="00764895" w:rsidRPr="00513AF9" w:rsidRDefault="00764895" w:rsidP="00086B94">
            <w:pPr>
              <w:pStyle w:val="Tabletext"/>
              <w:jc w:val="center"/>
            </w:pPr>
            <w:r w:rsidRPr="00513AF9">
              <w:t>2</w:t>
            </w:r>
          </w:p>
        </w:tc>
        <w:tc>
          <w:tcPr>
            <w:tcW w:w="2599" w:type="dxa"/>
          </w:tcPr>
          <w:p w14:paraId="6649259B" w14:textId="77777777" w:rsidR="00764895" w:rsidRPr="00513AF9" w:rsidRDefault="00764895" w:rsidP="00086B94">
            <w:pPr>
              <w:pStyle w:val="Tabletext"/>
              <w:jc w:val="center"/>
            </w:pPr>
            <w:r w:rsidRPr="00513AF9">
              <w:t>23</w:t>
            </w:r>
          </w:p>
        </w:tc>
        <w:tc>
          <w:tcPr>
            <w:tcW w:w="2599" w:type="dxa"/>
          </w:tcPr>
          <w:p w14:paraId="1F34AB83" w14:textId="77777777" w:rsidR="00764895" w:rsidRPr="00513AF9" w:rsidRDefault="00764895" w:rsidP="00086B94">
            <w:pPr>
              <w:pStyle w:val="Tabletext"/>
              <w:jc w:val="center"/>
            </w:pPr>
            <w:r w:rsidRPr="00513AF9">
              <w:t>29</w:t>
            </w:r>
          </w:p>
        </w:tc>
      </w:tr>
      <w:tr w:rsidR="00764895" w:rsidRPr="00513AF9" w14:paraId="0261380B" w14:textId="77777777" w:rsidTr="00264D19">
        <w:tc>
          <w:tcPr>
            <w:tcW w:w="1192" w:type="dxa"/>
          </w:tcPr>
          <w:p w14:paraId="3E8BEDBB" w14:textId="77777777" w:rsidR="00764895" w:rsidRPr="00513AF9" w:rsidRDefault="00764895" w:rsidP="00264D19">
            <w:pPr>
              <w:pStyle w:val="Tabletext"/>
              <w:rPr>
                <w:b/>
                <w:bCs/>
              </w:rPr>
            </w:pPr>
            <w:r w:rsidRPr="00513AF9">
              <w:rPr>
                <w:b/>
                <w:bCs/>
              </w:rPr>
              <w:t>Total</w:t>
            </w:r>
          </w:p>
        </w:tc>
        <w:tc>
          <w:tcPr>
            <w:tcW w:w="2598" w:type="dxa"/>
          </w:tcPr>
          <w:p w14:paraId="192BED29" w14:textId="77777777" w:rsidR="00764895" w:rsidRPr="00513AF9" w:rsidRDefault="00764895" w:rsidP="00086B94">
            <w:pPr>
              <w:pStyle w:val="Tabletext"/>
              <w:jc w:val="center"/>
              <w:rPr>
                <w:b/>
                <w:bCs/>
              </w:rPr>
            </w:pPr>
            <w:r w:rsidRPr="00513AF9">
              <w:rPr>
                <w:b/>
                <w:bCs/>
              </w:rPr>
              <w:t>350</w:t>
            </w:r>
          </w:p>
        </w:tc>
        <w:tc>
          <w:tcPr>
            <w:tcW w:w="2599" w:type="dxa"/>
          </w:tcPr>
          <w:p w14:paraId="453609A6" w14:textId="77777777" w:rsidR="00764895" w:rsidRPr="00513AF9" w:rsidRDefault="00764895" w:rsidP="00086B94">
            <w:pPr>
              <w:pStyle w:val="Tabletext"/>
              <w:jc w:val="center"/>
            </w:pPr>
            <w:r w:rsidRPr="00513AF9">
              <w:rPr>
                <w:b/>
                <w:bCs/>
              </w:rPr>
              <w:t>97</w:t>
            </w:r>
          </w:p>
        </w:tc>
        <w:tc>
          <w:tcPr>
            <w:tcW w:w="2599" w:type="dxa"/>
          </w:tcPr>
          <w:p w14:paraId="451CF148" w14:textId="77777777" w:rsidR="00764895" w:rsidRPr="00513AF9" w:rsidRDefault="00764895" w:rsidP="00086B94">
            <w:pPr>
              <w:pStyle w:val="Tabletext"/>
              <w:jc w:val="center"/>
              <w:rPr>
                <w:b/>
                <w:bCs/>
              </w:rPr>
            </w:pPr>
            <w:r w:rsidRPr="00513AF9">
              <w:rPr>
                <w:b/>
                <w:bCs/>
              </w:rPr>
              <w:t>1 466</w:t>
            </w:r>
          </w:p>
        </w:tc>
      </w:tr>
    </w:tbl>
    <w:p w14:paraId="105CB53E" w14:textId="11F51A72" w:rsidR="00764895" w:rsidRPr="00513AF9" w:rsidRDefault="00764895" w:rsidP="00264D19">
      <w:pPr>
        <w:pStyle w:val="Tablelegend"/>
        <w:spacing w:after="240"/>
      </w:pPr>
      <w:r w:rsidRPr="00513AF9">
        <w:t xml:space="preserve">Tableau </w:t>
      </w:r>
      <w:proofErr w:type="gramStart"/>
      <w:r w:rsidRPr="00513AF9">
        <w:t>3:</w:t>
      </w:r>
      <w:proofErr w:type="gramEnd"/>
      <w:r w:rsidRPr="00513AF9">
        <w:t xml:space="preserve"> </w:t>
      </w:r>
      <w:r w:rsidR="009468DA" w:rsidRPr="00513AF9">
        <w:t xml:space="preserve">Nombre de </w:t>
      </w:r>
      <w:r w:rsidR="009468DA" w:rsidRPr="00513AF9">
        <w:rPr>
          <w:b/>
        </w:rPr>
        <w:t>RÉUNIONS</w:t>
      </w:r>
      <w:r w:rsidR="009468DA" w:rsidRPr="00513AF9">
        <w:t xml:space="preserve"> entièrement physiques, entièrement virtuelles, et physiques avec participation à distance (y compris les séances de réunion de délégations) du 15 octobre 2022 au 29</w:t>
      </w:r>
      <w:r w:rsidR="00264D19" w:rsidRPr="00513AF9">
        <w:t> </w:t>
      </w:r>
      <w:r w:rsidR="009468DA" w:rsidRPr="00513AF9">
        <w:t>mars</w:t>
      </w:r>
      <w:r w:rsidR="00086B94" w:rsidRPr="00513AF9">
        <w:t> </w:t>
      </w:r>
      <w:r w:rsidR="009468DA" w:rsidRPr="00513AF9">
        <w:t>2023 (données à jour à la date du 4 avril 2023, à 16 h</w:t>
      </w:r>
      <w:r w:rsidR="00264D19" w:rsidRPr="00513AF9">
        <w:t xml:space="preserve"> 00</w:t>
      </w:r>
      <w:r w:rsidR="009468DA" w:rsidRPr="00513AF9">
        <w:t xml:space="preserve">). Une </w:t>
      </w:r>
      <w:r w:rsidR="00BD421A" w:rsidRPr="00513AF9">
        <w:rPr>
          <w:b/>
        </w:rPr>
        <w:t>MANIFESTATION</w:t>
      </w:r>
      <w:r w:rsidR="00BD421A" w:rsidRPr="00513AF9">
        <w:t xml:space="preserve"> </w:t>
      </w:r>
      <w:r w:rsidR="009468DA" w:rsidRPr="00513AF9">
        <w:t>peut durer une demi</w:t>
      </w:r>
      <w:r w:rsidR="00E537EB" w:rsidRPr="00513AF9">
        <w:noBreakHyphen/>
      </w:r>
      <w:r w:rsidR="009468DA" w:rsidRPr="00513AF9">
        <w:t xml:space="preserve">journée ou plusieurs semaines, </w:t>
      </w:r>
      <w:r w:rsidR="00BD421A" w:rsidRPr="00513AF9">
        <w:t>et comporter de nombreuses réunions</w:t>
      </w:r>
      <w:r w:rsidR="009468DA" w:rsidRPr="00513AF9">
        <w:t xml:space="preserve">. Une </w:t>
      </w:r>
      <w:r w:rsidR="00BD421A" w:rsidRPr="00513AF9">
        <w:t xml:space="preserve">réunion où le même sujet est traité le </w:t>
      </w:r>
      <w:r w:rsidR="009468DA" w:rsidRPr="00513AF9">
        <w:t>matin et l'après</w:t>
      </w:r>
      <w:r w:rsidR="00086B94" w:rsidRPr="00513AF9">
        <w:noBreakHyphen/>
      </w:r>
      <w:r w:rsidR="009468DA" w:rsidRPr="00513AF9">
        <w:t xml:space="preserve">midi </w:t>
      </w:r>
      <w:r w:rsidR="00BD421A" w:rsidRPr="00513AF9">
        <w:t>est comptée comme deux réunions</w:t>
      </w:r>
      <w:r w:rsidR="009468DA" w:rsidRPr="00513AF9">
        <w:t>.</w:t>
      </w:r>
    </w:p>
    <w:tbl>
      <w:tblPr>
        <w:tblStyle w:val="TableGrid"/>
        <w:tblW w:w="9061" w:type="dxa"/>
        <w:tblLook w:val="04A0" w:firstRow="1" w:lastRow="0" w:firstColumn="1" w:lastColumn="0" w:noHBand="0" w:noVBand="1"/>
      </w:tblPr>
      <w:tblGrid>
        <w:gridCol w:w="2340"/>
        <w:gridCol w:w="2236"/>
        <w:gridCol w:w="2242"/>
        <w:gridCol w:w="2243"/>
      </w:tblGrid>
      <w:tr w:rsidR="00764895" w:rsidRPr="00513AF9" w14:paraId="32E11120" w14:textId="77777777" w:rsidTr="00264D19">
        <w:trPr>
          <w:trHeight w:val="300"/>
        </w:trPr>
        <w:tc>
          <w:tcPr>
            <w:tcW w:w="2340" w:type="dxa"/>
          </w:tcPr>
          <w:p w14:paraId="2EC007F2" w14:textId="77777777" w:rsidR="00764895" w:rsidRPr="00513AF9" w:rsidRDefault="00764895" w:rsidP="006C48A1"/>
        </w:tc>
        <w:tc>
          <w:tcPr>
            <w:tcW w:w="2236" w:type="dxa"/>
            <w:vAlign w:val="center"/>
          </w:tcPr>
          <w:p w14:paraId="17FDA370" w14:textId="74C58A58" w:rsidR="00764895" w:rsidRPr="00513AF9" w:rsidRDefault="00D37A7C" w:rsidP="00264D19">
            <w:pPr>
              <w:pStyle w:val="Tabletext"/>
              <w:jc w:val="center"/>
            </w:pPr>
            <w:r w:rsidRPr="00513AF9">
              <w:t>Réunions entièrement physiques</w:t>
            </w:r>
          </w:p>
        </w:tc>
        <w:tc>
          <w:tcPr>
            <w:tcW w:w="2242" w:type="dxa"/>
            <w:vAlign w:val="center"/>
          </w:tcPr>
          <w:p w14:paraId="7873AEF7" w14:textId="4B18ADB8" w:rsidR="00764895" w:rsidRPr="00513AF9" w:rsidRDefault="00D37A7C" w:rsidP="00264D19">
            <w:pPr>
              <w:pStyle w:val="Tabletext"/>
              <w:jc w:val="center"/>
            </w:pPr>
            <w:r w:rsidRPr="00513AF9">
              <w:t>Réunions entièrement virtuelles</w:t>
            </w:r>
          </w:p>
        </w:tc>
        <w:tc>
          <w:tcPr>
            <w:tcW w:w="2243" w:type="dxa"/>
            <w:vAlign w:val="center"/>
          </w:tcPr>
          <w:p w14:paraId="090C2B2D" w14:textId="69413EB4" w:rsidR="00764895" w:rsidRPr="00513AF9" w:rsidRDefault="00D37A7C" w:rsidP="00264D19">
            <w:pPr>
              <w:pStyle w:val="Tabletext"/>
              <w:jc w:val="center"/>
            </w:pPr>
            <w:r w:rsidRPr="00513AF9">
              <w:t>Réunions physiques avec participation à distance</w:t>
            </w:r>
          </w:p>
        </w:tc>
      </w:tr>
      <w:tr w:rsidR="00764895" w:rsidRPr="00513AF9" w14:paraId="525CF1DC" w14:textId="77777777" w:rsidTr="00264D19">
        <w:trPr>
          <w:trHeight w:val="300"/>
        </w:trPr>
        <w:tc>
          <w:tcPr>
            <w:tcW w:w="2340" w:type="dxa"/>
          </w:tcPr>
          <w:p w14:paraId="7F5ABFCE" w14:textId="72A16960" w:rsidR="00764895" w:rsidRPr="00513AF9" w:rsidRDefault="00BD421A" w:rsidP="00264D19">
            <w:pPr>
              <w:pStyle w:val="Tabletext"/>
            </w:pPr>
            <w:r w:rsidRPr="00513AF9">
              <w:t>Réunions de délégations</w:t>
            </w:r>
          </w:p>
        </w:tc>
        <w:tc>
          <w:tcPr>
            <w:tcW w:w="2236" w:type="dxa"/>
            <w:vAlign w:val="center"/>
          </w:tcPr>
          <w:p w14:paraId="577D311A" w14:textId="77777777" w:rsidR="00764895" w:rsidRPr="00513AF9" w:rsidRDefault="00764895" w:rsidP="00264D19">
            <w:pPr>
              <w:pStyle w:val="Tabletext"/>
              <w:jc w:val="center"/>
            </w:pPr>
            <w:r w:rsidRPr="00513AF9">
              <w:t>207</w:t>
            </w:r>
          </w:p>
        </w:tc>
        <w:tc>
          <w:tcPr>
            <w:tcW w:w="2242" w:type="dxa"/>
            <w:vAlign w:val="center"/>
          </w:tcPr>
          <w:p w14:paraId="78D1A89B" w14:textId="77777777" w:rsidR="00764895" w:rsidRPr="00513AF9" w:rsidRDefault="00764895" w:rsidP="00264D19">
            <w:pPr>
              <w:pStyle w:val="Tabletext"/>
              <w:jc w:val="center"/>
            </w:pPr>
          </w:p>
        </w:tc>
        <w:tc>
          <w:tcPr>
            <w:tcW w:w="2243" w:type="dxa"/>
            <w:vAlign w:val="center"/>
          </w:tcPr>
          <w:p w14:paraId="1E3E2D4F" w14:textId="77777777" w:rsidR="00764895" w:rsidRPr="00513AF9" w:rsidRDefault="00764895" w:rsidP="00264D19">
            <w:pPr>
              <w:pStyle w:val="Tabletext"/>
              <w:jc w:val="center"/>
            </w:pPr>
            <w:r w:rsidRPr="00513AF9">
              <w:t>7</w:t>
            </w:r>
          </w:p>
        </w:tc>
      </w:tr>
      <w:tr w:rsidR="00764895" w:rsidRPr="00513AF9" w14:paraId="18108B54" w14:textId="77777777" w:rsidTr="00264D19">
        <w:trPr>
          <w:trHeight w:val="300"/>
        </w:trPr>
        <w:tc>
          <w:tcPr>
            <w:tcW w:w="2340" w:type="dxa"/>
          </w:tcPr>
          <w:p w14:paraId="52B76DAC" w14:textId="6E2A2751" w:rsidR="00764895" w:rsidRPr="00513AF9" w:rsidRDefault="00BD421A" w:rsidP="00264D19">
            <w:pPr>
              <w:pStyle w:val="Tabletext"/>
            </w:pPr>
            <w:r w:rsidRPr="00513AF9">
              <w:t>Type de réunion non spécifié</w:t>
            </w:r>
          </w:p>
        </w:tc>
        <w:tc>
          <w:tcPr>
            <w:tcW w:w="2236" w:type="dxa"/>
            <w:vAlign w:val="center"/>
          </w:tcPr>
          <w:p w14:paraId="61F736C6" w14:textId="77777777" w:rsidR="00764895" w:rsidRPr="00513AF9" w:rsidRDefault="00764895" w:rsidP="00264D19">
            <w:pPr>
              <w:pStyle w:val="Tabletext"/>
              <w:jc w:val="center"/>
            </w:pPr>
            <w:r w:rsidRPr="00513AF9">
              <w:t>17</w:t>
            </w:r>
          </w:p>
        </w:tc>
        <w:tc>
          <w:tcPr>
            <w:tcW w:w="2242" w:type="dxa"/>
            <w:vAlign w:val="center"/>
          </w:tcPr>
          <w:p w14:paraId="63FD3B38" w14:textId="77777777" w:rsidR="00764895" w:rsidRPr="00513AF9" w:rsidRDefault="00764895" w:rsidP="00264D19">
            <w:pPr>
              <w:pStyle w:val="Tabletext"/>
              <w:jc w:val="center"/>
            </w:pPr>
            <w:r w:rsidRPr="00513AF9">
              <w:t>7</w:t>
            </w:r>
          </w:p>
        </w:tc>
        <w:tc>
          <w:tcPr>
            <w:tcW w:w="2243" w:type="dxa"/>
            <w:vAlign w:val="center"/>
          </w:tcPr>
          <w:p w14:paraId="04D5C5C3" w14:textId="77777777" w:rsidR="00764895" w:rsidRPr="00513AF9" w:rsidRDefault="00764895" w:rsidP="00264D19">
            <w:pPr>
              <w:pStyle w:val="Tabletext"/>
              <w:jc w:val="center"/>
            </w:pPr>
            <w:r w:rsidRPr="00513AF9">
              <w:t>16</w:t>
            </w:r>
          </w:p>
        </w:tc>
      </w:tr>
      <w:tr w:rsidR="00764895" w:rsidRPr="00513AF9" w14:paraId="6168547F" w14:textId="77777777" w:rsidTr="00264D19">
        <w:trPr>
          <w:trHeight w:val="300"/>
        </w:trPr>
        <w:tc>
          <w:tcPr>
            <w:tcW w:w="2340" w:type="dxa"/>
          </w:tcPr>
          <w:p w14:paraId="4DBDE5EA" w14:textId="0AC6237C" w:rsidR="00764895" w:rsidRPr="00513AF9" w:rsidRDefault="00BD421A" w:rsidP="00264D19">
            <w:pPr>
              <w:pStyle w:val="Tabletext"/>
            </w:pPr>
            <w:r w:rsidRPr="00513AF9">
              <w:t>Réunions officielles</w:t>
            </w:r>
          </w:p>
        </w:tc>
        <w:tc>
          <w:tcPr>
            <w:tcW w:w="2236" w:type="dxa"/>
            <w:vAlign w:val="center"/>
          </w:tcPr>
          <w:p w14:paraId="092A1807" w14:textId="77777777" w:rsidR="00764895" w:rsidRPr="00513AF9" w:rsidRDefault="00764895" w:rsidP="00264D19">
            <w:pPr>
              <w:pStyle w:val="Tabletext"/>
              <w:jc w:val="center"/>
            </w:pPr>
            <w:r w:rsidRPr="00513AF9">
              <w:t>100</w:t>
            </w:r>
          </w:p>
        </w:tc>
        <w:tc>
          <w:tcPr>
            <w:tcW w:w="2242" w:type="dxa"/>
            <w:vAlign w:val="center"/>
          </w:tcPr>
          <w:p w14:paraId="2EE88C1A" w14:textId="77777777" w:rsidR="00764895" w:rsidRPr="00513AF9" w:rsidRDefault="00764895" w:rsidP="00264D19">
            <w:pPr>
              <w:pStyle w:val="Tabletext"/>
              <w:jc w:val="center"/>
            </w:pPr>
            <w:r w:rsidRPr="00513AF9">
              <w:t>85</w:t>
            </w:r>
          </w:p>
        </w:tc>
        <w:tc>
          <w:tcPr>
            <w:tcW w:w="2243" w:type="dxa"/>
            <w:vAlign w:val="center"/>
          </w:tcPr>
          <w:p w14:paraId="2A5386D5" w14:textId="77777777" w:rsidR="00764895" w:rsidRPr="00513AF9" w:rsidRDefault="00764895" w:rsidP="00264D19">
            <w:pPr>
              <w:pStyle w:val="Tabletext"/>
              <w:jc w:val="center"/>
            </w:pPr>
            <w:r w:rsidRPr="00513AF9">
              <w:t>1 443</w:t>
            </w:r>
          </w:p>
        </w:tc>
      </w:tr>
      <w:tr w:rsidR="00764895" w:rsidRPr="00513AF9" w14:paraId="423B0219" w14:textId="77777777" w:rsidTr="00264D19">
        <w:trPr>
          <w:trHeight w:val="300"/>
        </w:trPr>
        <w:tc>
          <w:tcPr>
            <w:tcW w:w="2340" w:type="dxa"/>
          </w:tcPr>
          <w:p w14:paraId="7A7E7209" w14:textId="3B02198F" w:rsidR="00764895" w:rsidRPr="00513AF9" w:rsidRDefault="00BD421A" w:rsidP="00264D19">
            <w:pPr>
              <w:pStyle w:val="Tabletext"/>
            </w:pPr>
            <w:r w:rsidRPr="00513AF9">
              <w:t>Réunions ordinaires</w:t>
            </w:r>
          </w:p>
        </w:tc>
        <w:tc>
          <w:tcPr>
            <w:tcW w:w="2236" w:type="dxa"/>
            <w:vAlign w:val="center"/>
          </w:tcPr>
          <w:p w14:paraId="5FE9C4AB" w14:textId="77777777" w:rsidR="00764895" w:rsidRPr="00513AF9" w:rsidRDefault="00764895" w:rsidP="00264D19">
            <w:pPr>
              <w:pStyle w:val="Tabletext"/>
              <w:jc w:val="center"/>
            </w:pPr>
            <w:r w:rsidRPr="00513AF9">
              <w:t>2</w:t>
            </w:r>
          </w:p>
        </w:tc>
        <w:tc>
          <w:tcPr>
            <w:tcW w:w="2242" w:type="dxa"/>
            <w:vAlign w:val="center"/>
          </w:tcPr>
          <w:p w14:paraId="262AC8A3" w14:textId="77777777" w:rsidR="00764895" w:rsidRPr="00513AF9" w:rsidRDefault="00764895" w:rsidP="00264D19">
            <w:pPr>
              <w:pStyle w:val="Tabletext"/>
              <w:jc w:val="center"/>
              <w:rPr>
                <w:rFonts w:eastAsia="Calibri" w:cs="Calibri"/>
              </w:rPr>
            </w:pPr>
            <w:r w:rsidRPr="00513AF9">
              <w:rPr>
                <w:rFonts w:eastAsia="Calibri" w:cs="Calibri"/>
              </w:rPr>
              <w:t>5</w:t>
            </w:r>
          </w:p>
        </w:tc>
        <w:tc>
          <w:tcPr>
            <w:tcW w:w="2243" w:type="dxa"/>
            <w:vAlign w:val="center"/>
          </w:tcPr>
          <w:p w14:paraId="525FDA00" w14:textId="77777777" w:rsidR="00764895" w:rsidRPr="00513AF9" w:rsidRDefault="00764895" w:rsidP="00264D19">
            <w:pPr>
              <w:pStyle w:val="Tabletext"/>
              <w:jc w:val="center"/>
            </w:pPr>
          </w:p>
        </w:tc>
      </w:tr>
      <w:tr w:rsidR="00764895" w:rsidRPr="00513AF9" w14:paraId="58351F0C" w14:textId="77777777" w:rsidTr="00264D19">
        <w:trPr>
          <w:trHeight w:val="300"/>
        </w:trPr>
        <w:tc>
          <w:tcPr>
            <w:tcW w:w="2340" w:type="dxa"/>
          </w:tcPr>
          <w:p w14:paraId="6CCC5996" w14:textId="6890E16B" w:rsidR="00764895" w:rsidRPr="00513AF9" w:rsidRDefault="00BD421A" w:rsidP="00264D19">
            <w:pPr>
              <w:pStyle w:val="Tabletext"/>
            </w:pPr>
            <w:r w:rsidRPr="00513AF9">
              <w:t>Manifestations parallèles</w:t>
            </w:r>
          </w:p>
        </w:tc>
        <w:tc>
          <w:tcPr>
            <w:tcW w:w="2236" w:type="dxa"/>
            <w:vAlign w:val="center"/>
          </w:tcPr>
          <w:p w14:paraId="7695CDE5" w14:textId="77777777" w:rsidR="00764895" w:rsidRPr="00513AF9" w:rsidRDefault="00764895" w:rsidP="00264D19">
            <w:pPr>
              <w:pStyle w:val="Tabletext"/>
              <w:jc w:val="center"/>
            </w:pPr>
            <w:r w:rsidRPr="00513AF9">
              <w:t>2</w:t>
            </w:r>
          </w:p>
        </w:tc>
        <w:tc>
          <w:tcPr>
            <w:tcW w:w="2242" w:type="dxa"/>
            <w:vAlign w:val="center"/>
          </w:tcPr>
          <w:p w14:paraId="6C08B483" w14:textId="77777777" w:rsidR="00764895" w:rsidRPr="00513AF9" w:rsidRDefault="00764895" w:rsidP="00264D19">
            <w:pPr>
              <w:pStyle w:val="Tabletext"/>
              <w:jc w:val="center"/>
              <w:rPr>
                <w:rFonts w:eastAsia="Calibri" w:cs="Calibri"/>
              </w:rPr>
            </w:pPr>
          </w:p>
        </w:tc>
        <w:tc>
          <w:tcPr>
            <w:tcW w:w="2243" w:type="dxa"/>
            <w:vAlign w:val="center"/>
          </w:tcPr>
          <w:p w14:paraId="2501FC34" w14:textId="77777777" w:rsidR="00764895" w:rsidRPr="00513AF9" w:rsidRDefault="00764895" w:rsidP="00264D19">
            <w:pPr>
              <w:pStyle w:val="Tabletext"/>
              <w:jc w:val="center"/>
            </w:pPr>
          </w:p>
        </w:tc>
      </w:tr>
      <w:tr w:rsidR="00764895" w:rsidRPr="00513AF9" w14:paraId="7237B834" w14:textId="77777777" w:rsidTr="00264D19">
        <w:trPr>
          <w:trHeight w:val="300"/>
        </w:trPr>
        <w:tc>
          <w:tcPr>
            <w:tcW w:w="2340" w:type="dxa"/>
          </w:tcPr>
          <w:p w14:paraId="08F4E621" w14:textId="331289E7" w:rsidR="00764895" w:rsidRPr="00513AF9" w:rsidRDefault="00351617" w:rsidP="00264D19">
            <w:pPr>
              <w:pStyle w:val="Tabletext"/>
            </w:pPr>
            <w:r w:rsidRPr="00513AF9">
              <w:t>Réceptions</w:t>
            </w:r>
          </w:p>
        </w:tc>
        <w:tc>
          <w:tcPr>
            <w:tcW w:w="2236" w:type="dxa"/>
            <w:vAlign w:val="center"/>
          </w:tcPr>
          <w:p w14:paraId="362D4081" w14:textId="77777777" w:rsidR="00764895" w:rsidRPr="00513AF9" w:rsidRDefault="00764895" w:rsidP="00264D19">
            <w:pPr>
              <w:pStyle w:val="Tabletext"/>
              <w:jc w:val="center"/>
            </w:pPr>
            <w:r w:rsidRPr="00513AF9">
              <w:t>22</w:t>
            </w:r>
          </w:p>
        </w:tc>
        <w:tc>
          <w:tcPr>
            <w:tcW w:w="2242" w:type="dxa"/>
            <w:vAlign w:val="center"/>
          </w:tcPr>
          <w:p w14:paraId="01105767" w14:textId="77777777" w:rsidR="00764895" w:rsidRPr="00513AF9" w:rsidRDefault="00764895" w:rsidP="00264D19">
            <w:pPr>
              <w:pStyle w:val="Tabletext"/>
              <w:jc w:val="center"/>
              <w:rPr>
                <w:rFonts w:eastAsia="Calibri" w:cs="Calibri"/>
              </w:rPr>
            </w:pPr>
          </w:p>
        </w:tc>
        <w:tc>
          <w:tcPr>
            <w:tcW w:w="2243" w:type="dxa"/>
            <w:vAlign w:val="center"/>
          </w:tcPr>
          <w:p w14:paraId="6AF5C948" w14:textId="77777777" w:rsidR="00764895" w:rsidRPr="00513AF9" w:rsidRDefault="00764895" w:rsidP="00264D19">
            <w:pPr>
              <w:pStyle w:val="Tabletext"/>
              <w:jc w:val="center"/>
            </w:pPr>
          </w:p>
        </w:tc>
      </w:tr>
      <w:tr w:rsidR="00764895" w:rsidRPr="00513AF9" w14:paraId="00759A1E" w14:textId="77777777" w:rsidTr="00D9386E">
        <w:trPr>
          <w:trHeight w:val="300"/>
        </w:trPr>
        <w:tc>
          <w:tcPr>
            <w:tcW w:w="2340" w:type="dxa"/>
          </w:tcPr>
          <w:p w14:paraId="5EA2A198" w14:textId="77777777" w:rsidR="00764895" w:rsidRPr="00513AF9" w:rsidRDefault="00764895" w:rsidP="00264D19">
            <w:pPr>
              <w:pStyle w:val="Tabletext"/>
              <w:rPr>
                <w:b/>
                <w:bCs/>
              </w:rPr>
            </w:pPr>
            <w:r w:rsidRPr="00513AF9">
              <w:rPr>
                <w:b/>
                <w:bCs/>
              </w:rPr>
              <w:t>Total</w:t>
            </w:r>
          </w:p>
        </w:tc>
        <w:tc>
          <w:tcPr>
            <w:tcW w:w="2236" w:type="dxa"/>
          </w:tcPr>
          <w:p w14:paraId="201E240E" w14:textId="77777777" w:rsidR="00764895" w:rsidRPr="00513AF9" w:rsidRDefault="00764895" w:rsidP="00086B94">
            <w:pPr>
              <w:pStyle w:val="Tabletext"/>
              <w:jc w:val="center"/>
              <w:rPr>
                <w:b/>
                <w:bCs/>
              </w:rPr>
            </w:pPr>
            <w:r w:rsidRPr="00513AF9">
              <w:rPr>
                <w:b/>
                <w:bCs/>
              </w:rPr>
              <w:t>350</w:t>
            </w:r>
          </w:p>
        </w:tc>
        <w:tc>
          <w:tcPr>
            <w:tcW w:w="2242" w:type="dxa"/>
          </w:tcPr>
          <w:p w14:paraId="3F59ECC6" w14:textId="77777777" w:rsidR="00764895" w:rsidRPr="00513AF9" w:rsidRDefault="00764895" w:rsidP="00086B94">
            <w:pPr>
              <w:pStyle w:val="Tabletext"/>
              <w:jc w:val="center"/>
              <w:rPr>
                <w:rFonts w:eastAsia="Calibri" w:cs="Calibri"/>
                <w:b/>
                <w:bCs/>
              </w:rPr>
            </w:pPr>
            <w:r w:rsidRPr="00513AF9">
              <w:rPr>
                <w:rFonts w:eastAsia="Calibri" w:cs="Calibri"/>
                <w:b/>
                <w:bCs/>
              </w:rPr>
              <w:t>97</w:t>
            </w:r>
          </w:p>
        </w:tc>
        <w:tc>
          <w:tcPr>
            <w:tcW w:w="2243" w:type="dxa"/>
          </w:tcPr>
          <w:p w14:paraId="77DD50E7" w14:textId="77777777" w:rsidR="00764895" w:rsidRPr="00513AF9" w:rsidRDefault="00764895" w:rsidP="00086B94">
            <w:pPr>
              <w:pStyle w:val="Tabletext"/>
              <w:jc w:val="center"/>
              <w:rPr>
                <w:b/>
                <w:bCs/>
              </w:rPr>
            </w:pPr>
            <w:r w:rsidRPr="00513AF9">
              <w:rPr>
                <w:b/>
                <w:bCs/>
              </w:rPr>
              <w:t>1 466</w:t>
            </w:r>
          </w:p>
        </w:tc>
      </w:tr>
    </w:tbl>
    <w:p w14:paraId="5FBDCD53" w14:textId="046568B1" w:rsidR="00764895" w:rsidRPr="00513AF9" w:rsidRDefault="00764895" w:rsidP="00264D19">
      <w:pPr>
        <w:pStyle w:val="Tablelegend"/>
      </w:pPr>
      <w:r w:rsidRPr="00513AF9">
        <w:t xml:space="preserve">Tableau </w:t>
      </w:r>
      <w:proofErr w:type="gramStart"/>
      <w:r w:rsidRPr="00513AF9">
        <w:t>4:</w:t>
      </w:r>
      <w:proofErr w:type="gramEnd"/>
      <w:r w:rsidRPr="00513AF9">
        <w:t xml:space="preserve"> </w:t>
      </w:r>
      <w:r w:rsidR="00BD421A" w:rsidRPr="00513AF9">
        <w:t xml:space="preserve">Nombre de </w:t>
      </w:r>
      <w:r w:rsidR="00BD421A" w:rsidRPr="00513AF9">
        <w:rPr>
          <w:b/>
        </w:rPr>
        <w:t>SÉANCES DE RÉUNION</w:t>
      </w:r>
      <w:r w:rsidR="00BD421A" w:rsidRPr="00513AF9">
        <w:t xml:space="preserve"> entièrement physiques, entièrement virtuelles, et physiques avec participation à distance du 15 octobre 2022 au 29 mars 2023 (données à jour à la date du 4 avril 2023, à</w:t>
      </w:r>
      <w:r w:rsidR="00086B94" w:rsidRPr="00513AF9">
        <w:t> </w:t>
      </w:r>
      <w:r w:rsidR="00BD421A" w:rsidRPr="00513AF9">
        <w:t>16</w:t>
      </w:r>
      <w:r w:rsidR="00086B94" w:rsidRPr="00513AF9">
        <w:t> </w:t>
      </w:r>
      <w:r w:rsidR="00BD421A" w:rsidRPr="00513AF9">
        <w:t>h</w:t>
      </w:r>
      <w:r w:rsidR="00264D19" w:rsidRPr="00513AF9">
        <w:t xml:space="preserve"> 00</w:t>
      </w:r>
      <w:r w:rsidR="00BD421A" w:rsidRPr="00513AF9">
        <w:t xml:space="preserve">), avec ventilation supplémentaire par </w:t>
      </w:r>
      <w:r w:rsidR="00BD421A" w:rsidRPr="00513AF9">
        <w:rPr>
          <w:b/>
        </w:rPr>
        <w:t>TYPE DE RÉUNION</w:t>
      </w:r>
      <w:r w:rsidR="00BD421A" w:rsidRPr="00513AF9">
        <w:t>.</w:t>
      </w:r>
    </w:p>
    <w:p w14:paraId="40CD1A59" w14:textId="176B0184" w:rsidR="00764895" w:rsidRPr="00513AF9" w:rsidRDefault="00764895" w:rsidP="006C48A1">
      <w:pPr>
        <w:tabs>
          <w:tab w:val="clear" w:pos="567"/>
          <w:tab w:val="clear" w:pos="1134"/>
          <w:tab w:val="clear" w:pos="1701"/>
          <w:tab w:val="clear" w:pos="2268"/>
          <w:tab w:val="clear" w:pos="2835"/>
        </w:tabs>
        <w:overflowPunct/>
        <w:autoSpaceDE/>
        <w:autoSpaceDN/>
        <w:adjustRightInd/>
        <w:spacing w:before="0"/>
        <w:textAlignment w:val="auto"/>
      </w:pPr>
      <w:r w:rsidRPr="00513AF9">
        <w:br w:type="page"/>
      </w:r>
    </w:p>
    <w:p w14:paraId="1540C19C" w14:textId="327D0AC1" w:rsidR="00764895" w:rsidRPr="00513AF9" w:rsidRDefault="00764895" w:rsidP="006C48A1">
      <w:pPr>
        <w:pStyle w:val="AnnexNo"/>
      </w:pPr>
      <w:r w:rsidRPr="00513AF9">
        <w:lastRenderedPageBreak/>
        <w:t>Ann</w:t>
      </w:r>
      <w:bookmarkStart w:id="5" w:name="Annex2"/>
      <w:bookmarkEnd w:id="5"/>
      <w:r w:rsidRPr="00513AF9">
        <w:t>exe 2</w:t>
      </w:r>
    </w:p>
    <w:p w14:paraId="705049CC" w14:textId="416E0898" w:rsidR="00764895" w:rsidRPr="00513AF9" w:rsidRDefault="00764895" w:rsidP="006C48A1">
      <w:pPr>
        <w:pStyle w:val="Annextitle"/>
      </w:pPr>
      <w:r w:rsidRPr="00513AF9">
        <w:t>N</w:t>
      </w:r>
      <w:r w:rsidR="00BD421A" w:rsidRPr="00513AF9">
        <w:t>ombre d</w:t>
      </w:r>
      <w:r w:rsidR="005E633D" w:rsidRPr="00513AF9">
        <w:t>'</w:t>
      </w:r>
      <w:r w:rsidR="00BD421A" w:rsidRPr="00513AF9">
        <w:t>États Membres ayant participé à des réunions de l</w:t>
      </w:r>
      <w:r w:rsidR="005E633D" w:rsidRPr="00513AF9">
        <w:t>'</w:t>
      </w:r>
      <w:r w:rsidR="00BD421A" w:rsidRPr="00513AF9">
        <w:t xml:space="preserve">UIT </w:t>
      </w:r>
      <w:r w:rsidR="00264D19" w:rsidRPr="00513AF9">
        <w:br/>
      </w:r>
      <w:r w:rsidR="00BD421A" w:rsidRPr="00513AF9">
        <w:t xml:space="preserve">de </w:t>
      </w:r>
      <w:r w:rsidRPr="00513AF9">
        <w:t xml:space="preserve">2018 </w:t>
      </w:r>
      <w:r w:rsidR="00BD421A" w:rsidRPr="00513AF9">
        <w:t xml:space="preserve">à </w:t>
      </w:r>
      <w:r w:rsidRPr="00513AF9">
        <w:t>2022</w:t>
      </w:r>
    </w:p>
    <w:p w14:paraId="7F25F366" w14:textId="5604812B" w:rsidR="00764895" w:rsidRPr="00513AF9" w:rsidRDefault="00764895" w:rsidP="00264D19">
      <w:pPr>
        <w:spacing w:after="240"/>
      </w:pPr>
      <w:r w:rsidRPr="00513AF9">
        <w:t>1)</w:t>
      </w:r>
      <w:r w:rsidR="00264D19" w:rsidRPr="00513AF9">
        <w:tab/>
      </w:r>
      <w:r w:rsidR="00A66D9E" w:rsidRPr="00513AF9">
        <w:t>Nombre d</w:t>
      </w:r>
      <w:r w:rsidR="005E633D" w:rsidRPr="00513AF9">
        <w:t>'</w:t>
      </w:r>
      <w:r w:rsidR="00A66D9E" w:rsidRPr="00513AF9">
        <w:t>États Membres par indicateur de développement</w:t>
      </w:r>
    </w:p>
    <w:p w14:paraId="4D1AAE9F" w14:textId="4556CB34" w:rsidR="00764895" w:rsidRPr="00513AF9" w:rsidRDefault="005E3961" w:rsidP="005E3961">
      <w:pPr>
        <w:rPr>
          <w:sz w:val="20"/>
        </w:rPr>
      </w:pPr>
      <w:r w:rsidRPr="00513AF9">
        <w:rPr>
          <w:noProof/>
          <w:sz w:val="20"/>
        </w:rPr>
        <w:drawing>
          <wp:inline distT="0" distB="0" distL="0" distR="0" wp14:anchorId="1F047F74" wp14:editId="0D616256">
            <wp:extent cx="5736949" cy="18867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9317" cy="1897357"/>
                    </a:xfrm>
                    <a:prstGeom prst="rect">
                      <a:avLst/>
                    </a:prstGeom>
                    <a:noFill/>
                  </pic:spPr>
                </pic:pic>
              </a:graphicData>
            </a:graphic>
          </wp:inline>
        </w:drawing>
      </w:r>
    </w:p>
    <w:p w14:paraId="25273F42" w14:textId="6D6761BD" w:rsidR="00764895" w:rsidRPr="00513AF9" w:rsidRDefault="00764895" w:rsidP="00264D19">
      <w:pPr>
        <w:spacing w:before="240" w:after="240"/>
      </w:pPr>
      <w:r w:rsidRPr="00513AF9">
        <w:t>2)</w:t>
      </w:r>
      <w:r w:rsidR="00264D19" w:rsidRPr="00513AF9">
        <w:tab/>
      </w:r>
      <w:r w:rsidR="00A66D9E" w:rsidRPr="00513AF9">
        <w:t>Nombre de participants dans les trois groupes de pays</w:t>
      </w:r>
    </w:p>
    <w:p w14:paraId="6DB29B7F" w14:textId="79762507" w:rsidR="00764895" w:rsidRPr="00513AF9" w:rsidRDefault="00513AF9" w:rsidP="005E3961">
      <w:pPr>
        <w:rPr>
          <w:sz w:val="20"/>
        </w:rPr>
      </w:pPr>
      <w:r w:rsidRPr="00513AF9">
        <w:rPr>
          <w:noProof/>
          <w:sz w:val="20"/>
        </w:rPr>
        <w:drawing>
          <wp:inline distT="0" distB="0" distL="0" distR="0" wp14:anchorId="79C7147E" wp14:editId="2B9B63EE">
            <wp:extent cx="6200164" cy="20193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1259" cy="2032752"/>
                    </a:xfrm>
                    <a:prstGeom prst="rect">
                      <a:avLst/>
                    </a:prstGeom>
                    <a:noFill/>
                  </pic:spPr>
                </pic:pic>
              </a:graphicData>
            </a:graphic>
          </wp:inline>
        </w:drawing>
      </w:r>
    </w:p>
    <w:p w14:paraId="78043847" w14:textId="448F6492" w:rsidR="00764895" w:rsidRPr="00513AF9" w:rsidRDefault="00764895" w:rsidP="006C48A1">
      <w:pPr>
        <w:pStyle w:val="Figurelegend"/>
      </w:pPr>
      <w:r w:rsidRPr="00513AF9">
        <w:t>*</w:t>
      </w:r>
      <w:r w:rsidRPr="00513AF9">
        <w:tab/>
      </w:r>
      <w:r w:rsidR="00797F6B" w:rsidRPr="00513AF9">
        <w:t xml:space="preserve">Données relatives aux manifestations provenant des systèmes </w:t>
      </w:r>
      <w:r w:rsidRPr="00513AF9">
        <w:t xml:space="preserve">EDRS (2018, 2019) </w:t>
      </w:r>
      <w:r w:rsidR="00797F6B" w:rsidRPr="00513AF9">
        <w:t xml:space="preserve">et </w:t>
      </w:r>
      <w:r w:rsidRPr="00513AF9">
        <w:t xml:space="preserve">CRM (2018 </w:t>
      </w:r>
      <w:r w:rsidR="00797F6B" w:rsidRPr="00513AF9">
        <w:t xml:space="preserve">à 2022), pour la période allant du </w:t>
      </w:r>
      <w:r w:rsidRPr="00513AF9">
        <w:t>15 janvier 2018 au 31 décembre 2022</w:t>
      </w:r>
      <w:r w:rsidR="00797F6B" w:rsidRPr="00513AF9">
        <w:t>.</w:t>
      </w:r>
    </w:p>
    <w:p w14:paraId="1CC29D85" w14:textId="7121B009" w:rsidR="00D61A6C" w:rsidRPr="00513AF9" w:rsidRDefault="00D61A6C">
      <w:pPr>
        <w:tabs>
          <w:tab w:val="clear" w:pos="567"/>
          <w:tab w:val="clear" w:pos="1134"/>
          <w:tab w:val="clear" w:pos="1701"/>
          <w:tab w:val="clear" w:pos="2268"/>
          <w:tab w:val="clear" w:pos="2835"/>
        </w:tabs>
        <w:overflowPunct/>
        <w:autoSpaceDE/>
        <w:autoSpaceDN/>
        <w:adjustRightInd/>
        <w:spacing w:before="0"/>
        <w:textAlignment w:val="auto"/>
        <w:rPr>
          <w:sz w:val="18"/>
        </w:rPr>
      </w:pPr>
      <w:r w:rsidRPr="00513AF9">
        <w:br w:type="page"/>
      </w:r>
    </w:p>
    <w:p w14:paraId="6611B9A0" w14:textId="31C632D0" w:rsidR="00764895" w:rsidRPr="00513AF9" w:rsidRDefault="00764895" w:rsidP="00264D19">
      <w:r w:rsidRPr="00513AF9">
        <w:lastRenderedPageBreak/>
        <w:t>3)</w:t>
      </w:r>
      <w:r w:rsidR="00264D19" w:rsidRPr="00513AF9">
        <w:tab/>
      </w:r>
      <w:r w:rsidR="00A66D9E" w:rsidRPr="00513AF9">
        <w:t>Nombre de participants dans les trois groupes de pays, ventilé plus avant par participation véritablement à distance, sur place et sur place avec connexion à la plate-forme de conférence en ligne</w:t>
      </w:r>
    </w:p>
    <w:p w14:paraId="696D5AF4" w14:textId="0AB069B6" w:rsidR="005E3961" w:rsidRPr="00513AF9" w:rsidRDefault="005E3961" w:rsidP="00187840">
      <w:pPr>
        <w:tabs>
          <w:tab w:val="left" w:pos="4962"/>
        </w:tabs>
      </w:pPr>
      <w:r w:rsidRPr="00513AF9">
        <w:rPr>
          <w:noProof/>
        </w:rPr>
        <w:drawing>
          <wp:inline distT="0" distB="0" distL="0" distR="0" wp14:anchorId="7B82ADD2" wp14:editId="6880E206">
            <wp:extent cx="3144929" cy="2584174"/>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3457" cy="2607615"/>
                    </a:xfrm>
                    <a:prstGeom prst="rect">
                      <a:avLst/>
                    </a:prstGeom>
                    <a:noFill/>
                  </pic:spPr>
                </pic:pic>
              </a:graphicData>
            </a:graphic>
          </wp:inline>
        </w:drawing>
      </w:r>
    </w:p>
    <w:p w14:paraId="1A3F9A98" w14:textId="302074C1" w:rsidR="00764895" w:rsidRPr="00513AF9" w:rsidRDefault="00E537EB" w:rsidP="006C48A1">
      <w:r w:rsidRPr="00513AF9">
        <w:rPr>
          <w:noProof/>
        </w:rPr>
        <w:drawing>
          <wp:inline distT="0" distB="0" distL="0" distR="0" wp14:anchorId="62CBE5FE" wp14:editId="3A30F0DB">
            <wp:extent cx="3089715" cy="2869813"/>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1132" cy="2880417"/>
                    </a:xfrm>
                    <a:prstGeom prst="rect">
                      <a:avLst/>
                    </a:prstGeom>
                    <a:noFill/>
                  </pic:spPr>
                </pic:pic>
              </a:graphicData>
            </a:graphic>
          </wp:inline>
        </w:drawing>
      </w:r>
    </w:p>
    <w:p w14:paraId="6A776622" w14:textId="72F5C895" w:rsidR="005E3961" w:rsidRPr="00513AF9" w:rsidRDefault="005E3961" w:rsidP="00E537EB">
      <w:r w:rsidRPr="00513AF9">
        <w:rPr>
          <w:noProof/>
        </w:rPr>
        <w:drawing>
          <wp:inline distT="0" distB="0" distL="0" distR="0" wp14:anchorId="1230C135" wp14:editId="64F35072">
            <wp:extent cx="3136887" cy="234759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0351" cy="2357671"/>
                    </a:xfrm>
                    <a:prstGeom prst="rect">
                      <a:avLst/>
                    </a:prstGeom>
                    <a:noFill/>
                  </pic:spPr>
                </pic:pic>
              </a:graphicData>
            </a:graphic>
          </wp:inline>
        </w:drawing>
      </w:r>
    </w:p>
    <w:p w14:paraId="56D126DC" w14:textId="11C85205" w:rsidR="00797F6B" w:rsidRPr="00513AF9" w:rsidRDefault="005E3961" w:rsidP="006C48A1">
      <w:pPr>
        <w:jc w:val="center"/>
      </w:pPr>
      <w:r w:rsidRPr="00513AF9">
        <w:t>______________</w:t>
      </w:r>
    </w:p>
    <w:sectPr w:rsidR="00797F6B" w:rsidRPr="00513AF9" w:rsidSect="00D72F49">
      <w:headerReference w:type="even" r:id="rId17"/>
      <w:footerReference w:type="even" r:id="rId18"/>
      <w:footerReference w:type="default" r:id="rId19"/>
      <w:headerReference w:type="first" r:id="rId20"/>
      <w:footerReference w:type="first" r:id="rId2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D9386E" w:rsidRDefault="00D9386E">
      <w:r>
        <w:separator/>
      </w:r>
    </w:p>
  </w:endnote>
  <w:endnote w:type="continuationSeparator" w:id="0">
    <w:p w14:paraId="3D4797BD" w14:textId="77777777" w:rsidR="00D9386E" w:rsidRDefault="00D9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AA4C1B6" w:rsidR="00D9386E" w:rsidRDefault="00DB4932">
    <w:pPr>
      <w:pStyle w:val="Footer"/>
    </w:pPr>
    <w:r>
      <w:fldChar w:fldCharType="begin"/>
    </w:r>
    <w:r>
      <w:instrText xml:space="preserve"> FILENAME \p \* MERGEFORMAT </w:instrText>
    </w:r>
    <w:r>
      <w:fldChar w:fldCharType="separate"/>
    </w:r>
    <w:r w:rsidR="00187840">
      <w:t>P:\FRA\SG\CONSEIL\C23\000\054F.docx</w:t>
    </w:r>
    <w:r>
      <w:fldChar w:fldCharType="end"/>
    </w:r>
    <w:r w:rsidR="00D9386E">
      <w:tab/>
    </w:r>
    <w:r w:rsidR="00D9386E">
      <w:fldChar w:fldCharType="begin"/>
    </w:r>
    <w:r w:rsidR="00D9386E">
      <w:instrText xml:space="preserve"> savedate \@ dd.MM.yy </w:instrText>
    </w:r>
    <w:r w:rsidR="00D9386E">
      <w:fldChar w:fldCharType="separate"/>
    </w:r>
    <w:r>
      <w:t>14.06.23</w:t>
    </w:r>
    <w:r w:rsidR="00D9386E">
      <w:fldChar w:fldCharType="end"/>
    </w:r>
    <w:r w:rsidR="00D9386E">
      <w:tab/>
    </w:r>
    <w:r w:rsidR="00D9386E">
      <w:fldChar w:fldCharType="begin"/>
    </w:r>
    <w:r w:rsidR="00D9386E">
      <w:instrText xml:space="preserve"> printdate \@ dd.MM.yy </w:instrText>
    </w:r>
    <w:r w:rsidR="00D9386E">
      <w:fldChar w:fldCharType="separate"/>
    </w:r>
    <w:r w:rsidR="00187840">
      <w:t>18.07.00</w:t>
    </w:r>
    <w:r w:rsidR="00D938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9386E" w:rsidRPr="00784011" w14:paraId="4C87AA90" w14:textId="77777777" w:rsidTr="00D9386E">
      <w:trPr>
        <w:jc w:val="center"/>
      </w:trPr>
      <w:tc>
        <w:tcPr>
          <w:tcW w:w="1803" w:type="dxa"/>
          <w:vAlign w:val="center"/>
        </w:tcPr>
        <w:p w14:paraId="2C2E77A4" w14:textId="56E12DBA" w:rsidR="00D9386E" w:rsidRDefault="00D9386E" w:rsidP="00A51849">
          <w:pPr>
            <w:pStyle w:val="Header"/>
            <w:jc w:val="left"/>
            <w:rPr>
              <w:noProof/>
            </w:rPr>
          </w:pPr>
          <w:r>
            <w:rPr>
              <w:noProof/>
            </w:rPr>
            <w:t xml:space="preserve">DPS </w:t>
          </w:r>
          <w:r w:rsidRPr="00174013">
            <w:rPr>
              <w:noProof/>
            </w:rPr>
            <w:t>521088</w:t>
          </w:r>
        </w:p>
      </w:tc>
      <w:tc>
        <w:tcPr>
          <w:tcW w:w="8261" w:type="dxa"/>
        </w:tcPr>
        <w:p w14:paraId="0DB0A3C6" w14:textId="3EDEA5E4" w:rsidR="00D9386E" w:rsidRPr="00E06FD5" w:rsidRDefault="00D9386E"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54</w:t>
          </w:r>
          <w:r w:rsidRPr="00623AE3">
            <w:rPr>
              <w:bCs/>
            </w:rPr>
            <w:t>-</w:t>
          </w:r>
          <w:r>
            <w:rPr>
              <w:bCs/>
            </w:rPr>
            <w:t>F</w:t>
          </w:r>
          <w:r>
            <w:rPr>
              <w:bCs/>
            </w:rPr>
            <w:tab/>
          </w:r>
          <w:r>
            <w:fldChar w:fldCharType="begin"/>
          </w:r>
          <w:r>
            <w:instrText>PAGE</w:instrText>
          </w:r>
          <w:r>
            <w:fldChar w:fldCharType="separate"/>
          </w:r>
          <w:r w:rsidR="00351617">
            <w:rPr>
              <w:noProof/>
            </w:rPr>
            <w:t>15</w:t>
          </w:r>
          <w:r>
            <w:rPr>
              <w:noProof/>
            </w:rPr>
            <w:fldChar w:fldCharType="end"/>
          </w:r>
        </w:p>
      </w:tc>
    </w:tr>
  </w:tbl>
  <w:p w14:paraId="0BA722AB" w14:textId="6C4933AE" w:rsidR="00D9386E" w:rsidRPr="00A51849" w:rsidRDefault="00DB4932" w:rsidP="00174013">
    <w:pPr>
      <w:pStyle w:val="Footer"/>
    </w:pPr>
    <w:r w:rsidRPr="00DB4932">
      <w:rPr>
        <w:color w:val="F2F2F2" w:themeColor="background1" w:themeShade="F2"/>
      </w:rPr>
      <w:fldChar w:fldCharType="begin"/>
    </w:r>
    <w:r w:rsidRPr="00DB4932">
      <w:rPr>
        <w:color w:val="F2F2F2" w:themeColor="background1" w:themeShade="F2"/>
      </w:rPr>
      <w:instrText xml:space="preserve"> FILENAME \p  \* MERGEFORMAT </w:instrText>
    </w:r>
    <w:r w:rsidRPr="00DB4932">
      <w:rPr>
        <w:color w:val="F2F2F2" w:themeColor="background1" w:themeShade="F2"/>
      </w:rPr>
      <w:fldChar w:fldCharType="separate"/>
    </w:r>
    <w:r w:rsidR="00187840" w:rsidRPr="00DB4932">
      <w:rPr>
        <w:color w:val="F2F2F2" w:themeColor="background1" w:themeShade="F2"/>
      </w:rPr>
      <w:t>P:\FRA\SG\CONSEIL\C23\000\054F.docx</w:t>
    </w:r>
    <w:r w:rsidRPr="00DB4932">
      <w:rPr>
        <w:color w:val="F2F2F2" w:themeColor="background1" w:themeShade="F2"/>
      </w:rPr>
      <w:fldChar w:fldCharType="end"/>
    </w:r>
    <w:r w:rsidR="00D9386E" w:rsidRPr="00DB4932">
      <w:rPr>
        <w:color w:val="F2F2F2" w:themeColor="background1" w:themeShade="F2"/>
      </w:rPr>
      <w:t xml:space="preserve"> (521088)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9386E" w:rsidRPr="00784011" w14:paraId="5C9C0095" w14:textId="77777777" w:rsidTr="00D9386E">
      <w:trPr>
        <w:jc w:val="center"/>
      </w:trPr>
      <w:tc>
        <w:tcPr>
          <w:tcW w:w="1803" w:type="dxa"/>
          <w:vAlign w:val="center"/>
        </w:tcPr>
        <w:p w14:paraId="5151DAA0" w14:textId="77777777" w:rsidR="00D9386E" w:rsidRDefault="00DB4932" w:rsidP="00A51849">
          <w:pPr>
            <w:pStyle w:val="Header"/>
            <w:jc w:val="left"/>
            <w:rPr>
              <w:noProof/>
            </w:rPr>
          </w:pPr>
          <w:hyperlink r:id="rId1" w:history="1">
            <w:r w:rsidR="00D9386E" w:rsidRPr="00A514A4">
              <w:rPr>
                <w:rStyle w:val="Hyperlink"/>
                <w:szCs w:val="14"/>
              </w:rPr>
              <w:t>www.itu.int/council</w:t>
            </w:r>
          </w:hyperlink>
        </w:p>
      </w:tc>
      <w:tc>
        <w:tcPr>
          <w:tcW w:w="8261" w:type="dxa"/>
        </w:tcPr>
        <w:p w14:paraId="4C3D0956" w14:textId="22B48EFC" w:rsidR="00D9386E" w:rsidRPr="00E06FD5" w:rsidRDefault="00D9386E"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54</w:t>
          </w:r>
          <w:r w:rsidRPr="00623AE3">
            <w:rPr>
              <w:bCs/>
            </w:rPr>
            <w:t>-</w:t>
          </w:r>
          <w:r>
            <w:rPr>
              <w:bCs/>
            </w:rPr>
            <w:t>F</w:t>
          </w:r>
          <w:r>
            <w:rPr>
              <w:bCs/>
            </w:rPr>
            <w:tab/>
          </w:r>
          <w:r>
            <w:fldChar w:fldCharType="begin"/>
          </w:r>
          <w:r>
            <w:instrText>PAGE</w:instrText>
          </w:r>
          <w:r>
            <w:fldChar w:fldCharType="separate"/>
          </w:r>
          <w:r w:rsidR="00F64553">
            <w:rPr>
              <w:noProof/>
            </w:rPr>
            <w:t>1</w:t>
          </w:r>
          <w:r>
            <w:rPr>
              <w:noProof/>
            </w:rPr>
            <w:fldChar w:fldCharType="end"/>
          </w:r>
        </w:p>
      </w:tc>
    </w:tr>
  </w:tbl>
  <w:p w14:paraId="67CF33E3" w14:textId="624C25BC" w:rsidR="00D9386E" w:rsidRPr="00A51849" w:rsidRDefault="00DB4932" w:rsidP="00174013">
    <w:pPr>
      <w:pStyle w:val="Footer"/>
    </w:pPr>
    <w:r w:rsidRPr="00DB4932">
      <w:rPr>
        <w:color w:val="F2F2F2" w:themeColor="background1" w:themeShade="F2"/>
      </w:rPr>
      <w:fldChar w:fldCharType="begin"/>
    </w:r>
    <w:r w:rsidRPr="00DB4932">
      <w:rPr>
        <w:color w:val="F2F2F2" w:themeColor="background1" w:themeShade="F2"/>
      </w:rPr>
      <w:instrText xml:space="preserve"> FILENAME \p  \* MERGEFORMAT </w:instrText>
    </w:r>
    <w:r w:rsidRPr="00DB4932">
      <w:rPr>
        <w:color w:val="F2F2F2" w:themeColor="background1" w:themeShade="F2"/>
      </w:rPr>
      <w:fldChar w:fldCharType="separate"/>
    </w:r>
    <w:r w:rsidR="00187840" w:rsidRPr="00DB4932">
      <w:rPr>
        <w:color w:val="F2F2F2" w:themeColor="background1" w:themeShade="F2"/>
      </w:rPr>
      <w:t>P:\FRA\SG\CONSEIL\C23\000\054F.docx</w:t>
    </w:r>
    <w:r w:rsidRPr="00DB4932">
      <w:rPr>
        <w:color w:val="F2F2F2" w:themeColor="background1" w:themeShade="F2"/>
      </w:rPr>
      <w:fldChar w:fldCharType="end"/>
    </w:r>
    <w:r w:rsidR="00D9386E" w:rsidRPr="00DB4932">
      <w:rPr>
        <w:color w:val="F2F2F2" w:themeColor="background1" w:themeShade="F2"/>
      </w:rPr>
      <w:t xml:space="preserve"> (521088)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D9386E" w:rsidRDefault="00D9386E">
      <w:r>
        <w:t>____________________</w:t>
      </w:r>
    </w:p>
  </w:footnote>
  <w:footnote w:type="continuationSeparator" w:id="0">
    <w:p w14:paraId="073173F3" w14:textId="77777777" w:rsidR="00D9386E" w:rsidRDefault="00D9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D9386E" w:rsidRDefault="00D9386E">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0E3D5AC" w14:textId="77777777" w:rsidR="00D9386E" w:rsidRDefault="00D9386E">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9386E" w:rsidRPr="00784011" w14:paraId="33F25067" w14:textId="77777777" w:rsidTr="00D9386E">
      <w:trPr>
        <w:trHeight w:val="1104"/>
        <w:jc w:val="center"/>
      </w:trPr>
      <w:tc>
        <w:tcPr>
          <w:tcW w:w="4390" w:type="dxa"/>
          <w:vAlign w:val="center"/>
        </w:tcPr>
        <w:p w14:paraId="113CB22E" w14:textId="77777777" w:rsidR="00D9386E" w:rsidRPr="009621F8" w:rsidRDefault="00D9386E" w:rsidP="00A51849">
          <w:pPr>
            <w:pStyle w:val="Header"/>
            <w:jc w:val="left"/>
            <w:rPr>
              <w:rFonts w:ascii="Arial" w:hAnsi="Arial" w:cs="Arial"/>
              <w:b/>
              <w:bCs/>
              <w:color w:val="009CD6"/>
              <w:sz w:val="36"/>
              <w:szCs w:val="36"/>
            </w:rPr>
          </w:pPr>
          <w:r>
            <w:rPr>
              <w:noProof/>
              <w:lang w:val="fr-CH" w:eastAsia="fr-CH"/>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D9386E" w:rsidRDefault="00D9386E" w:rsidP="00A51849">
          <w:pPr>
            <w:pStyle w:val="Header"/>
            <w:jc w:val="right"/>
            <w:rPr>
              <w:rFonts w:ascii="Arial" w:hAnsi="Arial" w:cs="Arial"/>
              <w:b/>
              <w:bCs/>
              <w:color w:val="009CD6"/>
              <w:szCs w:val="18"/>
            </w:rPr>
          </w:pPr>
        </w:p>
        <w:p w14:paraId="7F7AE11D" w14:textId="77777777" w:rsidR="00D9386E" w:rsidRDefault="00D9386E" w:rsidP="00A51849">
          <w:pPr>
            <w:pStyle w:val="Header"/>
            <w:jc w:val="right"/>
            <w:rPr>
              <w:rFonts w:ascii="Arial" w:hAnsi="Arial" w:cs="Arial"/>
              <w:b/>
              <w:bCs/>
              <w:color w:val="009CD6"/>
              <w:szCs w:val="18"/>
            </w:rPr>
          </w:pPr>
        </w:p>
        <w:p w14:paraId="281B21F4" w14:textId="77777777" w:rsidR="00D9386E" w:rsidRPr="00784011" w:rsidRDefault="00D9386E"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D9386E" w:rsidRDefault="00D9386E">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8E0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C06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3C6D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9A30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72B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CAF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C67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EE3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051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E8ADE2"/>
    <w:lvl w:ilvl="0">
      <w:start w:val="1"/>
      <w:numFmt w:val="bullet"/>
      <w:lvlText w:val=""/>
      <w:lvlJc w:val="left"/>
      <w:pPr>
        <w:tabs>
          <w:tab w:val="num" w:pos="360"/>
        </w:tabs>
        <w:ind w:left="360" w:hanging="360"/>
      </w:pPr>
      <w:rPr>
        <w:rFonts w:ascii="Symbol" w:hAnsi="Symbol" w:hint="default"/>
      </w:rPr>
    </w:lvl>
  </w:abstractNum>
  <w:num w:numId="1" w16cid:durableId="700857132">
    <w:abstractNumId w:val="9"/>
  </w:num>
  <w:num w:numId="2" w16cid:durableId="1290430338">
    <w:abstractNumId w:val="7"/>
  </w:num>
  <w:num w:numId="3" w16cid:durableId="602304805">
    <w:abstractNumId w:val="6"/>
  </w:num>
  <w:num w:numId="4" w16cid:durableId="1348555938">
    <w:abstractNumId w:val="5"/>
  </w:num>
  <w:num w:numId="5" w16cid:durableId="1807552510">
    <w:abstractNumId w:val="4"/>
  </w:num>
  <w:num w:numId="6" w16cid:durableId="670983307">
    <w:abstractNumId w:val="8"/>
  </w:num>
  <w:num w:numId="7" w16cid:durableId="1499269937">
    <w:abstractNumId w:val="3"/>
  </w:num>
  <w:num w:numId="8" w16cid:durableId="1377462738">
    <w:abstractNumId w:val="2"/>
  </w:num>
  <w:num w:numId="9" w16cid:durableId="584651500">
    <w:abstractNumId w:val="1"/>
  </w:num>
  <w:num w:numId="10" w16cid:durableId="2085952534">
    <w:abstractNumId w:val="0"/>
  </w:num>
  <w:num w:numId="11" w16cid:durableId="1379091969">
    <w:abstractNumId w:val="9"/>
  </w:num>
  <w:num w:numId="12" w16cid:durableId="1819111378">
    <w:abstractNumId w:val="7"/>
  </w:num>
  <w:num w:numId="13" w16cid:durableId="253633097">
    <w:abstractNumId w:val="6"/>
  </w:num>
  <w:num w:numId="14" w16cid:durableId="1306816190">
    <w:abstractNumId w:val="5"/>
  </w:num>
  <w:num w:numId="15" w16cid:durableId="992296292">
    <w:abstractNumId w:val="4"/>
  </w:num>
  <w:num w:numId="16" w16cid:durableId="1456295758">
    <w:abstractNumId w:val="8"/>
  </w:num>
  <w:num w:numId="17" w16cid:durableId="927889847">
    <w:abstractNumId w:val="3"/>
  </w:num>
  <w:num w:numId="18" w16cid:durableId="1668434252">
    <w:abstractNumId w:val="2"/>
  </w:num>
  <w:num w:numId="19" w16cid:durableId="1480076588">
    <w:abstractNumId w:val="1"/>
  </w:num>
  <w:num w:numId="20" w16cid:durableId="131645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76A2C"/>
    <w:rsid w:val="00086B94"/>
    <w:rsid w:val="000A4CE0"/>
    <w:rsid w:val="000D0D0A"/>
    <w:rsid w:val="000F64E6"/>
    <w:rsid w:val="00103163"/>
    <w:rsid w:val="00106B19"/>
    <w:rsid w:val="00115D93"/>
    <w:rsid w:val="001247A8"/>
    <w:rsid w:val="001378C0"/>
    <w:rsid w:val="00155AAE"/>
    <w:rsid w:val="00174013"/>
    <w:rsid w:val="0018694A"/>
    <w:rsid w:val="00187840"/>
    <w:rsid w:val="00192B6E"/>
    <w:rsid w:val="001A3287"/>
    <w:rsid w:val="001A6508"/>
    <w:rsid w:val="001D4C31"/>
    <w:rsid w:val="001E4D21"/>
    <w:rsid w:val="0020052A"/>
    <w:rsid w:val="00207CD1"/>
    <w:rsid w:val="00226436"/>
    <w:rsid w:val="00226657"/>
    <w:rsid w:val="00243E6A"/>
    <w:rsid w:val="002477A2"/>
    <w:rsid w:val="002620FF"/>
    <w:rsid w:val="00263A51"/>
    <w:rsid w:val="00264D19"/>
    <w:rsid w:val="00267E02"/>
    <w:rsid w:val="002A5D44"/>
    <w:rsid w:val="002E0BC4"/>
    <w:rsid w:val="002F1B76"/>
    <w:rsid w:val="0033568E"/>
    <w:rsid w:val="00351617"/>
    <w:rsid w:val="00355FF5"/>
    <w:rsid w:val="00361350"/>
    <w:rsid w:val="003B711A"/>
    <w:rsid w:val="003C3FAE"/>
    <w:rsid w:val="003D1EE5"/>
    <w:rsid w:val="003E3B13"/>
    <w:rsid w:val="004038CB"/>
    <w:rsid w:val="0040546F"/>
    <w:rsid w:val="0042404A"/>
    <w:rsid w:val="0044618F"/>
    <w:rsid w:val="0046769A"/>
    <w:rsid w:val="00475FB3"/>
    <w:rsid w:val="00485567"/>
    <w:rsid w:val="004C37A9"/>
    <w:rsid w:val="004D1D50"/>
    <w:rsid w:val="004F259E"/>
    <w:rsid w:val="005044EB"/>
    <w:rsid w:val="00511F1D"/>
    <w:rsid w:val="00513AF9"/>
    <w:rsid w:val="00520F36"/>
    <w:rsid w:val="00534E13"/>
    <w:rsid w:val="00540615"/>
    <w:rsid w:val="00540A6D"/>
    <w:rsid w:val="00566679"/>
    <w:rsid w:val="00571EEA"/>
    <w:rsid w:val="00575417"/>
    <w:rsid w:val="005768E1"/>
    <w:rsid w:val="005B1938"/>
    <w:rsid w:val="005C3890"/>
    <w:rsid w:val="005E3961"/>
    <w:rsid w:val="005E633D"/>
    <w:rsid w:val="005F7BFE"/>
    <w:rsid w:val="00600017"/>
    <w:rsid w:val="006235CA"/>
    <w:rsid w:val="00652562"/>
    <w:rsid w:val="006643AB"/>
    <w:rsid w:val="00696603"/>
    <w:rsid w:val="006B6FB5"/>
    <w:rsid w:val="006C48A1"/>
    <w:rsid w:val="006F0A53"/>
    <w:rsid w:val="007002A0"/>
    <w:rsid w:val="007210CD"/>
    <w:rsid w:val="00731D4C"/>
    <w:rsid w:val="00732045"/>
    <w:rsid w:val="007369DB"/>
    <w:rsid w:val="00764895"/>
    <w:rsid w:val="007956C2"/>
    <w:rsid w:val="00797F6B"/>
    <w:rsid w:val="007A187E"/>
    <w:rsid w:val="007A31E3"/>
    <w:rsid w:val="007C72C2"/>
    <w:rsid w:val="007D4436"/>
    <w:rsid w:val="007F257A"/>
    <w:rsid w:val="007F3665"/>
    <w:rsid w:val="00800037"/>
    <w:rsid w:val="0083391C"/>
    <w:rsid w:val="00861D73"/>
    <w:rsid w:val="00882132"/>
    <w:rsid w:val="00897553"/>
    <w:rsid w:val="008A4E87"/>
    <w:rsid w:val="008D76E6"/>
    <w:rsid w:val="0092392D"/>
    <w:rsid w:val="0093234A"/>
    <w:rsid w:val="009468DA"/>
    <w:rsid w:val="00956A78"/>
    <w:rsid w:val="00973340"/>
    <w:rsid w:val="0097363B"/>
    <w:rsid w:val="00973F53"/>
    <w:rsid w:val="00996741"/>
    <w:rsid w:val="009C01E9"/>
    <w:rsid w:val="009C307F"/>
    <w:rsid w:val="009C353C"/>
    <w:rsid w:val="00A2113E"/>
    <w:rsid w:val="00A23A51"/>
    <w:rsid w:val="00A24607"/>
    <w:rsid w:val="00A25CD3"/>
    <w:rsid w:val="00A51849"/>
    <w:rsid w:val="00A66D9E"/>
    <w:rsid w:val="00A709FE"/>
    <w:rsid w:val="00A73C60"/>
    <w:rsid w:val="00A82767"/>
    <w:rsid w:val="00A86330"/>
    <w:rsid w:val="00AA332F"/>
    <w:rsid w:val="00AA7BBB"/>
    <w:rsid w:val="00AB64A8"/>
    <w:rsid w:val="00AC0266"/>
    <w:rsid w:val="00AD24EC"/>
    <w:rsid w:val="00B00E28"/>
    <w:rsid w:val="00B2222D"/>
    <w:rsid w:val="00B309F9"/>
    <w:rsid w:val="00B32B60"/>
    <w:rsid w:val="00B61619"/>
    <w:rsid w:val="00BB4545"/>
    <w:rsid w:val="00BD421A"/>
    <w:rsid w:val="00BD5873"/>
    <w:rsid w:val="00BF667E"/>
    <w:rsid w:val="00C04BE3"/>
    <w:rsid w:val="00C25D29"/>
    <w:rsid w:val="00C27A7C"/>
    <w:rsid w:val="00C42437"/>
    <w:rsid w:val="00CA08ED"/>
    <w:rsid w:val="00CE1B4F"/>
    <w:rsid w:val="00CF183B"/>
    <w:rsid w:val="00D375CD"/>
    <w:rsid w:val="00D37A7C"/>
    <w:rsid w:val="00D545AB"/>
    <w:rsid w:val="00D553A2"/>
    <w:rsid w:val="00D61A6C"/>
    <w:rsid w:val="00D72F49"/>
    <w:rsid w:val="00D774D3"/>
    <w:rsid w:val="00D904E8"/>
    <w:rsid w:val="00D9386E"/>
    <w:rsid w:val="00DA08C3"/>
    <w:rsid w:val="00DB4932"/>
    <w:rsid w:val="00DB5A3E"/>
    <w:rsid w:val="00DC22AA"/>
    <w:rsid w:val="00DF74DD"/>
    <w:rsid w:val="00E25AD0"/>
    <w:rsid w:val="00E354DB"/>
    <w:rsid w:val="00E4428F"/>
    <w:rsid w:val="00E537EB"/>
    <w:rsid w:val="00E93668"/>
    <w:rsid w:val="00E95647"/>
    <w:rsid w:val="00EB6350"/>
    <w:rsid w:val="00F0013B"/>
    <w:rsid w:val="00F15B57"/>
    <w:rsid w:val="00F35EF4"/>
    <w:rsid w:val="00F37FE5"/>
    <w:rsid w:val="00F409AE"/>
    <w:rsid w:val="00F427DB"/>
    <w:rsid w:val="00F64553"/>
    <w:rsid w:val="00FA3C3D"/>
    <w:rsid w:val="00FA5EB1"/>
    <w:rsid w:val="00FA7439"/>
    <w:rsid w:val="00FC4EC0"/>
    <w:rsid w:val="00FE07D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E354DB"/>
    <w:rPr>
      <w:color w:val="605E5C"/>
      <w:shd w:val="clear" w:color="auto" w:fill="E1DFDD"/>
    </w:rPr>
  </w:style>
  <w:style w:type="character" w:customStyle="1" w:styleId="cf01">
    <w:name w:val="cf01"/>
    <w:basedOn w:val="DefaultParagraphFont"/>
    <w:rsid w:val="007648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64/fr"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itu.int/md/S22-PP-C-0064/fr"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PP-C-0064/fr"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unsceb.org/virtual-events-interpretatio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Documents/basic-texts-2023/RES-167-F.pdf"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2377</Words>
  <Characters>13534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15880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sur la mise en œuvre de la Résolution 167 (Rév. Bucarest, 2022) de la Conférence de Plénipotentiaires</dc:title>
  <dc:subject>Conseil 2023</dc:subject>
  <dc:creator>Xue, Kun</dc:creator>
  <cp:keywords>C2023, C23, Council-23</cp:keywords>
  <dc:description/>
  <cp:lastModifiedBy>Xue, Kun</cp:lastModifiedBy>
  <cp:revision>2</cp:revision>
  <cp:lastPrinted>2000-07-18T08:55:00Z</cp:lastPrinted>
  <dcterms:created xsi:type="dcterms:W3CDTF">2023-06-15T07:00:00Z</dcterms:created>
  <dcterms:modified xsi:type="dcterms:W3CDTF">2023-06-15T07:00:00Z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