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40CA02D0"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256C3A">
              <w:rPr>
                <w:b/>
              </w:rPr>
              <w:t>ADM 2</w:t>
            </w:r>
          </w:p>
        </w:tc>
        <w:tc>
          <w:tcPr>
            <w:tcW w:w="5245" w:type="dxa"/>
          </w:tcPr>
          <w:p w14:paraId="2F0CB53A" w14:textId="2868F859" w:rsidR="00AD3606" w:rsidRPr="00E85629" w:rsidRDefault="00AD3606" w:rsidP="00F05307">
            <w:pPr>
              <w:tabs>
                <w:tab w:val="left" w:pos="851"/>
              </w:tabs>
              <w:spacing w:before="0" w:after="0" w:line="240" w:lineRule="atLeast"/>
              <w:jc w:val="right"/>
              <w:rPr>
                <w:b/>
              </w:rPr>
            </w:pPr>
            <w:r>
              <w:rPr>
                <w:b/>
              </w:rPr>
              <w:t>Document C23/</w:t>
            </w:r>
            <w:r w:rsidR="00256C3A">
              <w:rPr>
                <w:b/>
              </w:rPr>
              <w:t>53</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F945FFC" w:rsidR="00AD3606" w:rsidRPr="00E85629" w:rsidRDefault="008716A0" w:rsidP="00F05307">
            <w:pPr>
              <w:tabs>
                <w:tab w:val="left" w:pos="851"/>
              </w:tabs>
              <w:spacing w:before="0" w:after="0"/>
              <w:jc w:val="right"/>
              <w:rPr>
                <w:b/>
              </w:rPr>
            </w:pPr>
            <w:r>
              <w:rPr>
                <w:b/>
              </w:rPr>
              <w:t>12</w:t>
            </w:r>
            <w:r>
              <w:rPr>
                <w:b/>
              </w:rPr>
              <w:t xml:space="preserve"> </w:t>
            </w:r>
            <w:r w:rsidR="00256C3A">
              <w:rPr>
                <w:b/>
              </w:rPr>
              <w:t>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F05307">
            <w:pPr>
              <w:tabs>
                <w:tab w:val="left" w:pos="851"/>
              </w:tabs>
              <w:spacing w:before="0" w:after="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27816E7A" w:rsidR="00AD3606" w:rsidRPr="00813E5E" w:rsidRDefault="00256C3A" w:rsidP="00DF0189">
            <w:pPr>
              <w:pStyle w:val="Subtitle"/>
              <w:framePr w:hSpace="0" w:wrap="auto" w:hAnchor="text" w:xAlign="left" w:yAlign="inline"/>
            </w:pPr>
            <w:bookmarkStart w:id="5" w:name="dtitle1" w:colFirst="0" w:colLast="0"/>
            <w:bookmarkEnd w:id="4"/>
            <w:r w:rsidRPr="00985E20">
              <w:t>PROPOSAL FOR THE CREATION OF AN OVERSIGHT UNIT</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2B7817F0" w:rsidR="00AD3606" w:rsidRPr="00F16BAB" w:rsidRDefault="00F16BAB" w:rsidP="00F16BAB">
            <w:pPr>
              <w:spacing w:before="160"/>
              <w:rPr>
                <w:b/>
                <w:bCs/>
                <w:sz w:val="26"/>
                <w:szCs w:val="26"/>
              </w:rPr>
            </w:pPr>
            <w:r w:rsidRPr="00F16BAB">
              <w:rPr>
                <w:b/>
                <w:bCs/>
                <w:sz w:val="26"/>
                <w:szCs w:val="26"/>
              </w:rPr>
              <w:t xml:space="preserve">Purpose </w:t>
            </w:r>
          </w:p>
          <w:p w14:paraId="01EEEAC5" w14:textId="49AA9767" w:rsidR="00AD3606" w:rsidRPr="00813E5E" w:rsidRDefault="006B742C" w:rsidP="00F16BAB">
            <w:r>
              <w:t>P</w:t>
            </w:r>
            <w:r w:rsidRPr="006B742C">
              <w:t>rovid</w:t>
            </w:r>
            <w:r>
              <w:t>e</w:t>
            </w:r>
            <w:r w:rsidRPr="006B742C">
              <w:t xml:space="preserve"> the organization with an effective system of risk-based, independent, and objective internal oversight and evaluation</w:t>
            </w:r>
            <w:r>
              <w:t>.</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714C5BDC" w:rsidR="00AD3606" w:rsidRPr="00484009" w:rsidRDefault="000D1FE7" w:rsidP="00AD3606">
            <w:r w:rsidRPr="000D1FE7">
              <w:t xml:space="preserve">The Council is requested </w:t>
            </w:r>
            <w:r w:rsidRPr="007501AF">
              <w:t>to</w:t>
            </w:r>
            <w:r w:rsidRPr="000D1FE7">
              <w:rPr>
                <w:b/>
                <w:bCs/>
              </w:rPr>
              <w:t xml:space="preserve"> </w:t>
            </w:r>
            <w:r w:rsidR="00A05A85">
              <w:rPr>
                <w:b/>
                <w:bCs/>
              </w:rPr>
              <w:t xml:space="preserve">take </w:t>
            </w:r>
            <w:r w:rsidRPr="000D1FE7">
              <w:rPr>
                <w:b/>
                <w:bCs/>
              </w:rPr>
              <w:t>note</w:t>
            </w:r>
            <w:r w:rsidRPr="000D1FE7">
              <w:t xml:space="preserve"> </w:t>
            </w:r>
            <w:r w:rsidR="00A05A85">
              <w:t xml:space="preserve">of </w:t>
            </w:r>
            <w:r w:rsidRPr="000D1FE7">
              <w:t xml:space="preserve">the proposal to create an Oversight Unit and </w:t>
            </w:r>
            <w:r w:rsidRPr="007501AF">
              <w:t>to</w:t>
            </w:r>
            <w:r w:rsidRPr="000D1FE7">
              <w:rPr>
                <w:b/>
                <w:bCs/>
              </w:rPr>
              <w:t xml:space="preserve"> approve</w:t>
            </w:r>
            <w:r w:rsidRPr="000D1FE7">
              <w:t xml:space="preserve"> the creation of a Chief of Oversight position at the D-1 level.</w:t>
            </w:r>
          </w:p>
          <w:p w14:paraId="71511FA1" w14:textId="1F544385" w:rsidR="00F16BAB" w:rsidRDefault="00F16BAB" w:rsidP="00F16BAB">
            <w:pPr>
              <w:spacing w:before="160"/>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503749D7" w14:textId="7A47808E" w:rsidR="00F16BAB" w:rsidRPr="00F16BAB" w:rsidRDefault="000D1FE7" w:rsidP="00F16BAB">
            <w:r>
              <w:t>Human resources excellence and organizational innovation</w:t>
            </w:r>
          </w:p>
          <w:p w14:paraId="29B98C65" w14:textId="77777777" w:rsidR="00256C3A" w:rsidRPr="00903D8B" w:rsidRDefault="00F16BAB" w:rsidP="00F16BAB">
            <w:pPr>
              <w:spacing w:before="160"/>
              <w:rPr>
                <w:b/>
                <w:bCs/>
                <w:sz w:val="26"/>
                <w:szCs w:val="26"/>
                <w:lang w:val="fr-FR"/>
              </w:rPr>
            </w:pPr>
            <w:r w:rsidRPr="00903D8B">
              <w:rPr>
                <w:b/>
                <w:bCs/>
                <w:sz w:val="26"/>
                <w:szCs w:val="26"/>
                <w:lang w:val="fr-FR"/>
              </w:rPr>
              <w:t>Financial implications</w:t>
            </w:r>
          </w:p>
          <w:p w14:paraId="74189BBD" w14:textId="2B9A599C" w:rsidR="00F16BAB" w:rsidRPr="00903D8B" w:rsidRDefault="00256C3A" w:rsidP="00F16BAB">
            <w:pPr>
              <w:spacing w:before="160"/>
              <w:rPr>
                <w:sz w:val="26"/>
                <w:szCs w:val="26"/>
                <w:lang w:val="fr-FR"/>
              </w:rPr>
            </w:pPr>
            <w:r w:rsidRPr="00903D8B">
              <w:rPr>
                <w:sz w:val="26"/>
                <w:szCs w:val="26"/>
                <w:lang w:val="fr-FR"/>
              </w:rPr>
              <w:t>N</w:t>
            </w:r>
            <w:r w:rsidR="001B5B6B" w:rsidRPr="00903D8B">
              <w:rPr>
                <w:sz w:val="26"/>
                <w:szCs w:val="26"/>
                <w:lang w:val="fr-FR"/>
              </w:rPr>
              <w:t>one</w:t>
            </w:r>
          </w:p>
          <w:p w14:paraId="6F1B8B4E" w14:textId="77777777" w:rsidR="00AD3606" w:rsidRPr="00903D8B" w:rsidRDefault="00AD3606" w:rsidP="00F16BAB">
            <w:pPr>
              <w:spacing w:before="160"/>
              <w:rPr>
                <w:caps/>
                <w:sz w:val="22"/>
                <w:lang w:val="fr-FR"/>
              </w:rPr>
            </w:pPr>
            <w:r w:rsidRPr="00903D8B">
              <w:rPr>
                <w:sz w:val="22"/>
                <w:lang w:val="fr-FR"/>
              </w:rPr>
              <w:t>__________________</w:t>
            </w:r>
          </w:p>
          <w:p w14:paraId="0EBC340A" w14:textId="77777777" w:rsidR="00AD3606" w:rsidRPr="00903D8B" w:rsidRDefault="00AD3606" w:rsidP="00F16BAB">
            <w:pPr>
              <w:spacing w:before="160"/>
              <w:rPr>
                <w:b/>
                <w:bCs/>
                <w:sz w:val="26"/>
                <w:szCs w:val="26"/>
                <w:lang w:val="fr-FR"/>
              </w:rPr>
            </w:pPr>
            <w:proofErr w:type="spellStart"/>
            <w:r w:rsidRPr="00903D8B">
              <w:rPr>
                <w:b/>
                <w:bCs/>
                <w:sz w:val="26"/>
                <w:szCs w:val="26"/>
                <w:lang w:val="fr-FR"/>
              </w:rPr>
              <w:t>References</w:t>
            </w:r>
            <w:proofErr w:type="spellEnd"/>
          </w:p>
          <w:p w14:paraId="3AE86EF3" w14:textId="0562D880" w:rsidR="00416E41" w:rsidRPr="00903D8B" w:rsidRDefault="00416E41" w:rsidP="00F05307">
            <w:pPr>
              <w:jc w:val="left"/>
              <w:rPr>
                <w:lang w:val="fr-FR"/>
              </w:rPr>
            </w:pPr>
            <w:r w:rsidRPr="00903D8B">
              <w:rPr>
                <w:lang w:val="fr-FR"/>
              </w:rPr>
              <w:t xml:space="preserve">IMAC </w:t>
            </w:r>
            <w:proofErr w:type="spellStart"/>
            <w:proofErr w:type="gramStart"/>
            <w:r w:rsidRPr="00903D8B">
              <w:rPr>
                <w:lang w:val="fr-FR"/>
              </w:rPr>
              <w:t>Re</w:t>
            </w:r>
            <w:r w:rsidR="00A817F9" w:rsidRPr="00903D8B">
              <w:rPr>
                <w:lang w:val="fr-FR"/>
              </w:rPr>
              <w:t>commendations</w:t>
            </w:r>
            <w:proofErr w:type="spellEnd"/>
            <w:r w:rsidRPr="00903D8B">
              <w:rPr>
                <w:lang w:val="fr-FR"/>
              </w:rPr>
              <w:t>:</w:t>
            </w:r>
            <w:proofErr w:type="gramEnd"/>
            <w:r w:rsidR="003F0293" w:rsidRPr="00903D8B">
              <w:rPr>
                <w:lang w:val="fr-FR"/>
              </w:rPr>
              <w:t xml:space="preserve"> </w:t>
            </w:r>
            <w:r w:rsidR="007B5CCC" w:rsidRPr="00903D8B">
              <w:rPr>
                <w:lang w:val="fr-FR"/>
              </w:rPr>
              <w:t>2022/4, 2022/5 (</w:t>
            </w:r>
            <w:r w:rsidR="00256C3A" w:rsidRPr="00903D8B">
              <w:rPr>
                <w:lang w:val="fr-FR"/>
              </w:rPr>
              <w:t xml:space="preserve">Document </w:t>
            </w:r>
            <w:hyperlink r:id="rId11" w:history="1">
              <w:r w:rsidR="007B5CCC" w:rsidRPr="00903D8B">
                <w:rPr>
                  <w:rStyle w:val="Hyperlink"/>
                  <w:lang w:val="fr-FR"/>
                </w:rPr>
                <w:t>C22/22</w:t>
              </w:r>
            </w:hyperlink>
            <w:r w:rsidR="007B5CCC" w:rsidRPr="00903D8B">
              <w:rPr>
                <w:lang w:val="fr-FR"/>
              </w:rPr>
              <w:t>)</w:t>
            </w:r>
          </w:p>
          <w:p w14:paraId="6F8A3935" w14:textId="2E1B20AD" w:rsidR="0087373F" w:rsidRDefault="00931673" w:rsidP="00931673">
            <w:pPr>
              <w:jc w:val="left"/>
            </w:pPr>
            <w:r>
              <w:t>Joint Inspection Unit r</w:t>
            </w:r>
            <w:r w:rsidR="00CF4BBB">
              <w:t>eports:</w:t>
            </w:r>
            <w:r w:rsidR="003029B7">
              <w:br/>
            </w:r>
            <w:hyperlink r:id="rId12" w:history="1">
              <w:r w:rsidR="00293A3E" w:rsidRPr="00293A3E">
                <w:rPr>
                  <w:rStyle w:val="Hyperlink"/>
                </w:rPr>
                <w:t>JIU/REP/2020/1</w:t>
              </w:r>
            </w:hyperlink>
            <w:r w:rsidR="007F0EB6">
              <w:t xml:space="preserve"> </w:t>
            </w:r>
            <w:r w:rsidR="000A035D">
              <w:t xml:space="preserve">- </w:t>
            </w:r>
            <w:r w:rsidR="00FC47D4">
              <w:t>Review of the state of the investigation functio</w:t>
            </w:r>
            <w:r w:rsidR="0087373F">
              <w:t>n</w:t>
            </w:r>
            <w:r>
              <w:t>: progress made in the United Nations system organizations in strengthening the investigation function</w:t>
            </w:r>
            <w:r w:rsidR="003029B7">
              <w:br/>
            </w:r>
            <w:hyperlink r:id="rId13" w:history="1">
              <w:r w:rsidR="00FC47D4" w:rsidRPr="009D57EA">
                <w:rPr>
                  <w:rStyle w:val="Hyperlink"/>
                </w:rPr>
                <w:t>JIU/REP/2014</w:t>
              </w:r>
              <w:r w:rsidR="009D57EA" w:rsidRPr="009D57EA">
                <w:rPr>
                  <w:rStyle w:val="Hyperlink"/>
                </w:rPr>
                <w:t>/6</w:t>
              </w:r>
            </w:hyperlink>
            <w:r w:rsidR="000A035D">
              <w:t xml:space="preserve"> </w:t>
            </w:r>
            <w:r w:rsidR="00507C9E">
              <w:t xml:space="preserve">- </w:t>
            </w:r>
            <w:r w:rsidR="000A035D" w:rsidRPr="000A035D">
              <w:t>Analysis of the evaluation function in the United Nations system</w:t>
            </w:r>
            <w:r w:rsidR="009D57EA">
              <w:t xml:space="preserve"> </w:t>
            </w:r>
            <w:hyperlink r:id="rId14" w:history="1">
              <w:r w:rsidR="003B3D33" w:rsidRPr="003029B7">
                <w:rPr>
                  <w:rStyle w:val="Hyperlink"/>
                </w:rPr>
                <w:t>JIU/REP/2016/1</w:t>
              </w:r>
            </w:hyperlink>
            <w:r w:rsidR="00507C9E">
              <w:t xml:space="preserve"> - </w:t>
            </w:r>
            <w:r w:rsidR="003B3D33" w:rsidRPr="003B3D33">
              <w:t xml:space="preserve">Review of management and administration in the </w:t>
            </w:r>
            <w:r w:rsidR="005154D7">
              <w:t>International Telecommunication Union (</w:t>
            </w:r>
            <w:r w:rsidR="003B3D33" w:rsidRPr="003B3D33">
              <w:t>ITU</w:t>
            </w:r>
            <w:r w:rsidR="005154D7">
              <w:t>)</w:t>
            </w:r>
          </w:p>
          <w:p w14:paraId="65250B1E" w14:textId="03D3766B" w:rsidR="00992A12" w:rsidRDefault="00992A12" w:rsidP="00F05307">
            <w:pPr>
              <w:jc w:val="left"/>
            </w:pPr>
            <w:r>
              <w:t xml:space="preserve">ITU </w:t>
            </w:r>
            <w:r w:rsidR="003B131C">
              <w:t>a</w:t>
            </w:r>
            <w:r>
              <w:t xml:space="preserve">ccountability </w:t>
            </w:r>
            <w:r w:rsidR="003B131C">
              <w:t>f</w:t>
            </w:r>
            <w:r>
              <w:t>ramework (</w:t>
            </w:r>
            <w:r w:rsidR="00256C3A">
              <w:t xml:space="preserve">Document </w:t>
            </w:r>
            <w:hyperlink r:id="rId15" w:history="1">
              <w:r w:rsidRPr="00A817F9">
                <w:rPr>
                  <w:rStyle w:val="Hyperlink"/>
                </w:rPr>
                <w:t>C22/57</w:t>
              </w:r>
            </w:hyperlink>
            <w:r>
              <w:t>)</w:t>
            </w:r>
          </w:p>
        </w:tc>
      </w:tr>
      <w:bookmarkEnd w:id="5"/>
    </w:tbl>
    <w:p w14:paraId="7FE52F59" w14:textId="77777777" w:rsidR="0090147A" w:rsidRPr="00256C3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256C3A">
        <w:br w:type="page"/>
      </w:r>
    </w:p>
    <w:p w14:paraId="16566EB5" w14:textId="4819278B" w:rsidR="00A514A4" w:rsidRPr="00D175A0" w:rsidRDefault="00520D6C" w:rsidP="00256C3A">
      <w:pPr>
        <w:pStyle w:val="Heading2"/>
        <w:spacing w:before="240"/>
        <w:ind w:left="357" w:hanging="357"/>
      </w:pPr>
      <w:r w:rsidRPr="00D175A0">
        <w:lastRenderedPageBreak/>
        <w:t>Background and objectives</w:t>
      </w:r>
    </w:p>
    <w:p w14:paraId="10987E26" w14:textId="7E6C8556" w:rsidR="00A93339" w:rsidRDefault="00A93339" w:rsidP="00256C3A">
      <w:r>
        <w:t xml:space="preserve">ITU is committed to the highest standards of integrity among its staff members and other personnel </w:t>
      </w:r>
      <w:r w:rsidR="00A05A85">
        <w:t xml:space="preserve">and to </w:t>
      </w:r>
      <w:r>
        <w:t xml:space="preserve">transparency and accountability in its programmes and operations. In line with this objective, ITU is undertaking considerable efforts to strengthen its oversight function and capabilities, </w:t>
      </w:r>
      <w:r w:rsidR="00D060F3">
        <w:t xml:space="preserve">as part </w:t>
      </w:r>
      <w:r>
        <w:t xml:space="preserve">of a wide review aiming to reinforce controls and the efficiency of its </w:t>
      </w:r>
      <w:r w:rsidR="001F6DFF">
        <w:t>T</w:t>
      </w:r>
      <w:r>
        <w:t xml:space="preserve">hree </w:t>
      </w:r>
      <w:r w:rsidR="001F6DFF">
        <w:t>L</w:t>
      </w:r>
      <w:r>
        <w:t xml:space="preserve">ines </w:t>
      </w:r>
      <w:r w:rsidR="00A421AE">
        <w:t>M</w:t>
      </w:r>
      <w:r w:rsidR="001F6DFF">
        <w:t>odel</w:t>
      </w:r>
      <w:r w:rsidR="00967D6A">
        <w:rPr>
          <w:rStyle w:val="FootnoteReference"/>
        </w:rPr>
        <w:footnoteReference w:id="1"/>
      </w:r>
      <w:r>
        <w:t xml:space="preserve">. Accordingly, the ITU management is implementing a comprehensive plan to reinforce the accountability framework; </w:t>
      </w:r>
      <w:r w:rsidR="00876392">
        <w:t xml:space="preserve">reinforce </w:t>
      </w:r>
      <w:r>
        <w:t xml:space="preserve">monitoring and evaluation; improve internal controls and </w:t>
      </w:r>
      <w:r w:rsidR="006310E8">
        <w:t xml:space="preserve">correct </w:t>
      </w:r>
      <w:r>
        <w:t xml:space="preserve">related deficiencies; </w:t>
      </w:r>
      <w:r w:rsidR="00876392">
        <w:t xml:space="preserve">and </w:t>
      </w:r>
      <w:r>
        <w:t>revamp the risk management and compliance frameworks and functions</w:t>
      </w:r>
      <w:r w:rsidR="00876392">
        <w:t>.</w:t>
      </w:r>
    </w:p>
    <w:p w14:paraId="452C2656" w14:textId="61C6D844" w:rsidR="00A93339" w:rsidRDefault="00A93339" w:rsidP="00256C3A">
      <w:r>
        <w:t xml:space="preserve">As part of this comprehensive plan, and in line with the configuration of </w:t>
      </w:r>
      <w:proofErr w:type="gramStart"/>
      <w:r>
        <w:t xml:space="preserve">a </w:t>
      </w:r>
      <w:r w:rsidR="00D67D1B">
        <w:t xml:space="preserve">large </w:t>
      </w:r>
      <w:r>
        <w:t>number of</w:t>
      </w:r>
      <w:proofErr w:type="gramEnd"/>
      <w:r>
        <w:t xml:space="preserve"> United Nations organizations, ITU intends to create an Oversight Unit (OU) </w:t>
      </w:r>
      <w:r w:rsidR="00D67D1B">
        <w:t xml:space="preserve">that will be </w:t>
      </w:r>
      <w:r>
        <w:t xml:space="preserve">responsible for providing the organization with an effective system of risk-based, independent, and objective internal oversight and evaluation. The OU would </w:t>
      </w:r>
      <w:r w:rsidR="005A5302">
        <w:t xml:space="preserve">come into operation </w:t>
      </w:r>
      <w:r w:rsidR="00450FC9">
        <w:t xml:space="preserve">by </w:t>
      </w:r>
      <w:r>
        <w:t xml:space="preserve">bringing together the </w:t>
      </w:r>
      <w:r w:rsidR="00AD2BD2">
        <w:t>a</w:t>
      </w:r>
      <w:r>
        <w:t xml:space="preserve">udit and </w:t>
      </w:r>
      <w:r w:rsidR="00AD2BD2">
        <w:t>i</w:t>
      </w:r>
      <w:r>
        <w:t xml:space="preserve">nvestigations functions </w:t>
      </w:r>
      <w:r w:rsidR="007E2A4A">
        <w:t xml:space="preserve">within </w:t>
      </w:r>
      <w:r>
        <w:t>a single unit</w:t>
      </w:r>
      <w:r w:rsidR="007E2A4A">
        <w:t>,</w:t>
      </w:r>
      <w:r>
        <w:t xml:space="preserve"> with the addition of a new </w:t>
      </w:r>
      <w:r w:rsidR="007E2A4A">
        <w:t>e</w:t>
      </w:r>
      <w:r>
        <w:t>valuation function. The OU will be led by a Chief of Oversight who will provide leadership</w:t>
      </w:r>
      <w:r w:rsidR="007E2A4A">
        <w:t xml:space="preserve"> and</w:t>
      </w:r>
      <w:r>
        <w:t xml:space="preserve"> strategic direction</w:t>
      </w:r>
      <w:r w:rsidR="00AD5600">
        <w:t xml:space="preserve"> at the appropriate </w:t>
      </w:r>
      <w:r w:rsidR="00670BAC">
        <w:t xml:space="preserve">seniority </w:t>
      </w:r>
      <w:proofErr w:type="gramStart"/>
      <w:r w:rsidR="0095755D">
        <w:t>level</w:t>
      </w:r>
      <w:r w:rsidR="00AD5600">
        <w:t xml:space="preserve">, </w:t>
      </w:r>
      <w:r>
        <w:t>and</w:t>
      </w:r>
      <w:proofErr w:type="gramEnd"/>
      <w:r>
        <w:t xml:space="preserve"> </w:t>
      </w:r>
      <w:r w:rsidR="004833D5">
        <w:t xml:space="preserve">will </w:t>
      </w:r>
      <w:r>
        <w:t xml:space="preserve">ensure </w:t>
      </w:r>
      <w:r w:rsidR="00AD5600">
        <w:t xml:space="preserve">the </w:t>
      </w:r>
      <w:r>
        <w:t xml:space="preserve">quality of service. </w:t>
      </w:r>
    </w:p>
    <w:p w14:paraId="49C7835D" w14:textId="78D94165" w:rsidR="00A93339" w:rsidRDefault="00A93339" w:rsidP="00256C3A">
      <w:r>
        <w:t xml:space="preserve">Integrating these functions will strengthen the third line of </w:t>
      </w:r>
      <w:r w:rsidR="00523042">
        <w:t xml:space="preserve">the Three Lines Model </w:t>
      </w:r>
      <w:r>
        <w:t xml:space="preserve">by allowing for a more holistic view of </w:t>
      </w:r>
      <w:r w:rsidR="00B55375">
        <w:t xml:space="preserve">the </w:t>
      </w:r>
      <w:r>
        <w:t>organization's risk landscape. Audits help identify potential risks and vulnerabilities in internal controls, governance, and compliance</w:t>
      </w:r>
      <w:r w:rsidR="009C2F5B">
        <w:t>;</w:t>
      </w:r>
      <w:r>
        <w:t xml:space="preserve"> </w:t>
      </w:r>
      <w:r w:rsidR="009C2F5B">
        <w:t>i</w:t>
      </w:r>
      <w:r>
        <w:t>nvestigations address allegations of misconduct, fraud, or other violations</w:t>
      </w:r>
      <w:r w:rsidR="00AC2C6A">
        <w:t xml:space="preserve"> of the ITU internal regulatory framework</w:t>
      </w:r>
      <w:r w:rsidR="009C2F5B">
        <w:t>;</w:t>
      </w:r>
      <w:r>
        <w:t xml:space="preserve"> and </w:t>
      </w:r>
      <w:r w:rsidR="009C2F5B">
        <w:t>e</w:t>
      </w:r>
      <w:r>
        <w:t>valuation assess</w:t>
      </w:r>
      <w:r w:rsidR="006A4540">
        <w:t>es</w:t>
      </w:r>
      <w:r>
        <w:t xml:space="preserve"> the effectiveness and impact of program</w:t>
      </w:r>
      <w:r w:rsidR="00055787">
        <w:t>me</w:t>
      </w:r>
      <w:r>
        <w:t xml:space="preserve">s, policies, and interventions across the </w:t>
      </w:r>
      <w:r w:rsidR="00055787">
        <w:t>o</w:t>
      </w:r>
      <w:r>
        <w:t xml:space="preserve">rganization. </w:t>
      </w:r>
    </w:p>
    <w:p w14:paraId="30294312" w14:textId="69B6F1FB" w:rsidR="00A93339" w:rsidRPr="00D175A0" w:rsidRDefault="00A93339" w:rsidP="00256C3A">
      <w:r>
        <w:t xml:space="preserve">Having these functions </w:t>
      </w:r>
      <w:r w:rsidR="00523042">
        <w:t xml:space="preserve">within </w:t>
      </w:r>
      <w:r>
        <w:t xml:space="preserve">the same </w:t>
      </w:r>
      <w:r w:rsidR="003F4C38">
        <w:t>U</w:t>
      </w:r>
      <w:r>
        <w:t>nit</w:t>
      </w:r>
      <w:r w:rsidR="003D3491">
        <w:t xml:space="preserve">, but with clear and </w:t>
      </w:r>
      <w:r w:rsidR="002210BE">
        <w:t>separate responsibilities,</w:t>
      </w:r>
      <w:r>
        <w:t xml:space="preserve"> will contribute to a more robust risk management framework and will improve coordination, information sharing and communication between </w:t>
      </w:r>
      <w:r w:rsidR="00AC2C6A">
        <w:t xml:space="preserve">the respective </w:t>
      </w:r>
      <w:r>
        <w:t xml:space="preserve">teams </w:t>
      </w:r>
      <w:r w:rsidR="003F4C38">
        <w:t>that have</w:t>
      </w:r>
      <w:r w:rsidR="00AC2C6A">
        <w:t xml:space="preserve"> oversight responsibilities </w:t>
      </w:r>
      <w:r>
        <w:t xml:space="preserve">(while ensuring confidentiality for investigations). This will lead to more effective identification and resolution of </w:t>
      </w:r>
      <w:r w:rsidR="00AC2C6A">
        <w:t xml:space="preserve">systemic </w:t>
      </w:r>
      <w:r>
        <w:t xml:space="preserve">issues, increased </w:t>
      </w:r>
      <w:proofErr w:type="gramStart"/>
      <w:r>
        <w:t>efficiency</w:t>
      </w:r>
      <w:proofErr w:type="gramEnd"/>
      <w:r>
        <w:t xml:space="preserve"> and better-informed decision-making.</w:t>
      </w:r>
    </w:p>
    <w:p w14:paraId="4BDAE818" w14:textId="2DDF90F7" w:rsidR="00520D6C" w:rsidRPr="00D175A0" w:rsidRDefault="00D175A0" w:rsidP="00256C3A">
      <w:r w:rsidRPr="00D175A0">
        <w:t>This new Unit will enable an improvement of workload management and resource allocation</w:t>
      </w:r>
      <w:r w:rsidR="003408C0">
        <w:t>,</w:t>
      </w:r>
      <w:r w:rsidRPr="00D175A0">
        <w:t xml:space="preserve"> as it is expected that this configuration will allow for greater flexibility, </w:t>
      </w:r>
      <w:r w:rsidR="00D8160A">
        <w:t xml:space="preserve">with </w:t>
      </w:r>
      <w:r w:rsidRPr="00D175A0">
        <w:t>auditors may be able to support investigations and vice versa, depending on the specific needs of the organization at any given time.</w:t>
      </w:r>
      <w:r w:rsidR="001F6DFF">
        <w:t xml:space="preserve"> </w:t>
      </w:r>
      <w:r w:rsidR="001F6DFF" w:rsidRPr="00876392">
        <w:t xml:space="preserve">The Unit will act as a single point of contact to manage </w:t>
      </w:r>
      <w:r w:rsidR="008079CB">
        <w:t xml:space="preserve">interaction with </w:t>
      </w:r>
      <w:r w:rsidR="001F6DFF" w:rsidRPr="00876392">
        <w:t xml:space="preserve">three significant </w:t>
      </w:r>
      <w:r w:rsidR="0049791C">
        <w:t xml:space="preserve">professional networks </w:t>
      </w:r>
      <w:r w:rsidR="00255AE2">
        <w:t>in the United Nations system</w:t>
      </w:r>
      <w:r w:rsidR="001F6DFF" w:rsidRPr="00876392">
        <w:t>: (1)</w:t>
      </w:r>
      <w:r w:rsidR="008716A0">
        <w:t xml:space="preserve"> </w:t>
      </w:r>
      <w:r w:rsidR="001F6DFF" w:rsidRPr="00876392">
        <w:t xml:space="preserve">the </w:t>
      </w:r>
      <w:r w:rsidR="001F6DFF">
        <w:t>Representatives of Internal A</w:t>
      </w:r>
      <w:r w:rsidR="001F6DFF" w:rsidRPr="00876392">
        <w:t xml:space="preserve">udit </w:t>
      </w:r>
      <w:r w:rsidR="001F6DFF">
        <w:t xml:space="preserve">Services </w:t>
      </w:r>
      <w:r w:rsidR="001F6DFF" w:rsidRPr="00876392">
        <w:t xml:space="preserve">of </w:t>
      </w:r>
      <w:r w:rsidR="00720833">
        <w:t xml:space="preserve">the </w:t>
      </w:r>
      <w:r w:rsidR="001F6DFF" w:rsidRPr="00876392">
        <w:t xml:space="preserve">United Nations </w:t>
      </w:r>
      <w:r w:rsidR="002F797E">
        <w:t>s</w:t>
      </w:r>
      <w:r w:rsidR="001F6DFF" w:rsidRPr="00876392">
        <w:t>ystem organizations</w:t>
      </w:r>
      <w:r w:rsidR="00B904FC">
        <w:t xml:space="preserve"> (</w:t>
      </w:r>
      <w:r w:rsidR="00B904FC" w:rsidRPr="00B904FC">
        <w:t>UN-RIAS</w:t>
      </w:r>
      <w:r w:rsidR="00B904FC">
        <w:t>)</w:t>
      </w:r>
      <w:r w:rsidR="001F6DFF" w:rsidRPr="00876392">
        <w:t xml:space="preserve">; (2) </w:t>
      </w:r>
      <w:r w:rsidR="00015296">
        <w:t xml:space="preserve">the </w:t>
      </w:r>
      <w:r w:rsidR="00015296" w:rsidRPr="00015296">
        <w:t xml:space="preserve">United Nations </w:t>
      </w:r>
      <w:r w:rsidR="001F6DFF" w:rsidRPr="00876392">
        <w:t>Representatives of Investigati</w:t>
      </w:r>
      <w:r w:rsidR="009B6FC4">
        <w:t>ve Services</w:t>
      </w:r>
      <w:r w:rsidR="00B904FC">
        <w:t xml:space="preserve"> (</w:t>
      </w:r>
      <w:r w:rsidR="00B904FC" w:rsidRPr="00876392">
        <w:t>UN-RIS</w:t>
      </w:r>
      <w:r w:rsidR="00B904FC">
        <w:t>)</w:t>
      </w:r>
      <w:r w:rsidR="001F6DFF" w:rsidRPr="00876392">
        <w:t>; and (3)</w:t>
      </w:r>
      <w:r w:rsidR="008716A0">
        <w:t xml:space="preserve"> </w:t>
      </w:r>
      <w:r w:rsidR="001F6DFF" w:rsidRPr="00876392">
        <w:t>the United Nations Evaluation Group</w:t>
      </w:r>
      <w:r w:rsidR="00B904FC">
        <w:t xml:space="preserve"> (</w:t>
      </w:r>
      <w:r w:rsidR="00B904FC" w:rsidRPr="00876392">
        <w:t>UNEVAL</w:t>
      </w:r>
      <w:r w:rsidR="00B904FC">
        <w:t>)</w:t>
      </w:r>
      <w:r w:rsidR="001F6DFF" w:rsidRPr="00876392">
        <w:t>. This arrangement is expected to foster the advancement and exchange of oversight-related practices and experiences.</w:t>
      </w:r>
    </w:p>
    <w:p w14:paraId="5DABB16B" w14:textId="1975817E" w:rsidR="00D175A0" w:rsidRPr="00D175A0" w:rsidRDefault="00186C50" w:rsidP="00256C3A">
      <w:pPr>
        <w:pStyle w:val="Heading2"/>
        <w:spacing w:before="240"/>
        <w:ind w:left="357" w:hanging="357"/>
      </w:pPr>
      <w:r w:rsidRPr="00186C50">
        <w:lastRenderedPageBreak/>
        <w:t>Functions</w:t>
      </w:r>
      <w:r w:rsidR="00FB519A">
        <w:t xml:space="preserve"> and</w:t>
      </w:r>
      <w:r w:rsidRPr="00186C50">
        <w:t xml:space="preserve"> </w:t>
      </w:r>
      <w:r w:rsidR="00A17A2B">
        <w:t>r</w:t>
      </w:r>
      <w:r w:rsidRPr="00186C50">
        <w:t>esponsibilities of the Oversight Unit</w:t>
      </w:r>
    </w:p>
    <w:p w14:paraId="338210D1" w14:textId="4A24C6F0" w:rsidR="007F3A66" w:rsidRDefault="007F3A66" w:rsidP="00256C3A">
      <w:r>
        <w:t xml:space="preserve">The Oversight Unit (OU) will assist the Secretary-General of ITU in the </w:t>
      </w:r>
      <w:r w:rsidR="00C60EEE">
        <w:t xml:space="preserve">fulfilment of </w:t>
      </w:r>
      <w:r>
        <w:t xml:space="preserve">management oversight responsibilities. OU’s audit, investigation and evaluation activities </w:t>
      </w:r>
      <w:r w:rsidR="00506597">
        <w:t xml:space="preserve">will be </w:t>
      </w:r>
      <w:r>
        <w:t xml:space="preserve">governed by ITU’s Financial Regulations and </w:t>
      </w:r>
      <w:r w:rsidR="00AC2C6A">
        <w:t xml:space="preserve">Financial </w:t>
      </w:r>
      <w:r>
        <w:t xml:space="preserve">Rules and by a Charter of the </w:t>
      </w:r>
      <w:r w:rsidR="008838B8">
        <w:t>Oversight Unit</w:t>
      </w:r>
      <w:r>
        <w:t>, which will stipulate, inter alia, its mission, the scope of its work, responsibilities and authorit</w:t>
      </w:r>
      <w:r w:rsidR="00706E6C">
        <w:t>y</w:t>
      </w:r>
      <w:r>
        <w:t xml:space="preserve"> </w:t>
      </w:r>
      <w:r w:rsidR="00706E6C">
        <w:t xml:space="preserve">and </w:t>
      </w:r>
      <w:r>
        <w:t xml:space="preserve">the </w:t>
      </w:r>
      <w:r w:rsidR="00F874DC">
        <w:t>key principle of</w:t>
      </w:r>
      <w:r>
        <w:t xml:space="preserve"> independence of OU in </w:t>
      </w:r>
      <w:r w:rsidR="00523042">
        <w:t xml:space="preserve">fulfilling </w:t>
      </w:r>
      <w:r>
        <w:t>its duties.</w:t>
      </w:r>
    </w:p>
    <w:p w14:paraId="5F2470B4" w14:textId="16190DBB" w:rsidR="00520D6C" w:rsidRPr="00182C35" w:rsidRDefault="00DA063F" w:rsidP="00256C3A">
      <w:pPr>
        <w:rPr>
          <w:szCs w:val="24"/>
        </w:rPr>
      </w:pPr>
      <w:r>
        <w:rPr>
          <w:szCs w:val="24"/>
        </w:rPr>
        <w:t>I</w:t>
      </w:r>
      <w:r w:rsidR="007F3A66" w:rsidRPr="00182C35">
        <w:rPr>
          <w:szCs w:val="24"/>
        </w:rPr>
        <w:t xml:space="preserve">nternal oversight services cover </w:t>
      </w:r>
      <w:r w:rsidR="00AF1BE4">
        <w:rPr>
          <w:szCs w:val="24"/>
        </w:rPr>
        <w:t xml:space="preserve">all </w:t>
      </w:r>
      <w:r w:rsidR="007F3A66" w:rsidRPr="00182C35">
        <w:rPr>
          <w:szCs w:val="24"/>
        </w:rPr>
        <w:t xml:space="preserve">programmes, projects, operations, and activities undertaken by </w:t>
      </w:r>
      <w:r w:rsidR="00523042">
        <w:rPr>
          <w:szCs w:val="24"/>
        </w:rPr>
        <w:t xml:space="preserve">three Bureaux </w:t>
      </w:r>
      <w:r w:rsidR="00AF1BE4">
        <w:rPr>
          <w:szCs w:val="24"/>
        </w:rPr>
        <w:t xml:space="preserve">of ITU </w:t>
      </w:r>
      <w:r w:rsidR="00523042">
        <w:rPr>
          <w:szCs w:val="24"/>
        </w:rPr>
        <w:t xml:space="preserve">and </w:t>
      </w:r>
      <w:r w:rsidR="00AF1BE4">
        <w:rPr>
          <w:szCs w:val="24"/>
        </w:rPr>
        <w:t xml:space="preserve">the departments of the </w:t>
      </w:r>
      <w:r w:rsidR="00523042">
        <w:rPr>
          <w:szCs w:val="24"/>
        </w:rPr>
        <w:t>General Secretariat, including those in the field</w:t>
      </w:r>
      <w:r w:rsidR="007F3A66" w:rsidRPr="00182C35">
        <w:rPr>
          <w:szCs w:val="24"/>
        </w:rPr>
        <w:t>. The following principles will be at the core of OU</w:t>
      </w:r>
      <w:r w:rsidR="00E21B4B">
        <w:rPr>
          <w:szCs w:val="24"/>
        </w:rPr>
        <w:t>’s operations</w:t>
      </w:r>
      <w:r w:rsidR="007F3A66" w:rsidRPr="00182C35">
        <w:rPr>
          <w:szCs w:val="24"/>
        </w:rPr>
        <w:t>:</w:t>
      </w:r>
    </w:p>
    <w:p w14:paraId="57ED90EC" w14:textId="566CCC61" w:rsidR="00CD285E" w:rsidRPr="006A1E81" w:rsidRDefault="00CB328E" w:rsidP="00256C3A">
      <w:pPr>
        <w:pStyle w:val="ListParagraph"/>
        <w:numPr>
          <w:ilvl w:val="0"/>
          <w:numId w:val="10"/>
        </w:numPr>
        <w:ind w:left="357" w:hanging="357"/>
        <w:contextualSpacing w:val="0"/>
        <w:rPr>
          <w:szCs w:val="24"/>
        </w:rPr>
      </w:pPr>
      <w:r w:rsidRPr="0053342D">
        <w:rPr>
          <w:szCs w:val="24"/>
          <w:u w:val="single"/>
        </w:rPr>
        <w:t>Enhancing transparency and accountability</w:t>
      </w:r>
      <w:r w:rsidRPr="00CD285E">
        <w:rPr>
          <w:szCs w:val="24"/>
        </w:rPr>
        <w:t xml:space="preserve">: OU will ensure that ITU’s actions align with the organization's objectives, </w:t>
      </w:r>
      <w:proofErr w:type="gramStart"/>
      <w:r w:rsidRPr="00CD285E">
        <w:rPr>
          <w:szCs w:val="24"/>
        </w:rPr>
        <w:t>policies</w:t>
      </w:r>
      <w:proofErr w:type="gramEnd"/>
      <w:r w:rsidRPr="00CD285E">
        <w:rPr>
          <w:szCs w:val="24"/>
        </w:rPr>
        <w:t xml:space="preserve"> and procedures, </w:t>
      </w:r>
      <w:r w:rsidR="002A5BF8">
        <w:rPr>
          <w:szCs w:val="24"/>
        </w:rPr>
        <w:t>with guidance issued by the s</w:t>
      </w:r>
      <w:r w:rsidRPr="00CD285E">
        <w:rPr>
          <w:szCs w:val="24"/>
        </w:rPr>
        <w:t xml:space="preserve">ecretariat </w:t>
      </w:r>
      <w:r w:rsidR="002A5BF8">
        <w:rPr>
          <w:szCs w:val="24"/>
        </w:rPr>
        <w:t xml:space="preserve">of the United Nations </w:t>
      </w:r>
      <w:r w:rsidRPr="00CD285E">
        <w:rPr>
          <w:szCs w:val="24"/>
        </w:rPr>
        <w:t xml:space="preserve">and </w:t>
      </w:r>
      <w:r w:rsidR="002A5BF8">
        <w:rPr>
          <w:szCs w:val="24"/>
        </w:rPr>
        <w:t>the United Nations s</w:t>
      </w:r>
      <w:r w:rsidRPr="00CD285E">
        <w:rPr>
          <w:szCs w:val="24"/>
        </w:rPr>
        <w:t xml:space="preserve">ystem, and </w:t>
      </w:r>
      <w:r w:rsidR="002A5BF8">
        <w:rPr>
          <w:szCs w:val="24"/>
        </w:rPr>
        <w:t xml:space="preserve">with </w:t>
      </w:r>
      <w:r w:rsidRPr="00CD285E">
        <w:rPr>
          <w:szCs w:val="24"/>
        </w:rPr>
        <w:t xml:space="preserve">the interests of </w:t>
      </w:r>
      <w:r w:rsidR="002A5BF8">
        <w:rPr>
          <w:szCs w:val="24"/>
        </w:rPr>
        <w:t xml:space="preserve">ITU’s </w:t>
      </w:r>
      <w:r w:rsidRPr="00CD285E">
        <w:rPr>
          <w:szCs w:val="24"/>
        </w:rPr>
        <w:t xml:space="preserve">stakeholders. </w:t>
      </w:r>
      <w:r w:rsidR="006A1E81" w:rsidRPr="006A1E81">
        <w:rPr>
          <w:szCs w:val="24"/>
        </w:rPr>
        <w:t>Through this Unit the Secretary</w:t>
      </w:r>
      <w:r w:rsidR="00D116A3">
        <w:rPr>
          <w:szCs w:val="24"/>
        </w:rPr>
        <w:t>-</w:t>
      </w:r>
      <w:r w:rsidR="006A1E81" w:rsidRPr="006A1E81">
        <w:rPr>
          <w:szCs w:val="24"/>
        </w:rPr>
        <w:t xml:space="preserve">General will ensure that ITU remains transparent and accountable to the </w:t>
      </w:r>
      <w:r w:rsidR="00773362">
        <w:rPr>
          <w:szCs w:val="24"/>
        </w:rPr>
        <w:t>M</w:t>
      </w:r>
      <w:r w:rsidR="006A1E81" w:rsidRPr="006A1E81">
        <w:rPr>
          <w:szCs w:val="24"/>
        </w:rPr>
        <w:t xml:space="preserve">ember </w:t>
      </w:r>
      <w:r w:rsidR="00773362">
        <w:rPr>
          <w:szCs w:val="24"/>
        </w:rPr>
        <w:t>S</w:t>
      </w:r>
      <w:r w:rsidR="006A1E81" w:rsidRPr="006A1E81">
        <w:rPr>
          <w:szCs w:val="24"/>
        </w:rPr>
        <w:t xml:space="preserve">tates, the wider UN </w:t>
      </w:r>
      <w:proofErr w:type="gramStart"/>
      <w:r w:rsidR="006A1E81" w:rsidRPr="006A1E81">
        <w:rPr>
          <w:szCs w:val="24"/>
        </w:rPr>
        <w:t>system</w:t>
      </w:r>
      <w:proofErr w:type="gramEnd"/>
      <w:r w:rsidR="006A1E81" w:rsidRPr="006A1E81">
        <w:rPr>
          <w:szCs w:val="24"/>
        </w:rPr>
        <w:t xml:space="preserve"> and the public.</w:t>
      </w:r>
    </w:p>
    <w:p w14:paraId="5C793A74" w14:textId="139660A1" w:rsidR="00CD285E" w:rsidRDefault="00CB328E" w:rsidP="00256C3A">
      <w:pPr>
        <w:pStyle w:val="ListParagraph"/>
        <w:numPr>
          <w:ilvl w:val="0"/>
          <w:numId w:val="10"/>
        </w:numPr>
        <w:ind w:left="357" w:hanging="357"/>
        <w:contextualSpacing w:val="0"/>
        <w:rPr>
          <w:szCs w:val="24"/>
        </w:rPr>
      </w:pPr>
      <w:r w:rsidRPr="0053342D">
        <w:rPr>
          <w:szCs w:val="24"/>
          <w:u w:val="single"/>
        </w:rPr>
        <w:t>Strengthening risk management and internal controls</w:t>
      </w:r>
      <w:r w:rsidRPr="00CD285E">
        <w:rPr>
          <w:szCs w:val="24"/>
        </w:rPr>
        <w:t xml:space="preserve">: OU will help identify potential risks and areas of improvement in ITU’s internal controls, thereby facilitating a robust risk management framework. </w:t>
      </w:r>
      <w:r w:rsidR="003C475A">
        <w:rPr>
          <w:szCs w:val="24"/>
        </w:rPr>
        <w:t xml:space="preserve">The </w:t>
      </w:r>
      <w:r w:rsidRPr="00CD285E">
        <w:rPr>
          <w:szCs w:val="24"/>
        </w:rPr>
        <w:t xml:space="preserve">unit will also support ITU in implementing and complying with best practices </w:t>
      </w:r>
      <w:r w:rsidR="00907CE7">
        <w:rPr>
          <w:szCs w:val="24"/>
        </w:rPr>
        <w:t xml:space="preserve">regarding </w:t>
      </w:r>
      <w:r w:rsidR="00523042">
        <w:rPr>
          <w:szCs w:val="24"/>
        </w:rPr>
        <w:t xml:space="preserve">the </w:t>
      </w:r>
      <w:r w:rsidR="002247D3">
        <w:rPr>
          <w:szCs w:val="24"/>
        </w:rPr>
        <w:t xml:space="preserve">five </w:t>
      </w:r>
      <w:r w:rsidR="000E54B1">
        <w:rPr>
          <w:szCs w:val="24"/>
        </w:rPr>
        <w:t xml:space="preserve">components </w:t>
      </w:r>
      <w:r w:rsidR="003C475A">
        <w:rPr>
          <w:szCs w:val="24"/>
        </w:rPr>
        <w:t xml:space="preserve">of </w:t>
      </w:r>
      <w:r w:rsidR="000E54B1">
        <w:rPr>
          <w:szCs w:val="24"/>
        </w:rPr>
        <w:t xml:space="preserve">the </w:t>
      </w:r>
      <w:r w:rsidR="00523042">
        <w:rPr>
          <w:szCs w:val="24"/>
        </w:rPr>
        <w:t>COSO</w:t>
      </w:r>
      <w:r w:rsidR="000E54B1">
        <w:rPr>
          <w:szCs w:val="24"/>
        </w:rPr>
        <w:t xml:space="preserve"> Framework</w:t>
      </w:r>
      <w:r w:rsidR="001D6FEE">
        <w:rPr>
          <w:rStyle w:val="FootnoteReference"/>
          <w:szCs w:val="24"/>
        </w:rPr>
        <w:footnoteReference w:id="2"/>
      </w:r>
      <w:r w:rsidR="00523042">
        <w:rPr>
          <w:szCs w:val="24"/>
        </w:rPr>
        <w:t xml:space="preserve">: </w:t>
      </w:r>
      <w:r w:rsidR="002247D3" w:rsidRPr="002247D3">
        <w:rPr>
          <w:szCs w:val="24"/>
        </w:rPr>
        <w:t xml:space="preserve">control environment, risk assessment, control activities, information </w:t>
      </w:r>
      <w:r w:rsidR="00907CE7">
        <w:rPr>
          <w:szCs w:val="24"/>
        </w:rPr>
        <w:t>and</w:t>
      </w:r>
      <w:r w:rsidR="002247D3" w:rsidRPr="002247D3">
        <w:rPr>
          <w:szCs w:val="24"/>
        </w:rPr>
        <w:t xml:space="preserve"> communication, and monitoring</w:t>
      </w:r>
      <w:r w:rsidRPr="00CD285E">
        <w:rPr>
          <w:szCs w:val="24"/>
        </w:rPr>
        <w:t>.</w:t>
      </w:r>
    </w:p>
    <w:p w14:paraId="6C7B6B08" w14:textId="373522F3" w:rsidR="00CB328E" w:rsidRPr="00CD285E" w:rsidRDefault="00CB328E" w:rsidP="00256C3A">
      <w:pPr>
        <w:pStyle w:val="ListParagraph"/>
        <w:numPr>
          <w:ilvl w:val="0"/>
          <w:numId w:val="10"/>
        </w:numPr>
        <w:ind w:left="357" w:hanging="357"/>
        <w:contextualSpacing w:val="0"/>
        <w:rPr>
          <w:szCs w:val="24"/>
        </w:rPr>
      </w:pPr>
      <w:r w:rsidRPr="0053342D">
        <w:rPr>
          <w:szCs w:val="24"/>
          <w:u w:val="single"/>
        </w:rPr>
        <w:t>Fostering a culture of continuous learning and improvement</w:t>
      </w:r>
      <w:r w:rsidRPr="00CD285E">
        <w:rPr>
          <w:szCs w:val="24"/>
        </w:rPr>
        <w:t xml:space="preserve">: OU will facilitate the sharing of lessons learned and best practices </w:t>
      </w:r>
      <w:r w:rsidR="008E51E3">
        <w:rPr>
          <w:szCs w:val="24"/>
        </w:rPr>
        <w:t xml:space="preserve">within </w:t>
      </w:r>
      <w:r w:rsidR="00523042">
        <w:rPr>
          <w:szCs w:val="24"/>
        </w:rPr>
        <w:t xml:space="preserve">the </w:t>
      </w:r>
      <w:r w:rsidR="00523042" w:rsidRPr="00CD285E">
        <w:rPr>
          <w:szCs w:val="24"/>
        </w:rPr>
        <w:t>ITU</w:t>
      </w:r>
      <w:r w:rsidR="00523042">
        <w:rPr>
          <w:szCs w:val="24"/>
        </w:rPr>
        <w:t xml:space="preserve"> </w:t>
      </w:r>
      <w:r w:rsidR="008D6E0B">
        <w:rPr>
          <w:szCs w:val="24"/>
        </w:rPr>
        <w:t>s</w:t>
      </w:r>
      <w:r w:rsidR="00523042">
        <w:rPr>
          <w:szCs w:val="24"/>
        </w:rPr>
        <w:t>ecretariat</w:t>
      </w:r>
      <w:r w:rsidRPr="00CD285E">
        <w:rPr>
          <w:szCs w:val="24"/>
        </w:rPr>
        <w:t xml:space="preserve">. This will promote a culture of continuous learning and improvement </w:t>
      </w:r>
      <w:proofErr w:type="gramStart"/>
      <w:r w:rsidR="00850154">
        <w:rPr>
          <w:szCs w:val="24"/>
        </w:rPr>
        <w:t>so as to</w:t>
      </w:r>
      <w:proofErr w:type="gramEnd"/>
      <w:r w:rsidR="00850154">
        <w:rPr>
          <w:szCs w:val="24"/>
        </w:rPr>
        <w:t xml:space="preserve"> </w:t>
      </w:r>
      <w:r w:rsidRPr="00CD285E">
        <w:rPr>
          <w:szCs w:val="24"/>
        </w:rPr>
        <w:t>enhanc</w:t>
      </w:r>
      <w:r w:rsidR="00850154">
        <w:rPr>
          <w:szCs w:val="24"/>
        </w:rPr>
        <w:t>e</w:t>
      </w:r>
      <w:r w:rsidRPr="00CD285E">
        <w:rPr>
          <w:szCs w:val="24"/>
        </w:rPr>
        <w:t xml:space="preserve"> the organization’s performance.</w:t>
      </w:r>
    </w:p>
    <w:p w14:paraId="08876C30" w14:textId="0C8AA217" w:rsidR="00DB5075" w:rsidRPr="00CD285E" w:rsidRDefault="00DB5075" w:rsidP="00256C3A">
      <w:pPr>
        <w:rPr>
          <w:szCs w:val="24"/>
        </w:rPr>
      </w:pPr>
      <w:r w:rsidRPr="00182C35">
        <w:rPr>
          <w:szCs w:val="24"/>
        </w:rPr>
        <w:t>OU will be responsible for:</w:t>
      </w:r>
    </w:p>
    <w:p w14:paraId="20A6C296" w14:textId="53352F41" w:rsidR="00DD5D07" w:rsidRDefault="00DB5075" w:rsidP="00256C3A">
      <w:pPr>
        <w:pStyle w:val="ListParagraph"/>
        <w:numPr>
          <w:ilvl w:val="0"/>
          <w:numId w:val="5"/>
        </w:numPr>
        <w:tabs>
          <w:tab w:val="clear" w:pos="567"/>
          <w:tab w:val="clear" w:pos="1134"/>
          <w:tab w:val="clear" w:pos="1701"/>
          <w:tab w:val="clear" w:pos="2268"/>
          <w:tab w:val="clear" w:pos="2835"/>
        </w:tabs>
        <w:overflowPunct/>
        <w:autoSpaceDE/>
        <w:autoSpaceDN/>
        <w:adjustRightInd/>
        <w:contextualSpacing w:val="0"/>
        <w:textAlignment w:val="auto"/>
        <w:rPr>
          <w:szCs w:val="24"/>
        </w:rPr>
      </w:pPr>
      <w:bookmarkStart w:id="6" w:name="here"/>
      <w:r w:rsidRPr="00182C35">
        <w:rPr>
          <w:szCs w:val="24"/>
          <w:u w:val="single"/>
        </w:rPr>
        <w:t xml:space="preserve">Internal </w:t>
      </w:r>
      <w:r w:rsidR="008E51E3">
        <w:rPr>
          <w:szCs w:val="24"/>
          <w:u w:val="single"/>
        </w:rPr>
        <w:t>a</w:t>
      </w:r>
      <w:r w:rsidRPr="00182C35">
        <w:rPr>
          <w:szCs w:val="24"/>
          <w:u w:val="single"/>
        </w:rPr>
        <w:t>udit:</w:t>
      </w:r>
      <w:r w:rsidRPr="00182C35">
        <w:rPr>
          <w:szCs w:val="24"/>
        </w:rPr>
        <w:t xml:space="preserve"> Internal audits conducted by OU will serve as an independent, objective assurance and </w:t>
      </w:r>
      <w:r w:rsidR="003F4C38">
        <w:rPr>
          <w:szCs w:val="24"/>
        </w:rPr>
        <w:t>advisory</w:t>
      </w:r>
      <w:r w:rsidR="003F4C38" w:rsidRPr="00182C35">
        <w:rPr>
          <w:szCs w:val="24"/>
        </w:rPr>
        <w:t xml:space="preserve"> </w:t>
      </w:r>
      <w:r w:rsidRPr="00182C35">
        <w:rPr>
          <w:szCs w:val="24"/>
        </w:rPr>
        <w:t xml:space="preserve">activity designed to add value and improve the operations of the organization. They will support ITU in </w:t>
      </w:r>
      <w:r w:rsidR="00A04273">
        <w:rPr>
          <w:szCs w:val="24"/>
        </w:rPr>
        <w:t xml:space="preserve">meeting </w:t>
      </w:r>
      <w:r w:rsidRPr="00182C35">
        <w:rPr>
          <w:szCs w:val="24"/>
        </w:rPr>
        <w:t xml:space="preserve">its objectives by </w:t>
      </w:r>
      <w:r w:rsidR="008967B4">
        <w:rPr>
          <w:szCs w:val="24"/>
        </w:rPr>
        <w:t xml:space="preserve">using </w:t>
      </w:r>
      <w:r w:rsidRPr="00182C35">
        <w:rPr>
          <w:szCs w:val="24"/>
        </w:rPr>
        <w:t>a systematic, disciplined approach to evaluate and improve the effectiveness of governance, risk management and control processes</w:t>
      </w:r>
      <w:r w:rsidR="00927C99">
        <w:rPr>
          <w:szCs w:val="24"/>
        </w:rPr>
        <w:t>, ensuring</w:t>
      </w:r>
      <w:r w:rsidRPr="00182C35">
        <w:rPr>
          <w:szCs w:val="24"/>
        </w:rPr>
        <w:t xml:space="preserve"> compliance.</w:t>
      </w:r>
      <w:r w:rsidR="00DD5D07">
        <w:rPr>
          <w:szCs w:val="24"/>
        </w:rPr>
        <w:t xml:space="preserve"> </w:t>
      </w:r>
      <w:r w:rsidR="00DD5D07" w:rsidRPr="00DD5D07">
        <w:rPr>
          <w:szCs w:val="24"/>
        </w:rPr>
        <w:t xml:space="preserve">All audits </w:t>
      </w:r>
      <w:r w:rsidR="00112EF8">
        <w:rPr>
          <w:szCs w:val="24"/>
        </w:rPr>
        <w:t>will</w:t>
      </w:r>
      <w:r w:rsidR="00DD5D07" w:rsidRPr="00DD5D07">
        <w:rPr>
          <w:szCs w:val="24"/>
        </w:rPr>
        <w:t xml:space="preserve"> be </w:t>
      </w:r>
      <w:r w:rsidR="002247D3">
        <w:rPr>
          <w:szCs w:val="24"/>
        </w:rPr>
        <w:t xml:space="preserve">risk-based </w:t>
      </w:r>
      <w:r w:rsidR="003F4C38">
        <w:rPr>
          <w:szCs w:val="24"/>
        </w:rPr>
        <w:t xml:space="preserve">and </w:t>
      </w:r>
      <w:r w:rsidR="00736ED1">
        <w:rPr>
          <w:szCs w:val="24"/>
        </w:rPr>
        <w:t xml:space="preserve">in conformance with </w:t>
      </w:r>
      <w:r w:rsidR="003F4C38">
        <w:rPr>
          <w:szCs w:val="24"/>
        </w:rPr>
        <w:t xml:space="preserve">the </w:t>
      </w:r>
      <w:r w:rsidR="002247D3" w:rsidRPr="002247D3">
        <w:rPr>
          <w:szCs w:val="24"/>
        </w:rPr>
        <w:t>International Professional Practices Framework promulgated by the Institute of Internal Auditors</w:t>
      </w:r>
      <w:r w:rsidR="00F23392">
        <w:rPr>
          <w:rStyle w:val="FootnoteReference"/>
          <w:szCs w:val="24"/>
        </w:rPr>
        <w:footnoteReference w:id="3"/>
      </w:r>
      <w:r w:rsidR="00DD5D07" w:rsidRPr="00DD5D07">
        <w:rPr>
          <w:szCs w:val="24"/>
        </w:rPr>
        <w:t>.</w:t>
      </w:r>
    </w:p>
    <w:bookmarkEnd w:id="6"/>
    <w:p w14:paraId="04D31C2D" w14:textId="11977FCF" w:rsidR="00DB5075" w:rsidRPr="00182C35" w:rsidRDefault="00DB5075" w:rsidP="00256C3A">
      <w:pPr>
        <w:pStyle w:val="ListParagraph"/>
        <w:numPr>
          <w:ilvl w:val="0"/>
          <w:numId w:val="5"/>
        </w:numPr>
        <w:tabs>
          <w:tab w:val="clear" w:pos="567"/>
          <w:tab w:val="clear" w:pos="1134"/>
          <w:tab w:val="clear" w:pos="1701"/>
          <w:tab w:val="clear" w:pos="2268"/>
          <w:tab w:val="clear" w:pos="2835"/>
        </w:tabs>
        <w:overflowPunct/>
        <w:autoSpaceDE/>
        <w:autoSpaceDN/>
        <w:adjustRightInd/>
        <w:contextualSpacing w:val="0"/>
        <w:textAlignment w:val="auto"/>
        <w:rPr>
          <w:szCs w:val="24"/>
        </w:rPr>
      </w:pPr>
      <w:r w:rsidRPr="00182C35">
        <w:rPr>
          <w:szCs w:val="24"/>
          <w:u w:val="single"/>
        </w:rPr>
        <w:t>Investigations:</w:t>
      </w:r>
      <w:r w:rsidRPr="00182C35">
        <w:rPr>
          <w:szCs w:val="24"/>
        </w:rPr>
        <w:t xml:space="preserve"> OU will </w:t>
      </w:r>
      <w:r w:rsidR="00C41C24">
        <w:rPr>
          <w:szCs w:val="24"/>
        </w:rPr>
        <w:t xml:space="preserve">investigate </w:t>
      </w:r>
      <w:r w:rsidRPr="00182C35">
        <w:rPr>
          <w:szCs w:val="24"/>
        </w:rPr>
        <w:t xml:space="preserve">allegations of misconduct by ITU personnel </w:t>
      </w:r>
      <w:r w:rsidR="00C41C24">
        <w:rPr>
          <w:szCs w:val="24"/>
        </w:rPr>
        <w:t xml:space="preserve">including </w:t>
      </w:r>
      <w:r w:rsidRPr="00182C35">
        <w:rPr>
          <w:szCs w:val="24"/>
        </w:rPr>
        <w:t>fraud, theft and embezzlement, corruption, sexual harassment, sexual exploitation and abuse, discrimination, workplace harassment and abuse of authority, retaliation against whistle-blowers</w:t>
      </w:r>
      <w:r w:rsidR="0014222B">
        <w:rPr>
          <w:szCs w:val="24"/>
        </w:rPr>
        <w:t>,</w:t>
      </w:r>
      <w:r w:rsidRPr="00182C35">
        <w:rPr>
          <w:szCs w:val="24"/>
        </w:rPr>
        <w:t xml:space="preserve"> </w:t>
      </w:r>
      <w:r w:rsidR="0014222B">
        <w:rPr>
          <w:szCs w:val="24"/>
        </w:rPr>
        <w:t xml:space="preserve">and </w:t>
      </w:r>
      <w:r w:rsidRPr="00182C35">
        <w:rPr>
          <w:szCs w:val="24"/>
        </w:rPr>
        <w:t>abuse of privileges and immunities. OU will have the sole responsibility for the conduct of all investigations within ITU.</w:t>
      </w:r>
    </w:p>
    <w:p w14:paraId="2F7BFEBA" w14:textId="2DDA0EB6" w:rsidR="0052384B" w:rsidRPr="0052384B" w:rsidRDefault="00DB5075" w:rsidP="0052384B">
      <w:pPr>
        <w:pStyle w:val="ListParagraph"/>
        <w:numPr>
          <w:ilvl w:val="0"/>
          <w:numId w:val="5"/>
        </w:numPr>
        <w:tabs>
          <w:tab w:val="clear" w:pos="567"/>
          <w:tab w:val="clear" w:pos="1134"/>
          <w:tab w:val="clear" w:pos="1701"/>
          <w:tab w:val="clear" w:pos="2268"/>
          <w:tab w:val="clear" w:pos="2835"/>
        </w:tabs>
        <w:overflowPunct/>
        <w:autoSpaceDE/>
        <w:autoSpaceDN/>
        <w:adjustRightInd/>
        <w:contextualSpacing w:val="0"/>
        <w:textAlignment w:val="auto"/>
        <w:rPr>
          <w:szCs w:val="24"/>
        </w:rPr>
      </w:pPr>
      <w:r w:rsidRPr="00182C35">
        <w:rPr>
          <w:szCs w:val="24"/>
          <w:u w:val="single"/>
        </w:rPr>
        <w:lastRenderedPageBreak/>
        <w:t>Evaluation:</w:t>
      </w:r>
      <w:r w:rsidRPr="00182C35">
        <w:rPr>
          <w:szCs w:val="24"/>
        </w:rPr>
        <w:t xml:space="preserve"> </w:t>
      </w:r>
      <w:r w:rsidR="00A2087C" w:rsidRPr="00A2087C">
        <w:rPr>
          <w:szCs w:val="24"/>
        </w:rPr>
        <w:t>Evaluation will play a critical role across ITU</w:t>
      </w:r>
      <w:r w:rsidR="000136AF">
        <w:rPr>
          <w:szCs w:val="24"/>
        </w:rPr>
        <w:t>, following a</w:t>
      </w:r>
      <w:r w:rsidR="00A2087C" w:rsidRPr="00A2087C">
        <w:rPr>
          <w:szCs w:val="24"/>
        </w:rPr>
        <w:t xml:space="preserve"> systematic process that helps assess the effectiveness and impact of program</w:t>
      </w:r>
      <w:r w:rsidR="00055787">
        <w:rPr>
          <w:szCs w:val="24"/>
        </w:rPr>
        <w:t>me</w:t>
      </w:r>
      <w:r w:rsidR="00A2087C" w:rsidRPr="00A2087C">
        <w:rPr>
          <w:szCs w:val="24"/>
        </w:rPr>
        <w:t xml:space="preserve">s, policies, and interventions across the </w:t>
      </w:r>
      <w:r w:rsidR="009A5923">
        <w:rPr>
          <w:szCs w:val="24"/>
        </w:rPr>
        <w:t>o</w:t>
      </w:r>
      <w:r w:rsidR="00A2087C" w:rsidRPr="00A2087C">
        <w:rPr>
          <w:szCs w:val="24"/>
        </w:rPr>
        <w:t xml:space="preserve">rganization. It involves providing, guidance, technical support </w:t>
      </w:r>
      <w:r w:rsidR="00522A1D">
        <w:rPr>
          <w:szCs w:val="24"/>
        </w:rPr>
        <w:t xml:space="preserve">and </w:t>
      </w:r>
      <w:r w:rsidR="00522A1D" w:rsidRPr="00A2087C">
        <w:rPr>
          <w:szCs w:val="24"/>
        </w:rPr>
        <w:t xml:space="preserve">training </w:t>
      </w:r>
      <w:r w:rsidR="00A2087C" w:rsidRPr="00A2087C">
        <w:rPr>
          <w:szCs w:val="24"/>
        </w:rPr>
        <w:t xml:space="preserve">to staff members involved in </w:t>
      </w:r>
      <w:r w:rsidR="00876392">
        <w:rPr>
          <w:szCs w:val="24"/>
        </w:rPr>
        <w:t xml:space="preserve">monitoring </w:t>
      </w:r>
      <w:r w:rsidR="00CF728B">
        <w:rPr>
          <w:szCs w:val="24"/>
        </w:rPr>
        <w:t xml:space="preserve">and </w:t>
      </w:r>
      <w:r w:rsidR="00876392">
        <w:rPr>
          <w:szCs w:val="24"/>
        </w:rPr>
        <w:t xml:space="preserve">evaluation </w:t>
      </w:r>
      <w:r w:rsidR="00A2087C" w:rsidRPr="00A2087C">
        <w:rPr>
          <w:szCs w:val="24"/>
        </w:rPr>
        <w:t>activities</w:t>
      </w:r>
      <w:r w:rsidR="00AC2C4D">
        <w:rPr>
          <w:szCs w:val="24"/>
        </w:rPr>
        <w:t xml:space="preserve"> throughout the organization</w:t>
      </w:r>
      <w:r w:rsidR="00A2087C" w:rsidRPr="00A2087C">
        <w:rPr>
          <w:szCs w:val="24"/>
        </w:rPr>
        <w:t>. It promotes a culture of evidence-based decision-making, and as a result</w:t>
      </w:r>
      <w:r w:rsidR="00E2058C">
        <w:rPr>
          <w:szCs w:val="24"/>
        </w:rPr>
        <w:t>,</w:t>
      </w:r>
      <w:r w:rsidR="00A2087C" w:rsidRPr="00A2087C">
        <w:rPr>
          <w:szCs w:val="24"/>
        </w:rPr>
        <w:t xml:space="preserve"> strengthen</w:t>
      </w:r>
      <w:r w:rsidR="00E2058C">
        <w:rPr>
          <w:szCs w:val="24"/>
        </w:rPr>
        <w:t>ed</w:t>
      </w:r>
      <w:r w:rsidR="00A2087C" w:rsidRPr="00A2087C">
        <w:rPr>
          <w:szCs w:val="24"/>
        </w:rPr>
        <w:t xml:space="preserve"> </w:t>
      </w:r>
      <w:r w:rsidR="00876392">
        <w:rPr>
          <w:szCs w:val="24"/>
        </w:rPr>
        <w:t>monitoring and evaluation</w:t>
      </w:r>
      <w:r w:rsidR="00A2087C" w:rsidRPr="00A2087C">
        <w:rPr>
          <w:szCs w:val="24"/>
        </w:rPr>
        <w:t xml:space="preserve"> systems and practices. The primary purpose</w:t>
      </w:r>
      <w:r w:rsidR="00D27699">
        <w:rPr>
          <w:szCs w:val="24"/>
        </w:rPr>
        <w:t>s</w:t>
      </w:r>
      <w:r w:rsidR="00A2087C" w:rsidRPr="00A2087C">
        <w:rPr>
          <w:szCs w:val="24"/>
        </w:rPr>
        <w:t xml:space="preserve"> of </w:t>
      </w:r>
      <w:r w:rsidR="00E2058C">
        <w:rPr>
          <w:szCs w:val="24"/>
        </w:rPr>
        <w:t>evaluation</w:t>
      </w:r>
      <w:r w:rsidR="00A2087C" w:rsidRPr="00A2087C">
        <w:rPr>
          <w:szCs w:val="24"/>
        </w:rPr>
        <w:t xml:space="preserve"> </w:t>
      </w:r>
      <w:r w:rsidR="00497AF9">
        <w:rPr>
          <w:szCs w:val="24"/>
        </w:rPr>
        <w:t>are</w:t>
      </w:r>
      <w:r w:rsidR="00497AF9" w:rsidRPr="00A2087C">
        <w:rPr>
          <w:szCs w:val="24"/>
        </w:rPr>
        <w:t xml:space="preserve"> </w:t>
      </w:r>
      <w:r w:rsidR="00A2087C" w:rsidRPr="00A2087C">
        <w:rPr>
          <w:szCs w:val="24"/>
        </w:rPr>
        <w:t xml:space="preserve">to inform decision-making, improve performance, and ensure accountability and transparency. The </w:t>
      </w:r>
      <w:r w:rsidR="005F392C">
        <w:rPr>
          <w:szCs w:val="24"/>
        </w:rPr>
        <w:t>e</w:t>
      </w:r>
      <w:r w:rsidR="006C77A4">
        <w:rPr>
          <w:szCs w:val="24"/>
        </w:rPr>
        <w:t>valuation</w:t>
      </w:r>
      <w:r w:rsidR="00A2087C" w:rsidRPr="00A2087C">
        <w:rPr>
          <w:szCs w:val="24"/>
        </w:rPr>
        <w:t xml:space="preserve"> </w:t>
      </w:r>
      <w:r w:rsidR="0058512D">
        <w:rPr>
          <w:szCs w:val="24"/>
        </w:rPr>
        <w:t xml:space="preserve">function plays </w:t>
      </w:r>
      <w:r w:rsidR="00A2087C" w:rsidRPr="00A2087C">
        <w:rPr>
          <w:szCs w:val="24"/>
        </w:rPr>
        <w:t xml:space="preserve">an essential </w:t>
      </w:r>
      <w:r w:rsidR="0058512D">
        <w:rPr>
          <w:szCs w:val="24"/>
        </w:rPr>
        <w:t xml:space="preserve">role </w:t>
      </w:r>
      <w:r w:rsidR="00AB1695">
        <w:rPr>
          <w:szCs w:val="24"/>
        </w:rPr>
        <w:t>for</w:t>
      </w:r>
      <w:r w:rsidR="00AB1695" w:rsidRPr="00A2087C">
        <w:rPr>
          <w:szCs w:val="24"/>
        </w:rPr>
        <w:t xml:space="preserve"> </w:t>
      </w:r>
      <w:r w:rsidR="00A2087C" w:rsidRPr="00A2087C">
        <w:rPr>
          <w:szCs w:val="24"/>
        </w:rPr>
        <w:t>the UN system</w:t>
      </w:r>
      <w:r w:rsidR="00AB1695">
        <w:rPr>
          <w:szCs w:val="24"/>
        </w:rPr>
        <w:t xml:space="preserve"> organizations</w:t>
      </w:r>
      <w:r w:rsidR="006C5356">
        <w:rPr>
          <w:szCs w:val="24"/>
        </w:rPr>
        <w:t xml:space="preserve">, </w:t>
      </w:r>
      <w:r w:rsidR="00295510">
        <w:rPr>
          <w:szCs w:val="24"/>
        </w:rPr>
        <w:t>which</w:t>
      </w:r>
      <w:r w:rsidR="00AB1695">
        <w:rPr>
          <w:szCs w:val="24"/>
        </w:rPr>
        <w:t xml:space="preserve"> was previously </w:t>
      </w:r>
      <w:r w:rsidR="006C5356">
        <w:rPr>
          <w:szCs w:val="24"/>
        </w:rPr>
        <w:t xml:space="preserve">missing </w:t>
      </w:r>
      <w:r w:rsidR="00FF068D">
        <w:rPr>
          <w:szCs w:val="24"/>
        </w:rPr>
        <w:t xml:space="preserve">from the ITU centralized </w:t>
      </w:r>
      <w:r w:rsidR="005F596A">
        <w:rPr>
          <w:szCs w:val="24"/>
        </w:rPr>
        <w:t xml:space="preserve">oversight </w:t>
      </w:r>
      <w:r w:rsidR="00FF068D">
        <w:rPr>
          <w:szCs w:val="24"/>
        </w:rPr>
        <w:t>function</w:t>
      </w:r>
      <w:r w:rsidR="005F596A">
        <w:rPr>
          <w:szCs w:val="24"/>
        </w:rPr>
        <w:t>s</w:t>
      </w:r>
      <w:r w:rsidR="00A2087C" w:rsidRPr="00A2087C">
        <w:rPr>
          <w:szCs w:val="24"/>
        </w:rPr>
        <w:t xml:space="preserve">. All evaluations </w:t>
      </w:r>
      <w:r w:rsidR="00524238">
        <w:rPr>
          <w:szCs w:val="24"/>
        </w:rPr>
        <w:t>will be</w:t>
      </w:r>
      <w:r w:rsidR="00D97414">
        <w:rPr>
          <w:szCs w:val="24"/>
        </w:rPr>
        <w:t xml:space="preserve"> conducted in conformance with </w:t>
      </w:r>
      <w:r w:rsidR="00A2087C" w:rsidRPr="00A2087C">
        <w:rPr>
          <w:szCs w:val="24"/>
        </w:rPr>
        <w:t>the United Nations Evaluation Group (UNEG) standards</w:t>
      </w:r>
      <w:r w:rsidR="00A2087C">
        <w:rPr>
          <w:szCs w:val="24"/>
        </w:rPr>
        <w:t>.</w:t>
      </w:r>
    </w:p>
    <w:p w14:paraId="298376A3" w14:textId="522CA816" w:rsidR="0052384B" w:rsidRDefault="0052384B" w:rsidP="00256C3A">
      <w:pPr>
        <w:rPr>
          <w:szCs w:val="24"/>
        </w:rPr>
      </w:pPr>
      <w:r>
        <w:rPr>
          <w:szCs w:val="24"/>
        </w:rPr>
        <w:t>The detailed organizational structure of the Unit will be finalized by the Secretary-General following a</w:t>
      </w:r>
      <w:r w:rsidR="003B02E9">
        <w:rPr>
          <w:szCs w:val="24"/>
        </w:rPr>
        <w:t xml:space="preserve"> </w:t>
      </w:r>
      <w:r>
        <w:rPr>
          <w:szCs w:val="24"/>
        </w:rPr>
        <w:t>review and assessment of the audit and investigation functions.</w:t>
      </w:r>
    </w:p>
    <w:p w14:paraId="2A663D84" w14:textId="7EB90075" w:rsidR="00412AD8" w:rsidRPr="0099475D" w:rsidRDefault="0099475D" w:rsidP="00256C3A">
      <w:pPr>
        <w:pStyle w:val="Heading2"/>
        <w:spacing w:before="240"/>
        <w:ind w:left="357" w:hanging="357"/>
      </w:pPr>
      <w:r w:rsidRPr="0099475D">
        <w:t>Financial considerations</w:t>
      </w:r>
    </w:p>
    <w:p w14:paraId="510FBC0B" w14:textId="05072866" w:rsidR="00F63444" w:rsidRDefault="002A11FB" w:rsidP="00256C3A">
      <w:pPr>
        <w:rPr>
          <w:szCs w:val="24"/>
        </w:rPr>
      </w:pPr>
      <w:r w:rsidRPr="002A11FB">
        <w:rPr>
          <w:szCs w:val="24"/>
        </w:rPr>
        <w:t>This proposal can be realized within the current resource envelope</w:t>
      </w:r>
      <w:r w:rsidR="00E707FE">
        <w:rPr>
          <w:szCs w:val="24"/>
        </w:rPr>
        <w:t xml:space="preserve"> allocated for the Internal Audit and Investigation functions</w:t>
      </w:r>
      <w:r w:rsidR="00161102">
        <w:rPr>
          <w:szCs w:val="24"/>
        </w:rPr>
        <w:t xml:space="preserve">, </w:t>
      </w:r>
      <w:r w:rsidR="00F143C4">
        <w:rPr>
          <w:szCs w:val="24"/>
        </w:rPr>
        <w:t xml:space="preserve">while </w:t>
      </w:r>
      <w:r w:rsidR="00D772F8">
        <w:rPr>
          <w:szCs w:val="24"/>
        </w:rPr>
        <w:t>t</w:t>
      </w:r>
      <w:r w:rsidR="001B33FB" w:rsidRPr="001B33FB">
        <w:rPr>
          <w:szCs w:val="24"/>
        </w:rPr>
        <w:t xml:space="preserve">he cost of </w:t>
      </w:r>
      <w:r w:rsidR="001B50C5">
        <w:rPr>
          <w:szCs w:val="24"/>
        </w:rPr>
        <w:t>a</w:t>
      </w:r>
      <w:r w:rsidR="001B50C5" w:rsidRPr="001B33FB">
        <w:rPr>
          <w:szCs w:val="24"/>
        </w:rPr>
        <w:t xml:space="preserve"> </w:t>
      </w:r>
      <w:r w:rsidR="001B33FB" w:rsidRPr="001B33FB">
        <w:rPr>
          <w:szCs w:val="24"/>
        </w:rPr>
        <w:t xml:space="preserve">new Evaluation </w:t>
      </w:r>
      <w:r w:rsidR="007E4D5C">
        <w:rPr>
          <w:szCs w:val="24"/>
        </w:rPr>
        <w:t xml:space="preserve">Specialist </w:t>
      </w:r>
      <w:r w:rsidR="001B33FB" w:rsidRPr="001B33FB">
        <w:rPr>
          <w:szCs w:val="24"/>
        </w:rPr>
        <w:t>position will be met by transferring an existing budgeted position in the organization</w:t>
      </w:r>
      <w:r w:rsidR="00F05307">
        <w:rPr>
          <w:szCs w:val="24"/>
        </w:rPr>
        <w:t>.</w:t>
      </w:r>
      <w:r w:rsidR="001B33FB" w:rsidRPr="001B33FB">
        <w:rPr>
          <w:szCs w:val="24"/>
        </w:rPr>
        <w:t xml:space="preserve"> </w:t>
      </w:r>
      <w:r w:rsidR="00F05307">
        <w:rPr>
          <w:szCs w:val="24"/>
        </w:rPr>
        <w:t>T</w:t>
      </w:r>
      <w:r w:rsidR="001B33FB" w:rsidRPr="001B33FB">
        <w:rPr>
          <w:szCs w:val="24"/>
        </w:rPr>
        <w:t>herefore, no additional costs for the organization are envisaged</w:t>
      </w:r>
      <w:r w:rsidR="001B33FB">
        <w:rPr>
          <w:szCs w:val="24"/>
        </w:rPr>
        <w:t>.</w:t>
      </w:r>
    </w:p>
    <w:p w14:paraId="5C203F78" w14:textId="21D4E96A" w:rsidR="00F90D29" w:rsidRPr="00F90D29" w:rsidRDefault="00F90D29" w:rsidP="00256C3A">
      <w:pPr>
        <w:pStyle w:val="Heading2"/>
        <w:spacing w:before="240"/>
        <w:ind w:left="357" w:hanging="357"/>
      </w:pPr>
      <w:r w:rsidRPr="00F90D29">
        <w:t xml:space="preserve">Action required by </w:t>
      </w:r>
      <w:r w:rsidR="007A0007">
        <w:t xml:space="preserve">the </w:t>
      </w:r>
      <w:proofErr w:type="gramStart"/>
      <w:r w:rsidRPr="00F90D29">
        <w:t>Council</w:t>
      </w:r>
      <w:proofErr w:type="gramEnd"/>
    </w:p>
    <w:p w14:paraId="65A8E789" w14:textId="5C2FCAB7" w:rsidR="00FB4D3B" w:rsidRDefault="00F90D29" w:rsidP="00256C3A">
      <w:pPr>
        <w:rPr>
          <w:szCs w:val="24"/>
        </w:rPr>
      </w:pPr>
      <w:r w:rsidRPr="00F90D29">
        <w:rPr>
          <w:szCs w:val="24"/>
        </w:rPr>
        <w:t>The Council is requested to note the proposal to create an Oversight Unit and to approve the creation of a Chief of Oversight position at the D-1 level.</w:t>
      </w:r>
    </w:p>
    <w:p w14:paraId="124ED768" w14:textId="5DBD8B07" w:rsidR="004914A4" w:rsidRPr="004914A4" w:rsidRDefault="004914A4" w:rsidP="00256C3A">
      <w:pPr>
        <w:pStyle w:val="Heading2"/>
        <w:spacing w:before="240"/>
        <w:ind w:left="357" w:hanging="357"/>
      </w:pPr>
      <w:r w:rsidRPr="004914A4">
        <w:t>Related functions</w:t>
      </w:r>
    </w:p>
    <w:p w14:paraId="3862EEEF" w14:textId="2C016CD9" w:rsidR="00726487" w:rsidRPr="00726487" w:rsidRDefault="00726487" w:rsidP="00256C3A">
      <w:pPr>
        <w:rPr>
          <w:szCs w:val="24"/>
        </w:rPr>
      </w:pPr>
      <w:r w:rsidRPr="00726487">
        <w:rPr>
          <w:szCs w:val="24"/>
        </w:rPr>
        <w:t>The Ethics Office will remain as a separate, independent unit and maintain close collaboration within the remit of its responsibilities, including promoting the development and implementation of the highest standards of ethical behaviour in all the activities of ITU, leading ethical standards, and advising management, staff and stakeholders by providing confidential advice and guidance on ethical behaviour and providing guidance to staff to understand and adhere to ITU policies, procedures and practices.</w:t>
      </w:r>
    </w:p>
    <w:p w14:paraId="4D3F2FE1" w14:textId="2842F96F" w:rsidR="00FB4D3B" w:rsidRDefault="00726487" w:rsidP="00256C3A">
      <w:pPr>
        <w:rPr>
          <w:szCs w:val="24"/>
        </w:rPr>
      </w:pPr>
      <w:r w:rsidRPr="00726487">
        <w:rPr>
          <w:szCs w:val="24"/>
        </w:rPr>
        <w:t xml:space="preserve">In addition to the above, ITU is invested in ensuring staff have </w:t>
      </w:r>
      <w:r w:rsidR="00993E14">
        <w:rPr>
          <w:szCs w:val="24"/>
        </w:rPr>
        <w:t xml:space="preserve">access to </w:t>
      </w:r>
      <w:r w:rsidRPr="00726487">
        <w:rPr>
          <w:szCs w:val="24"/>
        </w:rPr>
        <w:t xml:space="preserve">effective avenues for informal conflict resolution. The Secretary-General has decided to incorporate the </w:t>
      </w:r>
      <w:r w:rsidR="00316E61">
        <w:rPr>
          <w:szCs w:val="24"/>
        </w:rPr>
        <w:t>o</w:t>
      </w:r>
      <w:r w:rsidRPr="00726487">
        <w:rPr>
          <w:szCs w:val="24"/>
        </w:rPr>
        <w:t xml:space="preserve">mbudsman function into ITU, in alignment with </w:t>
      </w:r>
      <w:r w:rsidR="00796C85">
        <w:rPr>
          <w:szCs w:val="24"/>
        </w:rPr>
        <w:t xml:space="preserve">practice </w:t>
      </w:r>
      <w:r w:rsidR="00FF0D66">
        <w:rPr>
          <w:szCs w:val="24"/>
        </w:rPr>
        <w:t xml:space="preserve">within </w:t>
      </w:r>
      <w:r w:rsidRPr="00726487">
        <w:rPr>
          <w:szCs w:val="24"/>
        </w:rPr>
        <w:t xml:space="preserve">the </w:t>
      </w:r>
      <w:r w:rsidR="00FF0D66">
        <w:rPr>
          <w:szCs w:val="24"/>
        </w:rPr>
        <w:t xml:space="preserve">United Nations </w:t>
      </w:r>
      <w:r w:rsidRPr="00726487">
        <w:rPr>
          <w:szCs w:val="24"/>
        </w:rPr>
        <w:t xml:space="preserve">system, to offer a safe place for staff to discuss any workplace concerns and explore possible options to address them, </w:t>
      </w:r>
      <w:r w:rsidR="008222FD">
        <w:rPr>
          <w:szCs w:val="24"/>
        </w:rPr>
        <w:t xml:space="preserve">with </w:t>
      </w:r>
      <w:r w:rsidRPr="00726487">
        <w:rPr>
          <w:szCs w:val="24"/>
        </w:rPr>
        <w:t xml:space="preserve">the premises of independence, neutrality, confidentiality, and informality. This function will be outsourced, following the practice of many UN organizations, to ensure effective use of resources. Along these lines, ITU has started discussions with the Office of </w:t>
      </w:r>
      <w:r w:rsidR="00956A2B">
        <w:rPr>
          <w:szCs w:val="24"/>
        </w:rPr>
        <w:t xml:space="preserve">the United Nations </w:t>
      </w:r>
      <w:r w:rsidRPr="00726487">
        <w:rPr>
          <w:szCs w:val="24"/>
        </w:rPr>
        <w:t>Ombudsman and Mediation Services (</w:t>
      </w:r>
      <w:r w:rsidR="00DE0F23">
        <w:rPr>
          <w:szCs w:val="24"/>
        </w:rPr>
        <w:t>UN</w:t>
      </w:r>
      <w:r w:rsidRPr="00726487">
        <w:rPr>
          <w:szCs w:val="24"/>
        </w:rPr>
        <w:t>OMS) to seek advice on the way forward.</w:t>
      </w:r>
    </w:p>
    <w:p w14:paraId="3F555FE9" w14:textId="2235DC9F" w:rsidR="004914A4" w:rsidRDefault="00256C3A" w:rsidP="008716A0">
      <w:pPr>
        <w:spacing w:before="720"/>
        <w:rPr>
          <w:szCs w:val="24"/>
        </w:rPr>
      </w:pPr>
      <w:r w:rsidRPr="00256C3A">
        <w:rPr>
          <w:b/>
          <w:bCs/>
          <w:szCs w:val="24"/>
        </w:rPr>
        <w:t>Annex</w:t>
      </w:r>
      <w:r>
        <w:rPr>
          <w:szCs w:val="24"/>
        </w:rPr>
        <w:t>: 1</w:t>
      </w:r>
      <w:r w:rsidR="004914A4">
        <w:rPr>
          <w:szCs w:val="24"/>
        </w:rPr>
        <w:br w:type="page"/>
      </w:r>
    </w:p>
    <w:p w14:paraId="6D7DD235" w14:textId="606954C3" w:rsidR="00256C3A" w:rsidRDefault="001B6C26" w:rsidP="00256C3A">
      <w:pPr>
        <w:pStyle w:val="AnnexNo"/>
      </w:pPr>
      <w:r w:rsidRPr="00AB536C">
        <w:lastRenderedPageBreak/>
        <w:t>Annex</w:t>
      </w:r>
      <w:r w:rsidR="00FB519A">
        <w:t xml:space="preserve"> 1</w:t>
      </w:r>
    </w:p>
    <w:p w14:paraId="1D8F551F" w14:textId="2C67EBB2" w:rsidR="001B6C26" w:rsidRPr="00AB536C" w:rsidRDefault="001B6C26" w:rsidP="00256C3A">
      <w:pPr>
        <w:pStyle w:val="Annextitle"/>
      </w:pPr>
      <w:r>
        <w:t xml:space="preserve">Job </w:t>
      </w:r>
      <w:r w:rsidR="00575185">
        <w:t>d</w:t>
      </w:r>
      <w:r>
        <w:t>escription</w:t>
      </w:r>
      <w:r w:rsidR="00DB1FA7">
        <w:t>: Chief of Oversight (D1)</w:t>
      </w:r>
    </w:p>
    <w:p w14:paraId="7A7403EB" w14:textId="73FD07C1" w:rsidR="001B6C26" w:rsidRPr="00A222C0" w:rsidRDefault="001B6C26" w:rsidP="001B6C26">
      <w:pPr>
        <w:rPr>
          <w:b/>
          <w:bCs/>
        </w:rPr>
      </w:pPr>
      <w:r w:rsidRPr="00A222C0">
        <w:rPr>
          <w:b/>
          <w:bCs/>
        </w:rPr>
        <w:t xml:space="preserve">Organizational </w:t>
      </w:r>
      <w:r w:rsidR="00055787">
        <w:rPr>
          <w:b/>
          <w:bCs/>
        </w:rPr>
        <w:t>c</w:t>
      </w:r>
      <w:r w:rsidRPr="00A222C0">
        <w:rPr>
          <w:b/>
          <w:bCs/>
        </w:rPr>
        <w:t>ontext</w:t>
      </w:r>
    </w:p>
    <w:p w14:paraId="4FC7401D" w14:textId="2914D575" w:rsidR="001B6C26" w:rsidRDefault="001B6C26" w:rsidP="001B6C26">
      <w:r>
        <w:t xml:space="preserve">The Chief of Oversight </w:t>
      </w:r>
      <w:r w:rsidR="00DB1FA7">
        <w:t xml:space="preserve">is </w:t>
      </w:r>
      <w:r>
        <w:t xml:space="preserve">responsible for providing leadership, strategic direction, and overall management of the Oversight Unit (OU), ensuring effective coordination and collaboration between the </w:t>
      </w:r>
      <w:r w:rsidR="00C102C5">
        <w:t>i</w:t>
      </w:r>
      <w:r>
        <w:t xml:space="preserve">nternal </w:t>
      </w:r>
      <w:r w:rsidR="00C102C5">
        <w:t>a</w:t>
      </w:r>
      <w:r>
        <w:t xml:space="preserve">udit, </w:t>
      </w:r>
      <w:proofErr w:type="gramStart"/>
      <w:r w:rsidR="00C102C5">
        <w:t>i</w:t>
      </w:r>
      <w:r>
        <w:t>nvestigation</w:t>
      </w:r>
      <w:proofErr w:type="gramEnd"/>
      <w:r>
        <w:t xml:space="preserve"> and </w:t>
      </w:r>
      <w:r w:rsidR="00C102C5">
        <w:t>e</w:t>
      </w:r>
      <w:r>
        <w:t xml:space="preserve">valuation functions in collaboration with other related functions such as </w:t>
      </w:r>
      <w:r w:rsidR="00C102C5">
        <w:t>e</w:t>
      </w:r>
      <w:r>
        <w:t>thics. The Chief of Oversight reports directly to the Secretary-General.</w:t>
      </w:r>
    </w:p>
    <w:p w14:paraId="29F36830" w14:textId="15018969" w:rsidR="001B6C26" w:rsidRDefault="001B6C26" w:rsidP="001B6C26">
      <w:r>
        <w:t xml:space="preserve">The </w:t>
      </w:r>
      <w:r w:rsidR="00035459">
        <w:t xml:space="preserve">duration of service in </w:t>
      </w:r>
      <w:r>
        <w:t xml:space="preserve">this position is capped at </w:t>
      </w:r>
      <w:r w:rsidR="00C81B39">
        <w:t xml:space="preserve">five </w:t>
      </w:r>
      <w:r>
        <w:t>years as per best practice.</w:t>
      </w:r>
    </w:p>
    <w:p w14:paraId="79F0B022" w14:textId="33082D90" w:rsidR="001B6C26" w:rsidRPr="00A222C0" w:rsidRDefault="001B6C26" w:rsidP="001B6C26">
      <w:pPr>
        <w:rPr>
          <w:b/>
          <w:bCs/>
        </w:rPr>
      </w:pPr>
      <w:r w:rsidRPr="00A222C0">
        <w:rPr>
          <w:b/>
          <w:bCs/>
        </w:rPr>
        <w:t xml:space="preserve">Duties and </w:t>
      </w:r>
      <w:r w:rsidR="00055787">
        <w:rPr>
          <w:b/>
          <w:bCs/>
        </w:rPr>
        <w:t>r</w:t>
      </w:r>
      <w:r w:rsidRPr="00A222C0">
        <w:rPr>
          <w:b/>
          <w:bCs/>
        </w:rPr>
        <w:t>esponsibilities</w:t>
      </w:r>
    </w:p>
    <w:p w14:paraId="024578A0" w14:textId="77777777" w:rsidR="00093C2A" w:rsidRDefault="00093C2A" w:rsidP="00093C2A">
      <w:r>
        <w:t>The Chief of Oversight will:</w:t>
      </w:r>
    </w:p>
    <w:p w14:paraId="3E314633" w14:textId="5CF8BA66" w:rsidR="00093C2A" w:rsidRDefault="00093C2A" w:rsidP="00093C2A">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t>Provide strategic vision, leadership, and direction for OU, creating and implementing medium- and long-term strategies, policies, and frameworks that contribute to continuous improvement and added value to ITU.</w:t>
      </w:r>
    </w:p>
    <w:p w14:paraId="035EF597" w14:textId="4D13C5FA" w:rsidR="00093C2A" w:rsidRDefault="00093C2A" w:rsidP="00093C2A">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t>Ensure that the work of OU is in line with international auditing, investigation, and evaluation standards, principles, and guidelines, in keeping with the ITU internal oversight mandate.</w:t>
      </w:r>
    </w:p>
    <w:p w14:paraId="6D004AEA" w14:textId="0AC6B95F" w:rsidR="00093C2A" w:rsidRDefault="00093C2A" w:rsidP="00093C2A">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t xml:space="preserve">Offer independent, objective assurance, advice, and reporting to the Secretary-General, </w:t>
      </w:r>
      <w:r w:rsidR="006E55EF">
        <w:t>M</w:t>
      </w:r>
      <w:r>
        <w:t xml:space="preserve">ember </w:t>
      </w:r>
      <w:r w:rsidR="006E55EF">
        <w:t>S</w:t>
      </w:r>
      <w:r>
        <w:t xml:space="preserve">tates, and management </w:t>
      </w:r>
      <w:r w:rsidR="00F13D61">
        <w:t xml:space="preserve">with a view to </w:t>
      </w:r>
      <w:r>
        <w:t>improving ITU operations and supporting the organization in achieving its objectives.</w:t>
      </w:r>
    </w:p>
    <w:p w14:paraId="3F46E187" w14:textId="52E916FF" w:rsidR="00093C2A" w:rsidRDefault="00093C2A" w:rsidP="00093C2A">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rsidRPr="00730F44">
        <w:rPr>
          <w:rFonts w:cstheme="minorHAnsi"/>
        </w:rPr>
        <w:t>Lead audits, investigations and/or evaluations where necessary, especially when they are complex and/or sensitive</w:t>
      </w:r>
      <w:r w:rsidR="0069441C">
        <w:rPr>
          <w:rFonts w:cstheme="minorHAnsi"/>
        </w:rPr>
        <w:t>.</w:t>
      </w:r>
    </w:p>
    <w:p w14:paraId="1D46CEE3" w14:textId="77777777" w:rsidR="00093C2A" w:rsidRDefault="00093C2A" w:rsidP="00093C2A">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t>Prepare a yearly oversight plan based on risk and priority, in consultation with the Secretary-General, and identify significant risk exposure.</w:t>
      </w:r>
    </w:p>
    <w:p w14:paraId="407BA1F2" w14:textId="09BA9439" w:rsidR="00093C2A" w:rsidRDefault="00093C2A" w:rsidP="00093C2A">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t>Develop and maintain a quality assurance/improvement program</w:t>
      </w:r>
      <w:r w:rsidR="00055787">
        <w:t>me</w:t>
      </w:r>
      <w:r>
        <w:t xml:space="preserve"> for all aspects of </w:t>
      </w:r>
      <w:r w:rsidR="00906D12">
        <w:t xml:space="preserve">the work of </w:t>
      </w:r>
      <w:r>
        <w:t>OU, including periodic reviews and ongoing self-assessments.</w:t>
      </w:r>
    </w:p>
    <w:p w14:paraId="6200A5B1" w14:textId="77777777" w:rsidR="00093C2A" w:rsidRDefault="00093C2A" w:rsidP="00093C2A">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t>Review and appraise ITU's internal control mechanisms, organizational structures, systems, and processes, and ensure efficient and effective use of ITU resources.</w:t>
      </w:r>
    </w:p>
    <w:p w14:paraId="4DE15CE7" w14:textId="55D4F90A" w:rsidR="00093C2A" w:rsidRDefault="00093C2A" w:rsidP="00093C2A">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t>Direct OU's work and develop its capabilities, strategically managing resources and ensuring appropriate controls for performance management.</w:t>
      </w:r>
    </w:p>
    <w:p w14:paraId="59B5EF72" w14:textId="77777777" w:rsidR="00093C2A" w:rsidRDefault="00093C2A" w:rsidP="00093C2A">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t>Seek advice from the Independent Management Advisory Committee (IMAC) on oversight policies, strategies, and work plans, and report progress quarterly.</w:t>
      </w:r>
    </w:p>
    <w:p w14:paraId="33AFC6FA" w14:textId="1C7BBE75" w:rsidR="00093C2A" w:rsidRDefault="00093C2A" w:rsidP="00093C2A">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t xml:space="preserve">Represent ITU at high-level meetings within the </w:t>
      </w:r>
      <w:r w:rsidR="000653B7">
        <w:t xml:space="preserve">United Nations </w:t>
      </w:r>
      <w:r>
        <w:t xml:space="preserve">system organizations, internal and external oversight entities, </w:t>
      </w:r>
      <w:r w:rsidR="008C0059">
        <w:t>M</w:t>
      </w:r>
      <w:r>
        <w:t xml:space="preserve">ember </w:t>
      </w:r>
      <w:r w:rsidR="008C0059">
        <w:t>S</w:t>
      </w:r>
      <w:r>
        <w:t>tate structures, and other international organizations.</w:t>
      </w:r>
    </w:p>
    <w:p w14:paraId="79712122" w14:textId="77777777" w:rsidR="00093C2A" w:rsidRDefault="00093C2A" w:rsidP="00093C2A">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t>Perform other duties as assigned.</w:t>
      </w:r>
    </w:p>
    <w:p w14:paraId="38F073CD" w14:textId="77777777" w:rsidR="001B6C26" w:rsidRPr="00A222C0" w:rsidRDefault="001B6C26" w:rsidP="00EF4528">
      <w:pPr>
        <w:keepNext/>
        <w:rPr>
          <w:b/>
          <w:bCs/>
        </w:rPr>
      </w:pPr>
      <w:r w:rsidRPr="00A222C0">
        <w:rPr>
          <w:b/>
          <w:bCs/>
        </w:rPr>
        <w:t>Requirements</w:t>
      </w:r>
    </w:p>
    <w:p w14:paraId="7B97582F" w14:textId="77777777" w:rsidR="001B6C26" w:rsidRPr="00A222C0" w:rsidRDefault="001B6C26" w:rsidP="00EF4528">
      <w:pPr>
        <w:keepNext/>
        <w:rPr>
          <w:u w:val="single"/>
        </w:rPr>
      </w:pPr>
      <w:r w:rsidRPr="00A222C0">
        <w:rPr>
          <w:u w:val="single"/>
        </w:rPr>
        <w:t>Education:</w:t>
      </w:r>
    </w:p>
    <w:p w14:paraId="781F05AC" w14:textId="2B692363" w:rsidR="001B6C26" w:rsidRDefault="001B6C26" w:rsidP="001B6C26">
      <w:pPr>
        <w:pStyle w:val="ListParagraph"/>
        <w:numPr>
          <w:ilvl w:val="0"/>
          <w:numId w:val="9"/>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rsidRPr="00A222C0">
        <w:t xml:space="preserve">Advanced university degree in </w:t>
      </w:r>
      <w:r w:rsidR="00D3777B">
        <w:t>b</w:t>
      </w:r>
      <w:r>
        <w:t xml:space="preserve">usiness </w:t>
      </w:r>
      <w:r w:rsidR="00D3777B">
        <w:t>a</w:t>
      </w:r>
      <w:r>
        <w:t xml:space="preserve">dministration, </w:t>
      </w:r>
      <w:r w:rsidR="00D3777B">
        <w:t>p</w:t>
      </w:r>
      <w:r>
        <w:t xml:space="preserve">ublic </w:t>
      </w:r>
      <w:r w:rsidR="00D3777B">
        <w:t>a</w:t>
      </w:r>
      <w:r>
        <w:t xml:space="preserve">dministration, </w:t>
      </w:r>
      <w:r w:rsidR="00D3777B">
        <w:t>a</w:t>
      </w:r>
      <w:r>
        <w:t xml:space="preserve">udit, </w:t>
      </w:r>
      <w:r w:rsidR="00D3777B">
        <w:t>l</w:t>
      </w:r>
      <w:r>
        <w:t xml:space="preserve">aw, </w:t>
      </w:r>
      <w:r w:rsidR="00D3777B">
        <w:t>f</w:t>
      </w:r>
      <w:r>
        <w:t xml:space="preserve">inance, </w:t>
      </w:r>
      <w:r w:rsidR="00D3777B">
        <w:t>a</w:t>
      </w:r>
      <w:r>
        <w:t>ccounting, or a relevant field</w:t>
      </w:r>
      <w:r w:rsidR="00D3777B">
        <w:t>,</w:t>
      </w:r>
      <w:r w:rsidRPr="00A222C0">
        <w:t xml:space="preserve"> OR education in a reputed college of </w:t>
      </w:r>
      <w:r w:rsidRPr="00A222C0">
        <w:lastRenderedPageBreak/>
        <w:t>advanced education with a diploma of equivalent standard to that of an advanced university degree in one of the fields above</w:t>
      </w:r>
      <w:r>
        <w:t>.</w:t>
      </w:r>
    </w:p>
    <w:p w14:paraId="59298866" w14:textId="047876A6" w:rsidR="001B6C26" w:rsidRPr="00A222C0" w:rsidRDefault="00CA514A" w:rsidP="001B6C26">
      <w:pPr>
        <w:pStyle w:val="ListParagraph"/>
        <w:numPr>
          <w:ilvl w:val="0"/>
          <w:numId w:val="9"/>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rsidRPr="00CA514A">
        <w:t xml:space="preserve">Professional certification(s) from </w:t>
      </w:r>
      <w:r>
        <w:t>o</w:t>
      </w:r>
      <w:r w:rsidR="001B6C26">
        <w:t>ne or more recognized auditing body (CIA, CFE, CPM, CISA, or equivalent).</w:t>
      </w:r>
    </w:p>
    <w:p w14:paraId="2962A712" w14:textId="4151E56A" w:rsidR="001B6C26" w:rsidRPr="00A222C0" w:rsidRDefault="001B6C26" w:rsidP="001B6C26">
      <w:pPr>
        <w:pStyle w:val="ListParagraph"/>
        <w:numPr>
          <w:ilvl w:val="0"/>
          <w:numId w:val="9"/>
        </w:numPr>
        <w:tabs>
          <w:tab w:val="clear" w:pos="567"/>
          <w:tab w:val="clear" w:pos="1134"/>
          <w:tab w:val="clear" w:pos="1701"/>
          <w:tab w:val="clear" w:pos="2268"/>
          <w:tab w:val="clear" w:pos="2835"/>
        </w:tabs>
        <w:overflowPunct/>
        <w:autoSpaceDE/>
        <w:autoSpaceDN/>
        <w:adjustRightInd/>
        <w:spacing w:before="0" w:after="160" w:line="259" w:lineRule="auto"/>
        <w:jc w:val="left"/>
        <w:textAlignment w:val="auto"/>
      </w:pPr>
      <w:r w:rsidRPr="00A222C0">
        <w:t>For internal candidates, a first university degree in one of the fields above in combination with twenty years of qualifying experience may be accepted in lieu of an advanced university degree for promotion or rotation purposes.</w:t>
      </w:r>
    </w:p>
    <w:p w14:paraId="48B0143D" w14:textId="77777777" w:rsidR="001B6C26" w:rsidRPr="00A222C0" w:rsidRDefault="001B6C26" w:rsidP="00EF4528">
      <w:pPr>
        <w:keepNext/>
        <w:rPr>
          <w:u w:val="single"/>
        </w:rPr>
      </w:pPr>
      <w:r w:rsidRPr="00A222C0">
        <w:rPr>
          <w:u w:val="single"/>
        </w:rPr>
        <w:t>Experience:</w:t>
      </w:r>
    </w:p>
    <w:p w14:paraId="26053291" w14:textId="66606672" w:rsidR="001B6C26" w:rsidRPr="00A222C0" w:rsidRDefault="001B6C26" w:rsidP="001B6C26">
      <w:r w:rsidRPr="00A222C0">
        <w:t>At least fifteen years of experience in the field</w:t>
      </w:r>
      <w:r w:rsidR="000E51E1">
        <w:t>s</w:t>
      </w:r>
      <w:r w:rsidRPr="00A222C0">
        <w:t xml:space="preserve"> of </w:t>
      </w:r>
      <w:r>
        <w:t xml:space="preserve">audit, evaluation, investigation, management advisory services, business process improvement, organizational governance, oversight, </w:t>
      </w:r>
      <w:r w:rsidR="007E2161">
        <w:t xml:space="preserve">or </w:t>
      </w:r>
      <w:r>
        <w:t xml:space="preserve">risk management, with </w:t>
      </w:r>
      <w:r w:rsidR="00383C2F" w:rsidRPr="00A222C0">
        <w:t xml:space="preserve">progressively </w:t>
      </w:r>
      <w:r w:rsidR="00383C2F">
        <w:t xml:space="preserve">greater </w:t>
      </w:r>
      <w:r w:rsidR="00383C2F" w:rsidRPr="00A222C0">
        <w:t>responsib</w:t>
      </w:r>
      <w:r w:rsidR="00383C2F">
        <w:t xml:space="preserve">ility and </w:t>
      </w:r>
      <w:r w:rsidR="00D35368">
        <w:t xml:space="preserve">including </w:t>
      </w:r>
      <w:r>
        <w:t>at least five years at a senior management and policy-making level in an international environment or in the private sector</w:t>
      </w:r>
      <w:r w:rsidRPr="00A222C0">
        <w:t>.</w:t>
      </w:r>
      <w:r w:rsidR="000E51E1">
        <w:t xml:space="preserve"> </w:t>
      </w:r>
      <w:r w:rsidRPr="00A222C0">
        <w:t xml:space="preserve">A </w:t>
      </w:r>
      <w:r w:rsidR="006310D1">
        <w:t>d</w:t>
      </w:r>
      <w:r w:rsidRPr="00A222C0">
        <w:t xml:space="preserve">octorate in a related field </w:t>
      </w:r>
      <w:r w:rsidR="006310D1">
        <w:t xml:space="preserve">may </w:t>
      </w:r>
      <w:r w:rsidRPr="00A222C0">
        <w:t>be considered as a substitute for three years of working experience. Proven experience at a senior level is required, including in staff supervision.</w:t>
      </w:r>
      <w:r w:rsidR="000E51E1">
        <w:t xml:space="preserve"> </w:t>
      </w:r>
      <w:r w:rsidRPr="00A222C0">
        <w:t xml:space="preserve">Experience within an organization of the </w:t>
      </w:r>
      <w:r w:rsidR="00123167">
        <w:t xml:space="preserve">United Nations </w:t>
      </w:r>
      <w:r w:rsidR="00B5604F">
        <w:t>c</w:t>
      </w:r>
      <w:r w:rsidRPr="00A222C0">
        <w:t xml:space="preserve">ommon </w:t>
      </w:r>
      <w:r w:rsidR="00B5604F">
        <w:t>s</w:t>
      </w:r>
      <w:r w:rsidRPr="00A222C0">
        <w:t>ystem</w:t>
      </w:r>
      <w:r w:rsidR="000E51E1">
        <w:t xml:space="preserve"> </w:t>
      </w:r>
      <w:r w:rsidRPr="00A222C0">
        <w:t>would be an advantage.</w:t>
      </w:r>
    </w:p>
    <w:p w14:paraId="3071A650" w14:textId="77777777" w:rsidR="001B6C26" w:rsidRPr="00A222C0" w:rsidRDefault="001B6C26" w:rsidP="00EF4528">
      <w:pPr>
        <w:keepNext/>
        <w:rPr>
          <w:u w:val="single"/>
        </w:rPr>
      </w:pPr>
      <w:r w:rsidRPr="00A222C0">
        <w:rPr>
          <w:u w:val="single"/>
        </w:rPr>
        <w:t>Languages:</w:t>
      </w:r>
    </w:p>
    <w:p w14:paraId="13062966" w14:textId="73461D24" w:rsidR="001B6C26" w:rsidRDefault="001B6C26" w:rsidP="001B6C26">
      <w:r w:rsidRPr="00A222C0">
        <w:t xml:space="preserve">Knowledge of one of the six official languages of the Union (Arabic, Chinese, English, French, Russian, Spanish) at </w:t>
      </w:r>
      <w:r w:rsidR="00123167">
        <w:t xml:space="preserve">an </w:t>
      </w:r>
      <w:r w:rsidRPr="00A222C0">
        <w:t xml:space="preserve">advanced level and knowledge of a second official language at </w:t>
      </w:r>
      <w:r w:rsidR="00123167">
        <w:t xml:space="preserve">an </w:t>
      </w:r>
      <w:r w:rsidRPr="00A222C0">
        <w:t>intermediate level. Knowledge of a third official language would be an advantage. (Under the provisions of Resolution No. 626 of the Council, a relaxation of the language requirements may be authorized in the case of candidates from developing countries: when candidates from such countries possess a thorough knowledge of one of the official languages of the Union, their applications may be taken into consideration).</w:t>
      </w:r>
    </w:p>
    <w:p w14:paraId="0245195D" w14:textId="3D619814" w:rsidR="00256C3A" w:rsidRPr="00A222C0" w:rsidRDefault="00256C3A" w:rsidP="00256C3A">
      <w:pPr>
        <w:spacing w:before="840" w:after="0"/>
        <w:jc w:val="center"/>
      </w:pPr>
      <w:r>
        <w:t>_________________</w:t>
      </w:r>
    </w:p>
    <w:sectPr w:rsidR="00256C3A" w:rsidRPr="00A222C0"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4136" w14:textId="77777777" w:rsidR="006962D6" w:rsidRDefault="006962D6">
      <w:r>
        <w:separator/>
      </w:r>
    </w:p>
  </w:endnote>
  <w:endnote w:type="continuationSeparator" w:id="0">
    <w:p w14:paraId="7AFDE91E" w14:textId="77777777" w:rsidR="006962D6" w:rsidRDefault="0069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DA5AB25" w:rsidR="00EE49E8" w:rsidRDefault="00EE49E8" w:rsidP="00EE49E8">
          <w:pPr>
            <w:pStyle w:val="Header"/>
            <w:jc w:val="left"/>
            <w:rPr>
              <w:noProof/>
            </w:rPr>
          </w:pPr>
          <w:r>
            <w:rPr>
              <w:noProof/>
            </w:rPr>
            <w:t xml:space="preserve">DPS </w:t>
          </w:r>
          <w:r w:rsidR="00256C3A">
            <w:rPr>
              <w:noProof/>
            </w:rPr>
            <w:t>521087</w:t>
          </w:r>
        </w:p>
      </w:tc>
      <w:tc>
        <w:tcPr>
          <w:tcW w:w="8261" w:type="dxa"/>
        </w:tcPr>
        <w:p w14:paraId="35709C74" w14:textId="58209FB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256C3A">
            <w:rPr>
              <w:bCs/>
            </w:rPr>
            <w:t>53</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8716A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3112574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256C3A">
            <w:rPr>
              <w:bCs/>
            </w:rPr>
            <w:t>53</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13CC" w14:textId="77777777" w:rsidR="006962D6" w:rsidRDefault="006962D6">
      <w:r>
        <w:t>____________________</w:t>
      </w:r>
    </w:p>
  </w:footnote>
  <w:footnote w:type="continuationSeparator" w:id="0">
    <w:p w14:paraId="4544D690" w14:textId="77777777" w:rsidR="006962D6" w:rsidRDefault="006962D6">
      <w:r>
        <w:continuationSeparator/>
      </w:r>
    </w:p>
  </w:footnote>
  <w:footnote w:id="1">
    <w:p w14:paraId="40C99887" w14:textId="50E561BA" w:rsidR="00967D6A" w:rsidRPr="008716A0" w:rsidRDefault="00967D6A" w:rsidP="00967D6A">
      <w:pPr>
        <w:pStyle w:val="FootnoteText"/>
        <w:spacing w:before="60" w:after="0"/>
        <w:rPr>
          <w:sz w:val="20"/>
          <w:lang w:val="en-US"/>
        </w:rPr>
      </w:pPr>
      <w:r w:rsidRPr="008716A0">
        <w:rPr>
          <w:rStyle w:val="FootnoteReference"/>
          <w:sz w:val="20"/>
        </w:rPr>
        <w:footnoteRef/>
      </w:r>
      <w:r w:rsidRPr="008716A0">
        <w:rPr>
          <w:sz w:val="20"/>
        </w:rPr>
        <w:t xml:space="preserve"> </w:t>
      </w:r>
      <w:r w:rsidRPr="008716A0">
        <w:rPr>
          <w:sz w:val="20"/>
        </w:rPr>
        <w:tab/>
        <w:t xml:space="preserve">The ITU Accountability Framework (Document </w:t>
      </w:r>
      <w:hyperlink r:id="rId1" w:history="1">
        <w:r w:rsidRPr="008716A0">
          <w:rPr>
            <w:rStyle w:val="Hyperlink"/>
            <w:sz w:val="20"/>
          </w:rPr>
          <w:t>C22/57</w:t>
        </w:r>
      </w:hyperlink>
      <w:r w:rsidRPr="008716A0">
        <w:rPr>
          <w:sz w:val="20"/>
        </w:rPr>
        <w:t>) is expressed in terms of the</w:t>
      </w:r>
      <w:r w:rsidR="00F53002" w:rsidRPr="008716A0">
        <w:rPr>
          <w:sz w:val="20"/>
        </w:rPr>
        <w:t xml:space="preserve"> Institute of Internal Auditors’</w:t>
      </w:r>
      <w:r w:rsidRPr="008716A0">
        <w:rPr>
          <w:sz w:val="20"/>
        </w:rPr>
        <w:t xml:space="preserve"> Three Lines Model (TLM) </w:t>
      </w:r>
      <w:r w:rsidR="002A475E" w:rsidRPr="008716A0">
        <w:rPr>
          <w:sz w:val="20"/>
        </w:rPr>
        <w:t>(</w:t>
      </w:r>
      <w:hyperlink r:id="rId2" w:history="1">
        <w:r w:rsidR="002A475E" w:rsidRPr="008716A0">
          <w:rPr>
            <w:rStyle w:val="Hyperlink"/>
            <w:sz w:val="20"/>
          </w:rPr>
          <w:t>theiia.org</w:t>
        </w:r>
      </w:hyperlink>
      <w:r w:rsidR="002A475E" w:rsidRPr="008716A0">
        <w:rPr>
          <w:sz w:val="20"/>
        </w:rPr>
        <w:t>)</w:t>
      </w:r>
      <w:r w:rsidRPr="008716A0">
        <w:rPr>
          <w:sz w:val="20"/>
        </w:rPr>
        <w:t xml:space="preserve">. Operational managers are the “first line” – those who own and manage risks and controls during implementation (performance and risk management). The “second line” is comprised of the control activities, established by the management of the organization to </w:t>
      </w:r>
      <w:proofErr w:type="gramStart"/>
      <w:r w:rsidRPr="008716A0">
        <w:rPr>
          <w:sz w:val="20"/>
        </w:rPr>
        <w:t>strengthen</w:t>
      </w:r>
      <w:proofErr w:type="gramEnd"/>
      <w:r w:rsidRPr="008716A0">
        <w:rPr>
          <w:sz w:val="20"/>
        </w:rPr>
        <w:t xml:space="preserve"> and monitor the first line of controls. The “third line” refers to an independent and objective assurance and advice function on all matters related to the achievement of the objectives.</w:t>
      </w:r>
    </w:p>
  </w:footnote>
  <w:footnote w:id="2">
    <w:p w14:paraId="5D6C0505" w14:textId="62C1CAFF" w:rsidR="001D6FEE" w:rsidRPr="008716A0" w:rsidRDefault="001D6FEE" w:rsidP="00F05307">
      <w:pPr>
        <w:pStyle w:val="FootnoteText"/>
        <w:spacing w:before="60" w:after="0"/>
        <w:rPr>
          <w:sz w:val="20"/>
          <w:lang w:val="en-US"/>
        </w:rPr>
      </w:pPr>
      <w:r w:rsidRPr="008716A0">
        <w:rPr>
          <w:rStyle w:val="FootnoteReference"/>
          <w:sz w:val="20"/>
        </w:rPr>
        <w:footnoteRef/>
      </w:r>
      <w:r w:rsidRPr="008716A0">
        <w:rPr>
          <w:sz w:val="20"/>
        </w:rPr>
        <w:t xml:space="preserve"> </w:t>
      </w:r>
      <w:r w:rsidRPr="008716A0">
        <w:rPr>
          <w:sz w:val="20"/>
        </w:rPr>
        <w:tab/>
        <w:t>The Control Framework of the Committee of Sponsoring Organizations of the Treadway Commission (COSO) was introduced in 1992 and has since been accepted worldwide for its comprehensiveness, effectiveness, and universal principles of strong internal controls.</w:t>
      </w:r>
    </w:p>
  </w:footnote>
  <w:footnote w:id="3">
    <w:p w14:paraId="72A726E7" w14:textId="1B5E7630" w:rsidR="00F23392" w:rsidRPr="00F23392" w:rsidRDefault="00F23392" w:rsidP="00F05307">
      <w:pPr>
        <w:pStyle w:val="FootnoteText"/>
        <w:spacing w:before="60" w:after="0"/>
        <w:rPr>
          <w:lang w:val="en-US"/>
        </w:rPr>
      </w:pPr>
      <w:r w:rsidRPr="008716A0">
        <w:rPr>
          <w:rStyle w:val="FootnoteReference"/>
          <w:sz w:val="20"/>
        </w:rPr>
        <w:footnoteRef/>
      </w:r>
      <w:r w:rsidRPr="008716A0">
        <w:rPr>
          <w:sz w:val="20"/>
        </w:rPr>
        <w:t xml:space="preserve"> </w:t>
      </w:r>
      <w:r w:rsidRPr="008716A0">
        <w:rPr>
          <w:sz w:val="20"/>
          <w:lang w:val="en-US"/>
        </w:rPr>
        <w:tab/>
      </w:r>
      <w:hyperlink r:id="rId3" w:history="1">
        <w:r w:rsidRPr="008716A0">
          <w:rPr>
            <w:rStyle w:val="Hyperlink"/>
            <w:sz w:val="20"/>
            <w:lang w:val="en-US"/>
          </w:rPr>
          <w:t>www.theiia.org</w:t>
        </w:r>
      </w:hyperlink>
      <w:r w:rsidRPr="00F23392">
        <w:rPr>
          <w:sz w:val="22"/>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77A3A"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F418F"/>
    <w:multiLevelType w:val="hybridMultilevel"/>
    <w:tmpl w:val="7EEA51E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91C36F9"/>
    <w:multiLevelType w:val="hybridMultilevel"/>
    <w:tmpl w:val="7CEE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76A6B"/>
    <w:multiLevelType w:val="hybridMultilevel"/>
    <w:tmpl w:val="C616BA20"/>
    <w:lvl w:ilvl="0" w:tplc="CDD01FBA">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7C5E67"/>
    <w:multiLevelType w:val="hybridMultilevel"/>
    <w:tmpl w:val="CA06DB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E87AE9"/>
    <w:multiLevelType w:val="hybridMultilevel"/>
    <w:tmpl w:val="2BFA9F4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EC1212B"/>
    <w:multiLevelType w:val="hybridMultilevel"/>
    <w:tmpl w:val="00646D4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F8E3D24"/>
    <w:multiLevelType w:val="hybridMultilevel"/>
    <w:tmpl w:val="7700D946"/>
    <w:lvl w:ilvl="0" w:tplc="08090017">
      <w:start w:val="1"/>
      <w:numFmt w:val="lowerLetter"/>
      <w:lvlText w:val="%1)"/>
      <w:lvlJc w:val="left"/>
      <w:pPr>
        <w:ind w:left="360" w:hanging="360"/>
      </w:pPr>
    </w:lvl>
    <w:lvl w:ilvl="1" w:tplc="DEFE68C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4816267">
    <w:abstractNumId w:val="0"/>
  </w:num>
  <w:num w:numId="2" w16cid:durableId="279654368">
    <w:abstractNumId w:val="4"/>
  </w:num>
  <w:num w:numId="3" w16cid:durableId="893853191">
    <w:abstractNumId w:val="3"/>
  </w:num>
  <w:num w:numId="4" w16cid:durableId="2004164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7904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0088501">
    <w:abstractNumId w:val="3"/>
  </w:num>
  <w:num w:numId="7" w16cid:durableId="1849709330">
    <w:abstractNumId w:val="3"/>
  </w:num>
  <w:num w:numId="8" w16cid:durableId="854228020">
    <w:abstractNumId w:val="3"/>
  </w:num>
  <w:num w:numId="9" w16cid:durableId="164050764">
    <w:abstractNumId w:val="2"/>
  </w:num>
  <w:num w:numId="10" w16cid:durableId="706025580">
    <w:abstractNumId w:val="5"/>
  </w:num>
  <w:num w:numId="11" w16cid:durableId="565334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1CE3"/>
    <w:rsid w:val="000136AF"/>
    <w:rsid w:val="00015296"/>
    <w:rsid w:val="00017B16"/>
    <w:rsid w:val="000210D4"/>
    <w:rsid w:val="00035459"/>
    <w:rsid w:val="00040983"/>
    <w:rsid w:val="00055787"/>
    <w:rsid w:val="00063016"/>
    <w:rsid w:val="000653B7"/>
    <w:rsid w:val="00066795"/>
    <w:rsid w:val="00076AF6"/>
    <w:rsid w:val="00084896"/>
    <w:rsid w:val="00085CF2"/>
    <w:rsid w:val="00093C2A"/>
    <w:rsid w:val="0009512F"/>
    <w:rsid w:val="000A035D"/>
    <w:rsid w:val="000A0974"/>
    <w:rsid w:val="000B0677"/>
    <w:rsid w:val="000B1705"/>
    <w:rsid w:val="000B66EF"/>
    <w:rsid w:val="000D1FE7"/>
    <w:rsid w:val="000D75B2"/>
    <w:rsid w:val="000E51E1"/>
    <w:rsid w:val="000E54B1"/>
    <w:rsid w:val="000E76C0"/>
    <w:rsid w:val="001038BE"/>
    <w:rsid w:val="00107EBF"/>
    <w:rsid w:val="001121F5"/>
    <w:rsid w:val="00112EF8"/>
    <w:rsid w:val="00123167"/>
    <w:rsid w:val="0013652D"/>
    <w:rsid w:val="001400DC"/>
    <w:rsid w:val="00140CE1"/>
    <w:rsid w:val="0014222B"/>
    <w:rsid w:val="00155E9E"/>
    <w:rsid w:val="00161102"/>
    <w:rsid w:val="0017539C"/>
    <w:rsid w:val="00175AC2"/>
    <w:rsid w:val="0017609F"/>
    <w:rsid w:val="00182C35"/>
    <w:rsid w:val="00186C50"/>
    <w:rsid w:val="00197A33"/>
    <w:rsid w:val="001A53D1"/>
    <w:rsid w:val="001A7D1D"/>
    <w:rsid w:val="001B33FB"/>
    <w:rsid w:val="001B50C5"/>
    <w:rsid w:val="001B51DD"/>
    <w:rsid w:val="001B5B6B"/>
    <w:rsid w:val="001B6C26"/>
    <w:rsid w:val="001C628E"/>
    <w:rsid w:val="001C7158"/>
    <w:rsid w:val="001D5BB6"/>
    <w:rsid w:val="001D6FEE"/>
    <w:rsid w:val="001E0F7B"/>
    <w:rsid w:val="001F6DFF"/>
    <w:rsid w:val="001F7015"/>
    <w:rsid w:val="002119FD"/>
    <w:rsid w:val="002130E0"/>
    <w:rsid w:val="002210BE"/>
    <w:rsid w:val="00222AB4"/>
    <w:rsid w:val="002246D9"/>
    <w:rsid w:val="002247D3"/>
    <w:rsid w:val="00226DDE"/>
    <w:rsid w:val="0024658B"/>
    <w:rsid w:val="0025384C"/>
    <w:rsid w:val="00255AE2"/>
    <w:rsid w:val="00255FA9"/>
    <w:rsid w:val="00256C3A"/>
    <w:rsid w:val="00264425"/>
    <w:rsid w:val="00265875"/>
    <w:rsid w:val="00272629"/>
    <w:rsid w:val="0027303B"/>
    <w:rsid w:val="00275877"/>
    <w:rsid w:val="0028109B"/>
    <w:rsid w:val="002905FB"/>
    <w:rsid w:val="00293A3E"/>
    <w:rsid w:val="00295510"/>
    <w:rsid w:val="002A11FB"/>
    <w:rsid w:val="002A2145"/>
    <w:rsid w:val="002A2188"/>
    <w:rsid w:val="002A2755"/>
    <w:rsid w:val="002A475E"/>
    <w:rsid w:val="002A5BF8"/>
    <w:rsid w:val="002B1F58"/>
    <w:rsid w:val="002C1C7A"/>
    <w:rsid w:val="002C54E2"/>
    <w:rsid w:val="002E33D9"/>
    <w:rsid w:val="002E34F4"/>
    <w:rsid w:val="002F797E"/>
    <w:rsid w:val="0030160F"/>
    <w:rsid w:val="003029B7"/>
    <w:rsid w:val="00316E61"/>
    <w:rsid w:val="00320223"/>
    <w:rsid w:val="00322D0D"/>
    <w:rsid w:val="003408C0"/>
    <w:rsid w:val="00361465"/>
    <w:rsid w:val="00363349"/>
    <w:rsid w:val="00367609"/>
    <w:rsid w:val="00380356"/>
    <w:rsid w:val="00383C2F"/>
    <w:rsid w:val="00385948"/>
    <w:rsid w:val="00386427"/>
    <w:rsid w:val="003877F5"/>
    <w:rsid w:val="00393007"/>
    <w:rsid w:val="003942D4"/>
    <w:rsid w:val="003958A8"/>
    <w:rsid w:val="003A1BD0"/>
    <w:rsid w:val="003B02E9"/>
    <w:rsid w:val="003B131C"/>
    <w:rsid w:val="003B3D33"/>
    <w:rsid w:val="003C0F37"/>
    <w:rsid w:val="003C2533"/>
    <w:rsid w:val="003C475A"/>
    <w:rsid w:val="003D3491"/>
    <w:rsid w:val="003D5A7F"/>
    <w:rsid w:val="003E449C"/>
    <w:rsid w:val="003F0293"/>
    <w:rsid w:val="003F4C38"/>
    <w:rsid w:val="0040435A"/>
    <w:rsid w:val="0041174C"/>
    <w:rsid w:val="00412AD8"/>
    <w:rsid w:val="00416A24"/>
    <w:rsid w:val="00416E41"/>
    <w:rsid w:val="0042583D"/>
    <w:rsid w:val="00430CC7"/>
    <w:rsid w:val="00431D9E"/>
    <w:rsid w:val="00433CE8"/>
    <w:rsid w:val="00434A5C"/>
    <w:rsid w:val="00447954"/>
    <w:rsid w:val="00447E29"/>
    <w:rsid w:val="00450FC9"/>
    <w:rsid w:val="004544D9"/>
    <w:rsid w:val="0045685D"/>
    <w:rsid w:val="00460740"/>
    <w:rsid w:val="004649DC"/>
    <w:rsid w:val="00472BAD"/>
    <w:rsid w:val="004833D5"/>
    <w:rsid w:val="00483AE6"/>
    <w:rsid w:val="00484009"/>
    <w:rsid w:val="00490E72"/>
    <w:rsid w:val="00491157"/>
    <w:rsid w:val="004914A4"/>
    <w:rsid w:val="004921C8"/>
    <w:rsid w:val="00495B0B"/>
    <w:rsid w:val="004969C7"/>
    <w:rsid w:val="0049791C"/>
    <w:rsid w:val="00497AF9"/>
    <w:rsid w:val="004A1B8B"/>
    <w:rsid w:val="004A3C90"/>
    <w:rsid w:val="004B26BA"/>
    <w:rsid w:val="004B69DF"/>
    <w:rsid w:val="004D1851"/>
    <w:rsid w:val="004D3B6D"/>
    <w:rsid w:val="004D599D"/>
    <w:rsid w:val="004E2EA5"/>
    <w:rsid w:val="004E3AEB"/>
    <w:rsid w:val="0050223C"/>
    <w:rsid w:val="00506597"/>
    <w:rsid w:val="00507C9E"/>
    <w:rsid w:val="005154D7"/>
    <w:rsid w:val="00520D6C"/>
    <w:rsid w:val="00522A1D"/>
    <w:rsid w:val="00523042"/>
    <w:rsid w:val="0052384B"/>
    <w:rsid w:val="00524238"/>
    <w:rsid w:val="005243FF"/>
    <w:rsid w:val="005268A7"/>
    <w:rsid w:val="0053342D"/>
    <w:rsid w:val="00564FBC"/>
    <w:rsid w:val="00575185"/>
    <w:rsid w:val="005800BC"/>
    <w:rsid w:val="00582442"/>
    <w:rsid w:val="0058512D"/>
    <w:rsid w:val="005870C8"/>
    <w:rsid w:val="00591235"/>
    <w:rsid w:val="005A5302"/>
    <w:rsid w:val="005A5562"/>
    <w:rsid w:val="005B6A01"/>
    <w:rsid w:val="005C0415"/>
    <w:rsid w:val="005D7857"/>
    <w:rsid w:val="005E281E"/>
    <w:rsid w:val="005F3269"/>
    <w:rsid w:val="005F392C"/>
    <w:rsid w:val="005F596A"/>
    <w:rsid w:val="00603797"/>
    <w:rsid w:val="00614888"/>
    <w:rsid w:val="00623AE3"/>
    <w:rsid w:val="006244D5"/>
    <w:rsid w:val="006310D1"/>
    <w:rsid w:val="006310E8"/>
    <w:rsid w:val="00636CC2"/>
    <w:rsid w:val="006466C0"/>
    <w:rsid w:val="006466FF"/>
    <w:rsid w:val="0064737F"/>
    <w:rsid w:val="006535F1"/>
    <w:rsid w:val="0065557D"/>
    <w:rsid w:val="00660D50"/>
    <w:rsid w:val="00662984"/>
    <w:rsid w:val="00670BAC"/>
    <w:rsid w:val="006716BB"/>
    <w:rsid w:val="006779B9"/>
    <w:rsid w:val="006859D4"/>
    <w:rsid w:val="00691A80"/>
    <w:rsid w:val="0069441C"/>
    <w:rsid w:val="006962D6"/>
    <w:rsid w:val="006A1E81"/>
    <w:rsid w:val="006A4540"/>
    <w:rsid w:val="006B1859"/>
    <w:rsid w:val="006B6680"/>
    <w:rsid w:val="006B6DCC"/>
    <w:rsid w:val="006B742C"/>
    <w:rsid w:val="006B7499"/>
    <w:rsid w:val="006C5356"/>
    <w:rsid w:val="006C77A4"/>
    <w:rsid w:val="006D1D14"/>
    <w:rsid w:val="006D2C5A"/>
    <w:rsid w:val="006E55EF"/>
    <w:rsid w:val="007007DB"/>
    <w:rsid w:val="00702DEF"/>
    <w:rsid w:val="00706861"/>
    <w:rsid w:val="00706E6C"/>
    <w:rsid w:val="00713892"/>
    <w:rsid w:val="00720833"/>
    <w:rsid w:val="00726487"/>
    <w:rsid w:val="007302AF"/>
    <w:rsid w:val="00733278"/>
    <w:rsid w:val="00736ED1"/>
    <w:rsid w:val="007501AF"/>
    <w:rsid w:val="0075051B"/>
    <w:rsid w:val="00755778"/>
    <w:rsid w:val="007657B9"/>
    <w:rsid w:val="0077162B"/>
    <w:rsid w:val="00773362"/>
    <w:rsid w:val="00775008"/>
    <w:rsid w:val="007874A8"/>
    <w:rsid w:val="007902ED"/>
    <w:rsid w:val="00793188"/>
    <w:rsid w:val="00793FD1"/>
    <w:rsid w:val="00794D34"/>
    <w:rsid w:val="00796C85"/>
    <w:rsid w:val="007A0007"/>
    <w:rsid w:val="007A1C31"/>
    <w:rsid w:val="007A30C4"/>
    <w:rsid w:val="007B5CCC"/>
    <w:rsid w:val="007B7E4C"/>
    <w:rsid w:val="007C6662"/>
    <w:rsid w:val="007C6F46"/>
    <w:rsid w:val="007C6FE5"/>
    <w:rsid w:val="007D1230"/>
    <w:rsid w:val="007E2161"/>
    <w:rsid w:val="007E2A4A"/>
    <w:rsid w:val="007E4D5C"/>
    <w:rsid w:val="007E64B2"/>
    <w:rsid w:val="007F0EB6"/>
    <w:rsid w:val="007F3A66"/>
    <w:rsid w:val="008079CB"/>
    <w:rsid w:val="00813E5E"/>
    <w:rsid w:val="008222FD"/>
    <w:rsid w:val="008278A2"/>
    <w:rsid w:val="0083581B"/>
    <w:rsid w:val="00842060"/>
    <w:rsid w:val="00847D76"/>
    <w:rsid w:val="00850154"/>
    <w:rsid w:val="0085309F"/>
    <w:rsid w:val="008554A0"/>
    <w:rsid w:val="00863874"/>
    <w:rsid w:val="00864AFF"/>
    <w:rsid w:val="00865925"/>
    <w:rsid w:val="008716A0"/>
    <w:rsid w:val="0087373F"/>
    <w:rsid w:val="00876392"/>
    <w:rsid w:val="008838B8"/>
    <w:rsid w:val="008967B4"/>
    <w:rsid w:val="00897653"/>
    <w:rsid w:val="008B4A6A"/>
    <w:rsid w:val="008C0059"/>
    <w:rsid w:val="008C7E27"/>
    <w:rsid w:val="008D6E0B"/>
    <w:rsid w:val="008E0B30"/>
    <w:rsid w:val="008E51E3"/>
    <w:rsid w:val="008F7448"/>
    <w:rsid w:val="0090147A"/>
    <w:rsid w:val="009037AD"/>
    <w:rsid w:val="00903D8B"/>
    <w:rsid w:val="00906D12"/>
    <w:rsid w:val="00907CE7"/>
    <w:rsid w:val="00912C86"/>
    <w:rsid w:val="009173EF"/>
    <w:rsid w:val="00927C99"/>
    <w:rsid w:val="00931673"/>
    <w:rsid w:val="00932906"/>
    <w:rsid w:val="00951A43"/>
    <w:rsid w:val="00956A2B"/>
    <w:rsid w:val="0095755D"/>
    <w:rsid w:val="00960A74"/>
    <w:rsid w:val="00961B0B"/>
    <w:rsid w:val="00964C46"/>
    <w:rsid w:val="00967D6A"/>
    <w:rsid w:val="0098396A"/>
    <w:rsid w:val="00985E20"/>
    <w:rsid w:val="00992A12"/>
    <w:rsid w:val="00992F5B"/>
    <w:rsid w:val="00993E14"/>
    <w:rsid w:val="0099475D"/>
    <w:rsid w:val="00994D14"/>
    <w:rsid w:val="00995138"/>
    <w:rsid w:val="009A5923"/>
    <w:rsid w:val="009A7DCB"/>
    <w:rsid w:val="009B22E4"/>
    <w:rsid w:val="009B38C3"/>
    <w:rsid w:val="009B6FC4"/>
    <w:rsid w:val="009C2F5B"/>
    <w:rsid w:val="009C55EE"/>
    <w:rsid w:val="009D1E58"/>
    <w:rsid w:val="009D2A95"/>
    <w:rsid w:val="009D57EA"/>
    <w:rsid w:val="009D74DA"/>
    <w:rsid w:val="009E17BD"/>
    <w:rsid w:val="009E485A"/>
    <w:rsid w:val="009E5E0E"/>
    <w:rsid w:val="009F4F18"/>
    <w:rsid w:val="009F7850"/>
    <w:rsid w:val="00A04273"/>
    <w:rsid w:val="00A04CEC"/>
    <w:rsid w:val="00A04F30"/>
    <w:rsid w:val="00A05A85"/>
    <w:rsid w:val="00A0677A"/>
    <w:rsid w:val="00A17A2B"/>
    <w:rsid w:val="00A2087C"/>
    <w:rsid w:val="00A27F92"/>
    <w:rsid w:val="00A32257"/>
    <w:rsid w:val="00A36D20"/>
    <w:rsid w:val="00A421AE"/>
    <w:rsid w:val="00A44716"/>
    <w:rsid w:val="00A514A4"/>
    <w:rsid w:val="00A54171"/>
    <w:rsid w:val="00A55622"/>
    <w:rsid w:val="00A77A4A"/>
    <w:rsid w:val="00A817F9"/>
    <w:rsid w:val="00A83502"/>
    <w:rsid w:val="00A84ED1"/>
    <w:rsid w:val="00A86B80"/>
    <w:rsid w:val="00A93339"/>
    <w:rsid w:val="00A95CAC"/>
    <w:rsid w:val="00A96570"/>
    <w:rsid w:val="00AA2CAA"/>
    <w:rsid w:val="00AB1695"/>
    <w:rsid w:val="00AC2BD0"/>
    <w:rsid w:val="00AC2C4D"/>
    <w:rsid w:val="00AC2C6A"/>
    <w:rsid w:val="00AD15B3"/>
    <w:rsid w:val="00AD2BD2"/>
    <w:rsid w:val="00AD3606"/>
    <w:rsid w:val="00AD4A3D"/>
    <w:rsid w:val="00AD5600"/>
    <w:rsid w:val="00AF1BE4"/>
    <w:rsid w:val="00AF6E49"/>
    <w:rsid w:val="00B0447C"/>
    <w:rsid w:val="00B04A67"/>
    <w:rsid w:val="00B0583C"/>
    <w:rsid w:val="00B126FA"/>
    <w:rsid w:val="00B3463E"/>
    <w:rsid w:val="00B40A81"/>
    <w:rsid w:val="00B44910"/>
    <w:rsid w:val="00B55375"/>
    <w:rsid w:val="00B5604F"/>
    <w:rsid w:val="00B72267"/>
    <w:rsid w:val="00B73BBE"/>
    <w:rsid w:val="00B76EB6"/>
    <w:rsid w:val="00B7737B"/>
    <w:rsid w:val="00B824C8"/>
    <w:rsid w:val="00B84A1E"/>
    <w:rsid w:val="00B84B9D"/>
    <w:rsid w:val="00B904FC"/>
    <w:rsid w:val="00BB3081"/>
    <w:rsid w:val="00BB413E"/>
    <w:rsid w:val="00BC251A"/>
    <w:rsid w:val="00BC5CE6"/>
    <w:rsid w:val="00BC5D26"/>
    <w:rsid w:val="00BD032B"/>
    <w:rsid w:val="00BD4B85"/>
    <w:rsid w:val="00BD5C1D"/>
    <w:rsid w:val="00BE2640"/>
    <w:rsid w:val="00BF38E1"/>
    <w:rsid w:val="00C01189"/>
    <w:rsid w:val="00C042BC"/>
    <w:rsid w:val="00C102C5"/>
    <w:rsid w:val="00C15822"/>
    <w:rsid w:val="00C16072"/>
    <w:rsid w:val="00C26C3A"/>
    <w:rsid w:val="00C374DE"/>
    <w:rsid w:val="00C41C24"/>
    <w:rsid w:val="00C45B87"/>
    <w:rsid w:val="00C47AD4"/>
    <w:rsid w:val="00C50605"/>
    <w:rsid w:val="00C52D81"/>
    <w:rsid w:val="00C544A7"/>
    <w:rsid w:val="00C55198"/>
    <w:rsid w:val="00C601B1"/>
    <w:rsid w:val="00C60EEE"/>
    <w:rsid w:val="00C81B39"/>
    <w:rsid w:val="00C9188A"/>
    <w:rsid w:val="00CA514A"/>
    <w:rsid w:val="00CA553E"/>
    <w:rsid w:val="00CA6393"/>
    <w:rsid w:val="00CA7620"/>
    <w:rsid w:val="00CB18FF"/>
    <w:rsid w:val="00CB328E"/>
    <w:rsid w:val="00CB3E3D"/>
    <w:rsid w:val="00CD0C08"/>
    <w:rsid w:val="00CD285E"/>
    <w:rsid w:val="00CD43C1"/>
    <w:rsid w:val="00CE03FB"/>
    <w:rsid w:val="00CE433C"/>
    <w:rsid w:val="00CF0161"/>
    <w:rsid w:val="00CF33F3"/>
    <w:rsid w:val="00CF4BBB"/>
    <w:rsid w:val="00CF5D6B"/>
    <w:rsid w:val="00CF6E12"/>
    <w:rsid w:val="00CF728B"/>
    <w:rsid w:val="00D00AF8"/>
    <w:rsid w:val="00D05863"/>
    <w:rsid w:val="00D060F3"/>
    <w:rsid w:val="00D06183"/>
    <w:rsid w:val="00D116A3"/>
    <w:rsid w:val="00D12517"/>
    <w:rsid w:val="00D1459B"/>
    <w:rsid w:val="00D169E4"/>
    <w:rsid w:val="00D175A0"/>
    <w:rsid w:val="00D221EC"/>
    <w:rsid w:val="00D22C42"/>
    <w:rsid w:val="00D24834"/>
    <w:rsid w:val="00D27699"/>
    <w:rsid w:val="00D309C7"/>
    <w:rsid w:val="00D3256D"/>
    <w:rsid w:val="00D35368"/>
    <w:rsid w:val="00D36EC2"/>
    <w:rsid w:val="00D3777B"/>
    <w:rsid w:val="00D65041"/>
    <w:rsid w:val="00D67D1B"/>
    <w:rsid w:val="00D772F8"/>
    <w:rsid w:val="00D8160A"/>
    <w:rsid w:val="00D924EE"/>
    <w:rsid w:val="00D97414"/>
    <w:rsid w:val="00DA063F"/>
    <w:rsid w:val="00DA5527"/>
    <w:rsid w:val="00DB1936"/>
    <w:rsid w:val="00DB1FA7"/>
    <w:rsid w:val="00DB384B"/>
    <w:rsid w:val="00DB5075"/>
    <w:rsid w:val="00DD5D07"/>
    <w:rsid w:val="00DE0F23"/>
    <w:rsid w:val="00DE3CE1"/>
    <w:rsid w:val="00DF0189"/>
    <w:rsid w:val="00DF340F"/>
    <w:rsid w:val="00E0491C"/>
    <w:rsid w:val="00E06FD5"/>
    <w:rsid w:val="00E10E80"/>
    <w:rsid w:val="00E124F0"/>
    <w:rsid w:val="00E2058C"/>
    <w:rsid w:val="00E21B4B"/>
    <w:rsid w:val="00E43DC6"/>
    <w:rsid w:val="00E519BF"/>
    <w:rsid w:val="00E52117"/>
    <w:rsid w:val="00E536FC"/>
    <w:rsid w:val="00E5416C"/>
    <w:rsid w:val="00E60F04"/>
    <w:rsid w:val="00E62872"/>
    <w:rsid w:val="00E653D0"/>
    <w:rsid w:val="00E65B24"/>
    <w:rsid w:val="00E66E37"/>
    <w:rsid w:val="00E707FE"/>
    <w:rsid w:val="00E77826"/>
    <w:rsid w:val="00E83D6E"/>
    <w:rsid w:val="00E854E4"/>
    <w:rsid w:val="00E86DBF"/>
    <w:rsid w:val="00E93998"/>
    <w:rsid w:val="00EB0D6F"/>
    <w:rsid w:val="00EB2232"/>
    <w:rsid w:val="00EC0CDD"/>
    <w:rsid w:val="00EC5337"/>
    <w:rsid w:val="00ED5228"/>
    <w:rsid w:val="00EE49E8"/>
    <w:rsid w:val="00EF4528"/>
    <w:rsid w:val="00F0149B"/>
    <w:rsid w:val="00F05307"/>
    <w:rsid w:val="00F13D61"/>
    <w:rsid w:val="00F143C4"/>
    <w:rsid w:val="00F157B8"/>
    <w:rsid w:val="00F16BAB"/>
    <w:rsid w:val="00F2150A"/>
    <w:rsid w:val="00F231D8"/>
    <w:rsid w:val="00F23392"/>
    <w:rsid w:val="00F40333"/>
    <w:rsid w:val="00F44C00"/>
    <w:rsid w:val="00F46C5F"/>
    <w:rsid w:val="00F509DC"/>
    <w:rsid w:val="00F51B88"/>
    <w:rsid w:val="00F53002"/>
    <w:rsid w:val="00F5388C"/>
    <w:rsid w:val="00F632C0"/>
    <w:rsid w:val="00F63444"/>
    <w:rsid w:val="00F7138A"/>
    <w:rsid w:val="00F7725B"/>
    <w:rsid w:val="00F800EB"/>
    <w:rsid w:val="00F8640C"/>
    <w:rsid w:val="00F874DC"/>
    <w:rsid w:val="00F90B74"/>
    <w:rsid w:val="00F90D29"/>
    <w:rsid w:val="00F94A63"/>
    <w:rsid w:val="00FA1C28"/>
    <w:rsid w:val="00FA513B"/>
    <w:rsid w:val="00FB1279"/>
    <w:rsid w:val="00FB4D3B"/>
    <w:rsid w:val="00FB519A"/>
    <w:rsid w:val="00FB6B76"/>
    <w:rsid w:val="00FB738C"/>
    <w:rsid w:val="00FB7596"/>
    <w:rsid w:val="00FC408E"/>
    <w:rsid w:val="00FC47D4"/>
    <w:rsid w:val="00FD01E4"/>
    <w:rsid w:val="00FD4CC2"/>
    <w:rsid w:val="00FD7C65"/>
    <w:rsid w:val="00FE4077"/>
    <w:rsid w:val="00FE77D2"/>
    <w:rsid w:val="00FF068D"/>
    <w:rsid w:val="00FF0D66"/>
    <w:rsid w:val="00FF5BB2"/>
    <w:rsid w:val="00FF70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C35"/>
    <w:pPr>
      <w:tabs>
        <w:tab w:val="left" w:pos="567"/>
        <w:tab w:val="left" w:pos="1134"/>
        <w:tab w:val="left" w:pos="1701"/>
        <w:tab w:val="left" w:pos="2268"/>
        <w:tab w:val="left" w:pos="2835"/>
      </w:tabs>
      <w:overflowPunct w:val="0"/>
      <w:autoSpaceDE w:val="0"/>
      <w:autoSpaceDN w:val="0"/>
      <w:adjustRightInd w:val="0"/>
      <w:spacing w:before="120" w:after="120"/>
      <w:jc w:val="both"/>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numPr>
        <w:numId w:val="3"/>
      </w:num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D175A0"/>
    <w:pPr>
      <w:ind w:left="720"/>
      <w:contextualSpacing/>
    </w:pPr>
  </w:style>
  <w:style w:type="character" w:styleId="UnresolvedMention">
    <w:name w:val="Unresolved Mention"/>
    <w:basedOn w:val="DefaultParagraphFont"/>
    <w:uiPriority w:val="99"/>
    <w:semiHidden/>
    <w:unhideWhenUsed/>
    <w:rsid w:val="00F800EB"/>
    <w:rPr>
      <w:color w:val="605E5C"/>
      <w:shd w:val="clear" w:color="auto" w:fill="E1DFDD"/>
    </w:rPr>
  </w:style>
  <w:style w:type="character" w:styleId="CommentReference">
    <w:name w:val="annotation reference"/>
    <w:basedOn w:val="DefaultParagraphFont"/>
    <w:uiPriority w:val="99"/>
    <w:semiHidden/>
    <w:unhideWhenUsed/>
    <w:rsid w:val="00093C2A"/>
    <w:rPr>
      <w:sz w:val="16"/>
      <w:szCs w:val="16"/>
    </w:rPr>
  </w:style>
  <w:style w:type="paragraph" w:styleId="CommentText">
    <w:name w:val="annotation text"/>
    <w:basedOn w:val="Normal"/>
    <w:link w:val="CommentTextChar"/>
    <w:uiPriority w:val="99"/>
    <w:unhideWhenUsed/>
    <w:rsid w:val="00093C2A"/>
    <w:pPr>
      <w:tabs>
        <w:tab w:val="clear" w:pos="567"/>
        <w:tab w:val="clear" w:pos="1134"/>
        <w:tab w:val="clear" w:pos="1701"/>
        <w:tab w:val="clear" w:pos="2268"/>
        <w:tab w:val="clear" w:pos="2835"/>
      </w:tabs>
      <w:overflowPunct/>
      <w:autoSpaceDE/>
      <w:autoSpaceDN/>
      <w:adjustRightInd/>
      <w:spacing w:before="0" w:after="160"/>
      <w:jc w:val="left"/>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093C2A"/>
    <w:rPr>
      <w:rFonts w:asciiTheme="minorHAnsi" w:eastAsiaTheme="minorHAnsi" w:hAnsiTheme="minorHAnsi" w:cstheme="minorBidi"/>
      <w:lang w:val="en-GB" w:eastAsia="en-US"/>
    </w:rPr>
  </w:style>
  <w:style w:type="paragraph" w:styleId="Revision">
    <w:name w:val="Revision"/>
    <w:hidden/>
    <w:uiPriority w:val="99"/>
    <w:semiHidden/>
    <w:rsid w:val="00AC2C6A"/>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AC2C6A"/>
    <w:pPr>
      <w:tabs>
        <w:tab w:val="left" w:pos="567"/>
        <w:tab w:val="left" w:pos="1134"/>
        <w:tab w:val="left" w:pos="1701"/>
        <w:tab w:val="left" w:pos="2268"/>
        <w:tab w:val="left" w:pos="2835"/>
      </w:tabs>
      <w:overflowPunct w:val="0"/>
      <w:autoSpaceDE w:val="0"/>
      <w:autoSpaceDN w:val="0"/>
      <w:adjustRightInd w:val="0"/>
      <w:spacing w:before="120" w:after="120"/>
      <w:jc w:val="both"/>
      <w:textAlignment w:val="baseline"/>
    </w:pPr>
    <w:rPr>
      <w:rFonts w:ascii="Calibri" w:eastAsia="Times New Roman" w:hAnsi="Calibri" w:cs="Times New Roman"/>
      <w:b/>
      <w:bCs/>
    </w:rPr>
  </w:style>
  <w:style w:type="character" w:customStyle="1" w:styleId="CommentSubjectChar">
    <w:name w:val="Comment Subject Char"/>
    <w:basedOn w:val="CommentTextChar"/>
    <w:link w:val="CommentSubject"/>
    <w:semiHidden/>
    <w:rsid w:val="00AC2C6A"/>
    <w:rPr>
      <w:rFonts w:ascii="Calibri" w:eastAsiaTheme="minorHAnsi" w:hAnsi="Calibri"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3723">
      <w:bodyDiv w:val="1"/>
      <w:marLeft w:val="0"/>
      <w:marRight w:val="0"/>
      <w:marTop w:val="0"/>
      <w:marBottom w:val="0"/>
      <w:divBdr>
        <w:top w:val="none" w:sz="0" w:space="0" w:color="auto"/>
        <w:left w:val="none" w:sz="0" w:space="0" w:color="auto"/>
        <w:bottom w:val="none" w:sz="0" w:space="0" w:color="auto"/>
        <w:right w:val="none" w:sz="0" w:space="0" w:color="auto"/>
      </w:divBdr>
    </w:div>
    <w:div w:id="1804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jiu.org/sites/www.unjiu.org/files/jiu_document_files/products/en/reports-notes/JIU%20Products/JIU_REP_2014_6_English.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jiu.org/sites/www.unjiu.org/files/jiu_rep_2020_1_english_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2-CL-C-0022/en" TargetMode="External"/><Relationship Id="rId5" Type="http://schemas.openxmlformats.org/officeDocument/2006/relationships/numbering" Target="numbering.xml"/><Relationship Id="rId15" Type="http://schemas.openxmlformats.org/officeDocument/2006/relationships/hyperlink" Target="https://www.itu.int/md/S22-CL-C-0057/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jiu.org/sites/www.unjiu.org/files/jiu_document_files/products/en/reports-notes/JIU%20Products/JIU_REP_2016_1_English.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heiia.org" TargetMode="External"/><Relationship Id="rId2" Type="http://schemas.openxmlformats.org/officeDocument/2006/relationships/hyperlink" Target="https://www.theiia.org/globalassets/documents/resources/the-iias-three-lines-model-an-update-of-the-three-lines-of-defense-july-2020/three-lines-model-updated-english.pdf" TargetMode="External"/><Relationship Id="rId1" Type="http://schemas.openxmlformats.org/officeDocument/2006/relationships/hyperlink" Target="https://www.itu.int/md/S22-CL-C-005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16C8E-23CB-4095-A121-6DFBBDCF0BB0}">
  <ds:schemaRefs>
    <ds:schemaRef ds:uri="http://schemas.microsoft.com/sharepoint/v3/contenttype/forms"/>
  </ds:schemaRefs>
</ds:datastoreItem>
</file>

<file path=customXml/itemProps2.xml><?xml version="1.0" encoding="utf-8"?>
<ds:datastoreItem xmlns:ds="http://schemas.openxmlformats.org/officeDocument/2006/customXml" ds:itemID="{2E849A78-5E93-4EA8-BD44-9C210B308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A5343D49-B984-4605-B0DD-B02A14C19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2052</Words>
  <Characters>12819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Proposal for the Creation of an Oversight Unit</vt:lpstr>
    </vt:vector>
  </TitlesOfParts>
  <Manager>General Secretariat - Pool</Manager>
  <Company>International Telecommunication Union (ITU)</Company>
  <LinksUpToDate>false</LinksUpToDate>
  <CharactersWithSpaces>14842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the Creation of an Oversight Unit</dc:title>
  <dc:subject>Council 2023</dc:subject>
  <dc:creator>Pluchon, Beatrice</dc:creator>
  <cp:keywords>C2023, C23, Council-23</cp:keywords>
  <dc:description/>
  <cp:lastModifiedBy>Xue, Kun</cp:lastModifiedBy>
  <cp:revision>3</cp:revision>
  <cp:lastPrinted>2023-06-11T09:57:00Z</cp:lastPrinted>
  <dcterms:created xsi:type="dcterms:W3CDTF">2023-06-12T17:28:00Z</dcterms:created>
  <dcterms:modified xsi:type="dcterms:W3CDTF">2023-06-12T17:35:00Z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