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05E9C" w14:paraId="7253FC24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5FC64DE" w14:textId="78AA885F" w:rsidR="00796BD3" w:rsidRPr="00605E9C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05E9C">
              <w:rPr>
                <w:b/>
                <w:lang w:val="ru-RU"/>
              </w:rPr>
              <w:t>Пункт повестки дня:</w:t>
            </w:r>
            <w:r w:rsidR="00605E9C">
              <w:rPr>
                <w:b/>
                <w:lang w:val="en-US"/>
              </w:rPr>
              <w:t xml:space="preserve"> </w:t>
            </w:r>
            <w:r w:rsidR="00C02CE5" w:rsidRPr="00605E9C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3EB64A7A" w14:textId="77777777" w:rsidR="00796BD3" w:rsidRPr="00605E9C" w:rsidRDefault="0033025A" w:rsidP="00A10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E9C">
              <w:rPr>
                <w:b/>
                <w:lang w:val="ru-RU"/>
              </w:rPr>
              <w:t xml:space="preserve">Документ </w:t>
            </w:r>
            <w:r w:rsidR="00A10C65" w:rsidRPr="00605E9C">
              <w:rPr>
                <w:b/>
                <w:lang w:val="ru-RU"/>
              </w:rPr>
              <w:t>C23/51</w:t>
            </w:r>
            <w:r w:rsidR="00796BD3" w:rsidRPr="00605E9C">
              <w:rPr>
                <w:b/>
                <w:lang w:val="ru-RU"/>
              </w:rPr>
              <w:t>-R</w:t>
            </w:r>
          </w:p>
        </w:tc>
      </w:tr>
      <w:tr w:rsidR="00796BD3" w:rsidRPr="00605E9C" w14:paraId="2DF9B294" w14:textId="77777777" w:rsidTr="0099131E">
        <w:trPr>
          <w:cantSplit/>
        </w:trPr>
        <w:tc>
          <w:tcPr>
            <w:tcW w:w="3969" w:type="dxa"/>
            <w:vMerge/>
          </w:tcPr>
          <w:p w14:paraId="1AFCD868" w14:textId="77777777" w:rsidR="00796BD3" w:rsidRPr="00605E9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106D3D6" w14:textId="77777777" w:rsidR="00796BD3" w:rsidRPr="00605E9C" w:rsidRDefault="00C02CE5" w:rsidP="00C02CE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05E9C">
              <w:rPr>
                <w:b/>
                <w:lang w:val="ru-RU"/>
              </w:rPr>
              <w:t xml:space="preserve">9 июня </w:t>
            </w:r>
            <w:r w:rsidR="00796BD3" w:rsidRPr="00605E9C">
              <w:rPr>
                <w:b/>
                <w:lang w:val="ru-RU"/>
              </w:rPr>
              <w:t>2023</w:t>
            </w:r>
            <w:r w:rsidRPr="00605E9C">
              <w:rPr>
                <w:b/>
                <w:lang w:val="ru-RU"/>
              </w:rPr>
              <w:t> года</w:t>
            </w:r>
          </w:p>
        </w:tc>
      </w:tr>
      <w:tr w:rsidR="00796BD3" w:rsidRPr="00605E9C" w14:paraId="60371ADF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5F4498BA" w14:textId="77777777" w:rsidR="00796BD3" w:rsidRPr="00605E9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5A403EA" w14:textId="77777777" w:rsidR="00796BD3" w:rsidRPr="00605E9C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E9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05E9C" w14:paraId="301D7090" w14:textId="77777777" w:rsidTr="0099131E">
        <w:trPr>
          <w:cantSplit/>
          <w:trHeight w:val="23"/>
        </w:trPr>
        <w:tc>
          <w:tcPr>
            <w:tcW w:w="3969" w:type="dxa"/>
          </w:tcPr>
          <w:p w14:paraId="3D0EC84F" w14:textId="77777777" w:rsidR="00796BD3" w:rsidRPr="00605E9C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B275CBB" w14:textId="77777777" w:rsidR="00796BD3" w:rsidRPr="00605E9C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05E9C" w14:paraId="25931165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4741D40" w14:textId="77777777" w:rsidR="00796BD3" w:rsidRPr="00605E9C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05E9C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05E9C" w14:paraId="5A9747A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60F0DF6" w14:textId="1C289F3F" w:rsidR="00796BD3" w:rsidRPr="00605E9C" w:rsidRDefault="00995FE2" w:rsidP="00EC1E6F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05E9C">
              <w:rPr>
                <w:rFonts w:cstheme="minorHAnsi"/>
                <w:sz w:val="32"/>
                <w:szCs w:val="32"/>
                <w:lang w:val="ru-RU"/>
              </w:rPr>
              <w:t xml:space="preserve">РЕАЛИЗАЦИЯ </w:t>
            </w:r>
            <w:r w:rsidR="00C02CE5" w:rsidRPr="00605E9C">
              <w:rPr>
                <w:rFonts w:cstheme="minorHAnsi"/>
                <w:sz w:val="32"/>
                <w:szCs w:val="32"/>
                <w:lang w:val="ru-RU"/>
              </w:rPr>
              <w:t xml:space="preserve">ПРОГРАММЫ ДОБРОВОЛЬНОГО </w:t>
            </w:r>
            <w:r w:rsidR="00EC1E6F" w:rsidRPr="00605E9C">
              <w:rPr>
                <w:rFonts w:cstheme="minorHAnsi"/>
                <w:sz w:val="32"/>
                <w:szCs w:val="32"/>
                <w:lang w:val="ru-RU"/>
              </w:rPr>
              <w:t>ПРЕКРАЩЕНИЯ СЛУЖБЫ</w:t>
            </w:r>
          </w:p>
        </w:tc>
      </w:tr>
      <w:tr w:rsidR="00796BD3" w:rsidRPr="00605E9C" w14:paraId="701AE14C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8A558E3" w14:textId="77777777" w:rsidR="00796BD3" w:rsidRPr="00605E9C" w:rsidRDefault="00C02CE5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5E9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A5000A3" w14:textId="33A19135" w:rsidR="00796BD3" w:rsidRPr="00605E9C" w:rsidRDefault="00C02CE5" w:rsidP="00605E9C">
            <w:pPr>
              <w:rPr>
                <w:lang w:val="ru-RU"/>
              </w:rPr>
            </w:pPr>
            <w:r w:rsidRPr="00605E9C">
              <w:rPr>
                <w:lang w:val="ru-RU"/>
              </w:rPr>
              <w:t xml:space="preserve">Цель настоящего документа – представить отчет о выполнении программы добровольного </w:t>
            </w:r>
            <w:r w:rsidR="00EC1E6F" w:rsidRPr="00605E9C">
              <w:rPr>
                <w:szCs w:val="24"/>
                <w:lang w:val="ru-RU"/>
              </w:rPr>
              <w:t xml:space="preserve">прекращения службы </w:t>
            </w:r>
            <w:r w:rsidRPr="00605E9C">
              <w:rPr>
                <w:lang w:val="ru-RU"/>
              </w:rPr>
              <w:t xml:space="preserve">в соответствии с пунктом 6 раздела </w:t>
            </w:r>
            <w:r w:rsidRPr="00605E9C">
              <w:rPr>
                <w:i/>
                <w:lang w:val="ru-RU"/>
              </w:rPr>
              <w:t>поручает Совету МСЭ</w:t>
            </w:r>
            <w:r w:rsidRPr="00605E9C">
              <w:rPr>
                <w:lang w:val="ru-RU"/>
              </w:rPr>
              <w:t xml:space="preserve"> Решения 5 (</w:t>
            </w:r>
            <w:proofErr w:type="spellStart"/>
            <w:r w:rsidRPr="00605E9C">
              <w:rPr>
                <w:lang w:val="ru-RU"/>
              </w:rPr>
              <w:t>Пересм</w:t>
            </w:r>
            <w:proofErr w:type="spellEnd"/>
            <w:r w:rsidRPr="00605E9C">
              <w:rPr>
                <w:lang w:val="ru-RU"/>
              </w:rPr>
              <w:t>. Бухарест, 2022 г.) Полномочной конференции и Резолюци</w:t>
            </w:r>
            <w:r w:rsidR="00AB6D9B" w:rsidRPr="00605E9C">
              <w:rPr>
                <w:lang w:val="ru-RU"/>
              </w:rPr>
              <w:t>ей</w:t>
            </w:r>
            <w:r w:rsidRPr="00605E9C">
              <w:rPr>
                <w:lang w:val="ru-RU"/>
              </w:rPr>
              <w:t> 1413 (C23-EXT)</w:t>
            </w:r>
            <w:r w:rsidR="00995FE2" w:rsidRPr="00605E9C">
              <w:rPr>
                <w:lang w:val="ru-RU"/>
              </w:rPr>
              <w:t xml:space="preserve"> Совета.</w:t>
            </w:r>
          </w:p>
          <w:p w14:paraId="6A3556F0" w14:textId="77777777" w:rsidR="00796BD3" w:rsidRPr="00605E9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5E9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B551A6B" w14:textId="77777777" w:rsidR="00796BD3" w:rsidRPr="00605E9C" w:rsidRDefault="00C02CE5" w:rsidP="00605E9C">
            <w:pPr>
              <w:rPr>
                <w:lang w:val="ru-RU"/>
              </w:rPr>
            </w:pPr>
            <w:r w:rsidRPr="00605E9C">
              <w:rPr>
                <w:lang w:val="ru-RU"/>
              </w:rPr>
              <w:t xml:space="preserve">Совету МСЭ предлагается </w:t>
            </w:r>
            <w:r w:rsidRPr="00605E9C">
              <w:rPr>
                <w:b/>
                <w:lang w:val="ru-RU"/>
              </w:rPr>
              <w:t>принять к сведению</w:t>
            </w:r>
            <w:r w:rsidRPr="00605E9C">
              <w:rPr>
                <w:lang w:val="ru-RU"/>
              </w:rPr>
              <w:t xml:space="preserve"> отчет Генерального секретаря.</w:t>
            </w:r>
          </w:p>
          <w:p w14:paraId="2AE33D8F" w14:textId="77777777" w:rsidR="00796BD3" w:rsidRPr="00605E9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5E9C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ABD63C0" w14:textId="77777777" w:rsidR="00796BD3" w:rsidRPr="00605E9C" w:rsidRDefault="00C02CE5" w:rsidP="00605E9C">
            <w:pPr>
              <w:rPr>
                <w:lang w:val="ru-RU"/>
              </w:rPr>
            </w:pPr>
            <w:r w:rsidRPr="00605E9C">
              <w:rPr>
                <w:lang w:val="ru-RU"/>
              </w:rPr>
              <w:t>Развитие людских ресурсов и организационные инновации.</w:t>
            </w:r>
          </w:p>
          <w:p w14:paraId="7EA89D8E" w14:textId="1A533CE4" w:rsidR="00C02CE5" w:rsidRPr="00605E9C" w:rsidRDefault="00C02CE5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5E9C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5B14480" w14:textId="504CCC36" w:rsidR="00C02CE5" w:rsidRPr="00605E9C" w:rsidRDefault="00C02CE5" w:rsidP="00605E9C">
            <w:pPr>
              <w:rPr>
                <w:lang w:val="ru-RU"/>
              </w:rPr>
            </w:pPr>
            <w:r w:rsidRPr="00605E9C">
              <w:rPr>
                <w:lang w:val="ru-RU"/>
              </w:rPr>
              <w:t xml:space="preserve">Стоимость программы добровольного </w:t>
            </w:r>
            <w:r w:rsidR="00EC1E6F" w:rsidRPr="00605E9C">
              <w:rPr>
                <w:szCs w:val="24"/>
                <w:lang w:val="ru-RU"/>
              </w:rPr>
              <w:t xml:space="preserve">прекращения службы </w:t>
            </w:r>
            <w:r w:rsidRPr="00605E9C">
              <w:rPr>
                <w:lang w:val="ru-RU"/>
              </w:rPr>
              <w:t>оценивается в</w:t>
            </w:r>
            <w:r w:rsidR="00605E9C">
              <w:rPr>
                <w:lang w:val="en-US"/>
              </w:rPr>
              <w:t> </w:t>
            </w:r>
            <w:r w:rsidRPr="00605E9C">
              <w:rPr>
                <w:lang w:val="ru-RU"/>
              </w:rPr>
              <w:t>3</w:t>
            </w:r>
            <w:r w:rsidR="006A4D6D" w:rsidRPr="00605E9C">
              <w:rPr>
                <w:lang w:val="ru-RU"/>
              </w:rPr>
              <w:t>860 </w:t>
            </w:r>
            <w:r w:rsidRPr="00605E9C">
              <w:rPr>
                <w:lang w:val="ru-RU"/>
              </w:rPr>
              <w:t>тыс.</w:t>
            </w:r>
            <w:r w:rsidR="00605E9C">
              <w:rPr>
                <w:lang w:val="en-US"/>
              </w:rPr>
              <w:t> </w:t>
            </w:r>
            <w:r w:rsidRPr="00605E9C">
              <w:rPr>
                <w:lang w:val="ru-RU"/>
              </w:rPr>
              <w:t xml:space="preserve">швейцарских франков и финансируется из средств </w:t>
            </w:r>
            <w:r w:rsidR="00264057" w:rsidRPr="00605E9C">
              <w:rPr>
                <w:lang w:val="ru-RU"/>
              </w:rPr>
              <w:t>Р</w:t>
            </w:r>
            <w:r w:rsidRPr="00605E9C">
              <w:rPr>
                <w:lang w:val="ru-RU"/>
              </w:rPr>
              <w:t>езервного счета МСЭ.</w:t>
            </w:r>
          </w:p>
          <w:p w14:paraId="1C9DBC57" w14:textId="77777777" w:rsidR="00796BD3" w:rsidRPr="00605E9C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05E9C">
              <w:rPr>
                <w:sz w:val="20"/>
                <w:szCs w:val="18"/>
                <w:lang w:val="ru-RU"/>
              </w:rPr>
              <w:t>__________________</w:t>
            </w:r>
          </w:p>
          <w:p w14:paraId="6A4F2746" w14:textId="77777777" w:rsidR="00796BD3" w:rsidRPr="00605E9C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05E9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1"/>
          <w:p w14:paraId="79A2A82E" w14:textId="4F7424EA" w:rsidR="00796BD3" w:rsidRPr="00605E9C" w:rsidRDefault="00605E9C" w:rsidP="00605E9C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fldChar w:fldCharType="begin"/>
            </w:r>
            <w:r>
              <w:rPr>
                <w:i/>
                <w:iCs/>
                <w:lang w:val="ru-RU"/>
              </w:rPr>
              <w:instrText xml:space="preserve"> HYPERLINK "https://www.itu.int/md/S22-CEXT23-C-0007/en" </w:instrText>
            </w:r>
            <w:r>
              <w:rPr>
                <w:i/>
                <w:iCs/>
                <w:lang w:val="ru-RU"/>
              </w:rPr>
            </w:r>
            <w:r>
              <w:rPr>
                <w:i/>
                <w:iCs/>
                <w:lang w:val="ru-RU"/>
              </w:rPr>
              <w:fldChar w:fldCharType="separate"/>
            </w:r>
            <w:r w:rsidR="00C02CE5" w:rsidRPr="00605E9C">
              <w:rPr>
                <w:rStyle w:val="Hyperlink"/>
                <w:i/>
                <w:iCs/>
                <w:lang w:val="ru-RU"/>
              </w:rPr>
              <w:t>Резолюция 1413 (C23-EXT</w:t>
            </w:r>
            <w:r w:rsidR="00995FE2" w:rsidRPr="00605E9C">
              <w:rPr>
                <w:rStyle w:val="Hyperlink"/>
                <w:i/>
                <w:iCs/>
                <w:lang w:val="ru-RU"/>
              </w:rPr>
              <w:t>) Совета</w:t>
            </w:r>
            <w:bookmarkEnd w:id="7"/>
            <w:r>
              <w:rPr>
                <w:i/>
                <w:iCs/>
                <w:lang w:val="ru-RU"/>
              </w:rPr>
              <w:fldChar w:fldCharType="end"/>
            </w:r>
          </w:p>
        </w:tc>
      </w:tr>
      <w:bookmarkEnd w:id="2"/>
      <w:bookmarkEnd w:id="6"/>
    </w:tbl>
    <w:p w14:paraId="314D1479" w14:textId="77777777" w:rsidR="00605E9C" w:rsidRPr="00605E9C" w:rsidRDefault="00605E9C" w:rsidP="00605E9C">
      <w:r w:rsidRPr="00605E9C">
        <w:br w:type="page"/>
      </w:r>
    </w:p>
    <w:p w14:paraId="524212B9" w14:textId="3DF4457B" w:rsidR="00C02CE5" w:rsidRPr="00605E9C" w:rsidRDefault="00605E9C" w:rsidP="00605E9C">
      <w:pPr>
        <w:pStyle w:val="Heading1"/>
        <w:rPr>
          <w:lang w:val="ru-RU"/>
        </w:rPr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 w:rsidR="006A4D6D" w:rsidRPr="00605E9C">
        <w:rPr>
          <w:lang w:val="ru-RU"/>
        </w:rPr>
        <w:t>Введение</w:t>
      </w:r>
    </w:p>
    <w:p w14:paraId="4BD5359F" w14:textId="2FF02DE5" w:rsidR="00264057" w:rsidRPr="00605E9C" w:rsidRDefault="00264057" w:rsidP="00605E9C">
      <w:pPr>
        <w:rPr>
          <w:szCs w:val="24"/>
          <w:lang w:val="ru-RU"/>
        </w:rPr>
      </w:pPr>
      <w:r w:rsidRPr="00605E9C">
        <w:rPr>
          <w:lang w:val="ru-RU"/>
        </w:rPr>
        <w:t xml:space="preserve">В соответствии с пунктом 6 раздела </w:t>
      </w:r>
      <w:r w:rsidRPr="00605E9C">
        <w:rPr>
          <w:i/>
          <w:lang w:val="ru-RU"/>
        </w:rPr>
        <w:t xml:space="preserve">поручает Совету </w:t>
      </w:r>
      <w:r w:rsidRPr="00605E9C">
        <w:rPr>
          <w:lang w:val="ru-RU"/>
        </w:rPr>
        <w:t>Решения 5 (</w:t>
      </w:r>
      <w:proofErr w:type="spellStart"/>
      <w:r w:rsidRPr="00605E9C">
        <w:rPr>
          <w:lang w:val="ru-RU"/>
        </w:rPr>
        <w:t>Пересм</w:t>
      </w:r>
      <w:proofErr w:type="spellEnd"/>
      <w:r w:rsidRPr="00605E9C">
        <w:rPr>
          <w:lang w:val="ru-RU"/>
        </w:rPr>
        <w:t>. Бухарест, 2022 г.) Полномочной конференции</w:t>
      </w:r>
      <w:r w:rsidRPr="00605E9C">
        <w:rPr>
          <w:szCs w:val="24"/>
          <w:lang w:val="ru-RU"/>
        </w:rPr>
        <w:t xml:space="preserve"> Совет МСЭ должен учитывать последствия любой программы сокращения затрат для персонала Союза и безотлагательно, предпочтительно не позднее начала 2023 года, внедрить схемы </w:t>
      </w:r>
      <w:r w:rsidRPr="00605E9C">
        <w:rPr>
          <w:lang w:val="ru-RU"/>
        </w:rPr>
        <w:t>добровольного</w:t>
      </w:r>
      <w:r w:rsidRPr="00605E9C">
        <w:rPr>
          <w:szCs w:val="24"/>
          <w:lang w:val="ru-RU"/>
        </w:rPr>
        <w:t xml:space="preserve"> </w:t>
      </w:r>
      <w:r w:rsidR="00EC1E6F" w:rsidRPr="00605E9C">
        <w:rPr>
          <w:szCs w:val="24"/>
          <w:lang w:val="ru-RU"/>
        </w:rPr>
        <w:t xml:space="preserve">прекращения службы </w:t>
      </w:r>
      <w:r w:rsidRPr="00605E9C">
        <w:rPr>
          <w:szCs w:val="24"/>
          <w:lang w:val="ru-RU"/>
        </w:rPr>
        <w:t>и досрочного выхода на пенсию, финансируемые, насколько это возможно, из активного сальдо бюджета, но также путем снятия средств с Резервного сче</w:t>
      </w:r>
      <w:r w:rsidR="00C84E6A" w:rsidRPr="00605E9C">
        <w:rPr>
          <w:szCs w:val="24"/>
          <w:lang w:val="ru-RU"/>
        </w:rPr>
        <w:t>та МСЭ в</w:t>
      </w:r>
      <w:r w:rsidRPr="00605E9C">
        <w:rPr>
          <w:szCs w:val="24"/>
          <w:lang w:val="ru-RU"/>
        </w:rPr>
        <w:t xml:space="preserve"> сумм</w:t>
      </w:r>
      <w:r w:rsidR="00C84E6A" w:rsidRPr="00605E9C">
        <w:rPr>
          <w:szCs w:val="24"/>
          <w:lang w:val="ru-RU"/>
        </w:rPr>
        <w:t>е до 6 млн</w:t>
      </w:r>
      <w:r w:rsidR="00995FE2" w:rsidRPr="00605E9C">
        <w:rPr>
          <w:szCs w:val="24"/>
          <w:lang w:val="ru-RU"/>
        </w:rPr>
        <w:t>.</w:t>
      </w:r>
      <w:r w:rsidRPr="00605E9C">
        <w:rPr>
          <w:szCs w:val="24"/>
          <w:lang w:val="ru-RU"/>
        </w:rPr>
        <w:t xml:space="preserve"> швейцарских франков, но не более.</w:t>
      </w:r>
    </w:p>
    <w:p w14:paraId="4D76FC9D" w14:textId="7CE2D5B3" w:rsidR="00C84E6A" w:rsidRPr="00605E9C" w:rsidRDefault="00995FE2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>Совет н</w:t>
      </w:r>
      <w:r w:rsidR="00C84E6A" w:rsidRPr="00605E9C">
        <w:rPr>
          <w:szCs w:val="24"/>
          <w:lang w:val="ru-RU"/>
        </w:rPr>
        <w:t xml:space="preserve">а своей внеочередной сессии 2023 года в </w:t>
      </w:r>
      <w:r w:rsidRPr="00605E9C">
        <w:rPr>
          <w:szCs w:val="24"/>
          <w:lang w:val="ru-RU"/>
        </w:rPr>
        <w:t>Р</w:t>
      </w:r>
      <w:r w:rsidR="00C84E6A" w:rsidRPr="00605E9C">
        <w:rPr>
          <w:szCs w:val="24"/>
          <w:lang w:val="ru-RU"/>
        </w:rPr>
        <w:t xml:space="preserve">езолюции 1413 (C23-EXT) </w:t>
      </w:r>
      <w:r w:rsidRPr="00605E9C">
        <w:rPr>
          <w:szCs w:val="24"/>
          <w:lang w:val="ru-RU"/>
        </w:rPr>
        <w:t>решил</w:t>
      </w:r>
      <w:r w:rsidR="00C84E6A" w:rsidRPr="00605E9C">
        <w:rPr>
          <w:szCs w:val="24"/>
          <w:lang w:val="ru-RU"/>
        </w:rPr>
        <w:t xml:space="preserve"> уполномочить Генерального секретаря в качестве крайней меры снять с Резервного счета сумму в размере до 6</w:t>
      </w:r>
      <w:r w:rsidR="00EC1E6F" w:rsidRPr="00605E9C">
        <w:rPr>
          <w:szCs w:val="24"/>
          <w:lang w:val="ru-RU"/>
        </w:rPr>
        <w:t> </w:t>
      </w:r>
      <w:r w:rsidR="00C84E6A" w:rsidRPr="00605E9C">
        <w:rPr>
          <w:szCs w:val="24"/>
          <w:lang w:val="ru-RU"/>
        </w:rPr>
        <w:t xml:space="preserve">млн швейцарских франков для финансирования внедрения схемы добровольного/согласованного прекращения службы и досрочного выхода на пенсию и далее постановил поручить Генеральному секретарю </w:t>
      </w:r>
      <w:r w:rsidR="00C84E6A" w:rsidRPr="00605E9C">
        <w:rPr>
          <w:lang w:val="ru-RU"/>
        </w:rPr>
        <w:t>безотлагательно</w:t>
      </w:r>
      <w:r w:rsidR="00C84E6A" w:rsidRPr="00605E9C">
        <w:rPr>
          <w:szCs w:val="24"/>
          <w:lang w:val="ru-RU"/>
        </w:rPr>
        <w:t xml:space="preserve"> и предпочтительно не позднее начала 2023 года внедрить схему добровольного/согласованного прекращения службы и досрочного выхода на пенсию, с тем чтобы улучшить прогноз по исполнению бюджета и обеспечить возможность подготовки будущих сбалансированных бюджетов</w:t>
      </w:r>
      <w:r w:rsidR="00EC1E6F" w:rsidRPr="00605E9C">
        <w:rPr>
          <w:szCs w:val="24"/>
          <w:lang w:val="ru-RU"/>
        </w:rPr>
        <w:t>.</w:t>
      </w:r>
    </w:p>
    <w:p w14:paraId="68C5E36E" w14:textId="2B47C577" w:rsidR="00897640" w:rsidRPr="00605E9C" w:rsidRDefault="00605E9C" w:rsidP="00605E9C">
      <w:pPr>
        <w:pStyle w:val="Heading1"/>
        <w:rPr>
          <w:lang w:val="ru-RU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897640" w:rsidRPr="00605E9C">
        <w:rPr>
          <w:lang w:val="ru-RU"/>
        </w:rPr>
        <w:t>Процесс</w:t>
      </w:r>
    </w:p>
    <w:p w14:paraId="0AB2EF58" w14:textId="00C68206" w:rsidR="00897640" w:rsidRPr="00605E9C" w:rsidRDefault="00897640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В соответствии с этими решениями 17 марта 2023 года Генеральный секретарь приступил к </w:t>
      </w:r>
      <w:r w:rsidR="00995FE2" w:rsidRPr="00605E9C">
        <w:rPr>
          <w:szCs w:val="24"/>
          <w:lang w:val="ru-RU"/>
        </w:rPr>
        <w:t>реализации</w:t>
      </w:r>
      <w:r w:rsidRPr="00605E9C">
        <w:rPr>
          <w:szCs w:val="24"/>
          <w:lang w:val="ru-RU"/>
        </w:rPr>
        <w:t xml:space="preserve"> программы добровольного прекращения службы, финансируемой за счет утвержденного снятия средств с Резервного счета. </w:t>
      </w:r>
      <w:r w:rsidR="00995FE2" w:rsidRPr="00605E9C">
        <w:rPr>
          <w:szCs w:val="24"/>
          <w:lang w:val="ru-RU"/>
        </w:rPr>
        <w:t xml:space="preserve">Реализация программы </w:t>
      </w:r>
      <w:r w:rsidRPr="00605E9C">
        <w:rPr>
          <w:szCs w:val="24"/>
          <w:lang w:val="ru-RU"/>
        </w:rPr>
        <w:t xml:space="preserve">добровольного прекращения службы была </w:t>
      </w:r>
      <w:r w:rsidR="00995FE2" w:rsidRPr="00605E9C">
        <w:rPr>
          <w:szCs w:val="24"/>
          <w:lang w:val="ru-RU"/>
        </w:rPr>
        <w:t xml:space="preserve">начата </w:t>
      </w:r>
      <w:r w:rsidRPr="00605E9C">
        <w:rPr>
          <w:szCs w:val="24"/>
          <w:lang w:val="ru-RU"/>
        </w:rPr>
        <w:t xml:space="preserve">на основании </w:t>
      </w:r>
      <w:r w:rsidR="00231177" w:rsidRPr="00605E9C">
        <w:rPr>
          <w:szCs w:val="24"/>
          <w:lang w:val="ru-RU"/>
        </w:rPr>
        <w:t xml:space="preserve">Служебного </w:t>
      </w:r>
      <w:r w:rsidRPr="00605E9C">
        <w:rPr>
          <w:szCs w:val="24"/>
          <w:lang w:val="ru-RU"/>
        </w:rPr>
        <w:t>приказа </w:t>
      </w:r>
      <w:r w:rsidR="00CF7899" w:rsidRPr="00605E9C">
        <w:rPr>
          <w:szCs w:val="24"/>
          <w:lang w:val="ru-RU"/>
        </w:rPr>
        <w:t>23/03 в качестве</w:t>
      </w:r>
      <w:r w:rsidRPr="00605E9C">
        <w:rPr>
          <w:szCs w:val="24"/>
          <w:lang w:val="ru-RU"/>
        </w:rPr>
        <w:t xml:space="preserve"> единовременно</w:t>
      </w:r>
      <w:r w:rsidR="00CF7899" w:rsidRPr="00605E9C">
        <w:rPr>
          <w:szCs w:val="24"/>
          <w:lang w:val="ru-RU"/>
        </w:rPr>
        <w:t>го</w:t>
      </w:r>
      <w:r w:rsidRPr="00605E9C">
        <w:rPr>
          <w:szCs w:val="24"/>
          <w:lang w:val="ru-RU"/>
        </w:rPr>
        <w:t xml:space="preserve"> </w:t>
      </w:r>
      <w:r w:rsidRPr="00605E9C">
        <w:rPr>
          <w:lang w:val="ru-RU"/>
        </w:rPr>
        <w:t>мероприяти</w:t>
      </w:r>
      <w:r w:rsidR="00CF7899" w:rsidRPr="00605E9C">
        <w:rPr>
          <w:lang w:val="ru-RU"/>
        </w:rPr>
        <w:t>я</w:t>
      </w:r>
      <w:r w:rsidR="00CF7899" w:rsidRPr="00605E9C">
        <w:rPr>
          <w:szCs w:val="24"/>
          <w:lang w:val="ru-RU"/>
        </w:rPr>
        <w:t>, доступного</w:t>
      </w:r>
      <w:r w:rsidRPr="00605E9C">
        <w:rPr>
          <w:szCs w:val="24"/>
          <w:lang w:val="ru-RU"/>
        </w:rPr>
        <w:t xml:space="preserve"> в течение ограниченного периода времени, и предлагалась имеющим на это право сотрудникам в рамках доступных финансовых ресурсов и на конкретных условиях.</w:t>
      </w:r>
    </w:p>
    <w:p w14:paraId="0D94CA87" w14:textId="77777777" w:rsidR="00897640" w:rsidRPr="00605E9C" w:rsidRDefault="00897640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Цели программы </w:t>
      </w:r>
      <w:r w:rsidRPr="00605E9C">
        <w:rPr>
          <w:lang w:val="ru-RU"/>
        </w:rPr>
        <w:t>заключа</w:t>
      </w:r>
      <w:r w:rsidR="00A85AB5" w:rsidRPr="00605E9C">
        <w:rPr>
          <w:lang w:val="ru-RU"/>
        </w:rPr>
        <w:t>лись</w:t>
      </w:r>
      <w:r w:rsidRPr="00605E9C">
        <w:rPr>
          <w:szCs w:val="24"/>
          <w:lang w:val="ru-RU"/>
        </w:rPr>
        <w:t xml:space="preserve"> в следующем: </w:t>
      </w:r>
    </w:p>
    <w:p w14:paraId="202A626E" w14:textId="08835CF7" w:rsidR="00897640" w:rsidRPr="00605E9C" w:rsidRDefault="00605E9C" w:rsidP="00605E9C">
      <w:pPr>
        <w:pStyle w:val="enumlev1"/>
        <w:rPr>
          <w:lang w:val="ru-RU"/>
        </w:rPr>
      </w:pPr>
      <w:r>
        <w:rPr>
          <w:lang w:val="en-US"/>
        </w:rPr>
        <w:t>a</w:t>
      </w:r>
      <w:r w:rsidRPr="00605E9C">
        <w:rPr>
          <w:lang w:val="ru-RU"/>
        </w:rPr>
        <w:t>)</w:t>
      </w:r>
      <w:r>
        <w:rPr>
          <w:lang w:val="ru-RU"/>
        </w:rPr>
        <w:tab/>
      </w:r>
      <w:r w:rsidR="00A85AB5" w:rsidRPr="00605E9C">
        <w:rPr>
          <w:lang w:val="ru-RU"/>
        </w:rPr>
        <w:t xml:space="preserve">поддержать сбалансированность бюджетных расходов организации путем сокращения численности персонала Союза более быстрыми темпами, чем это достигается за счет естественной текучести кадров и прогнозируемого выхода на </w:t>
      </w:r>
      <w:proofErr w:type="gramStart"/>
      <w:r w:rsidR="00A85AB5" w:rsidRPr="00605E9C">
        <w:rPr>
          <w:lang w:val="ru-RU"/>
        </w:rPr>
        <w:t>пенсию;</w:t>
      </w:r>
      <w:proofErr w:type="gramEnd"/>
    </w:p>
    <w:p w14:paraId="150ED115" w14:textId="599B984D" w:rsidR="00A85AB5" w:rsidRPr="00605E9C" w:rsidRDefault="00605E9C" w:rsidP="00605E9C">
      <w:pPr>
        <w:pStyle w:val="enumlev1"/>
        <w:rPr>
          <w:lang w:val="ru-RU"/>
        </w:rPr>
      </w:pPr>
      <w:r>
        <w:rPr>
          <w:lang w:val="en-US"/>
        </w:rPr>
        <w:t>b</w:t>
      </w:r>
      <w:r w:rsidRPr="00605E9C">
        <w:rPr>
          <w:lang w:val="ru-RU"/>
        </w:rPr>
        <w:t>)</w:t>
      </w:r>
      <w:r>
        <w:rPr>
          <w:lang w:val="ru-RU"/>
        </w:rPr>
        <w:tab/>
      </w:r>
      <w:r w:rsidR="00A85AB5" w:rsidRPr="00605E9C">
        <w:rPr>
          <w:lang w:val="ru-RU"/>
        </w:rPr>
        <w:t xml:space="preserve">предоставить Союзу возможность привести свои структуры и использование ресурсов в соответствие с пересмотренными стратегическими </w:t>
      </w:r>
      <w:proofErr w:type="gramStart"/>
      <w:r w:rsidR="00A85AB5" w:rsidRPr="00605E9C">
        <w:rPr>
          <w:lang w:val="ru-RU"/>
        </w:rPr>
        <w:t>целями;</w:t>
      </w:r>
      <w:proofErr w:type="gramEnd"/>
    </w:p>
    <w:p w14:paraId="7477D22A" w14:textId="0B84B334" w:rsidR="00F04AC9" w:rsidRPr="00605E9C" w:rsidRDefault="00605E9C" w:rsidP="00605E9C">
      <w:pPr>
        <w:pStyle w:val="enumlev1"/>
        <w:rPr>
          <w:lang w:val="ru-RU"/>
        </w:rPr>
      </w:pPr>
      <w:r>
        <w:rPr>
          <w:lang w:val="en-US"/>
        </w:rPr>
        <w:t>c</w:t>
      </w:r>
      <w:r w:rsidRPr="00605E9C">
        <w:rPr>
          <w:lang w:val="ru-RU"/>
        </w:rPr>
        <w:t>)</w:t>
      </w:r>
      <w:r>
        <w:rPr>
          <w:lang w:val="ru-RU"/>
        </w:rPr>
        <w:tab/>
      </w:r>
      <w:r w:rsidR="00F04AC9" w:rsidRPr="00605E9C">
        <w:rPr>
          <w:lang w:val="ru-RU"/>
        </w:rPr>
        <w:t xml:space="preserve">предоставить Союзу гибкость для того, чтобы он смог в дальнейшем обеспечить наличие дополнительных навыков и компетенций, необходимых для выполнения </w:t>
      </w:r>
      <w:r w:rsidR="00995FE2" w:rsidRPr="00605E9C">
        <w:rPr>
          <w:lang w:val="ru-RU"/>
        </w:rPr>
        <w:t xml:space="preserve">своего </w:t>
      </w:r>
      <w:r w:rsidR="00F04AC9" w:rsidRPr="00605E9C">
        <w:rPr>
          <w:lang w:val="ru-RU"/>
        </w:rPr>
        <w:t>мандата.</w:t>
      </w:r>
    </w:p>
    <w:p w14:paraId="33C696A9" w14:textId="77777777" w:rsidR="00A713F3" w:rsidRPr="00605E9C" w:rsidRDefault="00A713F3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>Программа была разработана по результатам изучения передового опыта других организаций и предусматривал</w:t>
      </w:r>
      <w:r w:rsidR="00E844E9" w:rsidRPr="00605E9C">
        <w:rPr>
          <w:szCs w:val="24"/>
          <w:lang w:val="ru-RU"/>
        </w:rPr>
        <w:t>а различные варианты финансовых расчетов с сотрудниками</w:t>
      </w:r>
      <w:r w:rsidRPr="00605E9C">
        <w:rPr>
          <w:szCs w:val="24"/>
          <w:lang w:val="ru-RU"/>
        </w:rPr>
        <w:t xml:space="preserve">, обеспечивая сбалансированный подход с учетом потребностей организации и настоятельной необходимости </w:t>
      </w:r>
      <w:r w:rsidR="00AB6D9B" w:rsidRPr="00605E9C">
        <w:rPr>
          <w:szCs w:val="24"/>
          <w:lang w:val="ru-RU"/>
        </w:rPr>
        <w:t>реализации этого процесса</w:t>
      </w:r>
      <w:r w:rsidRPr="00605E9C">
        <w:rPr>
          <w:szCs w:val="24"/>
          <w:lang w:val="ru-RU"/>
        </w:rPr>
        <w:t xml:space="preserve"> экономически эффективным способом.</w:t>
      </w:r>
    </w:p>
    <w:p w14:paraId="648E9F8B" w14:textId="77777777" w:rsidR="00E844E9" w:rsidRPr="00605E9C" w:rsidRDefault="00E844E9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Сотрудникам было предоставлено время до 30 апреля 2023 года для подачи официального заявления на </w:t>
      </w:r>
      <w:r w:rsidRPr="00605E9C">
        <w:rPr>
          <w:lang w:val="ru-RU"/>
        </w:rPr>
        <w:t>участие</w:t>
      </w:r>
      <w:r w:rsidRPr="00605E9C">
        <w:rPr>
          <w:szCs w:val="24"/>
          <w:lang w:val="ru-RU"/>
        </w:rPr>
        <w:t xml:space="preserve"> в программе на основании финансовых расчетов, предоставленных Департаментом управления людскими ресурсами. </w:t>
      </w:r>
    </w:p>
    <w:p w14:paraId="4E8B82A5" w14:textId="4745224E" w:rsidR="00E844E9" w:rsidRPr="00605E9C" w:rsidRDefault="00411E5C" w:rsidP="00605E9C">
      <w:pPr>
        <w:pStyle w:val="Heading1"/>
        <w:rPr>
          <w:lang w:val="ru-RU"/>
        </w:rPr>
      </w:pPr>
      <w:r>
        <w:rPr>
          <w:lang w:val="en-US"/>
        </w:rPr>
        <w:lastRenderedPageBreak/>
        <w:t>3</w:t>
      </w:r>
      <w:r w:rsidR="00605E9C">
        <w:rPr>
          <w:lang w:val="en-US"/>
        </w:rPr>
        <w:tab/>
      </w:r>
      <w:r w:rsidR="00E844E9" w:rsidRPr="00605E9C">
        <w:rPr>
          <w:lang w:val="ru-RU"/>
        </w:rPr>
        <w:t>Заявления</w:t>
      </w:r>
    </w:p>
    <w:p w14:paraId="591FC40A" w14:textId="77777777" w:rsidR="00E844E9" w:rsidRPr="00605E9C" w:rsidRDefault="00777DAD" w:rsidP="00605E9C">
      <w:pPr>
        <w:keepLines/>
        <w:rPr>
          <w:szCs w:val="24"/>
          <w:lang w:val="ru-RU"/>
        </w:rPr>
      </w:pPr>
      <w:r w:rsidRPr="00605E9C">
        <w:rPr>
          <w:szCs w:val="24"/>
          <w:lang w:val="ru-RU"/>
        </w:rPr>
        <w:t>Заявления на участие в программе добровольного прекращения службы подали в</w:t>
      </w:r>
      <w:r w:rsidR="00E844E9" w:rsidRPr="00605E9C">
        <w:rPr>
          <w:szCs w:val="24"/>
          <w:lang w:val="ru-RU"/>
        </w:rPr>
        <w:t xml:space="preserve"> общей сложности 46 сотрудни</w:t>
      </w:r>
      <w:r w:rsidRPr="00605E9C">
        <w:rPr>
          <w:szCs w:val="24"/>
          <w:lang w:val="ru-RU"/>
        </w:rPr>
        <w:t>ков</w:t>
      </w:r>
      <w:r w:rsidR="00797EF1" w:rsidRPr="00605E9C">
        <w:rPr>
          <w:szCs w:val="24"/>
          <w:lang w:val="ru-RU"/>
        </w:rPr>
        <w:t>. Четыре заявления и</w:t>
      </w:r>
      <w:r w:rsidR="00E844E9" w:rsidRPr="00605E9C">
        <w:rPr>
          <w:szCs w:val="24"/>
          <w:lang w:val="ru-RU"/>
        </w:rPr>
        <w:t>з 46</w:t>
      </w:r>
      <w:r w:rsidR="00797EF1" w:rsidRPr="00605E9C">
        <w:rPr>
          <w:szCs w:val="24"/>
          <w:lang w:val="ru-RU"/>
        </w:rPr>
        <w:t xml:space="preserve"> </w:t>
      </w:r>
      <w:r w:rsidR="002147DA" w:rsidRPr="00605E9C">
        <w:rPr>
          <w:szCs w:val="24"/>
          <w:lang w:val="ru-RU"/>
        </w:rPr>
        <w:t xml:space="preserve">не были рекомендованы </w:t>
      </w:r>
      <w:r w:rsidR="00AB6D9B" w:rsidRPr="00605E9C">
        <w:rPr>
          <w:szCs w:val="24"/>
          <w:lang w:val="ru-RU"/>
        </w:rPr>
        <w:t xml:space="preserve">к исполнению </w:t>
      </w:r>
      <w:r w:rsidR="002147DA" w:rsidRPr="00605E9C">
        <w:rPr>
          <w:szCs w:val="24"/>
          <w:lang w:val="ru-RU"/>
        </w:rPr>
        <w:t>Д</w:t>
      </w:r>
      <w:r w:rsidR="00E844E9" w:rsidRPr="00605E9C">
        <w:rPr>
          <w:szCs w:val="24"/>
          <w:lang w:val="ru-RU"/>
        </w:rPr>
        <w:t xml:space="preserve">иректорами </w:t>
      </w:r>
      <w:r w:rsidR="002147DA" w:rsidRPr="00605E9C">
        <w:rPr>
          <w:szCs w:val="24"/>
          <w:lang w:val="ru-RU"/>
        </w:rPr>
        <w:t>Б</w:t>
      </w:r>
      <w:r w:rsidR="00E844E9" w:rsidRPr="00605E9C">
        <w:rPr>
          <w:szCs w:val="24"/>
          <w:lang w:val="ru-RU"/>
        </w:rPr>
        <w:t xml:space="preserve">юро или руководителями департаментов Генерального секретариата </w:t>
      </w:r>
      <w:r w:rsidR="00B97087" w:rsidRPr="00605E9C">
        <w:rPr>
          <w:szCs w:val="24"/>
          <w:lang w:val="ru-RU"/>
        </w:rPr>
        <w:t xml:space="preserve">в связи с необходимостью обеспечения </w:t>
      </w:r>
      <w:r w:rsidR="00E844E9" w:rsidRPr="00605E9C">
        <w:rPr>
          <w:szCs w:val="24"/>
          <w:lang w:val="ru-RU"/>
        </w:rPr>
        <w:t>непрерывности деятельности</w:t>
      </w:r>
      <w:r w:rsidR="00B97087" w:rsidRPr="00605E9C">
        <w:rPr>
          <w:szCs w:val="24"/>
          <w:lang w:val="ru-RU"/>
        </w:rPr>
        <w:t>.</w:t>
      </w:r>
      <w:r w:rsidR="00E844E9" w:rsidRPr="00605E9C">
        <w:rPr>
          <w:szCs w:val="24"/>
          <w:lang w:val="ru-RU"/>
        </w:rPr>
        <w:t xml:space="preserve"> Поэтому Специальный комитет рассмотрел 42 </w:t>
      </w:r>
      <w:r w:rsidR="00697078" w:rsidRPr="00605E9C">
        <w:rPr>
          <w:szCs w:val="24"/>
          <w:lang w:val="ru-RU"/>
        </w:rPr>
        <w:t>заявки</w:t>
      </w:r>
      <w:r w:rsidRPr="00605E9C">
        <w:rPr>
          <w:szCs w:val="24"/>
          <w:lang w:val="ru-RU"/>
        </w:rPr>
        <w:t>, которые были распределены</w:t>
      </w:r>
      <w:r w:rsidR="00E844E9" w:rsidRPr="00605E9C">
        <w:rPr>
          <w:szCs w:val="24"/>
          <w:lang w:val="ru-RU"/>
        </w:rPr>
        <w:t xml:space="preserve"> следующим образом</w:t>
      </w:r>
      <w:r w:rsidRPr="00605E9C">
        <w:rPr>
          <w:szCs w:val="24"/>
          <w:lang w:val="ru-RU"/>
        </w:rPr>
        <w:t>:</w:t>
      </w:r>
    </w:p>
    <w:p w14:paraId="4A3C8CBA" w14:textId="77777777" w:rsidR="00605E9C" w:rsidRDefault="00E844E9" w:rsidP="00605E9C">
      <w:pPr>
        <w:pStyle w:val="TableNo"/>
        <w:rPr>
          <w:lang w:val="ru-RU"/>
        </w:rPr>
      </w:pPr>
      <w:r w:rsidRPr="00605E9C">
        <w:rPr>
          <w:lang w:val="ru-RU"/>
        </w:rPr>
        <w:t>Таблица </w:t>
      </w:r>
      <w:r w:rsidR="00C02CE5" w:rsidRPr="00605E9C">
        <w:rPr>
          <w:lang w:val="ru-RU"/>
        </w:rPr>
        <w:t>1</w:t>
      </w:r>
    </w:p>
    <w:p w14:paraId="3B30011F" w14:textId="3DDF0678" w:rsidR="00697078" w:rsidRPr="00605E9C" w:rsidRDefault="00697078" w:rsidP="00605E9C">
      <w:pPr>
        <w:pStyle w:val="Tabletitle"/>
        <w:rPr>
          <w:lang w:val="ru-RU"/>
        </w:rPr>
      </w:pPr>
      <w:r w:rsidRPr="00605E9C">
        <w:rPr>
          <w:lang w:val="ru-RU"/>
        </w:rPr>
        <w:t>Заявки, рекомендованные для</w:t>
      </w:r>
      <w:r w:rsidR="00605E9C" w:rsidRPr="00605E9C">
        <w:rPr>
          <w:lang w:val="ru-RU"/>
        </w:rPr>
        <w:t xml:space="preserve"> </w:t>
      </w:r>
      <w:r w:rsidRPr="00605E9C">
        <w:rPr>
          <w:lang w:val="ru-RU"/>
        </w:rPr>
        <w:t>утверждения Бюро/Генеральным секретариатом</w:t>
      </w:r>
    </w:p>
    <w:tbl>
      <w:tblPr>
        <w:tblW w:w="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411E5C" w:rsidRPr="00411E5C" w14:paraId="7F7F0CB2" w14:textId="77777777" w:rsidTr="00D25FBA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2E696903" w14:textId="77777777" w:rsidR="00C02CE5" w:rsidRPr="00411E5C" w:rsidRDefault="00697078" w:rsidP="00605E9C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411E5C">
              <w:rPr>
                <w:color w:val="FFFFFF" w:themeColor="background1"/>
                <w:lang w:val="ru-RU" w:eastAsia="en-GB"/>
              </w:rPr>
              <w:t>Сектор</w:t>
            </w:r>
            <w:r w:rsidR="00C02CE5" w:rsidRPr="00411E5C">
              <w:rPr>
                <w:color w:val="FFFFFF" w:themeColor="background1"/>
                <w:lang w:val="ru-RU" w:eastAsia="en-GB"/>
              </w:rPr>
              <w:t>/</w:t>
            </w:r>
            <w:r w:rsidRPr="00411E5C">
              <w:rPr>
                <w:color w:val="FFFFFF" w:themeColor="background1"/>
                <w:lang w:val="ru-RU" w:eastAsia="en-GB"/>
              </w:rPr>
              <w:t>департамент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1CEE5D53" w14:textId="77777777" w:rsidR="00C02CE5" w:rsidRPr="00411E5C" w:rsidRDefault="00697078" w:rsidP="00605E9C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411E5C">
              <w:rPr>
                <w:color w:val="FFFFFF" w:themeColor="background1"/>
                <w:lang w:val="ru-RU" w:eastAsia="en-GB"/>
              </w:rPr>
              <w:t>Заявки</w:t>
            </w:r>
          </w:p>
        </w:tc>
      </w:tr>
      <w:tr w:rsidR="00C02CE5" w:rsidRPr="00605E9C" w14:paraId="14D47946" w14:textId="77777777" w:rsidTr="00605E9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6F6CF" w14:textId="77777777" w:rsidR="00C02CE5" w:rsidRPr="00605E9C" w:rsidRDefault="00697078" w:rsidP="00605E9C">
            <w:pPr>
              <w:pStyle w:val="Tabletex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БРЭ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73DA4" w14:textId="77777777" w:rsidR="00C02CE5" w:rsidRPr="00605E9C" w:rsidRDefault="00C02CE5" w:rsidP="00411E5C">
            <w:pPr>
              <w:pStyle w:val="Tabletext"/>
              <w:ind w:right="397"/>
              <w:jc w:val="righ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4</w:t>
            </w:r>
          </w:p>
        </w:tc>
      </w:tr>
      <w:tr w:rsidR="00C02CE5" w:rsidRPr="00605E9C" w14:paraId="4F12E4D0" w14:textId="77777777" w:rsidTr="00605E9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D2ADA" w14:textId="77777777" w:rsidR="00C02CE5" w:rsidRPr="00605E9C" w:rsidRDefault="00697078" w:rsidP="00605E9C">
            <w:pPr>
              <w:pStyle w:val="Tabletex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БР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1BE6A" w14:textId="77777777" w:rsidR="00C02CE5" w:rsidRPr="00605E9C" w:rsidRDefault="00C02CE5" w:rsidP="00411E5C">
            <w:pPr>
              <w:pStyle w:val="Tabletext"/>
              <w:ind w:right="397"/>
              <w:jc w:val="righ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5</w:t>
            </w:r>
          </w:p>
        </w:tc>
      </w:tr>
      <w:tr w:rsidR="00C02CE5" w:rsidRPr="00605E9C" w14:paraId="51DBAC9C" w14:textId="77777777" w:rsidTr="00605E9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E0E684" w14:textId="77777777" w:rsidR="00C02CE5" w:rsidRPr="00605E9C" w:rsidRDefault="00697078" w:rsidP="00605E9C">
            <w:pPr>
              <w:pStyle w:val="Tabletex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БСЭ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81F76" w14:textId="77777777" w:rsidR="00C02CE5" w:rsidRPr="00605E9C" w:rsidRDefault="00C02CE5" w:rsidP="00411E5C">
            <w:pPr>
              <w:pStyle w:val="Tabletext"/>
              <w:ind w:right="397"/>
              <w:jc w:val="righ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3</w:t>
            </w:r>
          </w:p>
        </w:tc>
      </w:tr>
      <w:tr w:rsidR="00C02CE5" w:rsidRPr="00605E9C" w14:paraId="30169A23" w14:textId="77777777" w:rsidTr="00605E9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9C618" w14:textId="77777777" w:rsidR="00C02CE5" w:rsidRPr="00605E9C" w:rsidRDefault="00697078" w:rsidP="00605E9C">
            <w:pPr>
              <w:pStyle w:val="Tabletex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1765D" w14:textId="77777777" w:rsidR="00C02CE5" w:rsidRPr="00605E9C" w:rsidRDefault="00C02CE5" w:rsidP="00411E5C">
            <w:pPr>
              <w:pStyle w:val="Tabletext"/>
              <w:ind w:right="397"/>
              <w:jc w:val="right"/>
              <w:rPr>
                <w:color w:val="000000"/>
                <w:lang w:val="ru-RU" w:eastAsia="en-GB"/>
              </w:rPr>
            </w:pPr>
            <w:r w:rsidRPr="00605E9C">
              <w:rPr>
                <w:color w:val="000000"/>
                <w:lang w:val="ru-RU" w:eastAsia="en-GB"/>
              </w:rPr>
              <w:t>30</w:t>
            </w:r>
          </w:p>
        </w:tc>
      </w:tr>
      <w:tr w:rsidR="00C02CE5" w:rsidRPr="00605E9C" w14:paraId="50CB1D4D" w14:textId="77777777" w:rsidTr="00605E9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40E13" w14:textId="020E2992" w:rsidR="00C02CE5" w:rsidRPr="00411E5C" w:rsidRDefault="00697078" w:rsidP="00605E9C">
            <w:pPr>
              <w:pStyle w:val="Tabletext"/>
              <w:rPr>
                <w:b/>
                <w:bCs/>
                <w:color w:val="000000" w:themeColor="text1"/>
                <w:lang w:val="en-US" w:eastAsia="en-GB"/>
              </w:rPr>
            </w:pPr>
            <w:r w:rsidRPr="00605E9C">
              <w:rPr>
                <w:b/>
                <w:bCs/>
                <w:color w:val="000000" w:themeColor="text1"/>
                <w:lang w:val="ru-RU" w:eastAsia="en-GB"/>
              </w:rPr>
              <w:t>Итого</w:t>
            </w:r>
            <w:r w:rsidR="00411E5C" w:rsidRPr="00411E5C">
              <w:rPr>
                <w:color w:val="000000" w:themeColor="text1"/>
                <w:lang w:val="en-US" w:eastAsia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3CD52D" w14:textId="77777777" w:rsidR="00C02CE5" w:rsidRPr="00605E9C" w:rsidRDefault="00C02CE5" w:rsidP="00411E5C">
            <w:pPr>
              <w:pStyle w:val="Tabletext"/>
              <w:ind w:right="397"/>
              <w:jc w:val="right"/>
              <w:rPr>
                <w:b/>
                <w:bCs/>
                <w:color w:val="000000" w:themeColor="text1"/>
                <w:lang w:val="ru-RU" w:eastAsia="en-GB"/>
              </w:rPr>
            </w:pPr>
            <w:r w:rsidRPr="00605E9C">
              <w:rPr>
                <w:b/>
                <w:bCs/>
                <w:color w:val="000000" w:themeColor="text1"/>
                <w:lang w:val="ru-RU" w:eastAsia="en-GB"/>
              </w:rPr>
              <w:t>42</w:t>
            </w:r>
          </w:p>
        </w:tc>
      </w:tr>
    </w:tbl>
    <w:p w14:paraId="1B2FF9DA" w14:textId="5AED7547" w:rsidR="00697078" w:rsidRPr="00605E9C" w:rsidRDefault="00697078" w:rsidP="00411E5C">
      <w:pPr>
        <w:spacing w:before="360"/>
        <w:rPr>
          <w:szCs w:val="24"/>
          <w:lang w:val="ru-RU"/>
        </w:rPr>
      </w:pPr>
      <w:r w:rsidRPr="00605E9C">
        <w:rPr>
          <w:szCs w:val="24"/>
          <w:lang w:val="ru-RU"/>
        </w:rPr>
        <w:t>Что касается пола</w:t>
      </w:r>
      <w:r w:rsidR="00797EF1" w:rsidRPr="00605E9C">
        <w:rPr>
          <w:szCs w:val="24"/>
          <w:lang w:val="ru-RU"/>
        </w:rPr>
        <w:t xml:space="preserve"> заявителей</w:t>
      </w:r>
      <w:r w:rsidRPr="00605E9C">
        <w:rPr>
          <w:szCs w:val="24"/>
          <w:lang w:val="ru-RU"/>
        </w:rPr>
        <w:t>, 22 заявления поступили от сотрудников-женщин и</w:t>
      </w:r>
      <w:r w:rsidR="00411E5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20</w:t>
      </w:r>
      <w:r w:rsidR="00605E9C">
        <w:rPr>
          <w:szCs w:val="24"/>
          <w:lang w:val="en-US"/>
        </w:rPr>
        <w:t> </w:t>
      </w:r>
      <w:r w:rsidR="00411E5C" w:rsidRPr="00411E5C">
        <w:rPr>
          <w:szCs w:val="24"/>
          <w:lang w:val="ru-RU"/>
        </w:rPr>
        <w:t>−</w:t>
      </w:r>
      <w:r w:rsidR="00411E5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от</w:t>
      </w:r>
      <w:r w:rsidR="00605E9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сотрудников-</w:t>
      </w:r>
      <w:r w:rsidRPr="00605E9C">
        <w:rPr>
          <w:lang w:val="ru-RU"/>
        </w:rPr>
        <w:t>мужчин</w:t>
      </w:r>
      <w:r w:rsidRPr="00605E9C">
        <w:rPr>
          <w:szCs w:val="24"/>
          <w:lang w:val="ru-RU"/>
        </w:rPr>
        <w:t>. Средний в</w:t>
      </w:r>
      <w:r w:rsidR="002147DA" w:rsidRPr="00605E9C">
        <w:rPr>
          <w:szCs w:val="24"/>
          <w:lang w:val="ru-RU"/>
        </w:rPr>
        <w:t>озраст заявителей составил 59,8 </w:t>
      </w:r>
      <w:r w:rsidRPr="00605E9C">
        <w:rPr>
          <w:szCs w:val="24"/>
          <w:lang w:val="ru-RU"/>
        </w:rPr>
        <w:t>лет, при</w:t>
      </w:r>
      <w:r w:rsidR="00411E5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минимальном возрасте 44,5 и максимальном 64,1</w:t>
      </w:r>
      <w:r w:rsidR="00B97087" w:rsidRPr="00605E9C">
        <w:rPr>
          <w:szCs w:val="24"/>
          <w:lang w:val="ru-RU"/>
        </w:rPr>
        <w:t> года</w:t>
      </w:r>
      <w:r w:rsidR="002147DA" w:rsidRPr="00605E9C">
        <w:rPr>
          <w:szCs w:val="24"/>
          <w:lang w:val="ru-RU"/>
        </w:rPr>
        <w:t>.</w:t>
      </w:r>
    </w:p>
    <w:p w14:paraId="1A90E2BC" w14:textId="407025F4" w:rsidR="00C02CE5" w:rsidRPr="00605E9C" w:rsidRDefault="00605E9C" w:rsidP="00605E9C">
      <w:pPr>
        <w:pStyle w:val="Heading1"/>
        <w:rPr>
          <w:lang w:val="ru-RU"/>
        </w:rPr>
      </w:pPr>
      <w:r w:rsidRPr="00231177">
        <w:rPr>
          <w:lang w:val="ru-RU"/>
        </w:rPr>
        <w:t>3</w:t>
      </w:r>
      <w:r w:rsidRPr="00231177">
        <w:rPr>
          <w:lang w:val="ru-RU"/>
        </w:rPr>
        <w:tab/>
      </w:r>
      <w:r w:rsidR="002147DA" w:rsidRPr="00605E9C">
        <w:rPr>
          <w:lang w:val="ru-RU"/>
        </w:rPr>
        <w:t>Рекомендации и решения</w:t>
      </w:r>
    </w:p>
    <w:p w14:paraId="43570529" w14:textId="1C889B5C" w:rsidR="002147DA" w:rsidRPr="00605E9C" w:rsidRDefault="002147DA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В соответствии со </w:t>
      </w:r>
      <w:r w:rsidR="00231177" w:rsidRPr="00605E9C">
        <w:rPr>
          <w:szCs w:val="24"/>
          <w:lang w:val="ru-RU"/>
        </w:rPr>
        <w:t xml:space="preserve">Служебным </w:t>
      </w:r>
      <w:r w:rsidRPr="00605E9C">
        <w:rPr>
          <w:szCs w:val="24"/>
          <w:lang w:val="ru-RU"/>
        </w:rPr>
        <w:t>приказом 23/03 Генеральный секретарь назначил Специальный комитет для рассмотрения и оценки заявлений о добровольном прекращении службы от сотрудников и рекомендаций Директоров Бюро или руководителей департаментов Генерального секретариата. Специальный комитет был назначен на основе рекомендаций Директоров Бюро.</w:t>
      </w:r>
    </w:p>
    <w:p w14:paraId="7C6DDEF1" w14:textId="77777777" w:rsidR="002147DA" w:rsidRPr="00605E9C" w:rsidRDefault="002147DA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>В соответствии с решением Совета Комитет выносил рекомендации</w:t>
      </w:r>
      <w:r w:rsidR="00777DAD" w:rsidRPr="00605E9C">
        <w:rPr>
          <w:szCs w:val="24"/>
          <w:lang w:val="ru-RU"/>
        </w:rPr>
        <w:t>, уделяя приоритетное внимание интересам Союза и руководствуясь исключительно финансовыми соображениями.</w:t>
      </w:r>
      <w:r w:rsidRPr="00605E9C">
        <w:rPr>
          <w:szCs w:val="24"/>
          <w:lang w:val="ru-RU"/>
        </w:rPr>
        <w:t xml:space="preserve"> Для каждо</w:t>
      </w:r>
      <w:r w:rsidR="00187409" w:rsidRPr="00605E9C">
        <w:rPr>
          <w:szCs w:val="24"/>
          <w:lang w:val="ru-RU"/>
        </w:rPr>
        <w:t xml:space="preserve">го </w:t>
      </w:r>
      <w:r w:rsidR="00187409" w:rsidRPr="00605E9C">
        <w:rPr>
          <w:lang w:val="ru-RU"/>
        </w:rPr>
        <w:t>заявления</w:t>
      </w:r>
      <w:r w:rsidR="00187409" w:rsidRPr="00605E9C">
        <w:rPr>
          <w:szCs w:val="24"/>
          <w:lang w:val="ru-RU"/>
        </w:rPr>
        <w:t xml:space="preserve"> </w:t>
      </w:r>
      <w:r w:rsidRPr="00605E9C">
        <w:rPr>
          <w:szCs w:val="24"/>
          <w:lang w:val="ru-RU"/>
        </w:rPr>
        <w:t xml:space="preserve">была рассчитана окупаемость инвестиций (ROI) с учетом затрат на </w:t>
      </w:r>
      <w:r w:rsidR="00187409" w:rsidRPr="00605E9C">
        <w:rPr>
          <w:szCs w:val="24"/>
          <w:lang w:val="ru-RU"/>
        </w:rPr>
        <w:t>реализацию программы</w:t>
      </w:r>
      <w:r w:rsidRPr="00605E9C">
        <w:rPr>
          <w:szCs w:val="24"/>
          <w:lang w:val="ru-RU"/>
        </w:rPr>
        <w:t xml:space="preserve"> и предполагаемой долгосрочной экономии для организации</w:t>
      </w:r>
      <w:r w:rsidR="00187409" w:rsidRPr="00605E9C">
        <w:rPr>
          <w:szCs w:val="24"/>
          <w:lang w:val="ru-RU"/>
        </w:rPr>
        <w:t>.</w:t>
      </w:r>
    </w:p>
    <w:p w14:paraId="1E0EB6B8" w14:textId="667FD606" w:rsidR="002147DA" w:rsidRPr="00605E9C" w:rsidRDefault="00187409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Специальный комитет представил отчет Координационному комитету для обсуждения и далее рекомендовал Генеральному секретарю принять окончательное решение об утверждении или отклонении </w:t>
      </w:r>
      <w:r w:rsidRPr="00605E9C">
        <w:rPr>
          <w:lang w:val="ru-RU"/>
        </w:rPr>
        <w:t>заявлений</w:t>
      </w:r>
      <w:r w:rsidRPr="00605E9C">
        <w:rPr>
          <w:szCs w:val="24"/>
          <w:lang w:val="ru-RU"/>
        </w:rPr>
        <w:t xml:space="preserve">, исходя из интересов и стратегических целей Союза. В соответствии со </w:t>
      </w:r>
      <w:r w:rsidR="00231177" w:rsidRPr="00605E9C">
        <w:rPr>
          <w:szCs w:val="24"/>
          <w:lang w:val="ru-RU"/>
        </w:rPr>
        <w:t xml:space="preserve">Служебным </w:t>
      </w:r>
      <w:r w:rsidRPr="00605E9C">
        <w:rPr>
          <w:szCs w:val="24"/>
          <w:lang w:val="ru-RU"/>
        </w:rPr>
        <w:t xml:space="preserve">приказом 23/03 </w:t>
      </w:r>
      <w:r w:rsidR="00EB6D45" w:rsidRPr="00605E9C">
        <w:rPr>
          <w:szCs w:val="24"/>
          <w:lang w:val="ru-RU"/>
        </w:rPr>
        <w:t xml:space="preserve">возможность </w:t>
      </w:r>
      <w:r w:rsidRPr="00605E9C">
        <w:rPr>
          <w:szCs w:val="24"/>
          <w:lang w:val="ru-RU"/>
        </w:rPr>
        <w:t>добровольно</w:t>
      </w:r>
      <w:r w:rsidR="00EB6D45" w:rsidRPr="00605E9C">
        <w:rPr>
          <w:szCs w:val="24"/>
          <w:lang w:val="ru-RU"/>
        </w:rPr>
        <w:t>го</w:t>
      </w:r>
      <w:r w:rsidRPr="00605E9C">
        <w:rPr>
          <w:szCs w:val="24"/>
          <w:lang w:val="ru-RU"/>
        </w:rPr>
        <w:t xml:space="preserve"> </w:t>
      </w:r>
      <w:r w:rsidR="00EB6D45" w:rsidRPr="00605E9C">
        <w:rPr>
          <w:szCs w:val="24"/>
          <w:lang w:val="ru-RU"/>
        </w:rPr>
        <w:t>прекращения</w:t>
      </w:r>
      <w:r w:rsidRPr="00605E9C">
        <w:rPr>
          <w:szCs w:val="24"/>
          <w:lang w:val="ru-RU"/>
        </w:rPr>
        <w:t xml:space="preserve"> службы предоставляется по усмотрению Генерального секретаря и не является обязательным правом.</w:t>
      </w:r>
    </w:p>
    <w:p w14:paraId="35846B5D" w14:textId="2EA2A1DE" w:rsidR="00187409" w:rsidRPr="00605E9C" w:rsidRDefault="000B5807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Генеральный секретарь одобрил в общей сложности 28 заявок, исходя из интересов и стратегических </w:t>
      </w:r>
      <w:r w:rsidRPr="00605E9C">
        <w:rPr>
          <w:lang w:val="ru-RU"/>
        </w:rPr>
        <w:t>целей</w:t>
      </w:r>
      <w:r w:rsidRPr="00605E9C">
        <w:rPr>
          <w:szCs w:val="24"/>
          <w:lang w:val="ru-RU"/>
        </w:rPr>
        <w:t xml:space="preserve"> Союза и </w:t>
      </w:r>
      <w:r w:rsidR="00995FE2" w:rsidRPr="00605E9C">
        <w:rPr>
          <w:szCs w:val="24"/>
          <w:lang w:val="ru-RU"/>
        </w:rPr>
        <w:t>при</w:t>
      </w:r>
      <w:r w:rsidRPr="00605E9C">
        <w:rPr>
          <w:szCs w:val="24"/>
          <w:lang w:val="ru-RU"/>
        </w:rPr>
        <w:t xml:space="preserve"> тщательн</w:t>
      </w:r>
      <w:r w:rsidR="00995FE2" w:rsidRPr="00605E9C">
        <w:rPr>
          <w:szCs w:val="24"/>
          <w:lang w:val="ru-RU"/>
        </w:rPr>
        <w:t>о</w:t>
      </w:r>
      <w:r w:rsidRPr="00605E9C">
        <w:rPr>
          <w:szCs w:val="24"/>
          <w:lang w:val="ru-RU"/>
        </w:rPr>
        <w:t>м учет</w:t>
      </w:r>
      <w:r w:rsidR="00995FE2" w:rsidRPr="00605E9C">
        <w:rPr>
          <w:szCs w:val="24"/>
          <w:lang w:val="ru-RU"/>
        </w:rPr>
        <w:t>е</w:t>
      </w:r>
      <w:r w:rsidRPr="00605E9C">
        <w:rPr>
          <w:szCs w:val="24"/>
          <w:lang w:val="ru-RU"/>
        </w:rPr>
        <w:t xml:space="preserve"> финансовых последствий это</w:t>
      </w:r>
      <w:r w:rsidR="00795E27" w:rsidRPr="00605E9C">
        <w:rPr>
          <w:szCs w:val="24"/>
          <w:lang w:val="ru-RU"/>
        </w:rPr>
        <w:t>го</w:t>
      </w:r>
      <w:r w:rsidRPr="00605E9C">
        <w:rPr>
          <w:szCs w:val="24"/>
          <w:lang w:val="ru-RU"/>
        </w:rPr>
        <w:t xml:space="preserve"> </w:t>
      </w:r>
      <w:r w:rsidR="00795E27" w:rsidRPr="00605E9C">
        <w:rPr>
          <w:szCs w:val="24"/>
          <w:lang w:val="ru-RU"/>
        </w:rPr>
        <w:t>процесса</w:t>
      </w:r>
      <w:r w:rsidRPr="00605E9C">
        <w:rPr>
          <w:szCs w:val="24"/>
          <w:lang w:val="ru-RU"/>
        </w:rPr>
        <w:t>, в</w:t>
      </w:r>
      <w:r w:rsidR="00797EF1" w:rsidRPr="00605E9C">
        <w:rPr>
          <w:szCs w:val="24"/>
          <w:lang w:val="ru-RU"/>
        </w:rPr>
        <w:t xml:space="preserve">о исполнение </w:t>
      </w:r>
      <w:r w:rsidRPr="00605E9C">
        <w:rPr>
          <w:szCs w:val="24"/>
          <w:lang w:val="ru-RU"/>
        </w:rPr>
        <w:t>реше</w:t>
      </w:r>
      <w:r w:rsidR="00797EF1" w:rsidRPr="00605E9C">
        <w:rPr>
          <w:szCs w:val="24"/>
          <w:lang w:val="ru-RU"/>
        </w:rPr>
        <w:t>ния Совета утвердить программу с целью</w:t>
      </w:r>
      <w:r w:rsidRPr="00605E9C">
        <w:rPr>
          <w:szCs w:val="24"/>
          <w:lang w:val="ru-RU"/>
        </w:rPr>
        <w:t xml:space="preserve"> улучшить прогноз по исполнению бюджета и обеспечить возможность подготовки будущих сбалансированных бюджетов.</w:t>
      </w:r>
    </w:p>
    <w:p w14:paraId="3417A34E" w14:textId="3FBCE67F" w:rsidR="000B5807" w:rsidRPr="00605E9C" w:rsidRDefault="000B5807" w:rsidP="00605E9C">
      <w:pPr>
        <w:rPr>
          <w:szCs w:val="24"/>
          <w:lang w:val="ru-RU"/>
        </w:rPr>
      </w:pPr>
      <w:r w:rsidRPr="00605E9C">
        <w:rPr>
          <w:szCs w:val="24"/>
          <w:lang w:val="ru-RU"/>
        </w:rPr>
        <w:lastRenderedPageBreak/>
        <w:t>Окончательная стоимость реализации программы добровольного прекращения службы оценивается в 3860 тыс. швейцарских франков, при этом долгосрочная экономия</w:t>
      </w:r>
      <w:r w:rsidRPr="00605E9C">
        <w:rPr>
          <w:rStyle w:val="FootnoteReference"/>
          <w:szCs w:val="16"/>
          <w:lang w:val="ru-RU"/>
        </w:rPr>
        <w:footnoteReference w:id="1"/>
      </w:r>
      <w:r w:rsidRPr="00605E9C">
        <w:rPr>
          <w:szCs w:val="24"/>
          <w:lang w:val="ru-RU"/>
        </w:rPr>
        <w:t xml:space="preserve"> составит 14 059 тыс. швейцарских франков, а фактическая окупаемость инвестиций</w:t>
      </w:r>
      <w:r w:rsidR="00605E9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– 10 189 тыс.</w:t>
      </w:r>
      <w:r w:rsidR="00605E9C">
        <w:rPr>
          <w:szCs w:val="24"/>
          <w:lang w:val="en-US"/>
        </w:rPr>
        <w:t> </w:t>
      </w:r>
      <w:r w:rsidRPr="00605E9C">
        <w:rPr>
          <w:szCs w:val="24"/>
          <w:lang w:val="ru-RU"/>
        </w:rPr>
        <w:t>швейцарских франков (264 процента)</w:t>
      </w:r>
      <w:r w:rsidR="00E730CB" w:rsidRPr="00605E9C">
        <w:rPr>
          <w:szCs w:val="24"/>
          <w:lang w:val="ru-RU"/>
        </w:rPr>
        <w:t>.</w:t>
      </w:r>
    </w:p>
    <w:p w14:paraId="0D2B80F7" w14:textId="77777777" w:rsidR="00411E5C" w:rsidRDefault="000B5807" w:rsidP="00411E5C">
      <w:pPr>
        <w:pStyle w:val="TableNo"/>
        <w:rPr>
          <w:lang w:val="ru-RU"/>
        </w:rPr>
      </w:pPr>
      <w:r w:rsidRPr="00605E9C">
        <w:rPr>
          <w:lang w:val="ru-RU"/>
        </w:rPr>
        <w:t>Таблица </w:t>
      </w:r>
      <w:r w:rsidR="00C02CE5" w:rsidRPr="00605E9C">
        <w:rPr>
          <w:lang w:val="ru-RU"/>
        </w:rPr>
        <w:t>2</w:t>
      </w:r>
    </w:p>
    <w:p w14:paraId="09E0BCFC" w14:textId="7FAF4AC0" w:rsidR="000B5807" w:rsidRPr="00605E9C" w:rsidRDefault="000B5807" w:rsidP="00411E5C">
      <w:pPr>
        <w:pStyle w:val="Tabletitle"/>
        <w:rPr>
          <w:lang w:val="ru-RU"/>
        </w:rPr>
      </w:pPr>
      <w:r w:rsidRPr="00605E9C">
        <w:rPr>
          <w:lang w:val="ru-RU"/>
        </w:rPr>
        <w:t>Сметная стоимость реализации программы добровольного прекращения службы, прогнозируемая экономия и окупаемость инвестиций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01"/>
        <w:gridCol w:w="1385"/>
        <w:gridCol w:w="1386"/>
      </w:tblGrid>
      <w:tr w:rsidR="00C02CE5" w:rsidRPr="00605E9C" w14:paraId="3D700EEB" w14:textId="77777777" w:rsidTr="00411E5C">
        <w:trPr>
          <w:trHeight w:val="1295"/>
          <w:jc w:val="center"/>
        </w:trPr>
        <w:tc>
          <w:tcPr>
            <w:tcW w:w="1413" w:type="dxa"/>
            <w:shd w:val="clear" w:color="D9E1F2" w:fill="D9E1F2"/>
            <w:noWrap/>
            <w:vAlign w:val="center"/>
            <w:hideMark/>
          </w:tcPr>
          <w:p w14:paraId="0DBEB444" w14:textId="77777777" w:rsidR="00C02CE5" w:rsidRPr="00605E9C" w:rsidRDefault="000B5807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lang w:val="ru-RU" w:eastAsia="en-GB"/>
              </w:rPr>
              <w:t>Одобрено заявлений</w:t>
            </w:r>
          </w:p>
        </w:tc>
        <w:tc>
          <w:tcPr>
            <w:tcW w:w="1701" w:type="dxa"/>
            <w:shd w:val="clear" w:color="D9E1F2" w:fill="D9E1F2"/>
            <w:vAlign w:val="center"/>
            <w:hideMark/>
          </w:tcPr>
          <w:p w14:paraId="68164854" w14:textId="01FB8D7E" w:rsidR="00C02CE5" w:rsidRPr="00605E9C" w:rsidRDefault="000B5807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lang w:val="ru-RU" w:eastAsia="en-GB"/>
              </w:rPr>
              <w:t xml:space="preserve">Стоимость программы добровольного прекращения службы </w:t>
            </w:r>
            <w:r w:rsidR="00411E5C">
              <w:rPr>
                <w:lang w:val="ru-RU" w:eastAsia="en-GB"/>
              </w:rPr>
              <w:br/>
            </w:r>
            <w:r w:rsidRPr="00605E9C">
              <w:rPr>
                <w:lang w:val="ru-RU" w:eastAsia="en-GB"/>
              </w:rPr>
              <w:t>(</w:t>
            </w:r>
            <w:proofErr w:type="spellStart"/>
            <w:r w:rsidRPr="00605E9C">
              <w:rPr>
                <w:lang w:val="ru-RU" w:eastAsia="en-GB"/>
              </w:rPr>
              <w:t>шв</w:t>
            </w:r>
            <w:proofErr w:type="spellEnd"/>
            <w:r w:rsidRPr="00605E9C">
              <w:rPr>
                <w:lang w:val="ru-RU" w:eastAsia="en-GB"/>
              </w:rPr>
              <w:t>. фр</w:t>
            </w:r>
            <w:r w:rsidR="00E730CB" w:rsidRPr="00605E9C">
              <w:rPr>
                <w:lang w:val="ru-RU" w:eastAsia="en-GB"/>
              </w:rPr>
              <w:t>.</w:t>
            </w:r>
            <w:r w:rsidRPr="00605E9C">
              <w:rPr>
                <w:lang w:val="ru-RU" w:eastAsia="en-GB"/>
              </w:rPr>
              <w:t>)</w:t>
            </w:r>
          </w:p>
        </w:tc>
        <w:tc>
          <w:tcPr>
            <w:tcW w:w="1559" w:type="dxa"/>
            <w:shd w:val="clear" w:color="D9E1F2" w:fill="D9E1F2"/>
            <w:vAlign w:val="center"/>
            <w:hideMark/>
          </w:tcPr>
          <w:p w14:paraId="1F7C02C6" w14:textId="1948503F" w:rsidR="00C02CE5" w:rsidRPr="00605E9C" w:rsidRDefault="00D25FBA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lang w:val="ru-RU" w:eastAsia="en-GB"/>
              </w:rPr>
              <w:t>Чистая экономия 2023 г.</w:t>
            </w:r>
            <w:r w:rsidR="00411E5C">
              <w:rPr>
                <w:lang w:val="en-US" w:eastAsia="en-GB"/>
              </w:rPr>
              <w:t xml:space="preserve"> </w:t>
            </w:r>
            <w:r w:rsidR="00411E5C">
              <w:rPr>
                <w:lang w:val="ru-RU" w:eastAsia="en-GB"/>
              </w:rPr>
              <w:br/>
            </w:r>
            <w:r w:rsidRPr="00605E9C">
              <w:rPr>
                <w:lang w:val="ru-RU" w:eastAsia="en-GB"/>
              </w:rPr>
              <w:t>(</w:t>
            </w:r>
            <w:proofErr w:type="spellStart"/>
            <w:r w:rsidRPr="00605E9C">
              <w:rPr>
                <w:lang w:val="ru-RU" w:eastAsia="en-GB"/>
              </w:rPr>
              <w:t>шв</w:t>
            </w:r>
            <w:proofErr w:type="spellEnd"/>
            <w:r w:rsidRPr="00605E9C">
              <w:rPr>
                <w:lang w:val="ru-RU" w:eastAsia="en-GB"/>
              </w:rPr>
              <w:t>. фр</w:t>
            </w:r>
            <w:r w:rsidR="00E730CB" w:rsidRPr="00605E9C">
              <w:rPr>
                <w:lang w:val="ru-RU" w:eastAsia="en-GB"/>
              </w:rPr>
              <w:t>.</w:t>
            </w:r>
            <w:r w:rsidRPr="00605E9C">
              <w:rPr>
                <w:lang w:val="ru-RU" w:eastAsia="en-GB"/>
              </w:rPr>
              <w:t>)</w:t>
            </w:r>
          </w:p>
        </w:tc>
        <w:tc>
          <w:tcPr>
            <w:tcW w:w="1501" w:type="dxa"/>
            <w:shd w:val="clear" w:color="D9E1F2" w:fill="D9E1F2"/>
            <w:vAlign w:val="center"/>
            <w:hideMark/>
          </w:tcPr>
          <w:p w14:paraId="0B916CFE" w14:textId="3CB8D175" w:rsidR="00C02CE5" w:rsidRPr="00605E9C" w:rsidRDefault="00D25FBA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lang w:val="ru-RU" w:eastAsia="en-GB"/>
              </w:rPr>
              <w:t xml:space="preserve">Чистая экономия </w:t>
            </w:r>
            <w:proofErr w:type="gramStart"/>
            <w:r w:rsidRPr="00605E9C">
              <w:rPr>
                <w:lang w:val="ru-RU" w:eastAsia="en-GB"/>
              </w:rPr>
              <w:t>2024</w:t>
            </w:r>
            <w:proofErr w:type="gramEnd"/>
            <w:r w:rsidR="00411E5C">
              <w:rPr>
                <w:lang w:val="en-US" w:eastAsia="en-GB"/>
              </w:rPr>
              <w:t>−</w:t>
            </w:r>
            <w:proofErr w:type="gramStart"/>
            <w:r w:rsidRPr="00605E9C">
              <w:rPr>
                <w:lang w:val="ru-RU" w:eastAsia="en-GB"/>
              </w:rPr>
              <w:t>2027</w:t>
            </w:r>
            <w:proofErr w:type="gramEnd"/>
            <w:r w:rsidRPr="00605E9C">
              <w:rPr>
                <w:lang w:val="ru-RU" w:eastAsia="en-GB"/>
              </w:rPr>
              <w:t> гг.</w:t>
            </w:r>
            <w:r w:rsidR="00411E5C">
              <w:rPr>
                <w:lang w:val="en-US" w:eastAsia="en-GB"/>
              </w:rPr>
              <w:t xml:space="preserve"> </w:t>
            </w:r>
            <w:r w:rsidR="00411E5C">
              <w:rPr>
                <w:lang w:val="ru-RU" w:eastAsia="en-GB"/>
              </w:rPr>
              <w:br/>
            </w:r>
            <w:r w:rsidRPr="00605E9C">
              <w:rPr>
                <w:lang w:val="ru-RU" w:eastAsia="en-GB"/>
              </w:rPr>
              <w:t>(</w:t>
            </w:r>
            <w:proofErr w:type="spellStart"/>
            <w:r w:rsidRPr="00605E9C">
              <w:rPr>
                <w:lang w:val="ru-RU" w:eastAsia="en-GB"/>
              </w:rPr>
              <w:t>шв</w:t>
            </w:r>
            <w:proofErr w:type="spellEnd"/>
            <w:r w:rsidRPr="00605E9C">
              <w:rPr>
                <w:lang w:val="ru-RU" w:eastAsia="en-GB"/>
              </w:rPr>
              <w:t>. фр</w:t>
            </w:r>
            <w:r w:rsidR="00E730CB" w:rsidRPr="00605E9C">
              <w:rPr>
                <w:lang w:val="ru-RU" w:eastAsia="en-GB"/>
              </w:rPr>
              <w:t>.</w:t>
            </w:r>
            <w:r w:rsidRPr="00605E9C">
              <w:rPr>
                <w:lang w:val="ru-RU" w:eastAsia="en-GB"/>
              </w:rPr>
              <w:t>)</w:t>
            </w:r>
          </w:p>
        </w:tc>
        <w:tc>
          <w:tcPr>
            <w:tcW w:w="1385" w:type="dxa"/>
            <w:shd w:val="clear" w:color="auto" w:fill="808080" w:themeFill="background1" w:themeFillShade="80"/>
            <w:vAlign w:val="center"/>
            <w:hideMark/>
          </w:tcPr>
          <w:p w14:paraId="650F157A" w14:textId="063B3318" w:rsidR="00C02CE5" w:rsidRPr="00605E9C" w:rsidRDefault="00D25FBA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color w:val="FFFFFF" w:themeColor="background1"/>
                <w:lang w:val="ru-RU" w:eastAsia="en-GB"/>
              </w:rPr>
              <w:t>Окупаемость инвестиций</w:t>
            </w:r>
            <w:r w:rsidR="00C02CE5" w:rsidRPr="00605E9C">
              <w:rPr>
                <w:color w:val="FFFFFF" w:themeColor="background1"/>
                <w:lang w:val="ru-RU" w:eastAsia="en-GB"/>
              </w:rPr>
              <w:t xml:space="preserve"> </w:t>
            </w:r>
            <w:r w:rsidR="00411E5C">
              <w:rPr>
                <w:color w:val="FFFFFF" w:themeColor="background1"/>
                <w:lang w:val="ru-RU" w:eastAsia="en-GB"/>
              </w:rPr>
              <w:br/>
            </w:r>
            <w:r w:rsidR="00C02CE5" w:rsidRPr="00605E9C">
              <w:rPr>
                <w:color w:val="FFFFFF" w:themeColor="background1"/>
                <w:lang w:val="ru-RU" w:eastAsia="en-GB"/>
              </w:rPr>
              <w:t>(</w:t>
            </w:r>
            <w:proofErr w:type="spellStart"/>
            <w:r w:rsidRPr="00605E9C">
              <w:rPr>
                <w:color w:val="FFFFFF" w:themeColor="background1"/>
                <w:lang w:val="ru-RU" w:eastAsia="en-GB"/>
              </w:rPr>
              <w:t>шв</w:t>
            </w:r>
            <w:proofErr w:type="spellEnd"/>
            <w:r w:rsidRPr="00605E9C">
              <w:rPr>
                <w:color w:val="FFFFFF" w:themeColor="background1"/>
                <w:lang w:val="ru-RU" w:eastAsia="en-GB"/>
              </w:rPr>
              <w:t>. фр</w:t>
            </w:r>
            <w:r w:rsidR="00E730CB" w:rsidRPr="00605E9C">
              <w:rPr>
                <w:color w:val="FFFFFF" w:themeColor="background1"/>
                <w:lang w:val="ru-RU" w:eastAsia="en-GB"/>
              </w:rPr>
              <w:t>.</w:t>
            </w:r>
            <w:r w:rsidR="00C02CE5" w:rsidRPr="00605E9C">
              <w:rPr>
                <w:color w:val="FFFFFF" w:themeColor="background1"/>
                <w:lang w:val="ru-RU" w:eastAsia="en-GB"/>
              </w:rPr>
              <w:t>)</w:t>
            </w:r>
            <w:r w:rsidR="00C02CE5" w:rsidRPr="00C2383C">
              <w:rPr>
                <w:rStyle w:val="FootnoteReference"/>
                <w:b w:val="0"/>
                <w:bCs/>
                <w:color w:val="FFFFFF" w:themeColor="background1"/>
              </w:rPr>
              <w:footnoteReference w:id="2"/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  <w:hideMark/>
          </w:tcPr>
          <w:p w14:paraId="0EB7D4EC" w14:textId="2823C7A8" w:rsidR="00C02CE5" w:rsidRPr="00605E9C" w:rsidRDefault="00D25FBA" w:rsidP="00411E5C">
            <w:pPr>
              <w:pStyle w:val="Tablehead"/>
              <w:rPr>
                <w:lang w:val="ru-RU" w:eastAsia="en-GB"/>
              </w:rPr>
            </w:pPr>
            <w:r w:rsidRPr="00605E9C">
              <w:rPr>
                <w:color w:val="FFFFFF" w:themeColor="background1"/>
                <w:lang w:val="ru-RU" w:eastAsia="en-GB"/>
              </w:rPr>
              <w:t>Окупаемость инвестиций</w:t>
            </w:r>
            <w:r w:rsidR="00C02CE5" w:rsidRPr="00605E9C">
              <w:rPr>
                <w:lang w:val="ru-RU" w:eastAsia="en-GB"/>
              </w:rPr>
              <w:t xml:space="preserve"> </w:t>
            </w:r>
            <w:r w:rsidR="00411E5C">
              <w:rPr>
                <w:lang w:val="ru-RU" w:eastAsia="en-GB"/>
              </w:rPr>
              <w:br/>
            </w:r>
            <w:r w:rsidR="00C02CE5" w:rsidRPr="00605E9C">
              <w:rPr>
                <w:color w:val="FFFFFF" w:themeColor="background1"/>
                <w:lang w:val="ru-RU" w:eastAsia="en-GB"/>
              </w:rPr>
              <w:t>(%)</w:t>
            </w:r>
          </w:p>
        </w:tc>
      </w:tr>
      <w:tr w:rsidR="00C02CE5" w:rsidRPr="00605E9C" w14:paraId="1A88D75F" w14:textId="77777777" w:rsidTr="00411E5C">
        <w:trPr>
          <w:trHeight w:val="32"/>
          <w:jc w:val="center"/>
        </w:trPr>
        <w:tc>
          <w:tcPr>
            <w:tcW w:w="1413" w:type="dxa"/>
            <w:shd w:val="clear" w:color="auto" w:fill="FFFFFF" w:themeFill="background1"/>
            <w:noWrap/>
            <w:hideMark/>
          </w:tcPr>
          <w:p w14:paraId="0EF91528" w14:textId="77777777" w:rsidR="00C02CE5" w:rsidRPr="00605E9C" w:rsidRDefault="00C02CE5" w:rsidP="00411E5C">
            <w:pPr>
              <w:pStyle w:val="Tabletext"/>
              <w:jc w:val="center"/>
              <w:rPr>
                <w:color w:val="000000" w:themeColor="text1"/>
                <w:lang w:val="ru-RU" w:eastAsia="en-GB"/>
              </w:rPr>
            </w:pPr>
            <w:r w:rsidRPr="00605E9C">
              <w:rPr>
                <w:color w:val="000000" w:themeColor="text1"/>
                <w:lang w:val="ru-RU" w:eastAsia="en-GB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4AD5376" w14:textId="77777777" w:rsidR="00C02CE5" w:rsidRPr="00605E9C" w:rsidRDefault="00C02CE5" w:rsidP="00411E5C">
            <w:pPr>
              <w:pStyle w:val="Tabletext"/>
              <w:jc w:val="center"/>
              <w:rPr>
                <w:color w:val="000000" w:themeColor="text1"/>
                <w:lang w:val="ru-RU" w:eastAsia="en-GB"/>
              </w:rPr>
            </w:pPr>
            <w:r w:rsidRPr="00605E9C">
              <w:rPr>
                <w:color w:val="000000" w:themeColor="text1"/>
                <w:lang w:val="ru-RU" w:eastAsia="en-GB"/>
              </w:rPr>
              <w:t>(3 860 013)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86784A0" w14:textId="77777777" w:rsidR="00C02CE5" w:rsidRPr="00605E9C" w:rsidRDefault="00C02CE5" w:rsidP="00411E5C">
            <w:pPr>
              <w:pStyle w:val="Tabletext"/>
              <w:jc w:val="center"/>
              <w:rPr>
                <w:color w:val="000000" w:themeColor="text1"/>
                <w:lang w:val="ru-RU" w:eastAsia="en-GB"/>
              </w:rPr>
            </w:pPr>
            <w:r w:rsidRPr="00605E9C">
              <w:rPr>
                <w:color w:val="000000" w:themeColor="text1"/>
                <w:lang w:val="ru-RU" w:eastAsia="en-GB"/>
              </w:rPr>
              <w:t>1 394 563</w:t>
            </w:r>
          </w:p>
        </w:tc>
        <w:tc>
          <w:tcPr>
            <w:tcW w:w="1501" w:type="dxa"/>
            <w:shd w:val="clear" w:color="auto" w:fill="FFFFFF" w:themeFill="background1"/>
            <w:noWrap/>
          </w:tcPr>
          <w:p w14:paraId="0657AECB" w14:textId="77777777" w:rsidR="00C02CE5" w:rsidRPr="00605E9C" w:rsidRDefault="00C02CE5" w:rsidP="00411E5C">
            <w:pPr>
              <w:pStyle w:val="Tabletext"/>
              <w:jc w:val="center"/>
              <w:rPr>
                <w:color w:val="000000" w:themeColor="text1"/>
                <w:lang w:val="ru-RU" w:eastAsia="en-GB"/>
              </w:rPr>
            </w:pPr>
            <w:r w:rsidRPr="00605E9C">
              <w:rPr>
                <w:color w:val="000000" w:themeColor="text1"/>
                <w:lang w:val="ru-RU" w:eastAsia="en-GB"/>
              </w:rPr>
              <w:t>12 654 438</w:t>
            </w:r>
          </w:p>
        </w:tc>
        <w:tc>
          <w:tcPr>
            <w:tcW w:w="1385" w:type="dxa"/>
            <w:shd w:val="clear" w:color="auto" w:fill="F2F2F2" w:themeFill="background1" w:themeFillShade="F2"/>
            <w:noWrap/>
          </w:tcPr>
          <w:p w14:paraId="6CD94BDA" w14:textId="77777777" w:rsidR="00C02CE5" w:rsidRPr="00411E5C" w:rsidRDefault="00C02CE5" w:rsidP="00411E5C">
            <w:pPr>
              <w:pStyle w:val="Tabletext"/>
              <w:jc w:val="center"/>
              <w:rPr>
                <w:b/>
                <w:bCs/>
                <w:color w:val="000000" w:themeColor="text1"/>
                <w:lang w:val="ru-RU" w:eastAsia="en-GB"/>
              </w:rPr>
            </w:pPr>
            <w:r w:rsidRPr="00411E5C">
              <w:rPr>
                <w:b/>
                <w:bCs/>
                <w:color w:val="000000" w:themeColor="text1"/>
                <w:lang w:val="ru-RU" w:eastAsia="en-GB"/>
              </w:rPr>
              <w:t>10 188 988</w:t>
            </w:r>
          </w:p>
        </w:tc>
        <w:tc>
          <w:tcPr>
            <w:tcW w:w="1386" w:type="dxa"/>
            <w:shd w:val="clear" w:color="auto" w:fill="F2F2F2" w:themeFill="background1" w:themeFillShade="F2"/>
            <w:noWrap/>
          </w:tcPr>
          <w:p w14:paraId="673FED8B" w14:textId="77777777" w:rsidR="00C02CE5" w:rsidRPr="00411E5C" w:rsidRDefault="00C02CE5" w:rsidP="00411E5C">
            <w:pPr>
              <w:pStyle w:val="Tabletext"/>
              <w:jc w:val="center"/>
              <w:rPr>
                <w:b/>
                <w:bCs/>
                <w:color w:val="000000" w:themeColor="text1"/>
                <w:lang w:val="ru-RU" w:eastAsia="en-GB"/>
              </w:rPr>
            </w:pPr>
            <w:r w:rsidRPr="00411E5C">
              <w:rPr>
                <w:b/>
                <w:bCs/>
                <w:color w:val="000000" w:themeColor="text1"/>
                <w:lang w:val="ru-RU" w:eastAsia="en-GB"/>
              </w:rPr>
              <w:t>264%</w:t>
            </w:r>
          </w:p>
        </w:tc>
      </w:tr>
    </w:tbl>
    <w:p w14:paraId="0EBB243E" w14:textId="4DD849A5" w:rsidR="00D25FBA" w:rsidRPr="00605E9C" w:rsidRDefault="00D25FBA" w:rsidP="00411E5C">
      <w:pPr>
        <w:spacing w:before="360"/>
        <w:rPr>
          <w:szCs w:val="24"/>
          <w:lang w:val="ru-RU"/>
        </w:rPr>
      </w:pPr>
      <w:r w:rsidRPr="00605E9C">
        <w:rPr>
          <w:szCs w:val="24"/>
          <w:lang w:val="ru-RU"/>
        </w:rPr>
        <w:t xml:space="preserve">Сотрудники, чьи заявки были удовлетворены в соответствии с положениями, изложенными в </w:t>
      </w:r>
      <w:r w:rsidR="00231177" w:rsidRPr="00605E9C">
        <w:rPr>
          <w:szCs w:val="24"/>
          <w:lang w:val="ru-RU"/>
        </w:rPr>
        <w:t xml:space="preserve">Служебном </w:t>
      </w:r>
      <w:r w:rsidRPr="00605E9C">
        <w:rPr>
          <w:szCs w:val="24"/>
          <w:lang w:val="ru-RU"/>
        </w:rPr>
        <w:t xml:space="preserve">приказе 23/03, будут уволены с действительной службы 31 июля 2023 года. Это не </w:t>
      </w:r>
      <w:r w:rsidR="00443C45" w:rsidRPr="00605E9C">
        <w:rPr>
          <w:szCs w:val="24"/>
          <w:lang w:val="ru-RU"/>
        </w:rPr>
        <w:t>касается</w:t>
      </w:r>
      <w:r w:rsidRPr="00605E9C">
        <w:rPr>
          <w:szCs w:val="24"/>
          <w:lang w:val="ru-RU"/>
        </w:rPr>
        <w:t xml:space="preserve"> шести (6) сотру</w:t>
      </w:r>
      <w:r w:rsidR="00443C45" w:rsidRPr="00605E9C">
        <w:rPr>
          <w:szCs w:val="24"/>
          <w:lang w:val="ru-RU"/>
        </w:rPr>
        <w:t>дников</w:t>
      </w:r>
      <w:r w:rsidRPr="00605E9C">
        <w:rPr>
          <w:szCs w:val="24"/>
          <w:lang w:val="ru-RU"/>
        </w:rPr>
        <w:t xml:space="preserve">, прекращение службы которых было отложено для обеспечения непрерывности деятельности, при этом их увольнение </w:t>
      </w:r>
      <w:r w:rsidR="00443C45" w:rsidRPr="00605E9C">
        <w:rPr>
          <w:szCs w:val="24"/>
          <w:lang w:val="ru-RU"/>
        </w:rPr>
        <w:t>должно</w:t>
      </w:r>
      <w:r w:rsidRPr="00605E9C">
        <w:rPr>
          <w:szCs w:val="24"/>
          <w:lang w:val="ru-RU"/>
        </w:rPr>
        <w:t xml:space="preserve"> быть произведено не позднее конца 2023 года.</w:t>
      </w:r>
    </w:p>
    <w:p w14:paraId="1E12958C" w14:textId="77777777" w:rsidR="00605E9C" w:rsidRDefault="00605E9C" w:rsidP="00605E9C">
      <w:pPr>
        <w:spacing w:before="720"/>
        <w:jc w:val="center"/>
      </w:pPr>
      <w:r>
        <w:t>______________</w:t>
      </w:r>
    </w:p>
    <w:sectPr w:rsidR="00605E9C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428B" w14:textId="77777777" w:rsidR="00DA14F9" w:rsidRDefault="00DA14F9">
      <w:r>
        <w:separator/>
      </w:r>
    </w:p>
  </w:endnote>
  <w:endnote w:type="continuationSeparator" w:id="0">
    <w:p w14:paraId="227444AD" w14:textId="77777777" w:rsidR="00DA14F9" w:rsidRDefault="00D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25FBA" w:rsidRPr="00784011" w14:paraId="580D463C" w14:textId="77777777" w:rsidTr="00D25FBA">
      <w:trPr>
        <w:jc w:val="center"/>
      </w:trPr>
      <w:tc>
        <w:tcPr>
          <w:tcW w:w="1803" w:type="dxa"/>
          <w:vAlign w:val="center"/>
        </w:tcPr>
        <w:p w14:paraId="55DCE91D" w14:textId="2BB99F3D" w:rsidR="00D25FBA" w:rsidRDefault="00D25FB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05E9C">
            <w:rPr>
              <w:noProof/>
            </w:rPr>
            <w:t>521085</w:t>
          </w:r>
        </w:p>
      </w:tc>
      <w:tc>
        <w:tcPr>
          <w:tcW w:w="8261" w:type="dxa"/>
        </w:tcPr>
        <w:p w14:paraId="16E7DCC6" w14:textId="2476D5E3" w:rsidR="00D25FBA" w:rsidRPr="00E06FD5" w:rsidRDefault="00D25FBA" w:rsidP="00605E9C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05E9C"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43C4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104C4F61" w14:textId="77777777" w:rsidR="00D25FBA" w:rsidRPr="00672F8A" w:rsidRDefault="00D25FBA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25FBA" w:rsidRPr="00784011" w14:paraId="4040584F" w14:textId="77777777" w:rsidTr="00D25FBA">
      <w:trPr>
        <w:jc w:val="center"/>
      </w:trPr>
      <w:tc>
        <w:tcPr>
          <w:tcW w:w="1803" w:type="dxa"/>
          <w:vAlign w:val="center"/>
        </w:tcPr>
        <w:p w14:paraId="2C34CA71" w14:textId="77777777" w:rsidR="00D25FBA" w:rsidRDefault="00FB564B" w:rsidP="00672F8A">
          <w:pPr>
            <w:pStyle w:val="Header"/>
            <w:jc w:val="left"/>
            <w:rPr>
              <w:noProof/>
            </w:rPr>
          </w:pPr>
          <w:hyperlink r:id="rId1" w:history="1">
            <w:r w:rsidR="00D25FB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0470967" w14:textId="4040820C" w:rsidR="00D25FBA" w:rsidRPr="00E06FD5" w:rsidRDefault="00D25FBA" w:rsidP="00605E9C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05E9C"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B6D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F88A8C3" w14:textId="77777777" w:rsidR="00D25FBA" w:rsidRPr="00672F8A" w:rsidRDefault="00D25FB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AEE1" w14:textId="77777777" w:rsidR="00DA14F9" w:rsidRDefault="00DA14F9">
      <w:r>
        <w:t>____________________</w:t>
      </w:r>
    </w:p>
  </w:footnote>
  <w:footnote w:type="continuationSeparator" w:id="0">
    <w:p w14:paraId="602B00B3" w14:textId="77777777" w:rsidR="00DA14F9" w:rsidRDefault="00DA14F9">
      <w:r>
        <w:continuationSeparator/>
      </w:r>
    </w:p>
  </w:footnote>
  <w:footnote w:id="1">
    <w:p w14:paraId="5453BDCC" w14:textId="51850771" w:rsidR="00D25FBA" w:rsidRPr="00231177" w:rsidRDefault="00D25FBA" w:rsidP="00231177">
      <w:pPr>
        <w:pStyle w:val="FootnoteText"/>
        <w:rPr>
          <w:szCs w:val="16"/>
          <w:lang w:val="ru-RU"/>
        </w:rPr>
      </w:pPr>
      <w:r w:rsidRPr="00231177">
        <w:rPr>
          <w:rStyle w:val="FootnoteReference"/>
          <w:lang w:val="ru-RU"/>
        </w:rPr>
        <w:footnoteRef/>
      </w:r>
      <w:r w:rsidRPr="00231177">
        <w:rPr>
          <w:lang w:val="ru-RU"/>
        </w:rPr>
        <w:tab/>
        <w:t>Для целей настоящего анализа долгосрочный период определ</w:t>
      </w:r>
      <w:r w:rsidR="00C65E0A" w:rsidRPr="00231177">
        <w:rPr>
          <w:lang w:val="ru-RU"/>
        </w:rPr>
        <w:t>яется как период с августа 2023 </w:t>
      </w:r>
      <w:r w:rsidRPr="00231177">
        <w:rPr>
          <w:lang w:val="ru-RU"/>
        </w:rPr>
        <w:t>года до</w:t>
      </w:r>
      <w:r w:rsidR="00231177" w:rsidRPr="00231177">
        <w:rPr>
          <w:lang w:val="ru-RU"/>
        </w:rPr>
        <w:t> </w:t>
      </w:r>
      <w:r w:rsidRPr="00231177">
        <w:rPr>
          <w:lang w:val="ru-RU"/>
        </w:rPr>
        <w:t xml:space="preserve">конца следующего </w:t>
      </w:r>
      <w:r w:rsidR="00B97087" w:rsidRPr="00231177">
        <w:rPr>
          <w:lang w:val="ru-RU"/>
        </w:rPr>
        <w:t>цикла программ</w:t>
      </w:r>
      <w:r w:rsidRPr="00231177">
        <w:rPr>
          <w:lang w:val="ru-RU"/>
        </w:rPr>
        <w:t xml:space="preserve"> (2024</w:t>
      </w:r>
      <w:r w:rsidR="00995FE2" w:rsidRPr="00231177">
        <w:rPr>
          <w:lang w:val="ru-RU"/>
        </w:rPr>
        <w:t>–</w:t>
      </w:r>
      <w:r w:rsidRPr="00231177">
        <w:rPr>
          <w:lang w:val="ru-RU"/>
        </w:rPr>
        <w:t>2027</w:t>
      </w:r>
      <w:r w:rsidR="00C65E0A" w:rsidRPr="00231177">
        <w:rPr>
          <w:lang w:val="ru-RU"/>
        </w:rPr>
        <w:t> гг.</w:t>
      </w:r>
      <w:r w:rsidRPr="00231177">
        <w:rPr>
          <w:lang w:val="ru-RU"/>
        </w:rPr>
        <w:t xml:space="preserve">). Экономия достигается в основном за счет упразднения должности после ухода занимавшего ее сотрудника или, в исключительных случаях, за счет повторного найма на должность </w:t>
      </w:r>
      <w:r w:rsidR="00D5622C" w:rsidRPr="00231177">
        <w:rPr>
          <w:lang w:val="ru-RU"/>
        </w:rPr>
        <w:t xml:space="preserve">специалиста </w:t>
      </w:r>
      <w:r w:rsidRPr="00231177">
        <w:rPr>
          <w:lang w:val="ru-RU"/>
        </w:rPr>
        <w:t>более низко</w:t>
      </w:r>
      <w:r w:rsidR="00D5622C" w:rsidRPr="00231177">
        <w:rPr>
          <w:lang w:val="ru-RU"/>
        </w:rPr>
        <w:t>й категории</w:t>
      </w:r>
      <w:r w:rsidRPr="00231177">
        <w:rPr>
          <w:lang w:val="ru-RU"/>
        </w:rPr>
        <w:t xml:space="preserve">, </w:t>
      </w:r>
      <w:r w:rsidR="00D5622C" w:rsidRPr="00231177">
        <w:rPr>
          <w:lang w:val="ru-RU"/>
        </w:rPr>
        <w:t xml:space="preserve">при этом прием на работу нового сотрудника </w:t>
      </w:r>
      <w:r w:rsidRPr="00231177">
        <w:rPr>
          <w:lang w:val="ru-RU"/>
        </w:rPr>
        <w:t>откладывается до получения положительной отдачи от инвестиций</w:t>
      </w:r>
      <w:r w:rsidR="00D5622C" w:rsidRPr="00231177">
        <w:rPr>
          <w:lang w:val="ru-RU"/>
        </w:rPr>
        <w:t>.</w:t>
      </w:r>
    </w:p>
  </w:footnote>
  <w:footnote w:id="2">
    <w:p w14:paraId="2BA529EE" w14:textId="0D972463" w:rsidR="00D25FBA" w:rsidRPr="00231177" w:rsidRDefault="00D25FBA" w:rsidP="00231177">
      <w:pPr>
        <w:pStyle w:val="FootnoteText"/>
        <w:rPr>
          <w:lang w:val="ru-RU"/>
        </w:rPr>
      </w:pPr>
      <w:r w:rsidRPr="00231177">
        <w:rPr>
          <w:rStyle w:val="FootnoteReference"/>
          <w:lang w:val="ru-RU"/>
        </w:rPr>
        <w:footnoteRef/>
      </w:r>
      <w:r w:rsidRPr="00231177">
        <w:rPr>
          <w:lang w:val="ru-RU"/>
        </w:rPr>
        <w:tab/>
      </w:r>
      <w:r w:rsidR="00D5622C" w:rsidRPr="00231177">
        <w:rPr>
          <w:lang w:val="ru-RU"/>
        </w:rPr>
        <w:t>Окупаемость инвестиций (ROI) обычно рассчитывается как чистый доход/стоимость инвестиций. В</w:t>
      </w:r>
      <w:r w:rsidR="00231177" w:rsidRPr="00231177">
        <w:rPr>
          <w:lang w:val="ru-RU"/>
        </w:rPr>
        <w:t> </w:t>
      </w:r>
      <w:r w:rsidR="00D5622C" w:rsidRPr="00231177">
        <w:rPr>
          <w:lang w:val="ru-RU"/>
        </w:rPr>
        <w:t>данном случае ROI (шв. фр</w:t>
      </w:r>
      <w:r w:rsidR="00E730CB" w:rsidRPr="00231177">
        <w:rPr>
          <w:lang w:val="ru-RU"/>
        </w:rPr>
        <w:t>.</w:t>
      </w:r>
      <w:r w:rsidR="00D5622C" w:rsidRPr="00231177">
        <w:rPr>
          <w:lang w:val="ru-RU"/>
        </w:rPr>
        <w:t xml:space="preserve">) = </w:t>
      </w:r>
      <w:r w:rsidR="00C2383C" w:rsidRPr="00231177">
        <w:rPr>
          <w:lang w:val="ru-RU"/>
        </w:rPr>
        <w:t xml:space="preserve">расчетная </w:t>
      </w:r>
      <w:r w:rsidR="00D5622C" w:rsidRPr="00231177">
        <w:rPr>
          <w:lang w:val="ru-RU"/>
        </w:rPr>
        <w:t xml:space="preserve">чистая экономия – </w:t>
      </w:r>
      <w:r w:rsidR="00C2383C" w:rsidRPr="00231177">
        <w:rPr>
          <w:lang w:val="ru-RU"/>
        </w:rPr>
        <w:t xml:space="preserve">стоимость </w:t>
      </w:r>
      <w:r w:rsidR="00B97087" w:rsidRPr="00231177">
        <w:rPr>
          <w:lang w:val="ru-RU"/>
        </w:rPr>
        <w:t xml:space="preserve">реализации </w:t>
      </w:r>
      <w:r w:rsidR="00D5622C" w:rsidRPr="00231177">
        <w:rPr>
          <w:lang w:val="ru-RU"/>
        </w:rPr>
        <w:t>программы добровольного прекращения службы. ROI (%) = ROI (шв. фр</w:t>
      </w:r>
      <w:r w:rsidR="00E730CB" w:rsidRPr="00231177">
        <w:rPr>
          <w:lang w:val="ru-RU"/>
        </w:rPr>
        <w:t>.</w:t>
      </w:r>
      <w:r w:rsidR="00D5622C" w:rsidRPr="00231177">
        <w:rPr>
          <w:lang w:val="ru-RU"/>
        </w:rPr>
        <w:t>)/</w:t>
      </w:r>
      <w:r w:rsidR="00C2383C" w:rsidRPr="00231177">
        <w:rPr>
          <w:lang w:val="ru-RU"/>
        </w:rPr>
        <w:t xml:space="preserve">стоимость </w:t>
      </w:r>
      <w:r w:rsidR="00B97087" w:rsidRPr="00231177">
        <w:rPr>
          <w:lang w:val="ru-RU"/>
        </w:rPr>
        <w:t xml:space="preserve">реализации </w:t>
      </w:r>
      <w:r w:rsidR="00D5622C" w:rsidRPr="00231177">
        <w:rPr>
          <w:lang w:val="ru-RU"/>
        </w:rPr>
        <w:t>программы добровольного прекращения службы.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D25FBA" w:rsidRPr="00784011" w14:paraId="4E15B91D" w14:textId="77777777" w:rsidTr="00D25FBA">
      <w:trPr>
        <w:trHeight w:val="1104"/>
        <w:jc w:val="center"/>
      </w:trPr>
      <w:tc>
        <w:tcPr>
          <w:tcW w:w="4390" w:type="dxa"/>
          <w:vAlign w:val="center"/>
        </w:tcPr>
        <w:p w14:paraId="147F56A5" w14:textId="77777777" w:rsidR="00D25FBA" w:rsidRPr="009621F8" w:rsidRDefault="00D25FBA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  <w:lang w:val="ru-RU" w:eastAsia="ru-RU"/>
            </w:rPr>
            <w:drawing>
              <wp:inline distT="0" distB="0" distL="0" distR="0" wp14:anchorId="37F991C8" wp14:editId="7C5A844A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42BAA24" w14:textId="77777777" w:rsidR="00D25FBA" w:rsidRDefault="00D25FBA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2B1BBE" w14:textId="77777777" w:rsidR="00D25FBA" w:rsidRDefault="00D25FBA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41AD1" w14:textId="77777777" w:rsidR="00D25FBA" w:rsidRPr="00784011" w:rsidRDefault="00D25FBA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6B6AAC" w14:textId="77777777" w:rsidR="00D25FBA" w:rsidRDefault="00D25FB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1F488" wp14:editId="755EE3B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1710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920CB"/>
    <w:multiLevelType w:val="hybridMultilevel"/>
    <w:tmpl w:val="BBF894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188C"/>
    <w:multiLevelType w:val="hybridMultilevel"/>
    <w:tmpl w:val="867821C6"/>
    <w:lvl w:ilvl="0" w:tplc="08090017">
      <w:start w:val="1"/>
      <w:numFmt w:val="lowerLetter"/>
      <w:lvlText w:val="%1)"/>
      <w:lvlJc w:val="left"/>
      <w:pPr>
        <w:ind w:left="5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86" w:hanging="360"/>
      </w:pPr>
    </w:lvl>
    <w:lvl w:ilvl="2" w:tplc="0809001B" w:tentative="1">
      <w:start w:val="1"/>
      <w:numFmt w:val="lowerRoman"/>
      <w:lvlText w:val="%3."/>
      <w:lvlJc w:val="right"/>
      <w:pPr>
        <w:ind w:left="7406" w:hanging="180"/>
      </w:pPr>
    </w:lvl>
    <w:lvl w:ilvl="3" w:tplc="0809000F" w:tentative="1">
      <w:start w:val="1"/>
      <w:numFmt w:val="decimal"/>
      <w:lvlText w:val="%4."/>
      <w:lvlJc w:val="left"/>
      <w:pPr>
        <w:ind w:left="8126" w:hanging="360"/>
      </w:pPr>
    </w:lvl>
    <w:lvl w:ilvl="4" w:tplc="08090019" w:tentative="1">
      <w:start w:val="1"/>
      <w:numFmt w:val="lowerLetter"/>
      <w:lvlText w:val="%5."/>
      <w:lvlJc w:val="left"/>
      <w:pPr>
        <w:ind w:left="8846" w:hanging="360"/>
      </w:pPr>
    </w:lvl>
    <w:lvl w:ilvl="5" w:tplc="0809001B" w:tentative="1">
      <w:start w:val="1"/>
      <w:numFmt w:val="lowerRoman"/>
      <w:lvlText w:val="%6."/>
      <w:lvlJc w:val="right"/>
      <w:pPr>
        <w:ind w:left="9566" w:hanging="180"/>
      </w:pPr>
    </w:lvl>
    <w:lvl w:ilvl="6" w:tplc="0809000F" w:tentative="1">
      <w:start w:val="1"/>
      <w:numFmt w:val="decimal"/>
      <w:lvlText w:val="%7."/>
      <w:lvlJc w:val="left"/>
      <w:pPr>
        <w:ind w:left="10286" w:hanging="360"/>
      </w:pPr>
    </w:lvl>
    <w:lvl w:ilvl="7" w:tplc="08090019" w:tentative="1">
      <w:start w:val="1"/>
      <w:numFmt w:val="lowerLetter"/>
      <w:lvlText w:val="%8."/>
      <w:lvlJc w:val="left"/>
      <w:pPr>
        <w:ind w:left="11006" w:hanging="360"/>
      </w:pPr>
    </w:lvl>
    <w:lvl w:ilvl="8" w:tplc="0809001B" w:tentative="1">
      <w:start w:val="1"/>
      <w:numFmt w:val="lowerRoman"/>
      <w:lvlText w:val="%9."/>
      <w:lvlJc w:val="right"/>
      <w:pPr>
        <w:ind w:left="11726" w:hanging="180"/>
      </w:pPr>
    </w:lvl>
  </w:abstractNum>
  <w:num w:numId="1" w16cid:durableId="1558393981">
    <w:abstractNumId w:val="0"/>
  </w:num>
  <w:num w:numId="2" w16cid:durableId="1294478321">
    <w:abstractNumId w:val="1"/>
  </w:num>
  <w:num w:numId="3" w16cid:durableId="52890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65"/>
    <w:rsid w:val="00005BE0"/>
    <w:rsid w:val="0002183E"/>
    <w:rsid w:val="00040670"/>
    <w:rsid w:val="000569B4"/>
    <w:rsid w:val="00080E82"/>
    <w:rsid w:val="000B2DE7"/>
    <w:rsid w:val="000B5807"/>
    <w:rsid w:val="000C63C2"/>
    <w:rsid w:val="000E568E"/>
    <w:rsid w:val="0014734F"/>
    <w:rsid w:val="0015710D"/>
    <w:rsid w:val="00163A32"/>
    <w:rsid w:val="00165D06"/>
    <w:rsid w:val="00187409"/>
    <w:rsid w:val="00192B41"/>
    <w:rsid w:val="001B7B09"/>
    <w:rsid w:val="001D2369"/>
    <w:rsid w:val="001E6719"/>
    <w:rsid w:val="001E7F50"/>
    <w:rsid w:val="002147DA"/>
    <w:rsid w:val="00225368"/>
    <w:rsid w:val="00227FF0"/>
    <w:rsid w:val="00231177"/>
    <w:rsid w:val="00264057"/>
    <w:rsid w:val="00291EB6"/>
    <w:rsid w:val="002A40F5"/>
    <w:rsid w:val="002D2F57"/>
    <w:rsid w:val="002D48C5"/>
    <w:rsid w:val="0033025A"/>
    <w:rsid w:val="003F099E"/>
    <w:rsid w:val="003F235E"/>
    <w:rsid w:val="004023E0"/>
    <w:rsid w:val="00403DD8"/>
    <w:rsid w:val="00411E5C"/>
    <w:rsid w:val="00436905"/>
    <w:rsid w:val="00442515"/>
    <w:rsid w:val="00443C45"/>
    <w:rsid w:val="0045686C"/>
    <w:rsid w:val="004918C4"/>
    <w:rsid w:val="00497703"/>
    <w:rsid w:val="004A0374"/>
    <w:rsid w:val="004A45B5"/>
    <w:rsid w:val="004D0129"/>
    <w:rsid w:val="004F202A"/>
    <w:rsid w:val="00562EB2"/>
    <w:rsid w:val="005A64D5"/>
    <w:rsid w:val="005B3DEC"/>
    <w:rsid w:val="005B7BD6"/>
    <w:rsid w:val="00601994"/>
    <w:rsid w:val="00605E9C"/>
    <w:rsid w:val="00672F8A"/>
    <w:rsid w:val="00697078"/>
    <w:rsid w:val="006A4D6D"/>
    <w:rsid w:val="006E2D42"/>
    <w:rsid w:val="00703676"/>
    <w:rsid w:val="00707304"/>
    <w:rsid w:val="00732269"/>
    <w:rsid w:val="00777DAD"/>
    <w:rsid w:val="00785ABD"/>
    <w:rsid w:val="00795E27"/>
    <w:rsid w:val="00796BD3"/>
    <w:rsid w:val="00797EF1"/>
    <w:rsid w:val="007A2DD4"/>
    <w:rsid w:val="007D38B5"/>
    <w:rsid w:val="007E7EA0"/>
    <w:rsid w:val="00807255"/>
    <w:rsid w:val="0081023E"/>
    <w:rsid w:val="008173AA"/>
    <w:rsid w:val="00840A14"/>
    <w:rsid w:val="00897640"/>
    <w:rsid w:val="008B62B4"/>
    <w:rsid w:val="008D2D7B"/>
    <w:rsid w:val="008E0737"/>
    <w:rsid w:val="008F7C2C"/>
    <w:rsid w:val="00940E96"/>
    <w:rsid w:val="0099131E"/>
    <w:rsid w:val="00995FE2"/>
    <w:rsid w:val="009B0BAE"/>
    <w:rsid w:val="009C1C89"/>
    <w:rsid w:val="009F3448"/>
    <w:rsid w:val="009F42FD"/>
    <w:rsid w:val="00A01CF9"/>
    <w:rsid w:val="00A10C65"/>
    <w:rsid w:val="00A43C80"/>
    <w:rsid w:val="00A713F3"/>
    <w:rsid w:val="00A71773"/>
    <w:rsid w:val="00A77616"/>
    <w:rsid w:val="00A85AB5"/>
    <w:rsid w:val="00AB6D9B"/>
    <w:rsid w:val="00AE2C85"/>
    <w:rsid w:val="00B12A37"/>
    <w:rsid w:val="00B41837"/>
    <w:rsid w:val="00B63EF2"/>
    <w:rsid w:val="00B97087"/>
    <w:rsid w:val="00BA7D89"/>
    <w:rsid w:val="00BC0D39"/>
    <w:rsid w:val="00BC46EA"/>
    <w:rsid w:val="00BC7BC0"/>
    <w:rsid w:val="00BD57B7"/>
    <w:rsid w:val="00BE63E2"/>
    <w:rsid w:val="00C02CE5"/>
    <w:rsid w:val="00C2383C"/>
    <w:rsid w:val="00C65E0A"/>
    <w:rsid w:val="00C73621"/>
    <w:rsid w:val="00C84E6A"/>
    <w:rsid w:val="00CD2009"/>
    <w:rsid w:val="00CF629C"/>
    <w:rsid w:val="00CF7899"/>
    <w:rsid w:val="00D25FBA"/>
    <w:rsid w:val="00D5622C"/>
    <w:rsid w:val="00D92EEA"/>
    <w:rsid w:val="00DA14F9"/>
    <w:rsid w:val="00DA5D4E"/>
    <w:rsid w:val="00E176BA"/>
    <w:rsid w:val="00E423EC"/>
    <w:rsid w:val="00E55121"/>
    <w:rsid w:val="00E730CB"/>
    <w:rsid w:val="00E844E9"/>
    <w:rsid w:val="00EB4FCB"/>
    <w:rsid w:val="00EB6D45"/>
    <w:rsid w:val="00EC1E6F"/>
    <w:rsid w:val="00EC2991"/>
    <w:rsid w:val="00EC6BC5"/>
    <w:rsid w:val="00F04AC9"/>
    <w:rsid w:val="00F35898"/>
    <w:rsid w:val="00F5225B"/>
    <w:rsid w:val="00F631B4"/>
    <w:rsid w:val="00FB564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853532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F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A10C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0C65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CE5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C02CE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72;&#1090;&#1103;\Documents\ITU\Contracts\2023\521085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1054</Words>
  <Characters>6012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7052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voluntary separation programme</dc:title>
  <dc:subject>Council 2023</dc:subject>
  <dc:creator>Екатерина Ильина</dc:creator>
  <cp:keywords>C2023, C23, Council-23</cp:keywords>
  <cp:lastModifiedBy>Xue, Kun</cp:lastModifiedBy>
  <cp:revision>2</cp:revision>
  <cp:lastPrinted>2006-03-28T16:12:00Z</cp:lastPrinted>
  <dcterms:created xsi:type="dcterms:W3CDTF">2023-07-06T18:18:00Z</dcterms:created>
  <dcterms:modified xsi:type="dcterms:W3CDTF">2023-07-06T18:18:00Z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