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52C5C965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>
              <w:rPr>
                <w:b/>
              </w:rPr>
              <w:t xml:space="preserve">Agenda item: </w:t>
            </w:r>
            <w:r w:rsidR="003103E4">
              <w:rPr>
                <w:b/>
              </w:rPr>
              <w:t>ADM 1</w:t>
            </w:r>
          </w:p>
        </w:tc>
        <w:tc>
          <w:tcPr>
            <w:tcW w:w="5245" w:type="dxa"/>
          </w:tcPr>
          <w:p w14:paraId="2F0CB53A" w14:textId="5D8E7662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C23/</w:t>
            </w:r>
            <w:r w:rsidR="003103E4">
              <w:rPr>
                <w:b/>
              </w:rPr>
              <w:t>51</w:t>
            </w:r>
            <w:r>
              <w:rPr>
                <w:b/>
              </w:rPr>
              <w:t>-E</w:t>
            </w:r>
          </w:p>
        </w:tc>
      </w:tr>
      <w:tr w:rsidR="00AD3606" w:rsidRPr="00813E5E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10FB6067" w:rsidR="00AD3606" w:rsidRPr="00E85629" w:rsidRDefault="00E2316F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3148C6">
              <w:rPr>
                <w:b/>
              </w:rPr>
              <w:t xml:space="preserve"> June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77777777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BEAAFE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77777777" w:rsidR="00AD3606" w:rsidRPr="00813E5E" w:rsidRDefault="00AD3606" w:rsidP="00AD3606">
            <w:pPr>
              <w:pStyle w:val="Source"/>
              <w:framePr w:hSpace="0" w:wrap="auto" w:vAnchor="margin" w:hAnchor="text" w:yAlign="inline"/>
            </w:pPr>
            <w:bookmarkStart w:id="4" w:name="dsource" w:colFirst="0" w:colLast="0"/>
            <w:bookmarkEnd w:id="3"/>
            <w:r>
              <w:t>Report</w:t>
            </w:r>
            <w:r w:rsidRPr="002C54E2">
              <w:t xml:space="preserve"> </w:t>
            </w:r>
            <w:r>
              <w:t>by</w:t>
            </w:r>
            <w:r w:rsidRPr="002C54E2">
              <w:t xml:space="preserve"> </w:t>
            </w:r>
            <w:r>
              <w:t>the</w:t>
            </w:r>
            <w:r w:rsidRPr="002C54E2">
              <w:t xml:space="preserve"> </w:t>
            </w:r>
            <w:r>
              <w:t>Secretary-</w:t>
            </w:r>
            <w:r w:rsidRPr="002C54E2">
              <w:t>General</w:t>
            </w:r>
          </w:p>
        </w:tc>
      </w:tr>
      <w:tr w:rsidR="00AD3606" w:rsidRPr="00813E5E" w14:paraId="62B9C291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0BA80BFB" w:rsidR="00B45FB9" w:rsidRPr="00813E5E" w:rsidRDefault="003103E4" w:rsidP="00DF0189">
            <w:pPr>
              <w:pStyle w:val="Subtitle1"/>
              <w:framePr w:hSpace="0" w:wrap="auto" w:hAnchor="text" w:xAlign="left" w:yAlign="inline"/>
            </w:pPr>
            <w:bookmarkStart w:id="5" w:name="dtitle1" w:colFirst="0" w:colLast="0"/>
            <w:bookmarkEnd w:id="4"/>
            <w:r>
              <w:t>IMPLEMENTATION OF THE VOLUNTARY SEPARATION PROGRAMME</w:t>
            </w:r>
          </w:p>
        </w:tc>
      </w:tr>
      <w:tr w:rsidR="00AD3606" w:rsidRPr="00813E5E" w14:paraId="59287389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B6A23DF" w14:textId="3747B2CC" w:rsidR="00AD3606" w:rsidRP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63C19727" w14:textId="26DE3061" w:rsidR="00B45FB9" w:rsidRDefault="00B45FB9" w:rsidP="00BB7FD4">
            <w:pPr>
              <w:jc w:val="both"/>
            </w:pPr>
            <w:r>
              <w:t xml:space="preserve">The purpose of this document is to report on the implementation of the </w:t>
            </w:r>
            <w:r w:rsidR="00996869">
              <w:t>v</w:t>
            </w:r>
            <w:r>
              <w:t xml:space="preserve">oluntary </w:t>
            </w:r>
            <w:r w:rsidR="00996869">
              <w:t>s</w:t>
            </w:r>
            <w:r>
              <w:t xml:space="preserve">eparation </w:t>
            </w:r>
            <w:r w:rsidR="00996869">
              <w:t>p</w:t>
            </w:r>
            <w:r>
              <w:t>rogramme, in line with</w:t>
            </w:r>
            <w:r w:rsidR="00996869">
              <w:t xml:space="preserve"> </w:t>
            </w:r>
            <w:r w:rsidR="00996869">
              <w:rPr>
                <w:i/>
                <w:iCs/>
              </w:rPr>
              <w:t>instructs the ITU Council</w:t>
            </w:r>
            <w:r w:rsidR="00996869">
              <w:t xml:space="preserve"> 6 of</w:t>
            </w:r>
            <w:r>
              <w:t xml:space="preserve"> Decision 5 (</w:t>
            </w:r>
            <w:r w:rsidR="00996869">
              <w:t>Rev. Bucharest, 2022</w:t>
            </w:r>
            <w:r>
              <w:t>) of the Plenipotentiary Conference and Council Resolution 1413</w:t>
            </w:r>
            <w:r w:rsidR="00996869">
              <w:t xml:space="preserve"> (C23-EXT)</w:t>
            </w:r>
            <w:r>
              <w:t>.</w:t>
            </w:r>
          </w:p>
          <w:p w14:paraId="45B1495A" w14:textId="77777777" w:rsidR="00AD3606" w:rsidRPr="00F16BAB" w:rsidRDefault="00AD3606" w:rsidP="00BB7FD4">
            <w:pPr>
              <w:spacing w:before="160"/>
              <w:jc w:val="both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</w:t>
            </w:r>
            <w:r w:rsidR="00F16BAB" w:rsidRPr="00F16BAB">
              <w:rPr>
                <w:b/>
                <w:bCs/>
                <w:sz w:val="26"/>
                <w:szCs w:val="26"/>
              </w:rPr>
              <w:t xml:space="preserve"> by the </w:t>
            </w:r>
            <w:proofErr w:type="gramStart"/>
            <w:r w:rsidR="00F16BAB" w:rsidRPr="00F16BAB">
              <w:rPr>
                <w:b/>
                <w:bCs/>
                <w:sz w:val="26"/>
                <w:szCs w:val="26"/>
              </w:rPr>
              <w:t>Council</w:t>
            </w:r>
            <w:proofErr w:type="gramEnd"/>
          </w:p>
          <w:p w14:paraId="226A8A98" w14:textId="4811FA7B" w:rsidR="00B45FB9" w:rsidRPr="00484009" w:rsidRDefault="00B45FB9" w:rsidP="00BB7FD4">
            <w:pPr>
              <w:jc w:val="both"/>
            </w:pPr>
            <w:r>
              <w:t xml:space="preserve">The </w:t>
            </w:r>
            <w:r w:rsidR="003148C6">
              <w:t xml:space="preserve">ITU </w:t>
            </w:r>
            <w:r>
              <w:t xml:space="preserve">Council is invited </w:t>
            </w:r>
            <w:r w:rsidRPr="00FA0361">
              <w:rPr>
                <w:b/>
                <w:bCs/>
              </w:rPr>
              <w:t>to note</w:t>
            </w:r>
            <w:r>
              <w:t xml:space="preserve"> the report from the Secretary-General.</w:t>
            </w:r>
          </w:p>
          <w:p w14:paraId="71511FA1" w14:textId="1F544385" w:rsidR="00F16BAB" w:rsidRDefault="00F16BAB" w:rsidP="00BB7FD4">
            <w:pPr>
              <w:spacing w:before="16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Relevant link</w:t>
            </w:r>
            <w:r w:rsidR="00A54171">
              <w:rPr>
                <w:b/>
                <w:bCs/>
                <w:sz w:val="26"/>
                <w:szCs w:val="26"/>
              </w:rPr>
              <w:t>(s)</w:t>
            </w:r>
            <w:r>
              <w:rPr>
                <w:b/>
                <w:bCs/>
                <w:sz w:val="26"/>
                <w:szCs w:val="26"/>
              </w:rPr>
              <w:t xml:space="preserve"> with the Strategic Plan</w:t>
            </w:r>
          </w:p>
          <w:p w14:paraId="503749D7" w14:textId="74C3198C" w:rsidR="00F16BAB" w:rsidRPr="00F16BAB" w:rsidRDefault="00D02026" w:rsidP="00BB7FD4">
            <w:pPr>
              <w:jc w:val="both"/>
            </w:pPr>
            <w:r w:rsidRPr="00D02026">
              <w:t>Excellence in human resources and organizational innovation</w:t>
            </w:r>
            <w:r w:rsidR="003148C6">
              <w:t>.</w:t>
            </w:r>
          </w:p>
          <w:p w14:paraId="74189BBD" w14:textId="2FCE6379" w:rsidR="00F16BAB" w:rsidRDefault="00F16BAB" w:rsidP="00BB7FD4">
            <w:pPr>
              <w:spacing w:before="16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Financial implications</w:t>
            </w:r>
          </w:p>
          <w:p w14:paraId="4CE271C3" w14:textId="0E7D7FCF" w:rsidR="006F3387" w:rsidRDefault="006F3387" w:rsidP="00BB7FD4">
            <w:pPr>
              <w:jc w:val="both"/>
              <w:rPr>
                <w:b/>
                <w:bCs/>
                <w:sz w:val="26"/>
                <w:szCs w:val="26"/>
              </w:rPr>
            </w:pPr>
            <w:r>
              <w:t>The</w:t>
            </w:r>
            <w:r w:rsidRPr="00731E65">
              <w:t xml:space="preserve"> cost of the </w:t>
            </w:r>
            <w:r w:rsidR="00996869">
              <w:t>v</w:t>
            </w:r>
            <w:r w:rsidRPr="00731E65">
              <w:t xml:space="preserve">oluntary </w:t>
            </w:r>
            <w:r w:rsidR="00996869">
              <w:t>s</w:t>
            </w:r>
            <w:r w:rsidRPr="00731E65">
              <w:t xml:space="preserve">eparation </w:t>
            </w:r>
            <w:r w:rsidR="00996869">
              <w:t>p</w:t>
            </w:r>
            <w:r w:rsidRPr="00731E65">
              <w:t>rogramme is estimated at CHF 3</w:t>
            </w:r>
            <w:r w:rsidR="008B0176">
              <w:t> </w:t>
            </w:r>
            <w:r w:rsidRPr="00731E65">
              <w:t>860K</w:t>
            </w:r>
            <w:r>
              <w:t xml:space="preserve">, funded from </w:t>
            </w:r>
            <w:r w:rsidR="00360889">
              <w:t xml:space="preserve">the </w:t>
            </w:r>
            <w:r>
              <w:t xml:space="preserve">ITU </w:t>
            </w:r>
            <w:r w:rsidR="00996869">
              <w:t>R</w:t>
            </w:r>
            <w:r>
              <w:t xml:space="preserve">eserve </w:t>
            </w:r>
            <w:r w:rsidR="00996869">
              <w:t>A</w:t>
            </w:r>
            <w:r>
              <w:t>ccount</w:t>
            </w:r>
            <w:r w:rsidR="008335E9">
              <w:t>.</w:t>
            </w:r>
          </w:p>
          <w:p w14:paraId="6F1B8B4E" w14:textId="77777777" w:rsidR="00AD3606" w:rsidRPr="00813E5E" w:rsidRDefault="00AD3606" w:rsidP="00F16BAB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0EBC340A" w14:textId="77777777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References</w:t>
            </w:r>
          </w:p>
          <w:p w14:paraId="65250B1E" w14:textId="26B70DB4" w:rsidR="00AD3606" w:rsidRDefault="001B0BA1" w:rsidP="00F16BAB">
            <w:pPr>
              <w:spacing w:after="160"/>
            </w:pPr>
            <w:hyperlink r:id="rId11" w:history="1">
              <w:r w:rsidR="00D02026" w:rsidRPr="00BB7FD4">
                <w:rPr>
                  <w:rStyle w:val="Hyperlink"/>
                </w:rPr>
                <w:t>Council Resolution 1413</w:t>
              </w:r>
            </w:hyperlink>
            <w:r w:rsidR="00996869">
              <w:rPr>
                <w:rStyle w:val="Hyperlink"/>
              </w:rPr>
              <w:t xml:space="preserve"> (C23-EXT)</w:t>
            </w:r>
          </w:p>
        </w:tc>
      </w:tr>
      <w:bookmarkEnd w:id="5"/>
    </w:tbl>
    <w:p w14:paraId="7FE52F59" w14:textId="77777777" w:rsidR="0090147A" w:rsidRPr="001B0BA1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1B0BA1">
        <w:br w:type="page"/>
      </w:r>
    </w:p>
    <w:p w14:paraId="77F2FE35" w14:textId="4585DB7B" w:rsidR="00B45FB9" w:rsidRPr="001B0BA1" w:rsidRDefault="00B45FB9" w:rsidP="001B0BA1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ind w:left="0" w:firstLine="0"/>
        <w:contextualSpacing w:val="0"/>
        <w:jc w:val="both"/>
        <w:textAlignment w:val="auto"/>
        <w:rPr>
          <w:b/>
          <w:bCs/>
          <w:szCs w:val="24"/>
        </w:rPr>
      </w:pPr>
      <w:r w:rsidRPr="001B0BA1">
        <w:rPr>
          <w:b/>
          <w:bCs/>
          <w:szCs w:val="24"/>
        </w:rPr>
        <w:lastRenderedPageBreak/>
        <w:t>Introduction</w:t>
      </w:r>
    </w:p>
    <w:p w14:paraId="18F37745" w14:textId="1EF045F5" w:rsidR="00B45FB9" w:rsidRPr="001B0BA1" w:rsidRDefault="008B0176" w:rsidP="00BB7FD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i/>
          <w:iCs/>
          <w:szCs w:val="24"/>
        </w:rPr>
      </w:pPr>
      <w:r w:rsidRPr="001B0BA1">
        <w:rPr>
          <w:szCs w:val="24"/>
        </w:rPr>
        <w:t xml:space="preserve">Pursuant to </w:t>
      </w:r>
      <w:r w:rsidRPr="001B0BA1">
        <w:rPr>
          <w:i/>
          <w:iCs/>
          <w:szCs w:val="24"/>
        </w:rPr>
        <w:t>instructs the Council</w:t>
      </w:r>
      <w:r w:rsidRPr="001B0BA1">
        <w:rPr>
          <w:szCs w:val="24"/>
        </w:rPr>
        <w:t xml:space="preserve"> 6 of </w:t>
      </w:r>
      <w:r w:rsidR="00B45FB9" w:rsidRPr="001B0BA1">
        <w:rPr>
          <w:szCs w:val="24"/>
        </w:rPr>
        <w:t>Decision 5 (</w:t>
      </w:r>
      <w:r w:rsidRPr="001B0BA1">
        <w:rPr>
          <w:szCs w:val="24"/>
        </w:rPr>
        <w:t>Rev. Bucharest, 2022</w:t>
      </w:r>
      <w:r w:rsidR="00B45FB9" w:rsidRPr="001B0BA1">
        <w:rPr>
          <w:szCs w:val="24"/>
        </w:rPr>
        <w:t>)</w:t>
      </w:r>
      <w:r w:rsidRPr="001B0BA1">
        <w:rPr>
          <w:szCs w:val="24"/>
        </w:rPr>
        <w:t xml:space="preserve"> of</w:t>
      </w:r>
      <w:r w:rsidR="00B45FB9" w:rsidRPr="001B0BA1">
        <w:rPr>
          <w:szCs w:val="24"/>
        </w:rPr>
        <w:t xml:space="preserve"> the Plenipotentiary Conference</w:t>
      </w:r>
      <w:r w:rsidRPr="001B0BA1">
        <w:rPr>
          <w:szCs w:val="24"/>
        </w:rPr>
        <w:t>, the</w:t>
      </w:r>
      <w:r w:rsidR="00B45FB9" w:rsidRPr="001B0BA1">
        <w:rPr>
          <w:szCs w:val="24"/>
        </w:rPr>
        <w:t xml:space="preserve"> ITU Council</w:t>
      </w:r>
      <w:r w:rsidRPr="001B0BA1">
        <w:rPr>
          <w:szCs w:val="24"/>
        </w:rPr>
        <w:t xml:space="preserve"> is</w:t>
      </w:r>
      <w:r w:rsidR="00B45FB9" w:rsidRPr="001B0BA1">
        <w:rPr>
          <w:szCs w:val="24"/>
        </w:rPr>
        <w:t xml:space="preserve"> to take account of the impact of any cost-reduction programme on the staff of the Union, and to implement without delay, and preferably as of early 2023 at the latest, a voluntary separation and early retirement scheme, funded to the extent possible by budgetary surplus, but also through a withdrawal from the </w:t>
      </w:r>
      <w:r w:rsidR="00360889" w:rsidRPr="001B0BA1">
        <w:rPr>
          <w:szCs w:val="24"/>
        </w:rPr>
        <w:t xml:space="preserve">ITU </w:t>
      </w:r>
      <w:r w:rsidR="00B45FB9" w:rsidRPr="001B0BA1">
        <w:rPr>
          <w:szCs w:val="24"/>
        </w:rPr>
        <w:t>Reserve Account, for an amount up to but not exceeding CHF</w:t>
      </w:r>
      <w:r w:rsidR="00BB7FD4" w:rsidRPr="001B0BA1">
        <w:rPr>
          <w:szCs w:val="24"/>
        </w:rPr>
        <w:t> </w:t>
      </w:r>
      <w:r w:rsidR="00B45FB9" w:rsidRPr="001B0BA1">
        <w:rPr>
          <w:szCs w:val="24"/>
        </w:rPr>
        <w:t>6</w:t>
      </w:r>
      <w:r w:rsidR="00BB7FD4" w:rsidRPr="001B0BA1">
        <w:rPr>
          <w:szCs w:val="24"/>
        </w:rPr>
        <w:t> </w:t>
      </w:r>
      <w:r w:rsidR="00B45FB9" w:rsidRPr="001B0BA1">
        <w:rPr>
          <w:szCs w:val="24"/>
        </w:rPr>
        <w:t>million.</w:t>
      </w:r>
      <w:r w:rsidR="00B45FB9" w:rsidRPr="001B0BA1">
        <w:rPr>
          <w:i/>
          <w:iCs/>
          <w:szCs w:val="24"/>
        </w:rPr>
        <w:t xml:space="preserve"> </w:t>
      </w:r>
    </w:p>
    <w:p w14:paraId="16566EB5" w14:textId="068AFEF6" w:rsidR="00A514A4" w:rsidRPr="001B0BA1" w:rsidRDefault="00B45FB9" w:rsidP="00BB7FD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i/>
          <w:iCs/>
          <w:szCs w:val="24"/>
        </w:rPr>
      </w:pPr>
      <w:r w:rsidRPr="001B0BA1">
        <w:rPr>
          <w:szCs w:val="24"/>
        </w:rPr>
        <w:t>At its</w:t>
      </w:r>
      <w:r w:rsidR="008B0176" w:rsidRPr="001B0BA1">
        <w:rPr>
          <w:szCs w:val="24"/>
        </w:rPr>
        <w:t xml:space="preserve"> 2023</w:t>
      </w:r>
      <w:r w:rsidRPr="001B0BA1">
        <w:rPr>
          <w:szCs w:val="24"/>
        </w:rPr>
        <w:t xml:space="preserve"> </w:t>
      </w:r>
      <w:r w:rsidR="00894210" w:rsidRPr="001B0BA1">
        <w:rPr>
          <w:szCs w:val="24"/>
        </w:rPr>
        <w:t>extraordinary</w:t>
      </w:r>
      <w:r w:rsidRPr="001B0BA1">
        <w:rPr>
          <w:szCs w:val="24"/>
        </w:rPr>
        <w:t xml:space="preserve"> session, the Council</w:t>
      </w:r>
      <w:r w:rsidR="00894210" w:rsidRPr="001B0BA1">
        <w:rPr>
          <w:szCs w:val="24"/>
        </w:rPr>
        <w:t xml:space="preserve"> </w:t>
      </w:r>
      <w:r w:rsidRPr="001B0BA1">
        <w:rPr>
          <w:szCs w:val="24"/>
        </w:rPr>
        <w:t xml:space="preserve">resolved </w:t>
      </w:r>
      <w:r w:rsidR="008B0176" w:rsidRPr="001B0BA1">
        <w:rPr>
          <w:szCs w:val="24"/>
        </w:rPr>
        <w:t>in</w:t>
      </w:r>
      <w:r w:rsidRPr="001B0BA1">
        <w:rPr>
          <w:szCs w:val="24"/>
        </w:rPr>
        <w:t xml:space="preserve"> Resolution 1413</w:t>
      </w:r>
      <w:r w:rsidR="008B0176" w:rsidRPr="001B0BA1">
        <w:rPr>
          <w:szCs w:val="24"/>
        </w:rPr>
        <w:t xml:space="preserve"> (C23-EXT)</w:t>
      </w:r>
      <w:r w:rsidRPr="001B0BA1">
        <w:rPr>
          <w:szCs w:val="24"/>
        </w:rPr>
        <w:t xml:space="preserve"> to authorize the Secretary-General, as an extraordinary measure, to withdraw up to an amount of CHF</w:t>
      </w:r>
      <w:r w:rsidR="00894210" w:rsidRPr="001B0BA1">
        <w:rPr>
          <w:szCs w:val="24"/>
        </w:rPr>
        <w:t> </w:t>
      </w:r>
      <w:r w:rsidRPr="001B0BA1">
        <w:rPr>
          <w:szCs w:val="24"/>
        </w:rPr>
        <w:t>6</w:t>
      </w:r>
      <w:r w:rsidR="00894210" w:rsidRPr="001B0BA1">
        <w:rPr>
          <w:szCs w:val="24"/>
        </w:rPr>
        <w:t> </w:t>
      </w:r>
      <w:r w:rsidRPr="001B0BA1">
        <w:rPr>
          <w:szCs w:val="24"/>
        </w:rPr>
        <w:t>million from the Reserve Account to finance the implementation of a voluntary/agreed separation and early retirement scheme, and further</w:t>
      </w:r>
      <w:r w:rsidR="008B0176" w:rsidRPr="001B0BA1">
        <w:rPr>
          <w:szCs w:val="24"/>
        </w:rPr>
        <w:t xml:space="preserve"> resolved</w:t>
      </w:r>
      <w:r w:rsidRPr="001B0BA1">
        <w:rPr>
          <w:szCs w:val="24"/>
        </w:rPr>
        <w:t xml:space="preserve"> to instruct the Secretary-General to implement the voluntary/agreed separation and early retirement scheme without any delay and preferably no later than early 2023 to improve the budget implementation forecast and permit the preparation of future balanced budgets</w:t>
      </w:r>
      <w:r w:rsidRPr="001B0BA1">
        <w:rPr>
          <w:i/>
          <w:iCs/>
          <w:szCs w:val="24"/>
        </w:rPr>
        <w:t>.</w:t>
      </w:r>
    </w:p>
    <w:p w14:paraId="2B777073" w14:textId="77777777" w:rsidR="005B6C69" w:rsidRPr="001B0BA1" w:rsidRDefault="005B6C69" w:rsidP="001B0BA1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ind w:left="0" w:firstLine="0"/>
        <w:contextualSpacing w:val="0"/>
        <w:jc w:val="both"/>
        <w:textAlignment w:val="auto"/>
        <w:rPr>
          <w:b/>
          <w:bCs/>
          <w:szCs w:val="24"/>
        </w:rPr>
      </w:pPr>
      <w:r w:rsidRPr="001B0BA1">
        <w:rPr>
          <w:b/>
          <w:bCs/>
          <w:szCs w:val="24"/>
        </w:rPr>
        <w:t>Process</w:t>
      </w:r>
    </w:p>
    <w:p w14:paraId="287C6DE3" w14:textId="7BE73955" w:rsidR="00B45FB9" w:rsidRPr="001B0BA1" w:rsidRDefault="00B45FB9" w:rsidP="00BB7FD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szCs w:val="24"/>
        </w:rPr>
      </w:pPr>
      <w:r w:rsidRPr="001B0BA1">
        <w:rPr>
          <w:szCs w:val="24"/>
        </w:rPr>
        <w:t xml:space="preserve">In compliance with these decisions, the Secretary-General launched a </w:t>
      </w:r>
      <w:r w:rsidR="008B0176" w:rsidRPr="001B0BA1">
        <w:rPr>
          <w:szCs w:val="24"/>
        </w:rPr>
        <w:t>v</w:t>
      </w:r>
      <w:r w:rsidRPr="001B0BA1">
        <w:rPr>
          <w:szCs w:val="24"/>
        </w:rPr>
        <w:t xml:space="preserve">oluntary </w:t>
      </w:r>
      <w:r w:rsidR="008B0176" w:rsidRPr="001B0BA1">
        <w:rPr>
          <w:szCs w:val="24"/>
        </w:rPr>
        <w:t>s</w:t>
      </w:r>
      <w:r w:rsidRPr="001B0BA1">
        <w:rPr>
          <w:szCs w:val="24"/>
        </w:rPr>
        <w:t xml:space="preserve">eparation </w:t>
      </w:r>
      <w:r w:rsidR="008B0176" w:rsidRPr="001B0BA1">
        <w:rPr>
          <w:szCs w:val="24"/>
        </w:rPr>
        <w:t>p</w:t>
      </w:r>
      <w:r w:rsidRPr="001B0BA1">
        <w:rPr>
          <w:szCs w:val="24"/>
        </w:rPr>
        <w:t>rogramme on 17 March 2023, funded through the approved withdrawal from the Reserve Account. The voluntary separation programme was launched through Service Order 23/03 as a one-off exercise, available for a limited period, and was offered to eligible staff members, within the available financial resources and under specific terms and conditions.</w:t>
      </w:r>
    </w:p>
    <w:p w14:paraId="28618BF2" w14:textId="1628087E" w:rsidR="00B45FB9" w:rsidRPr="001B0BA1" w:rsidRDefault="00B45FB9" w:rsidP="00BB7FD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szCs w:val="24"/>
        </w:rPr>
      </w:pPr>
      <w:r w:rsidRPr="001B0BA1">
        <w:rPr>
          <w:szCs w:val="24"/>
        </w:rPr>
        <w:t>The objectives of the programme were</w:t>
      </w:r>
      <w:r w:rsidR="008B0176" w:rsidRPr="001B0BA1">
        <w:rPr>
          <w:szCs w:val="24"/>
        </w:rPr>
        <w:t xml:space="preserve"> to</w:t>
      </w:r>
      <w:r w:rsidRPr="001B0BA1">
        <w:rPr>
          <w:szCs w:val="24"/>
        </w:rPr>
        <w:t xml:space="preserve">: </w:t>
      </w:r>
    </w:p>
    <w:p w14:paraId="2FC1751C" w14:textId="26FE8045" w:rsidR="00B45FB9" w:rsidRPr="001B0BA1" w:rsidRDefault="007F042D" w:rsidP="00BB7FD4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709" w:hanging="425"/>
        <w:contextualSpacing w:val="0"/>
        <w:jc w:val="both"/>
        <w:textAlignment w:val="auto"/>
        <w:rPr>
          <w:szCs w:val="24"/>
        </w:rPr>
      </w:pPr>
      <w:r w:rsidRPr="001B0BA1">
        <w:rPr>
          <w:szCs w:val="24"/>
        </w:rPr>
        <w:t>support</w:t>
      </w:r>
      <w:r w:rsidR="008B0176" w:rsidRPr="001B0BA1">
        <w:rPr>
          <w:szCs w:val="24"/>
        </w:rPr>
        <w:t xml:space="preserve"> the</w:t>
      </w:r>
      <w:r w:rsidRPr="001B0BA1">
        <w:rPr>
          <w:szCs w:val="24"/>
        </w:rPr>
        <w:t xml:space="preserve"> </w:t>
      </w:r>
      <w:r w:rsidR="00B45FB9" w:rsidRPr="001B0BA1">
        <w:rPr>
          <w:szCs w:val="24"/>
        </w:rPr>
        <w:t>balanc</w:t>
      </w:r>
      <w:r w:rsidRPr="001B0BA1">
        <w:rPr>
          <w:szCs w:val="24"/>
        </w:rPr>
        <w:t>ing</w:t>
      </w:r>
      <w:r w:rsidR="008B0176" w:rsidRPr="001B0BA1">
        <w:rPr>
          <w:szCs w:val="24"/>
        </w:rPr>
        <w:t xml:space="preserve"> of</w:t>
      </w:r>
      <w:r w:rsidRPr="001B0BA1">
        <w:rPr>
          <w:szCs w:val="24"/>
        </w:rPr>
        <w:t xml:space="preserve"> the organization’s</w:t>
      </w:r>
      <w:r w:rsidR="00B45FB9" w:rsidRPr="001B0BA1">
        <w:rPr>
          <w:szCs w:val="24"/>
        </w:rPr>
        <w:t xml:space="preserve"> budget expenditure by reducing the number of staff in the Union at a more rapid rate than achieved through natural turnover and projected </w:t>
      </w:r>
      <w:proofErr w:type="gramStart"/>
      <w:r w:rsidR="00B45FB9" w:rsidRPr="001B0BA1">
        <w:rPr>
          <w:szCs w:val="24"/>
        </w:rPr>
        <w:t>retirements</w:t>
      </w:r>
      <w:r w:rsidR="008B0176" w:rsidRPr="001B0BA1">
        <w:rPr>
          <w:szCs w:val="24"/>
        </w:rPr>
        <w:t>;</w:t>
      </w:r>
      <w:proofErr w:type="gramEnd"/>
    </w:p>
    <w:p w14:paraId="15271F72" w14:textId="7827E2AE" w:rsidR="00B45FB9" w:rsidRPr="001B0BA1" w:rsidRDefault="00B45FB9" w:rsidP="00BB7FD4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709" w:hanging="425"/>
        <w:contextualSpacing w:val="0"/>
        <w:jc w:val="both"/>
        <w:textAlignment w:val="auto"/>
        <w:rPr>
          <w:szCs w:val="24"/>
        </w:rPr>
      </w:pPr>
      <w:r w:rsidRPr="001B0BA1">
        <w:rPr>
          <w:szCs w:val="24"/>
        </w:rPr>
        <w:t xml:space="preserve">afford the Union an opportunity to realign its structures and use of resources with its redefined strategic </w:t>
      </w:r>
      <w:proofErr w:type="gramStart"/>
      <w:r w:rsidRPr="001B0BA1">
        <w:rPr>
          <w:szCs w:val="24"/>
        </w:rPr>
        <w:t>goals</w:t>
      </w:r>
      <w:r w:rsidR="008B0176" w:rsidRPr="001B0BA1">
        <w:rPr>
          <w:szCs w:val="24"/>
        </w:rPr>
        <w:t>;</w:t>
      </w:r>
      <w:proofErr w:type="gramEnd"/>
    </w:p>
    <w:p w14:paraId="01814207" w14:textId="4FD0820D" w:rsidR="00B45FB9" w:rsidRPr="001B0BA1" w:rsidRDefault="00B45FB9" w:rsidP="00BB7FD4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709" w:hanging="425"/>
        <w:contextualSpacing w:val="0"/>
        <w:jc w:val="both"/>
        <w:textAlignment w:val="auto"/>
        <w:rPr>
          <w:szCs w:val="24"/>
        </w:rPr>
      </w:pPr>
      <w:r w:rsidRPr="001B0BA1">
        <w:rPr>
          <w:szCs w:val="24"/>
        </w:rPr>
        <w:t>give the Union flexibility to further equip itself with additional skills and competencies necessary to deliver its mandate.</w:t>
      </w:r>
    </w:p>
    <w:p w14:paraId="22631D97" w14:textId="1188CBBF" w:rsidR="00593F90" w:rsidRPr="001B0BA1" w:rsidRDefault="00593F90" w:rsidP="00BB7FD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szCs w:val="24"/>
          <w:lang w:val="en-US"/>
        </w:rPr>
      </w:pPr>
      <w:r w:rsidRPr="001B0BA1">
        <w:rPr>
          <w:szCs w:val="24"/>
          <w:lang w:val="en-US"/>
        </w:rPr>
        <w:t xml:space="preserve">The </w:t>
      </w:r>
      <w:proofErr w:type="spellStart"/>
      <w:r w:rsidRPr="001B0BA1">
        <w:rPr>
          <w:szCs w:val="24"/>
          <w:lang w:val="en-US"/>
        </w:rPr>
        <w:t>programme</w:t>
      </w:r>
      <w:proofErr w:type="spellEnd"/>
      <w:r w:rsidRPr="001B0BA1">
        <w:rPr>
          <w:szCs w:val="24"/>
          <w:lang w:val="en-US"/>
        </w:rPr>
        <w:t xml:space="preserve"> was designed following a review of best practice</w:t>
      </w:r>
      <w:r w:rsidR="008B0176" w:rsidRPr="001B0BA1">
        <w:rPr>
          <w:szCs w:val="24"/>
          <w:lang w:val="en-US"/>
        </w:rPr>
        <w:t>s</w:t>
      </w:r>
      <w:r w:rsidRPr="001B0BA1">
        <w:rPr>
          <w:szCs w:val="24"/>
          <w:lang w:val="en-US"/>
        </w:rPr>
        <w:t xml:space="preserve"> in other organizations and provided different </w:t>
      </w:r>
      <w:r w:rsidR="00C64141" w:rsidRPr="001B0BA1">
        <w:rPr>
          <w:szCs w:val="24"/>
          <w:lang w:val="en-US"/>
        </w:rPr>
        <w:t>financial</w:t>
      </w:r>
      <w:r w:rsidR="00360889" w:rsidRPr="001B0BA1">
        <w:rPr>
          <w:szCs w:val="24"/>
          <w:lang w:val="en-US"/>
        </w:rPr>
        <w:t xml:space="preserve"> </w:t>
      </w:r>
      <w:r w:rsidR="00C64141" w:rsidRPr="001B0BA1">
        <w:rPr>
          <w:szCs w:val="24"/>
          <w:lang w:val="en-US"/>
        </w:rPr>
        <w:t xml:space="preserve">settlement </w:t>
      </w:r>
      <w:r w:rsidRPr="001B0BA1">
        <w:rPr>
          <w:szCs w:val="24"/>
          <w:lang w:val="en-US"/>
        </w:rPr>
        <w:t xml:space="preserve">options to </w:t>
      </w:r>
      <w:r w:rsidR="00C64141" w:rsidRPr="001B0BA1">
        <w:rPr>
          <w:szCs w:val="24"/>
          <w:lang w:val="en-US"/>
        </w:rPr>
        <w:t>staff, while</w:t>
      </w:r>
      <w:r w:rsidRPr="001B0BA1">
        <w:rPr>
          <w:szCs w:val="24"/>
          <w:lang w:val="en-US"/>
        </w:rPr>
        <w:t xml:space="preserve"> ensuring a balanced approach with the needs of the organization and the imperative to perform th</w:t>
      </w:r>
      <w:r w:rsidR="008B0176" w:rsidRPr="001B0BA1">
        <w:rPr>
          <w:szCs w:val="24"/>
          <w:lang w:val="en-US"/>
        </w:rPr>
        <w:t>e</w:t>
      </w:r>
      <w:r w:rsidRPr="001B0BA1">
        <w:rPr>
          <w:szCs w:val="24"/>
          <w:lang w:val="en-US"/>
        </w:rPr>
        <w:t xml:space="preserve"> exercise in a cost-effective manner.</w:t>
      </w:r>
    </w:p>
    <w:p w14:paraId="4223BB24" w14:textId="34547E0E" w:rsidR="00593F90" w:rsidRPr="001B0BA1" w:rsidRDefault="00593F90" w:rsidP="00BB7FD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szCs w:val="24"/>
          <w:lang w:val="en-US"/>
        </w:rPr>
      </w:pPr>
      <w:r w:rsidRPr="001B0BA1">
        <w:rPr>
          <w:szCs w:val="24"/>
          <w:lang w:val="en-US"/>
        </w:rPr>
        <w:t xml:space="preserve">Staff members were provided until 30 April 2023 to present their formal application </w:t>
      </w:r>
      <w:r w:rsidR="00C64141" w:rsidRPr="001B0BA1">
        <w:rPr>
          <w:szCs w:val="24"/>
          <w:lang w:val="en-US"/>
        </w:rPr>
        <w:t xml:space="preserve">to benefit from the </w:t>
      </w:r>
      <w:proofErr w:type="spellStart"/>
      <w:r w:rsidR="00C64141" w:rsidRPr="001B0BA1">
        <w:rPr>
          <w:szCs w:val="24"/>
          <w:lang w:val="en-US"/>
        </w:rPr>
        <w:t>programme</w:t>
      </w:r>
      <w:proofErr w:type="spellEnd"/>
      <w:r w:rsidR="00C64141" w:rsidRPr="001B0BA1">
        <w:rPr>
          <w:szCs w:val="24"/>
          <w:lang w:val="en-US"/>
        </w:rPr>
        <w:t>, based on financial estimations provided by the Human Resources Management Department.</w:t>
      </w:r>
    </w:p>
    <w:p w14:paraId="041B4835" w14:textId="0D02DF1F" w:rsidR="005B6C69" w:rsidRPr="001B0BA1" w:rsidRDefault="00C3578E" w:rsidP="001B0BA1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ind w:left="0" w:firstLine="0"/>
        <w:contextualSpacing w:val="0"/>
        <w:jc w:val="both"/>
        <w:textAlignment w:val="auto"/>
        <w:rPr>
          <w:b/>
          <w:bCs/>
          <w:szCs w:val="24"/>
        </w:rPr>
      </w:pPr>
      <w:r w:rsidRPr="001B0BA1">
        <w:rPr>
          <w:b/>
          <w:bCs/>
          <w:szCs w:val="24"/>
        </w:rPr>
        <w:t>Applications</w:t>
      </w:r>
    </w:p>
    <w:p w14:paraId="2F41DD57" w14:textId="73E6B907" w:rsidR="00C3578E" w:rsidRPr="001B0BA1" w:rsidRDefault="005B6C69" w:rsidP="00BB7FD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szCs w:val="24"/>
        </w:rPr>
      </w:pPr>
      <w:r w:rsidRPr="001B0BA1">
        <w:rPr>
          <w:szCs w:val="24"/>
        </w:rPr>
        <w:t xml:space="preserve">A total of 46 staff members applied to the </w:t>
      </w:r>
      <w:r w:rsidR="008B0176" w:rsidRPr="001B0BA1">
        <w:rPr>
          <w:szCs w:val="24"/>
        </w:rPr>
        <w:t>v</w:t>
      </w:r>
      <w:r w:rsidRPr="001B0BA1">
        <w:rPr>
          <w:szCs w:val="24"/>
        </w:rPr>
        <w:t xml:space="preserve">oluntary </w:t>
      </w:r>
      <w:r w:rsidR="008B0176" w:rsidRPr="001B0BA1">
        <w:rPr>
          <w:szCs w:val="24"/>
        </w:rPr>
        <w:t>s</w:t>
      </w:r>
      <w:r w:rsidRPr="001B0BA1">
        <w:rPr>
          <w:szCs w:val="24"/>
        </w:rPr>
        <w:t xml:space="preserve">eparation </w:t>
      </w:r>
      <w:r w:rsidR="008B0176" w:rsidRPr="001B0BA1">
        <w:rPr>
          <w:szCs w:val="24"/>
        </w:rPr>
        <w:t>p</w:t>
      </w:r>
      <w:r w:rsidRPr="001B0BA1">
        <w:rPr>
          <w:szCs w:val="24"/>
        </w:rPr>
        <w:t xml:space="preserve">rogramme. </w:t>
      </w:r>
      <w:r w:rsidR="00C3578E" w:rsidRPr="001B0BA1">
        <w:rPr>
          <w:szCs w:val="24"/>
        </w:rPr>
        <w:t xml:space="preserve">Of the 46 applications, </w:t>
      </w:r>
      <w:r w:rsidR="008B0176" w:rsidRPr="001B0BA1">
        <w:rPr>
          <w:szCs w:val="24"/>
        </w:rPr>
        <w:t>four</w:t>
      </w:r>
      <w:r w:rsidR="00C3578E" w:rsidRPr="001B0BA1">
        <w:rPr>
          <w:szCs w:val="24"/>
        </w:rPr>
        <w:t xml:space="preserve"> were not recommended by the Directors of </w:t>
      </w:r>
      <w:r w:rsidR="00360889" w:rsidRPr="001B0BA1">
        <w:rPr>
          <w:szCs w:val="24"/>
        </w:rPr>
        <w:t xml:space="preserve">the </w:t>
      </w:r>
      <w:r w:rsidR="00C3578E" w:rsidRPr="001B0BA1">
        <w:rPr>
          <w:szCs w:val="24"/>
        </w:rPr>
        <w:t xml:space="preserve">Bureaux or Chiefs of Department of the General Secretariat for business continuity </w:t>
      </w:r>
      <w:r w:rsidR="008B0176" w:rsidRPr="001B0BA1">
        <w:rPr>
          <w:szCs w:val="24"/>
        </w:rPr>
        <w:t>reasons</w:t>
      </w:r>
      <w:r w:rsidR="00C3578E" w:rsidRPr="001B0BA1">
        <w:rPr>
          <w:szCs w:val="24"/>
        </w:rPr>
        <w:t xml:space="preserve">. Therefore, the </w:t>
      </w:r>
      <w:r w:rsidR="00404C8A" w:rsidRPr="001B0BA1">
        <w:rPr>
          <w:szCs w:val="24"/>
        </w:rPr>
        <w:t>A</w:t>
      </w:r>
      <w:r w:rsidR="00C3578E" w:rsidRPr="001B0BA1">
        <w:rPr>
          <w:szCs w:val="24"/>
        </w:rPr>
        <w:t>d</w:t>
      </w:r>
      <w:r w:rsidR="00404C8A" w:rsidRPr="001B0BA1">
        <w:rPr>
          <w:szCs w:val="24"/>
        </w:rPr>
        <w:t xml:space="preserve"> </w:t>
      </w:r>
      <w:r w:rsidR="00C3578E" w:rsidRPr="001B0BA1">
        <w:rPr>
          <w:szCs w:val="24"/>
        </w:rPr>
        <w:t xml:space="preserve">hoc </w:t>
      </w:r>
      <w:r w:rsidR="00404C8A" w:rsidRPr="001B0BA1">
        <w:rPr>
          <w:szCs w:val="24"/>
        </w:rPr>
        <w:t>C</w:t>
      </w:r>
      <w:r w:rsidR="00C3578E" w:rsidRPr="001B0BA1">
        <w:rPr>
          <w:szCs w:val="24"/>
        </w:rPr>
        <w:t>ommittee reviewed 42 requests as follows:</w:t>
      </w:r>
    </w:p>
    <w:p w14:paraId="653CEF71" w14:textId="59626BEF" w:rsidR="00C3578E" w:rsidRPr="001B0BA1" w:rsidRDefault="00C3578E" w:rsidP="00122406">
      <w:pPr>
        <w:spacing w:after="120" w:line="254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1B0BA1">
        <w:rPr>
          <w:rFonts w:asciiTheme="minorHAnsi" w:hAnsiTheme="minorHAnsi" w:cstheme="minorHAnsi"/>
          <w:b/>
          <w:bCs/>
          <w:szCs w:val="24"/>
        </w:rPr>
        <w:lastRenderedPageBreak/>
        <w:t>Table 1. Requests recommended for</w:t>
      </w:r>
      <w:r w:rsidRPr="001B0BA1">
        <w:rPr>
          <w:rFonts w:asciiTheme="minorHAnsi" w:hAnsiTheme="minorHAnsi" w:cstheme="minorHAnsi"/>
          <w:b/>
          <w:bCs/>
          <w:szCs w:val="24"/>
        </w:rPr>
        <w:br/>
        <w:t xml:space="preserve"> approval by Bureau</w:t>
      </w:r>
      <w:r w:rsidR="00894210" w:rsidRPr="001B0BA1">
        <w:rPr>
          <w:rFonts w:asciiTheme="minorHAnsi" w:hAnsiTheme="minorHAnsi" w:cstheme="minorHAnsi"/>
          <w:b/>
          <w:bCs/>
          <w:szCs w:val="24"/>
        </w:rPr>
        <w:t>x</w:t>
      </w:r>
      <w:r w:rsidRPr="001B0BA1">
        <w:rPr>
          <w:rFonts w:asciiTheme="minorHAnsi" w:hAnsiTheme="minorHAnsi" w:cstheme="minorHAnsi"/>
          <w:b/>
          <w:bCs/>
          <w:szCs w:val="24"/>
        </w:rPr>
        <w:t>/G</w:t>
      </w:r>
      <w:r w:rsidR="007E1819" w:rsidRPr="001B0BA1">
        <w:rPr>
          <w:rFonts w:asciiTheme="minorHAnsi" w:hAnsiTheme="minorHAnsi" w:cstheme="minorHAnsi"/>
          <w:b/>
          <w:bCs/>
          <w:szCs w:val="24"/>
        </w:rPr>
        <w:t>eneral Secretariat</w:t>
      </w:r>
    </w:p>
    <w:tbl>
      <w:tblPr>
        <w:tblW w:w="3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276"/>
      </w:tblGrid>
      <w:tr w:rsidR="00C3578E" w:rsidRPr="001B0BA1" w14:paraId="74FEE646" w14:textId="77777777" w:rsidTr="00C3578E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14:paraId="6DBABBE2" w14:textId="77777777" w:rsidR="00C3578E" w:rsidRPr="001B0BA1" w:rsidRDefault="00C3578E" w:rsidP="00C3578E">
            <w:pPr>
              <w:spacing w:before="0" w:line="25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eastAsia="en-GB"/>
              </w:rPr>
            </w:pPr>
            <w:r w:rsidRPr="001B0BA1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eastAsia="en-GB"/>
              </w:rPr>
              <w:t>Sector/Department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14:paraId="2FC6B447" w14:textId="77777777" w:rsidR="00C3578E" w:rsidRPr="001B0BA1" w:rsidRDefault="00C3578E" w:rsidP="00C3578E">
            <w:pPr>
              <w:spacing w:before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eastAsia="en-GB"/>
              </w:rPr>
            </w:pPr>
            <w:r w:rsidRPr="001B0BA1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eastAsia="en-GB"/>
              </w:rPr>
              <w:t>Cases</w:t>
            </w:r>
          </w:p>
        </w:tc>
      </w:tr>
      <w:tr w:rsidR="00C3578E" w:rsidRPr="001B0BA1" w14:paraId="1C6FA06A" w14:textId="77777777" w:rsidTr="008335E9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D50D81" w14:textId="77777777" w:rsidR="00C3578E" w:rsidRPr="001B0BA1" w:rsidRDefault="00C3578E" w:rsidP="00C3578E">
            <w:pPr>
              <w:spacing w:before="0" w:line="256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1B0BA1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BDT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73F44B" w14:textId="77777777" w:rsidR="00C3578E" w:rsidRPr="001B0BA1" w:rsidRDefault="00C3578E" w:rsidP="00C3578E">
            <w:pPr>
              <w:spacing w:before="0" w:line="256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1B0BA1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4</w:t>
            </w:r>
          </w:p>
        </w:tc>
      </w:tr>
      <w:tr w:rsidR="00C3578E" w:rsidRPr="001B0BA1" w14:paraId="53878AD8" w14:textId="77777777" w:rsidTr="008335E9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69BAB5" w14:textId="77777777" w:rsidR="00C3578E" w:rsidRPr="001B0BA1" w:rsidRDefault="00C3578E" w:rsidP="00C3578E">
            <w:pPr>
              <w:spacing w:before="0" w:line="256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1B0BA1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BR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2C6E12" w14:textId="77777777" w:rsidR="00C3578E" w:rsidRPr="001B0BA1" w:rsidRDefault="00C3578E" w:rsidP="00C3578E">
            <w:pPr>
              <w:spacing w:before="0" w:line="256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1B0BA1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5</w:t>
            </w:r>
          </w:p>
        </w:tc>
      </w:tr>
      <w:tr w:rsidR="00C3578E" w:rsidRPr="001B0BA1" w14:paraId="34663FAE" w14:textId="77777777" w:rsidTr="008335E9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E671C3" w14:textId="77777777" w:rsidR="00C3578E" w:rsidRPr="001B0BA1" w:rsidRDefault="00C3578E" w:rsidP="00C3578E">
            <w:pPr>
              <w:spacing w:before="0" w:line="256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1B0BA1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TSB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A711E4" w14:textId="77777777" w:rsidR="00C3578E" w:rsidRPr="001B0BA1" w:rsidRDefault="00C3578E" w:rsidP="00C3578E">
            <w:pPr>
              <w:spacing w:before="0" w:line="256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1B0BA1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3</w:t>
            </w:r>
          </w:p>
        </w:tc>
      </w:tr>
      <w:tr w:rsidR="00C3578E" w:rsidRPr="001B0BA1" w14:paraId="0FA961DC" w14:textId="77777777" w:rsidTr="008335E9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A5C69C" w14:textId="77777777" w:rsidR="00C3578E" w:rsidRPr="001B0BA1" w:rsidRDefault="00C3578E" w:rsidP="00C3578E">
            <w:pPr>
              <w:spacing w:before="0" w:line="256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1B0BA1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GS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C124B0" w14:textId="77777777" w:rsidR="00C3578E" w:rsidRPr="001B0BA1" w:rsidRDefault="00C3578E" w:rsidP="00C3578E">
            <w:pPr>
              <w:spacing w:before="0" w:line="256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1B0BA1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30</w:t>
            </w:r>
          </w:p>
        </w:tc>
      </w:tr>
      <w:tr w:rsidR="008335E9" w:rsidRPr="001B0BA1" w14:paraId="263946D8" w14:textId="77777777" w:rsidTr="008335E9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A0737D" w14:textId="77777777" w:rsidR="00C3578E" w:rsidRPr="001B0BA1" w:rsidRDefault="00C3578E" w:rsidP="00C3578E">
            <w:pPr>
              <w:spacing w:before="0" w:line="25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eastAsia="en-GB"/>
              </w:rPr>
            </w:pPr>
            <w:r w:rsidRPr="001B0BA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eastAsia="en-GB"/>
              </w:rPr>
              <w:t xml:space="preserve">Total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7B3F54" w14:textId="77777777" w:rsidR="00C3578E" w:rsidRPr="001B0BA1" w:rsidRDefault="00C3578E" w:rsidP="00C3578E">
            <w:pPr>
              <w:spacing w:before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eastAsia="en-GB"/>
              </w:rPr>
            </w:pPr>
            <w:r w:rsidRPr="001B0BA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eastAsia="en-GB"/>
              </w:rPr>
              <w:t>42</w:t>
            </w:r>
          </w:p>
        </w:tc>
      </w:tr>
    </w:tbl>
    <w:p w14:paraId="549FFC82" w14:textId="3993DA41" w:rsidR="005B6C69" w:rsidRPr="001B0BA1" w:rsidRDefault="00C3578E" w:rsidP="00BB7FD4">
      <w:pPr>
        <w:spacing w:before="240" w:after="120"/>
        <w:jc w:val="both"/>
        <w:rPr>
          <w:szCs w:val="24"/>
        </w:rPr>
      </w:pPr>
      <w:r w:rsidRPr="001B0BA1">
        <w:rPr>
          <w:szCs w:val="24"/>
        </w:rPr>
        <w:t>In terms of gender, 22 applications were from female staff and 20 from male staff. The average age of applicants was 59.8 years, with a minimum age of 44.5 and a maximum of 64.1.</w:t>
      </w:r>
    </w:p>
    <w:p w14:paraId="64EB2A86" w14:textId="2CA28807" w:rsidR="005B6C69" w:rsidRPr="001B0BA1" w:rsidRDefault="00C3578E" w:rsidP="001B0BA1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ind w:left="0" w:firstLine="0"/>
        <w:contextualSpacing w:val="0"/>
        <w:jc w:val="both"/>
        <w:textAlignment w:val="auto"/>
        <w:rPr>
          <w:b/>
          <w:bCs/>
          <w:szCs w:val="24"/>
        </w:rPr>
      </w:pPr>
      <w:r w:rsidRPr="001B0BA1">
        <w:rPr>
          <w:b/>
          <w:bCs/>
          <w:szCs w:val="24"/>
        </w:rPr>
        <w:t>Re</w:t>
      </w:r>
      <w:r w:rsidR="002062DD" w:rsidRPr="001B0BA1">
        <w:rPr>
          <w:b/>
          <w:bCs/>
          <w:szCs w:val="24"/>
        </w:rPr>
        <w:t>commendations and decision</w:t>
      </w:r>
    </w:p>
    <w:p w14:paraId="7B128109" w14:textId="21CA2720" w:rsidR="002062DD" w:rsidRPr="001B0BA1" w:rsidRDefault="002062DD" w:rsidP="00BB7FD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szCs w:val="24"/>
          <w:lang w:val="en-US"/>
        </w:rPr>
      </w:pPr>
      <w:r w:rsidRPr="001B0BA1">
        <w:rPr>
          <w:szCs w:val="24"/>
          <w:lang w:val="en-US"/>
        </w:rPr>
        <w:t>According to Service Order 23/03</w:t>
      </w:r>
      <w:r w:rsidR="00360889" w:rsidRPr="001B0BA1">
        <w:rPr>
          <w:szCs w:val="24"/>
          <w:lang w:val="en-US"/>
        </w:rPr>
        <w:t>,</w:t>
      </w:r>
      <w:r w:rsidRPr="001B0BA1">
        <w:rPr>
          <w:szCs w:val="24"/>
          <w:lang w:val="en-US"/>
        </w:rPr>
        <w:t xml:space="preserve"> the Secretary-General appointed an Ad</w:t>
      </w:r>
      <w:r w:rsidR="00404C8A" w:rsidRPr="001B0BA1">
        <w:rPr>
          <w:szCs w:val="24"/>
          <w:lang w:val="en-US"/>
        </w:rPr>
        <w:t xml:space="preserve"> h</w:t>
      </w:r>
      <w:r w:rsidRPr="001B0BA1">
        <w:rPr>
          <w:szCs w:val="24"/>
          <w:lang w:val="en-US"/>
        </w:rPr>
        <w:t xml:space="preserve">oc Committee to review and assess applications for voluntary separation from staff and the recommendations from the Directors of </w:t>
      </w:r>
      <w:r w:rsidR="00360889" w:rsidRPr="001B0BA1">
        <w:rPr>
          <w:szCs w:val="24"/>
          <w:lang w:val="en-US"/>
        </w:rPr>
        <w:t xml:space="preserve">the </w:t>
      </w:r>
      <w:proofErr w:type="spellStart"/>
      <w:r w:rsidRPr="001B0BA1">
        <w:rPr>
          <w:szCs w:val="24"/>
          <w:lang w:val="en-US"/>
        </w:rPr>
        <w:t>Bureaux</w:t>
      </w:r>
      <w:proofErr w:type="spellEnd"/>
      <w:r w:rsidRPr="001B0BA1">
        <w:rPr>
          <w:szCs w:val="24"/>
          <w:lang w:val="en-US"/>
        </w:rPr>
        <w:t xml:space="preserve"> or Chiefs of Department of the General Secretariat. The </w:t>
      </w:r>
      <w:r w:rsidR="00404C8A" w:rsidRPr="001B0BA1">
        <w:rPr>
          <w:szCs w:val="24"/>
          <w:lang w:val="en-US"/>
        </w:rPr>
        <w:t>A</w:t>
      </w:r>
      <w:r w:rsidRPr="001B0BA1">
        <w:rPr>
          <w:szCs w:val="24"/>
          <w:lang w:val="en-US"/>
        </w:rPr>
        <w:t>d</w:t>
      </w:r>
      <w:r w:rsidR="00404C8A" w:rsidRPr="001B0BA1">
        <w:rPr>
          <w:szCs w:val="24"/>
          <w:lang w:val="en-US"/>
        </w:rPr>
        <w:t xml:space="preserve"> </w:t>
      </w:r>
      <w:r w:rsidRPr="001B0BA1">
        <w:rPr>
          <w:szCs w:val="24"/>
          <w:lang w:val="en-US"/>
        </w:rPr>
        <w:t xml:space="preserve">hoc </w:t>
      </w:r>
      <w:r w:rsidR="00404C8A" w:rsidRPr="001B0BA1">
        <w:rPr>
          <w:szCs w:val="24"/>
          <w:lang w:val="en-US"/>
        </w:rPr>
        <w:t>C</w:t>
      </w:r>
      <w:r w:rsidRPr="001B0BA1">
        <w:rPr>
          <w:szCs w:val="24"/>
          <w:lang w:val="en-US"/>
        </w:rPr>
        <w:t>ommittee was appointed based on the recommendations of the Directors</w:t>
      </w:r>
      <w:r w:rsidR="00D02026" w:rsidRPr="001B0BA1">
        <w:rPr>
          <w:szCs w:val="24"/>
          <w:lang w:val="en-US"/>
        </w:rPr>
        <w:t xml:space="preserve"> of </w:t>
      </w:r>
      <w:r w:rsidR="00360889" w:rsidRPr="001B0BA1">
        <w:rPr>
          <w:szCs w:val="24"/>
          <w:lang w:val="en-US"/>
        </w:rPr>
        <w:t xml:space="preserve">the </w:t>
      </w:r>
      <w:proofErr w:type="spellStart"/>
      <w:r w:rsidR="00D02026" w:rsidRPr="001B0BA1">
        <w:rPr>
          <w:szCs w:val="24"/>
          <w:lang w:val="en-US"/>
        </w:rPr>
        <w:t>Bureaux</w:t>
      </w:r>
      <w:proofErr w:type="spellEnd"/>
      <w:r w:rsidRPr="001B0BA1">
        <w:rPr>
          <w:szCs w:val="24"/>
          <w:lang w:val="en-US"/>
        </w:rPr>
        <w:t>.</w:t>
      </w:r>
    </w:p>
    <w:p w14:paraId="1752F41B" w14:textId="62A5614C" w:rsidR="002062DD" w:rsidRPr="001B0BA1" w:rsidRDefault="002062DD" w:rsidP="00BB7FD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szCs w:val="24"/>
          <w:lang w:val="en-US"/>
        </w:rPr>
      </w:pPr>
      <w:r w:rsidRPr="001B0BA1">
        <w:rPr>
          <w:szCs w:val="24"/>
          <w:lang w:val="en-US"/>
        </w:rPr>
        <w:t>The committee made recommendations with the interest</w:t>
      </w:r>
      <w:r w:rsidR="007E1819" w:rsidRPr="001B0BA1">
        <w:rPr>
          <w:szCs w:val="24"/>
          <w:lang w:val="en-US"/>
        </w:rPr>
        <w:t>s</w:t>
      </w:r>
      <w:r w:rsidRPr="001B0BA1">
        <w:rPr>
          <w:szCs w:val="24"/>
          <w:lang w:val="en-US"/>
        </w:rPr>
        <w:t xml:space="preserve"> of the Union a priority and purely based on financial considerations, in line with the decision of </w:t>
      </w:r>
      <w:r w:rsidR="00D02026" w:rsidRPr="001B0BA1">
        <w:rPr>
          <w:szCs w:val="24"/>
          <w:lang w:val="en-US"/>
        </w:rPr>
        <w:t xml:space="preserve">the </w:t>
      </w:r>
      <w:r w:rsidRPr="001B0BA1">
        <w:rPr>
          <w:szCs w:val="24"/>
          <w:lang w:val="en-US"/>
        </w:rPr>
        <w:t xml:space="preserve">Council. The return on investment (ROI) was calculated for each application considering the costs of the </w:t>
      </w:r>
      <w:proofErr w:type="spellStart"/>
      <w:r w:rsidRPr="001B0BA1">
        <w:rPr>
          <w:szCs w:val="24"/>
          <w:lang w:val="en-US"/>
        </w:rPr>
        <w:t>programme</w:t>
      </w:r>
      <w:proofErr w:type="spellEnd"/>
      <w:r w:rsidRPr="001B0BA1">
        <w:rPr>
          <w:szCs w:val="24"/>
          <w:lang w:val="en-US"/>
        </w:rPr>
        <w:t xml:space="preserve"> and the estimated </w:t>
      </w:r>
      <w:r w:rsidR="007E1819" w:rsidRPr="001B0BA1">
        <w:rPr>
          <w:szCs w:val="24"/>
          <w:lang w:val="en-US"/>
        </w:rPr>
        <w:t xml:space="preserve">long-term </w:t>
      </w:r>
      <w:r w:rsidRPr="001B0BA1">
        <w:rPr>
          <w:szCs w:val="24"/>
          <w:lang w:val="en-US"/>
        </w:rPr>
        <w:t>savings to the organization.</w:t>
      </w:r>
    </w:p>
    <w:p w14:paraId="0B13E7EC" w14:textId="4F96B363" w:rsidR="002062DD" w:rsidRPr="001B0BA1" w:rsidRDefault="002062DD" w:rsidP="00BB7FD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szCs w:val="24"/>
          <w:lang w:val="en-US"/>
        </w:rPr>
      </w:pPr>
      <w:r w:rsidRPr="001B0BA1">
        <w:rPr>
          <w:szCs w:val="24"/>
          <w:lang w:val="en-US"/>
        </w:rPr>
        <w:t xml:space="preserve">The </w:t>
      </w:r>
      <w:r w:rsidR="00404C8A" w:rsidRPr="001B0BA1">
        <w:rPr>
          <w:szCs w:val="24"/>
          <w:lang w:val="en-US"/>
        </w:rPr>
        <w:t>A</w:t>
      </w:r>
      <w:r w:rsidRPr="001B0BA1">
        <w:rPr>
          <w:szCs w:val="24"/>
          <w:lang w:val="en-US"/>
        </w:rPr>
        <w:t>d</w:t>
      </w:r>
      <w:r w:rsidR="00404C8A" w:rsidRPr="001B0BA1">
        <w:rPr>
          <w:szCs w:val="24"/>
          <w:lang w:val="en-US"/>
        </w:rPr>
        <w:t xml:space="preserve"> </w:t>
      </w:r>
      <w:r w:rsidRPr="001B0BA1">
        <w:rPr>
          <w:szCs w:val="24"/>
          <w:lang w:val="en-US"/>
        </w:rPr>
        <w:t xml:space="preserve">hoc </w:t>
      </w:r>
      <w:r w:rsidR="00404C8A" w:rsidRPr="001B0BA1">
        <w:rPr>
          <w:szCs w:val="24"/>
          <w:lang w:val="en-US"/>
        </w:rPr>
        <w:t>C</w:t>
      </w:r>
      <w:r w:rsidRPr="001B0BA1">
        <w:rPr>
          <w:szCs w:val="24"/>
          <w:lang w:val="en-US"/>
        </w:rPr>
        <w:t>ommittee provided the report to the Coordination Committee for discussion and further advise</w:t>
      </w:r>
      <w:r w:rsidR="007E1819" w:rsidRPr="001B0BA1">
        <w:rPr>
          <w:szCs w:val="24"/>
          <w:lang w:val="en-US"/>
        </w:rPr>
        <w:t>d</w:t>
      </w:r>
      <w:r w:rsidRPr="001B0BA1">
        <w:rPr>
          <w:szCs w:val="24"/>
          <w:lang w:val="en-US"/>
        </w:rPr>
        <w:t xml:space="preserve"> the Secretary-General to make the final decision to approve or reject applications based on the interests and strategic goals of the Union. As per Service Order 23/03, voluntary separations </w:t>
      </w:r>
      <w:r w:rsidR="007E1819" w:rsidRPr="001B0BA1">
        <w:rPr>
          <w:szCs w:val="24"/>
          <w:lang w:val="en-US"/>
        </w:rPr>
        <w:t>a</w:t>
      </w:r>
      <w:r w:rsidRPr="001B0BA1">
        <w:rPr>
          <w:szCs w:val="24"/>
          <w:lang w:val="en-US"/>
        </w:rPr>
        <w:t xml:space="preserve">re </w:t>
      </w:r>
      <w:r w:rsidR="00D02026" w:rsidRPr="001B0BA1">
        <w:rPr>
          <w:szCs w:val="24"/>
          <w:lang w:val="en-US"/>
        </w:rPr>
        <w:t xml:space="preserve">to </w:t>
      </w:r>
      <w:r w:rsidRPr="001B0BA1">
        <w:rPr>
          <w:szCs w:val="24"/>
          <w:lang w:val="en-US"/>
        </w:rPr>
        <w:t>be granted at the discretion of the Secretary-General and are not a statutory entitlement.</w:t>
      </w:r>
    </w:p>
    <w:p w14:paraId="73C695B1" w14:textId="0E83296C" w:rsidR="00731E65" w:rsidRPr="001B0BA1" w:rsidRDefault="00C3578E" w:rsidP="00BB7FD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szCs w:val="24"/>
        </w:rPr>
      </w:pPr>
      <w:r w:rsidRPr="001B0BA1">
        <w:rPr>
          <w:szCs w:val="24"/>
        </w:rPr>
        <w:t xml:space="preserve">The Secretary-General approved </w:t>
      </w:r>
      <w:r w:rsidR="00731E65" w:rsidRPr="001B0BA1">
        <w:rPr>
          <w:szCs w:val="24"/>
        </w:rPr>
        <w:t xml:space="preserve">a total of </w:t>
      </w:r>
      <w:r w:rsidRPr="001B0BA1">
        <w:rPr>
          <w:szCs w:val="24"/>
        </w:rPr>
        <w:t xml:space="preserve">28 cases </w:t>
      </w:r>
      <w:r w:rsidR="00731E65" w:rsidRPr="001B0BA1">
        <w:rPr>
          <w:szCs w:val="24"/>
        </w:rPr>
        <w:t xml:space="preserve">based on the interests and strategic goals of the Union, and with careful consideration of the financial impact of the exercise, in adherence to the decision of </w:t>
      </w:r>
      <w:r w:rsidR="00D02026" w:rsidRPr="001B0BA1">
        <w:rPr>
          <w:szCs w:val="24"/>
        </w:rPr>
        <w:t xml:space="preserve">the </w:t>
      </w:r>
      <w:r w:rsidR="00731E65" w:rsidRPr="001B0BA1">
        <w:rPr>
          <w:szCs w:val="24"/>
        </w:rPr>
        <w:t xml:space="preserve">Council </w:t>
      </w:r>
      <w:r w:rsidR="007E1819" w:rsidRPr="001B0BA1">
        <w:rPr>
          <w:szCs w:val="24"/>
        </w:rPr>
        <w:t xml:space="preserve">to </w:t>
      </w:r>
      <w:r w:rsidR="00731E65" w:rsidRPr="001B0BA1">
        <w:rPr>
          <w:szCs w:val="24"/>
        </w:rPr>
        <w:t>approve th</w:t>
      </w:r>
      <w:r w:rsidR="007E1819" w:rsidRPr="001B0BA1">
        <w:rPr>
          <w:szCs w:val="24"/>
        </w:rPr>
        <w:t>e</w:t>
      </w:r>
      <w:r w:rsidR="00731E65" w:rsidRPr="001B0BA1">
        <w:rPr>
          <w:szCs w:val="24"/>
        </w:rPr>
        <w:t xml:space="preserve"> programme </w:t>
      </w:r>
      <w:proofErr w:type="gramStart"/>
      <w:r w:rsidR="007E1819" w:rsidRPr="001B0BA1">
        <w:rPr>
          <w:szCs w:val="24"/>
        </w:rPr>
        <w:t xml:space="preserve">in order </w:t>
      </w:r>
      <w:r w:rsidR="00731E65" w:rsidRPr="001B0BA1">
        <w:rPr>
          <w:szCs w:val="24"/>
        </w:rPr>
        <w:t>to</w:t>
      </w:r>
      <w:proofErr w:type="gramEnd"/>
      <w:r w:rsidR="00731E65" w:rsidRPr="001B0BA1">
        <w:rPr>
          <w:szCs w:val="24"/>
        </w:rPr>
        <w:t xml:space="preserve"> improve the budget implementation forecast and permit the preparation of future balanced budgets.</w:t>
      </w:r>
    </w:p>
    <w:p w14:paraId="0BD94A05" w14:textId="2983B8ED" w:rsidR="00731E65" w:rsidRPr="001B0BA1" w:rsidRDefault="00731E65" w:rsidP="00BB7FD4">
      <w:pPr>
        <w:spacing w:after="120"/>
        <w:jc w:val="both"/>
        <w:rPr>
          <w:szCs w:val="24"/>
        </w:rPr>
      </w:pPr>
      <w:r w:rsidRPr="001B0BA1">
        <w:rPr>
          <w:szCs w:val="24"/>
        </w:rPr>
        <w:t xml:space="preserve">The final cost of the </w:t>
      </w:r>
      <w:r w:rsidR="00692722" w:rsidRPr="001B0BA1">
        <w:rPr>
          <w:szCs w:val="24"/>
        </w:rPr>
        <w:t>v</w:t>
      </w:r>
      <w:r w:rsidRPr="001B0BA1">
        <w:rPr>
          <w:szCs w:val="24"/>
        </w:rPr>
        <w:t xml:space="preserve">oluntary </w:t>
      </w:r>
      <w:r w:rsidR="00692722" w:rsidRPr="001B0BA1">
        <w:rPr>
          <w:szCs w:val="24"/>
        </w:rPr>
        <w:t>s</w:t>
      </w:r>
      <w:r w:rsidRPr="001B0BA1">
        <w:rPr>
          <w:szCs w:val="24"/>
        </w:rPr>
        <w:t xml:space="preserve">eparation </w:t>
      </w:r>
      <w:r w:rsidR="00692722" w:rsidRPr="001B0BA1">
        <w:rPr>
          <w:szCs w:val="24"/>
        </w:rPr>
        <w:t>p</w:t>
      </w:r>
      <w:r w:rsidRPr="001B0BA1">
        <w:rPr>
          <w:szCs w:val="24"/>
        </w:rPr>
        <w:t>rogramme is estimated at CHF 3</w:t>
      </w:r>
      <w:r w:rsidR="00692722" w:rsidRPr="001B0BA1">
        <w:rPr>
          <w:szCs w:val="24"/>
        </w:rPr>
        <w:t> </w:t>
      </w:r>
      <w:r w:rsidRPr="001B0BA1">
        <w:rPr>
          <w:szCs w:val="24"/>
        </w:rPr>
        <w:t>860K, with estimated long-term savings</w:t>
      </w:r>
      <w:r w:rsidR="008335E9" w:rsidRPr="001B0BA1">
        <w:rPr>
          <w:rStyle w:val="FootnoteReference"/>
          <w:szCs w:val="16"/>
        </w:rPr>
        <w:footnoteReference w:id="1"/>
      </w:r>
      <w:r w:rsidRPr="001B0BA1">
        <w:rPr>
          <w:szCs w:val="24"/>
        </w:rPr>
        <w:t xml:space="preserve"> of CHF 14</w:t>
      </w:r>
      <w:r w:rsidR="00692722" w:rsidRPr="001B0BA1">
        <w:rPr>
          <w:szCs w:val="24"/>
        </w:rPr>
        <w:t> </w:t>
      </w:r>
      <w:r w:rsidRPr="001B0BA1">
        <w:rPr>
          <w:szCs w:val="24"/>
        </w:rPr>
        <w:t xml:space="preserve">059K and a </w:t>
      </w:r>
      <w:r w:rsidR="006F3387" w:rsidRPr="001B0BA1">
        <w:rPr>
          <w:szCs w:val="24"/>
        </w:rPr>
        <w:t xml:space="preserve">tangible </w:t>
      </w:r>
      <w:r w:rsidR="00692722" w:rsidRPr="001B0BA1">
        <w:rPr>
          <w:szCs w:val="24"/>
        </w:rPr>
        <w:t>ROI</w:t>
      </w:r>
      <w:r w:rsidRPr="001B0BA1">
        <w:rPr>
          <w:szCs w:val="24"/>
        </w:rPr>
        <w:t xml:space="preserve"> of CHF</w:t>
      </w:r>
      <w:r w:rsidR="00D02026" w:rsidRPr="001B0BA1">
        <w:rPr>
          <w:szCs w:val="24"/>
        </w:rPr>
        <w:t> </w:t>
      </w:r>
      <w:r w:rsidRPr="001B0BA1">
        <w:rPr>
          <w:szCs w:val="24"/>
        </w:rPr>
        <w:t>10</w:t>
      </w:r>
      <w:r w:rsidR="00692722" w:rsidRPr="001B0BA1">
        <w:rPr>
          <w:szCs w:val="24"/>
        </w:rPr>
        <w:t> </w:t>
      </w:r>
      <w:r w:rsidRPr="001B0BA1">
        <w:rPr>
          <w:szCs w:val="24"/>
        </w:rPr>
        <w:t>189K (264</w:t>
      </w:r>
      <w:r w:rsidR="00692722" w:rsidRPr="001B0BA1">
        <w:rPr>
          <w:szCs w:val="24"/>
        </w:rPr>
        <w:t> per cent</w:t>
      </w:r>
      <w:r w:rsidRPr="001B0BA1">
        <w:rPr>
          <w:szCs w:val="24"/>
        </w:rPr>
        <w:t>).</w:t>
      </w:r>
    </w:p>
    <w:p w14:paraId="07972654" w14:textId="35893976" w:rsidR="006F3387" w:rsidRPr="001B0BA1" w:rsidRDefault="00731E65" w:rsidP="00D02026">
      <w:pPr>
        <w:keepNext/>
        <w:spacing w:after="120"/>
        <w:jc w:val="center"/>
        <w:rPr>
          <w:rFonts w:asciiTheme="minorHAnsi" w:hAnsiTheme="minorHAnsi" w:cstheme="minorHAnsi"/>
          <w:b/>
          <w:bCs/>
          <w:szCs w:val="24"/>
        </w:rPr>
      </w:pPr>
      <w:r w:rsidRPr="001B0BA1">
        <w:rPr>
          <w:rFonts w:asciiTheme="minorHAnsi" w:hAnsiTheme="minorHAnsi" w:cstheme="minorHAnsi"/>
          <w:b/>
          <w:bCs/>
          <w:szCs w:val="24"/>
        </w:rPr>
        <w:lastRenderedPageBreak/>
        <w:t xml:space="preserve">Table </w:t>
      </w:r>
      <w:r w:rsidR="008335E9" w:rsidRPr="001B0BA1">
        <w:rPr>
          <w:rFonts w:asciiTheme="minorHAnsi" w:hAnsiTheme="minorHAnsi" w:cstheme="minorHAnsi"/>
          <w:b/>
          <w:bCs/>
          <w:szCs w:val="24"/>
        </w:rPr>
        <w:t>2</w:t>
      </w:r>
      <w:r w:rsidRPr="001B0BA1">
        <w:rPr>
          <w:rFonts w:asciiTheme="minorHAnsi" w:hAnsiTheme="minorHAnsi" w:cstheme="minorHAnsi"/>
          <w:b/>
          <w:bCs/>
          <w:szCs w:val="24"/>
        </w:rPr>
        <w:t>. Estimat</w:t>
      </w:r>
      <w:r w:rsidR="00692722" w:rsidRPr="001B0BA1">
        <w:rPr>
          <w:rFonts w:asciiTheme="minorHAnsi" w:hAnsiTheme="minorHAnsi" w:cstheme="minorHAnsi"/>
          <w:b/>
          <w:bCs/>
          <w:szCs w:val="24"/>
        </w:rPr>
        <w:t>ed</w:t>
      </w:r>
      <w:r w:rsidRPr="001B0BA1">
        <w:rPr>
          <w:rFonts w:asciiTheme="minorHAnsi" w:hAnsiTheme="minorHAnsi" w:cstheme="minorHAnsi"/>
          <w:b/>
          <w:bCs/>
          <w:szCs w:val="24"/>
        </w:rPr>
        <w:t xml:space="preserve"> </w:t>
      </w:r>
      <w:r w:rsidR="00692722" w:rsidRPr="001B0BA1">
        <w:rPr>
          <w:rFonts w:asciiTheme="minorHAnsi" w:hAnsiTheme="minorHAnsi" w:cstheme="minorHAnsi"/>
          <w:b/>
          <w:bCs/>
          <w:szCs w:val="24"/>
        </w:rPr>
        <w:t xml:space="preserve">cost </w:t>
      </w:r>
      <w:r w:rsidRPr="001B0BA1">
        <w:rPr>
          <w:rFonts w:asciiTheme="minorHAnsi" w:hAnsiTheme="minorHAnsi" w:cstheme="minorHAnsi"/>
          <w:b/>
          <w:bCs/>
          <w:szCs w:val="24"/>
        </w:rPr>
        <w:t xml:space="preserve">of the </w:t>
      </w:r>
      <w:r w:rsidR="00692722" w:rsidRPr="001B0BA1">
        <w:rPr>
          <w:rFonts w:asciiTheme="minorHAnsi" w:hAnsiTheme="minorHAnsi" w:cstheme="minorHAnsi"/>
          <w:b/>
          <w:bCs/>
          <w:szCs w:val="24"/>
        </w:rPr>
        <w:t>v</w:t>
      </w:r>
      <w:r w:rsidRPr="001B0BA1">
        <w:rPr>
          <w:rFonts w:asciiTheme="minorHAnsi" w:hAnsiTheme="minorHAnsi" w:cstheme="minorHAnsi"/>
          <w:b/>
          <w:bCs/>
          <w:szCs w:val="24"/>
        </w:rPr>
        <w:t xml:space="preserve">oluntary </w:t>
      </w:r>
      <w:r w:rsidR="00692722" w:rsidRPr="001B0BA1">
        <w:rPr>
          <w:rFonts w:asciiTheme="minorHAnsi" w:hAnsiTheme="minorHAnsi" w:cstheme="minorHAnsi"/>
          <w:b/>
          <w:bCs/>
          <w:szCs w:val="24"/>
        </w:rPr>
        <w:t>s</w:t>
      </w:r>
      <w:r w:rsidRPr="001B0BA1">
        <w:rPr>
          <w:rFonts w:asciiTheme="minorHAnsi" w:hAnsiTheme="minorHAnsi" w:cstheme="minorHAnsi"/>
          <w:b/>
          <w:bCs/>
          <w:szCs w:val="24"/>
        </w:rPr>
        <w:t xml:space="preserve">eparation </w:t>
      </w:r>
      <w:r w:rsidR="00692722" w:rsidRPr="001B0BA1">
        <w:rPr>
          <w:rFonts w:asciiTheme="minorHAnsi" w:hAnsiTheme="minorHAnsi" w:cstheme="minorHAnsi"/>
          <w:b/>
          <w:bCs/>
          <w:szCs w:val="24"/>
        </w:rPr>
        <w:t>p</w:t>
      </w:r>
      <w:r w:rsidRPr="001B0BA1">
        <w:rPr>
          <w:rFonts w:asciiTheme="minorHAnsi" w:hAnsiTheme="minorHAnsi" w:cstheme="minorHAnsi"/>
          <w:b/>
          <w:bCs/>
          <w:szCs w:val="24"/>
        </w:rPr>
        <w:t xml:space="preserve">rogramme, projected savings and return on </w:t>
      </w:r>
      <w:proofErr w:type="gramStart"/>
      <w:r w:rsidRPr="001B0BA1">
        <w:rPr>
          <w:rFonts w:asciiTheme="minorHAnsi" w:hAnsiTheme="minorHAnsi" w:cstheme="minorHAnsi"/>
          <w:b/>
          <w:bCs/>
          <w:szCs w:val="24"/>
        </w:rPr>
        <w:t>investment</w:t>
      </w:r>
      <w:proofErr w:type="gramEnd"/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1559"/>
        <w:gridCol w:w="1559"/>
        <w:gridCol w:w="1560"/>
        <w:gridCol w:w="1153"/>
      </w:tblGrid>
      <w:tr w:rsidR="006F3387" w:rsidRPr="001B0BA1" w14:paraId="2FF0D239" w14:textId="77777777" w:rsidTr="006F3387">
        <w:trPr>
          <w:trHeight w:val="11"/>
          <w:jc w:val="center"/>
        </w:trPr>
        <w:tc>
          <w:tcPr>
            <w:tcW w:w="1413" w:type="dxa"/>
            <w:shd w:val="clear" w:color="D9E1F2" w:fill="D9E1F2"/>
            <w:noWrap/>
            <w:vAlign w:val="bottom"/>
            <w:hideMark/>
          </w:tcPr>
          <w:p w14:paraId="4B588E49" w14:textId="7C3E7A66" w:rsidR="006F3387" w:rsidRPr="001B0BA1" w:rsidRDefault="006F3387" w:rsidP="00D02026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n-GB"/>
              </w:rPr>
            </w:pPr>
            <w:r w:rsidRPr="001B0BA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n-GB"/>
              </w:rPr>
              <w:t>Approved cases</w:t>
            </w:r>
          </w:p>
        </w:tc>
        <w:tc>
          <w:tcPr>
            <w:tcW w:w="1701" w:type="dxa"/>
            <w:shd w:val="clear" w:color="D9E1F2" w:fill="D9E1F2"/>
            <w:vAlign w:val="bottom"/>
            <w:hideMark/>
          </w:tcPr>
          <w:p w14:paraId="1F576B73" w14:textId="3DA5754C" w:rsidR="006F3387" w:rsidRPr="001B0BA1" w:rsidRDefault="006F3387" w:rsidP="00D02026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n-GB"/>
              </w:rPr>
            </w:pPr>
            <w:r w:rsidRPr="001B0BA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n-GB"/>
              </w:rPr>
              <w:t xml:space="preserve">Cost of </w:t>
            </w:r>
            <w:r w:rsidR="00692722" w:rsidRPr="001B0BA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n-GB"/>
              </w:rPr>
              <w:t>v</w:t>
            </w:r>
            <w:r w:rsidRPr="001B0BA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n-GB"/>
              </w:rPr>
              <w:t xml:space="preserve">oluntary </w:t>
            </w:r>
            <w:r w:rsidR="00692722" w:rsidRPr="001B0BA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n-GB"/>
              </w:rPr>
              <w:t>separation p</w:t>
            </w:r>
            <w:r w:rsidRPr="001B0BA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n-GB"/>
              </w:rPr>
              <w:t>rogramme</w:t>
            </w:r>
            <w:r w:rsidRPr="001B0BA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n-GB"/>
              </w:rPr>
              <w:br/>
              <w:t>(CHF)</w:t>
            </w:r>
          </w:p>
        </w:tc>
        <w:tc>
          <w:tcPr>
            <w:tcW w:w="1559" w:type="dxa"/>
            <w:shd w:val="clear" w:color="D9E1F2" w:fill="D9E1F2"/>
            <w:vAlign w:val="bottom"/>
            <w:hideMark/>
          </w:tcPr>
          <w:p w14:paraId="77C1E7F3" w14:textId="77777777" w:rsidR="006F3387" w:rsidRPr="001B0BA1" w:rsidRDefault="006F3387" w:rsidP="00D02026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n-GB"/>
              </w:rPr>
            </w:pPr>
            <w:r w:rsidRPr="001B0BA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n-GB"/>
              </w:rPr>
              <w:t xml:space="preserve">Net savings </w:t>
            </w:r>
            <w:r w:rsidRPr="001B0BA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n-GB"/>
              </w:rPr>
              <w:br/>
              <w:t xml:space="preserve">2023 </w:t>
            </w:r>
            <w:r w:rsidRPr="001B0BA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n-GB"/>
              </w:rPr>
              <w:br/>
              <w:t>(CHF)</w:t>
            </w:r>
          </w:p>
        </w:tc>
        <w:tc>
          <w:tcPr>
            <w:tcW w:w="1559" w:type="dxa"/>
            <w:shd w:val="clear" w:color="D9E1F2" w:fill="D9E1F2"/>
            <w:vAlign w:val="bottom"/>
            <w:hideMark/>
          </w:tcPr>
          <w:p w14:paraId="64EC58ED" w14:textId="77777777" w:rsidR="006F3387" w:rsidRPr="001B0BA1" w:rsidRDefault="006F3387" w:rsidP="00D02026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n-GB"/>
              </w:rPr>
            </w:pPr>
            <w:r w:rsidRPr="001B0BA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n-GB"/>
              </w:rPr>
              <w:t xml:space="preserve">Net savings </w:t>
            </w:r>
            <w:r w:rsidRPr="001B0BA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n-GB"/>
              </w:rPr>
              <w:br/>
              <w:t xml:space="preserve">2024-2027 </w:t>
            </w:r>
            <w:r w:rsidRPr="001B0BA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n-GB"/>
              </w:rPr>
              <w:br/>
              <w:t>(CHF)</w:t>
            </w:r>
          </w:p>
        </w:tc>
        <w:tc>
          <w:tcPr>
            <w:tcW w:w="1560" w:type="dxa"/>
            <w:shd w:val="clear" w:color="auto" w:fill="808080" w:themeFill="background1" w:themeFillShade="80"/>
            <w:vAlign w:val="bottom"/>
            <w:hideMark/>
          </w:tcPr>
          <w:p w14:paraId="5A1C5B7B" w14:textId="27990DC5" w:rsidR="006F3387" w:rsidRPr="001B0BA1" w:rsidRDefault="00692722" w:rsidP="00D02026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n-GB"/>
              </w:rPr>
            </w:pPr>
            <w:r w:rsidRPr="001B0BA1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eastAsia="en-GB"/>
              </w:rPr>
              <w:t>ROI</w:t>
            </w:r>
            <w:r w:rsidR="006F3387" w:rsidRPr="001B0BA1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eastAsia="en-GB"/>
              </w:rPr>
              <w:t xml:space="preserve"> (CHF)</w:t>
            </w:r>
            <w:r w:rsidR="006F3387" w:rsidRPr="001B0BA1">
              <w:rPr>
                <w:rStyle w:val="FootnoteReference"/>
                <w:rFonts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footnoteReference w:id="2"/>
            </w:r>
          </w:p>
        </w:tc>
        <w:tc>
          <w:tcPr>
            <w:tcW w:w="1153" w:type="dxa"/>
            <w:shd w:val="clear" w:color="auto" w:fill="808080" w:themeFill="background1" w:themeFillShade="80"/>
            <w:vAlign w:val="bottom"/>
            <w:hideMark/>
          </w:tcPr>
          <w:p w14:paraId="0CEE604B" w14:textId="77777777" w:rsidR="006F3387" w:rsidRPr="001B0BA1" w:rsidRDefault="006F3387" w:rsidP="00D02026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n-GB"/>
              </w:rPr>
            </w:pPr>
            <w:r w:rsidRPr="001B0BA1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eastAsia="en-GB"/>
              </w:rPr>
              <w:t>ROI</w:t>
            </w:r>
            <w:r w:rsidRPr="001B0BA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n-GB"/>
              </w:rPr>
              <w:t xml:space="preserve"> </w:t>
            </w:r>
            <w:r w:rsidRPr="001B0BA1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  <w:lang w:eastAsia="en-GB"/>
              </w:rPr>
              <w:t>(%)</w:t>
            </w:r>
          </w:p>
        </w:tc>
      </w:tr>
      <w:tr w:rsidR="006F3387" w:rsidRPr="001B0BA1" w14:paraId="2E2A6F38" w14:textId="77777777" w:rsidTr="006F3387">
        <w:trPr>
          <w:trHeight w:val="659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105062E5" w14:textId="77777777" w:rsidR="006F3387" w:rsidRPr="001B0BA1" w:rsidRDefault="006F3387" w:rsidP="00D02026">
            <w:pPr>
              <w:keepNext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  <w:lang w:eastAsia="en-GB"/>
              </w:rPr>
            </w:pPr>
            <w:r w:rsidRPr="001B0BA1">
              <w:rPr>
                <w:rFonts w:asciiTheme="minorHAnsi" w:hAnsiTheme="minorHAnsi" w:cstheme="minorHAnsi"/>
                <w:color w:val="000000" w:themeColor="text1"/>
                <w:szCs w:val="24"/>
                <w:lang w:eastAsia="en-GB"/>
              </w:rPr>
              <w:t>28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76EE97B2" w14:textId="62925BAA" w:rsidR="006F3387" w:rsidRPr="001B0BA1" w:rsidRDefault="006F3387" w:rsidP="00D02026">
            <w:pPr>
              <w:keepNext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  <w:lang w:eastAsia="en-GB"/>
              </w:rPr>
            </w:pPr>
            <w:r w:rsidRPr="001B0BA1">
              <w:rPr>
                <w:rFonts w:asciiTheme="minorHAnsi" w:hAnsiTheme="minorHAnsi" w:cstheme="minorHAnsi"/>
                <w:color w:val="000000" w:themeColor="text1"/>
                <w:szCs w:val="24"/>
                <w:lang w:eastAsia="en-GB"/>
              </w:rPr>
              <w:t>(3</w:t>
            </w:r>
            <w:r w:rsidR="00692722" w:rsidRPr="001B0BA1">
              <w:rPr>
                <w:rFonts w:asciiTheme="minorHAnsi" w:hAnsiTheme="minorHAnsi" w:cstheme="minorHAnsi"/>
                <w:color w:val="000000" w:themeColor="text1"/>
                <w:szCs w:val="24"/>
                <w:lang w:eastAsia="en-GB"/>
              </w:rPr>
              <w:t> </w:t>
            </w:r>
            <w:r w:rsidRPr="001B0BA1">
              <w:rPr>
                <w:rFonts w:asciiTheme="minorHAnsi" w:hAnsiTheme="minorHAnsi" w:cstheme="minorHAnsi"/>
                <w:color w:val="000000" w:themeColor="text1"/>
                <w:szCs w:val="24"/>
                <w:lang w:eastAsia="en-GB"/>
              </w:rPr>
              <w:t>860</w:t>
            </w:r>
            <w:r w:rsidR="00692722" w:rsidRPr="001B0BA1">
              <w:rPr>
                <w:rFonts w:asciiTheme="minorHAnsi" w:hAnsiTheme="minorHAnsi" w:cstheme="minorHAnsi"/>
                <w:color w:val="000000" w:themeColor="text1"/>
                <w:szCs w:val="24"/>
                <w:lang w:eastAsia="en-GB"/>
              </w:rPr>
              <w:t> </w:t>
            </w:r>
            <w:r w:rsidRPr="001B0BA1">
              <w:rPr>
                <w:rFonts w:asciiTheme="minorHAnsi" w:hAnsiTheme="minorHAnsi" w:cstheme="minorHAnsi"/>
                <w:color w:val="000000" w:themeColor="text1"/>
                <w:szCs w:val="24"/>
                <w:lang w:eastAsia="en-GB"/>
              </w:rPr>
              <w:t>013)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3A3E83D2" w14:textId="01E8763B" w:rsidR="006F3387" w:rsidRPr="001B0BA1" w:rsidRDefault="006F3387" w:rsidP="00D02026">
            <w:pPr>
              <w:keepNext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  <w:lang w:eastAsia="en-GB"/>
              </w:rPr>
            </w:pPr>
            <w:r w:rsidRPr="001B0BA1">
              <w:rPr>
                <w:rFonts w:asciiTheme="minorHAnsi" w:hAnsiTheme="minorHAnsi" w:cstheme="minorHAnsi"/>
                <w:color w:val="000000" w:themeColor="text1"/>
                <w:szCs w:val="24"/>
                <w:lang w:eastAsia="en-GB"/>
              </w:rPr>
              <w:t>1</w:t>
            </w:r>
            <w:r w:rsidR="00692722" w:rsidRPr="001B0BA1">
              <w:rPr>
                <w:rFonts w:asciiTheme="minorHAnsi" w:hAnsiTheme="minorHAnsi" w:cstheme="minorHAnsi"/>
                <w:color w:val="000000" w:themeColor="text1"/>
                <w:szCs w:val="24"/>
                <w:lang w:eastAsia="en-GB"/>
              </w:rPr>
              <w:t> </w:t>
            </w:r>
            <w:r w:rsidRPr="001B0BA1">
              <w:rPr>
                <w:rFonts w:asciiTheme="minorHAnsi" w:hAnsiTheme="minorHAnsi" w:cstheme="minorHAnsi"/>
                <w:color w:val="000000" w:themeColor="text1"/>
                <w:szCs w:val="24"/>
                <w:lang w:eastAsia="en-GB"/>
              </w:rPr>
              <w:t>394</w:t>
            </w:r>
            <w:r w:rsidR="00692722" w:rsidRPr="001B0BA1">
              <w:rPr>
                <w:rFonts w:asciiTheme="minorHAnsi" w:hAnsiTheme="minorHAnsi" w:cstheme="minorHAnsi"/>
                <w:color w:val="000000" w:themeColor="text1"/>
                <w:szCs w:val="24"/>
                <w:lang w:eastAsia="en-GB"/>
              </w:rPr>
              <w:t> </w:t>
            </w:r>
            <w:r w:rsidRPr="001B0BA1">
              <w:rPr>
                <w:rFonts w:asciiTheme="minorHAnsi" w:hAnsiTheme="minorHAnsi" w:cstheme="minorHAnsi"/>
                <w:color w:val="000000" w:themeColor="text1"/>
                <w:szCs w:val="24"/>
                <w:lang w:eastAsia="en-GB"/>
              </w:rPr>
              <w:t>563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0B53E862" w14:textId="4E91A65E" w:rsidR="006F3387" w:rsidRPr="001B0BA1" w:rsidRDefault="006F3387" w:rsidP="00D02026">
            <w:pPr>
              <w:keepNext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  <w:lang w:eastAsia="en-GB"/>
              </w:rPr>
            </w:pPr>
            <w:r w:rsidRPr="001B0BA1">
              <w:rPr>
                <w:rFonts w:asciiTheme="minorHAnsi" w:hAnsiTheme="minorHAnsi" w:cstheme="minorHAnsi"/>
                <w:color w:val="000000" w:themeColor="text1"/>
                <w:szCs w:val="24"/>
                <w:lang w:eastAsia="en-GB"/>
              </w:rPr>
              <w:t>12</w:t>
            </w:r>
            <w:r w:rsidR="00692722" w:rsidRPr="001B0BA1">
              <w:rPr>
                <w:rFonts w:asciiTheme="minorHAnsi" w:hAnsiTheme="minorHAnsi" w:cstheme="minorHAnsi"/>
                <w:color w:val="000000" w:themeColor="text1"/>
                <w:szCs w:val="24"/>
                <w:lang w:eastAsia="en-GB"/>
              </w:rPr>
              <w:t> </w:t>
            </w:r>
            <w:r w:rsidRPr="001B0BA1">
              <w:rPr>
                <w:rFonts w:asciiTheme="minorHAnsi" w:hAnsiTheme="minorHAnsi" w:cstheme="minorHAnsi"/>
                <w:color w:val="000000" w:themeColor="text1"/>
                <w:szCs w:val="24"/>
                <w:lang w:eastAsia="en-GB"/>
              </w:rPr>
              <w:t>654</w:t>
            </w:r>
            <w:r w:rsidR="00692722" w:rsidRPr="001B0BA1">
              <w:rPr>
                <w:rFonts w:asciiTheme="minorHAnsi" w:hAnsiTheme="minorHAnsi" w:cstheme="minorHAnsi"/>
                <w:color w:val="000000" w:themeColor="text1"/>
                <w:szCs w:val="24"/>
                <w:lang w:eastAsia="en-GB"/>
              </w:rPr>
              <w:t> </w:t>
            </w:r>
            <w:r w:rsidRPr="001B0BA1">
              <w:rPr>
                <w:rFonts w:asciiTheme="minorHAnsi" w:hAnsiTheme="minorHAnsi" w:cstheme="minorHAnsi"/>
                <w:color w:val="000000" w:themeColor="text1"/>
                <w:szCs w:val="24"/>
                <w:lang w:eastAsia="en-GB"/>
              </w:rPr>
              <w:t>438</w:t>
            </w:r>
          </w:p>
        </w:tc>
        <w:tc>
          <w:tcPr>
            <w:tcW w:w="1560" w:type="dxa"/>
            <w:shd w:val="clear" w:color="auto" w:fill="F2F2F2" w:themeFill="background1" w:themeFillShade="F2"/>
            <w:noWrap/>
            <w:vAlign w:val="center"/>
          </w:tcPr>
          <w:p w14:paraId="2D06A9F4" w14:textId="75656566" w:rsidR="006F3387" w:rsidRPr="001B0BA1" w:rsidRDefault="006F3387" w:rsidP="00D02026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eastAsia="en-GB"/>
              </w:rPr>
            </w:pPr>
            <w:r w:rsidRPr="001B0BA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eastAsia="en-GB"/>
              </w:rPr>
              <w:t>10</w:t>
            </w:r>
            <w:r w:rsidR="00692722" w:rsidRPr="001B0BA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eastAsia="en-GB"/>
              </w:rPr>
              <w:t> </w:t>
            </w:r>
            <w:r w:rsidRPr="001B0BA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eastAsia="en-GB"/>
              </w:rPr>
              <w:t>188</w:t>
            </w:r>
            <w:r w:rsidR="00692722" w:rsidRPr="001B0BA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eastAsia="en-GB"/>
              </w:rPr>
              <w:t> </w:t>
            </w:r>
            <w:r w:rsidRPr="001B0BA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eastAsia="en-GB"/>
              </w:rPr>
              <w:t>988</w:t>
            </w:r>
          </w:p>
        </w:tc>
        <w:tc>
          <w:tcPr>
            <w:tcW w:w="1153" w:type="dxa"/>
            <w:shd w:val="clear" w:color="auto" w:fill="F2F2F2" w:themeFill="background1" w:themeFillShade="F2"/>
            <w:noWrap/>
            <w:vAlign w:val="center"/>
          </w:tcPr>
          <w:p w14:paraId="73B2D1E0" w14:textId="77777777" w:rsidR="006F3387" w:rsidRPr="001B0BA1" w:rsidRDefault="006F3387" w:rsidP="00D02026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eastAsia="en-GB"/>
              </w:rPr>
            </w:pPr>
            <w:r w:rsidRPr="001B0BA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eastAsia="en-GB"/>
              </w:rPr>
              <w:t>264%</w:t>
            </w:r>
          </w:p>
        </w:tc>
      </w:tr>
    </w:tbl>
    <w:p w14:paraId="5882CA94" w14:textId="5DF3E614" w:rsidR="002062DD" w:rsidRDefault="002062DD" w:rsidP="00BB7FD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jc w:val="both"/>
        <w:textAlignment w:val="auto"/>
      </w:pPr>
      <w:r w:rsidRPr="001B0BA1">
        <w:rPr>
          <w:szCs w:val="24"/>
          <w:lang w:val="en-US"/>
        </w:rPr>
        <w:t xml:space="preserve">Staff </w:t>
      </w:r>
      <w:r w:rsidRPr="001B0BA1">
        <w:rPr>
          <w:szCs w:val="24"/>
        </w:rPr>
        <w:t xml:space="preserve">members whose requests were accepted, in accordance with the provisions set out in Service Order 23/03, will have a date of separation from active service of 31 July 2023. </w:t>
      </w:r>
      <w:r w:rsidR="33B12238" w:rsidRPr="001B0BA1">
        <w:rPr>
          <w:szCs w:val="24"/>
        </w:rPr>
        <w:t>This excludes</w:t>
      </w:r>
      <w:r w:rsidRPr="001B0BA1">
        <w:rPr>
          <w:szCs w:val="24"/>
        </w:rPr>
        <w:t xml:space="preserve"> six (6) </w:t>
      </w:r>
      <w:r w:rsidR="3910FDD8" w:rsidRPr="001B0BA1">
        <w:rPr>
          <w:szCs w:val="24"/>
        </w:rPr>
        <w:t xml:space="preserve">members of the staff </w:t>
      </w:r>
      <w:r w:rsidR="00692722" w:rsidRPr="001B0BA1">
        <w:rPr>
          <w:szCs w:val="24"/>
        </w:rPr>
        <w:t xml:space="preserve">whose separation has been </w:t>
      </w:r>
      <w:r w:rsidRPr="001B0BA1">
        <w:rPr>
          <w:szCs w:val="24"/>
        </w:rPr>
        <w:t>defer</w:t>
      </w:r>
      <w:r w:rsidR="00692722" w:rsidRPr="001B0BA1">
        <w:rPr>
          <w:szCs w:val="24"/>
        </w:rPr>
        <w:t>red</w:t>
      </w:r>
      <w:r w:rsidRPr="001B0BA1">
        <w:rPr>
          <w:szCs w:val="24"/>
        </w:rPr>
        <w:t xml:space="preserve"> to ensure business continuity, with no separation going further than the end of 2023.</w:t>
      </w:r>
    </w:p>
    <w:p w14:paraId="42B6139C" w14:textId="114034A0" w:rsidR="006F3387" w:rsidRPr="00C3578E" w:rsidRDefault="00894210" w:rsidP="008942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</w:pPr>
      <w:r>
        <w:t>_____________________</w:t>
      </w:r>
    </w:p>
    <w:sectPr w:rsidR="006F3387" w:rsidRPr="00C3578E" w:rsidSect="00AD3606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D779" w14:textId="77777777" w:rsidR="00FF6C13" w:rsidRDefault="00FF6C13">
      <w:r>
        <w:separator/>
      </w:r>
    </w:p>
  </w:endnote>
  <w:endnote w:type="continuationSeparator" w:id="0">
    <w:p w14:paraId="52AE60CD" w14:textId="77777777" w:rsidR="00FF6C13" w:rsidRDefault="00FF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7E56AC08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894210">
            <w:rPr>
              <w:noProof/>
            </w:rPr>
            <w:t>521085</w:t>
          </w:r>
        </w:p>
      </w:tc>
      <w:tc>
        <w:tcPr>
          <w:tcW w:w="8261" w:type="dxa"/>
        </w:tcPr>
        <w:p w14:paraId="35709C74" w14:textId="07FBE7CE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894210">
            <w:rPr>
              <w:bCs/>
            </w:rPr>
            <w:t>51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1B0BA1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757947D4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894210">
            <w:rPr>
              <w:bCs/>
            </w:rPr>
            <w:t>51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8CC9" w14:textId="77777777" w:rsidR="00FF6C13" w:rsidRDefault="00FF6C13">
      <w:r>
        <w:t>____________________</w:t>
      </w:r>
    </w:p>
  </w:footnote>
  <w:footnote w:type="continuationSeparator" w:id="0">
    <w:p w14:paraId="7E13ECBE" w14:textId="77777777" w:rsidR="00FF6C13" w:rsidRDefault="00FF6C13">
      <w:r>
        <w:continuationSeparator/>
      </w:r>
    </w:p>
  </w:footnote>
  <w:footnote w:id="1">
    <w:p w14:paraId="6C12F560" w14:textId="70CE7856" w:rsidR="008335E9" w:rsidRPr="008335E9" w:rsidRDefault="008335E9" w:rsidP="00BB7FD4">
      <w:pPr>
        <w:pStyle w:val="FootnoteText"/>
        <w:tabs>
          <w:tab w:val="clear" w:pos="256"/>
        </w:tabs>
        <w:ind w:left="284" w:hanging="284"/>
        <w:jc w:val="both"/>
        <w:rPr>
          <w:sz w:val="20"/>
          <w:szCs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6F3387">
        <w:rPr>
          <w:sz w:val="20"/>
          <w:szCs w:val="16"/>
          <w:lang w:val="en-US"/>
        </w:rPr>
        <w:t xml:space="preserve">For </w:t>
      </w:r>
      <w:r w:rsidRPr="006F3387">
        <w:rPr>
          <w:sz w:val="20"/>
          <w:szCs w:val="16"/>
        </w:rPr>
        <w:t>purposes</w:t>
      </w:r>
      <w:r w:rsidRPr="006F3387">
        <w:rPr>
          <w:sz w:val="20"/>
          <w:szCs w:val="16"/>
          <w:lang w:val="en-US"/>
        </w:rPr>
        <w:t xml:space="preserve"> of this analysis, the long</w:t>
      </w:r>
      <w:r w:rsidR="007E1819">
        <w:rPr>
          <w:sz w:val="20"/>
          <w:szCs w:val="16"/>
          <w:lang w:val="en-US"/>
        </w:rPr>
        <w:t xml:space="preserve"> </w:t>
      </w:r>
      <w:r w:rsidRPr="006F3387">
        <w:rPr>
          <w:sz w:val="20"/>
          <w:szCs w:val="16"/>
          <w:lang w:val="en-US"/>
        </w:rPr>
        <w:t xml:space="preserve">term is defined as the period from August 2023 until the end of the next </w:t>
      </w:r>
      <w:proofErr w:type="spellStart"/>
      <w:r w:rsidRPr="006F3387">
        <w:rPr>
          <w:sz w:val="20"/>
          <w:szCs w:val="16"/>
          <w:lang w:val="en-US"/>
        </w:rPr>
        <w:t>programme</w:t>
      </w:r>
      <w:proofErr w:type="spellEnd"/>
      <w:r w:rsidRPr="006F3387">
        <w:rPr>
          <w:sz w:val="20"/>
          <w:szCs w:val="16"/>
          <w:lang w:val="en-US"/>
        </w:rPr>
        <w:t xml:space="preserve"> cycle </w:t>
      </w:r>
      <w:r w:rsidR="007E1819">
        <w:rPr>
          <w:sz w:val="20"/>
          <w:szCs w:val="16"/>
          <w:lang w:val="en-US"/>
        </w:rPr>
        <w:t>(</w:t>
      </w:r>
      <w:r w:rsidRPr="006F3387">
        <w:rPr>
          <w:sz w:val="20"/>
          <w:szCs w:val="16"/>
          <w:lang w:val="en-US"/>
        </w:rPr>
        <w:t>2024-2027</w:t>
      </w:r>
      <w:r w:rsidR="007E1819">
        <w:rPr>
          <w:sz w:val="20"/>
          <w:szCs w:val="16"/>
          <w:lang w:val="en-US"/>
        </w:rPr>
        <w:t>)</w:t>
      </w:r>
      <w:r w:rsidRPr="006F3387">
        <w:rPr>
          <w:sz w:val="20"/>
          <w:szCs w:val="16"/>
          <w:lang w:val="en-US"/>
        </w:rPr>
        <w:t>.</w:t>
      </w:r>
      <w:r>
        <w:rPr>
          <w:sz w:val="20"/>
          <w:szCs w:val="16"/>
          <w:lang w:val="en-US"/>
        </w:rPr>
        <w:t xml:space="preserve"> </w:t>
      </w:r>
      <w:r w:rsidRPr="008335E9">
        <w:rPr>
          <w:sz w:val="20"/>
          <w:szCs w:val="16"/>
          <w:lang w:val="en-US"/>
        </w:rPr>
        <w:t>Savings are mainly obtained by abolishing the position after departure of the incumbent or, in exceptional cases, by rehiring at a lower grade</w:t>
      </w:r>
      <w:r w:rsidR="007E1819">
        <w:rPr>
          <w:sz w:val="20"/>
          <w:szCs w:val="16"/>
          <w:lang w:val="en-US"/>
        </w:rPr>
        <w:t>,</w:t>
      </w:r>
      <w:r w:rsidRPr="008335E9">
        <w:rPr>
          <w:sz w:val="20"/>
          <w:szCs w:val="16"/>
          <w:lang w:val="en-US"/>
        </w:rPr>
        <w:t xml:space="preserve"> in which case recruitment is deferred until a positive return on investment can be achieved.</w:t>
      </w:r>
    </w:p>
  </w:footnote>
  <w:footnote w:id="2">
    <w:p w14:paraId="7F78D6C8" w14:textId="260AA142" w:rsidR="006F3387" w:rsidRPr="006F3387" w:rsidRDefault="006F3387" w:rsidP="00BB7FD4">
      <w:pPr>
        <w:pStyle w:val="FootnoteText"/>
        <w:tabs>
          <w:tab w:val="clear" w:pos="256"/>
        </w:tabs>
        <w:ind w:left="284" w:hanging="284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6F3387">
        <w:rPr>
          <w:sz w:val="20"/>
          <w:szCs w:val="16"/>
        </w:rPr>
        <w:t>R</w:t>
      </w:r>
      <w:r w:rsidR="002D42C6">
        <w:rPr>
          <w:sz w:val="20"/>
          <w:szCs w:val="16"/>
        </w:rPr>
        <w:t>OI</w:t>
      </w:r>
      <w:r w:rsidRPr="006F3387">
        <w:rPr>
          <w:sz w:val="20"/>
          <w:szCs w:val="16"/>
        </w:rPr>
        <w:t xml:space="preserve"> is generally calculated as </w:t>
      </w:r>
      <w:r w:rsidR="002D42C6">
        <w:rPr>
          <w:sz w:val="20"/>
          <w:szCs w:val="16"/>
        </w:rPr>
        <w:t>n</w:t>
      </w:r>
      <w:r w:rsidRPr="006F3387">
        <w:rPr>
          <w:sz w:val="20"/>
          <w:szCs w:val="16"/>
        </w:rPr>
        <w:t>et income/</w:t>
      </w:r>
      <w:r w:rsidR="002D42C6">
        <w:rPr>
          <w:sz w:val="20"/>
          <w:szCs w:val="16"/>
        </w:rPr>
        <w:t>c</w:t>
      </w:r>
      <w:r w:rsidRPr="006F3387">
        <w:rPr>
          <w:sz w:val="20"/>
          <w:szCs w:val="16"/>
        </w:rPr>
        <w:t>ost of investment. In this case, R</w:t>
      </w:r>
      <w:r w:rsidR="002D42C6">
        <w:rPr>
          <w:sz w:val="20"/>
          <w:szCs w:val="16"/>
        </w:rPr>
        <w:t>OI</w:t>
      </w:r>
      <w:r w:rsidRPr="006F3387">
        <w:rPr>
          <w:sz w:val="20"/>
          <w:szCs w:val="16"/>
        </w:rPr>
        <w:t xml:space="preserve"> (CHF) = Estimated net savings – Cost of </w:t>
      </w:r>
      <w:r w:rsidR="002D42C6">
        <w:rPr>
          <w:sz w:val="20"/>
          <w:szCs w:val="16"/>
        </w:rPr>
        <w:t>voluntary separation programme</w:t>
      </w:r>
      <w:r w:rsidRPr="006F3387">
        <w:rPr>
          <w:sz w:val="20"/>
          <w:szCs w:val="16"/>
        </w:rPr>
        <w:t>. ROI (%) = R</w:t>
      </w:r>
      <w:r w:rsidR="002D42C6">
        <w:rPr>
          <w:sz w:val="20"/>
          <w:szCs w:val="16"/>
        </w:rPr>
        <w:t>OI</w:t>
      </w:r>
      <w:r w:rsidRPr="006F3387">
        <w:rPr>
          <w:sz w:val="20"/>
          <w:szCs w:val="16"/>
        </w:rPr>
        <w:t xml:space="preserve"> (CHF)/Cost of </w:t>
      </w:r>
      <w:r w:rsidR="002D42C6">
        <w:rPr>
          <w:sz w:val="20"/>
          <w:szCs w:val="16"/>
        </w:rPr>
        <w:t>v</w:t>
      </w:r>
      <w:r w:rsidRPr="006F3387">
        <w:rPr>
          <w:sz w:val="20"/>
          <w:szCs w:val="16"/>
        </w:rPr>
        <w:t xml:space="preserve">oluntary </w:t>
      </w:r>
      <w:r w:rsidR="002D42C6">
        <w:rPr>
          <w:sz w:val="20"/>
          <w:szCs w:val="16"/>
        </w:rPr>
        <w:t>s</w:t>
      </w:r>
      <w:r w:rsidRPr="006F3387">
        <w:rPr>
          <w:sz w:val="20"/>
          <w:szCs w:val="16"/>
        </w:rPr>
        <w:t xml:space="preserve">eparation </w:t>
      </w:r>
      <w:r w:rsidR="002D42C6">
        <w:rPr>
          <w:sz w:val="20"/>
          <w:szCs w:val="16"/>
        </w:rPr>
        <w:t>p</w:t>
      </w:r>
      <w:r w:rsidRPr="006F3387">
        <w:rPr>
          <w:sz w:val="20"/>
          <w:szCs w:val="16"/>
        </w:rPr>
        <w:t>rogramme.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E451A26">
            <v:rect id="Rectangle 5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269A3B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920CB"/>
    <w:multiLevelType w:val="hybridMultilevel"/>
    <w:tmpl w:val="BBF894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734607"/>
    <w:multiLevelType w:val="hybridMultilevel"/>
    <w:tmpl w:val="D0DE55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F0F66"/>
    <w:multiLevelType w:val="hybridMultilevel"/>
    <w:tmpl w:val="C7D4B050"/>
    <w:lvl w:ilvl="0" w:tplc="61520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A9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EA5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E82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20E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64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880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76A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181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AA3188C"/>
    <w:multiLevelType w:val="hybridMultilevel"/>
    <w:tmpl w:val="867821C6"/>
    <w:lvl w:ilvl="0" w:tplc="08090017">
      <w:start w:val="1"/>
      <w:numFmt w:val="lowerLetter"/>
      <w:lvlText w:val="%1)"/>
      <w:lvlJc w:val="left"/>
      <w:pPr>
        <w:ind w:left="59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686" w:hanging="360"/>
      </w:pPr>
    </w:lvl>
    <w:lvl w:ilvl="2" w:tplc="0809001B" w:tentative="1">
      <w:start w:val="1"/>
      <w:numFmt w:val="lowerRoman"/>
      <w:lvlText w:val="%3."/>
      <w:lvlJc w:val="right"/>
      <w:pPr>
        <w:ind w:left="7406" w:hanging="180"/>
      </w:pPr>
    </w:lvl>
    <w:lvl w:ilvl="3" w:tplc="0809000F" w:tentative="1">
      <w:start w:val="1"/>
      <w:numFmt w:val="decimal"/>
      <w:lvlText w:val="%4."/>
      <w:lvlJc w:val="left"/>
      <w:pPr>
        <w:ind w:left="8126" w:hanging="360"/>
      </w:pPr>
    </w:lvl>
    <w:lvl w:ilvl="4" w:tplc="08090019" w:tentative="1">
      <w:start w:val="1"/>
      <w:numFmt w:val="lowerLetter"/>
      <w:lvlText w:val="%5."/>
      <w:lvlJc w:val="left"/>
      <w:pPr>
        <w:ind w:left="8846" w:hanging="360"/>
      </w:pPr>
    </w:lvl>
    <w:lvl w:ilvl="5" w:tplc="0809001B" w:tentative="1">
      <w:start w:val="1"/>
      <w:numFmt w:val="lowerRoman"/>
      <w:lvlText w:val="%6."/>
      <w:lvlJc w:val="right"/>
      <w:pPr>
        <w:ind w:left="9566" w:hanging="180"/>
      </w:pPr>
    </w:lvl>
    <w:lvl w:ilvl="6" w:tplc="0809000F" w:tentative="1">
      <w:start w:val="1"/>
      <w:numFmt w:val="decimal"/>
      <w:lvlText w:val="%7."/>
      <w:lvlJc w:val="left"/>
      <w:pPr>
        <w:ind w:left="10286" w:hanging="360"/>
      </w:pPr>
    </w:lvl>
    <w:lvl w:ilvl="7" w:tplc="08090019" w:tentative="1">
      <w:start w:val="1"/>
      <w:numFmt w:val="lowerLetter"/>
      <w:lvlText w:val="%8."/>
      <w:lvlJc w:val="left"/>
      <w:pPr>
        <w:ind w:left="11006" w:hanging="360"/>
      </w:pPr>
    </w:lvl>
    <w:lvl w:ilvl="8" w:tplc="0809001B" w:tentative="1">
      <w:start w:val="1"/>
      <w:numFmt w:val="lowerRoman"/>
      <w:lvlText w:val="%9."/>
      <w:lvlJc w:val="right"/>
      <w:pPr>
        <w:ind w:left="11726" w:hanging="180"/>
      </w:pPr>
    </w:lvl>
  </w:abstractNum>
  <w:num w:numId="1" w16cid:durableId="1374816267">
    <w:abstractNumId w:val="0"/>
  </w:num>
  <w:num w:numId="2" w16cid:durableId="1308706792">
    <w:abstractNumId w:val="1"/>
  </w:num>
  <w:num w:numId="3" w16cid:durableId="363017887">
    <w:abstractNumId w:val="4"/>
  </w:num>
  <w:num w:numId="4" w16cid:durableId="1056854844">
    <w:abstractNumId w:val="3"/>
  </w:num>
  <w:num w:numId="5" w16cid:durableId="10911958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210D4"/>
    <w:rsid w:val="00035BE6"/>
    <w:rsid w:val="00063016"/>
    <w:rsid w:val="00066795"/>
    <w:rsid w:val="00076AF6"/>
    <w:rsid w:val="00085CF2"/>
    <w:rsid w:val="000B1705"/>
    <w:rsid w:val="000D75B2"/>
    <w:rsid w:val="001121F5"/>
    <w:rsid w:val="00122406"/>
    <w:rsid w:val="001400DC"/>
    <w:rsid w:val="00140CE1"/>
    <w:rsid w:val="0017539C"/>
    <w:rsid w:val="00175AC2"/>
    <w:rsid w:val="0017609F"/>
    <w:rsid w:val="001A7D1D"/>
    <w:rsid w:val="001B0BA1"/>
    <w:rsid w:val="001B51DD"/>
    <w:rsid w:val="001C628E"/>
    <w:rsid w:val="001E0F7B"/>
    <w:rsid w:val="002062DD"/>
    <w:rsid w:val="002119FD"/>
    <w:rsid w:val="002130E0"/>
    <w:rsid w:val="00226DDE"/>
    <w:rsid w:val="00264425"/>
    <w:rsid w:val="00265875"/>
    <w:rsid w:val="0027303B"/>
    <w:rsid w:val="0028109B"/>
    <w:rsid w:val="002A2188"/>
    <w:rsid w:val="002B1F58"/>
    <w:rsid w:val="002C1C7A"/>
    <w:rsid w:val="002C54E2"/>
    <w:rsid w:val="002D42C6"/>
    <w:rsid w:val="0030160F"/>
    <w:rsid w:val="003103E4"/>
    <w:rsid w:val="003148C6"/>
    <w:rsid w:val="00320223"/>
    <w:rsid w:val="00322D0D"/>
    <w:rsid w:val="003463F5"/>
    <w:rsid w:val="00360889"/>
    <w:rsid w:val="00361465"/>
    <w:rsid w:val="003877F5"/>
    <w:rsid w:val="003942D4"/>
    <w:rsid w:val="003958A8"/>
    <w:rsid w:val="003C2533"/>
    <w:rsid w:val="003D5A7F"/>
    <w:rsid w:val="0040435A"/>
    <w:rsid w:val="00404C8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A2F26"/>
    <w:rsid w:val="004C1B50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93F90"/>
    <w:rsid w:val="005B6C69"/>
    <w:rsid w:val="005D0418"/>
    <w:rsid w:val="005F3269"/>
    <w:rsid w:val="00623AE3"/>
    <w:rsid w:val="0064737F"/>
    <w:rsid w:val="006535F1"/>
    <w:rsid w:val="0065557D"/>
    <w:rsid w:val="00660D50"/>
    <w:rsid w:val="00662984"/>
    <w:rsid w:val="006716BB"/>
    <w:rsid w:val="00692722"/>
    <w:rsid w:val="006B1859"/>
    <w:rsid w:val="006B6680"/>
    <w:rsid w:val="006B6DCC"/>
    <w:rsid w:val="006F3387"/>
    <w:rsid w:val="00702DEF"/>
    <w:rsid w:val="00706861"/>
    <w:rsid w:val="00731E65"/>
    <w:rsid w:val="0075051B"/>
    <w:rsid w:val="00793188"/>
    <w:rsid w:val="00794D34"/>
    <w:rsid w:val="007E1819"/>
    <w:rsid w:val="007F042D"/>
    <w:rsid w:val="00813E5E"/>
    <w:rsid w:val="008335E9"/>
    <w:rsid w:val="0083581B"/>
    <w:rsid w:val="00863874"/>
    <w:rsid w:val="00864AFF"/>
    <w:rsid w:val="00865925"/>
    <w:rsid w:val="00894210"/>
    <w:rsid w:val="008B0176"/>
    <w:rsid w:val="008B4A6A"/>
    <w:rsid w:val="008C7E27"/>
    <w:rsid w:val="008F7448"/>
    <w:rsid w:val="0090147A"/>
    <w:rsid w:val="009173EF"/>
    <w:rsid w:val="00932906"/>
    <w:rsid w:val="00961B0B"/>
    <w:rsid w:val="00996869"/>
    <w:rsid w:val="009B38C3"/>
    <w:rsid w:val="009E17BD"/>
    <w:rsid w:val="009E485A"/>
    <w:rsid w:val="00A04CEC"/>
    <w:rsid w:val="00A27F92"/>
    <w:rsid w:val="00A32257"/>
    <w:rsid w:val="00A36D20"/>
    <w:rsid w:val="00A44716"/>
    <w:rsid w:val="00A514A4"/>
    <w:rsid w:val="00A54171"/>
    <w:rsid w:val="00A55622"/>
    <w:rsid w:val="00A83502"/>
    <w:rsid w:val="00AD15B3"/>
    <w:rsid w:val="00AD3606"/>
    <w:rsid w:val="00AD4A3D"/>
    <w:rsid w:val="00AF6E49"/>
    <w:rsid w:val="00B04A67"/>
    <w:rsid w:val="00B0583C"/>
    <w:rsid w:val="00B40A81"/>
    <w:rsid w:val="00B44910"/>
    <w:rsid w:val="00B45FB9"/>
    <w:rsid w:val="00B72267"/>
    <w:rsid w:val="00B76EB6"/>
    <w:rsid w:val="00B7737B"/>
    <w:rsid w:val="00B824C8"/>
    <w:rsid w:val="00B84B9D"/>
    <w:rsid w:val="00BB7FD4"/>
    <w:rsid w:val="00BC251A"/>
    <w:rsid w:val="00BC53EE"/>
    <w:rsid w:val="00BD032B"/>
    <w:rsid w:val="00BE2640"/>
    <w:rsid w:val="00C01189"/>
    <w:rsid w:val="00C3578E"/>
    <w:rsid w:val="00C374DE"/>
    <w:rsid w:val="00C447D4"/>
    <w:rsid w:val="00C47AD4"/>
    <w:rsid w:val="00C52D81"/>
    <w:rsid w:val="00C55198"/>
    <w:rsid w:val="00C64141"/>
    <w:rsid w:val="00C809A6"/>
    <w:rsid w:val="00CA6393"/>
    <w:rsid w:val="00CB18FF"/>
    <w:rsid w:val="00CD0C08"/>
    <w:rsid w:val="00CE03FB"/>
    <w:rsid w:val="00CE433C"/>
    <w:rsid w:val="00CF0161"/>
    <w:rsid w:val="00CF33F3"/>
    <w:rsid w:val="00D02026"/>
    <w:rsid w:val="00D06183"/>
    <w:rsid w:val="00D07B22"/>
    <w:rsid w:val="00D22C42"/>
    <w:rsid w:val="00D65041"/>
    <w:rsid w:val="00DB1936"/>
    <w:rsid w:val="00DB384B"/>
    <w:rsid w:val="00DF0189"/>
    <w:rsid w:val="00E06FD5"/>
    <w:rsid w:val="00E10E80"/>
    <w:rsid w:val="00E124F0"/>
    <w:rsid w:val="00E2316F"/>
    <w:rsid w:val="00E60F04"/>
    <w:rsid w:val="00E65B24"/>
    <w:rsid w:val="00E854E4"/>
    <w:rsid w:val="00E86DBF"/>
    <w:rsid w:val="00EB0D6F"/>
    <w:rsid w:val="00EB2232"/>
    <w:rsid w:val="00EC06A8"/>
    <w:rsid w:val="00EC5337"/>
    <w:rsid w:val="00EC6FC1"/>
    <w:rsid w:val="00EE49E8"/>
    <w:rsid w:val="00F0650F"/>
    <w:rsid w:val="00F16BAB"/>
    <w:rsid w:val="00F2150A"/>
    <w:rsid w:val="00F231D8"/>
    <w:rsid w:val="00F44C00"/>
    <w:rsid w:val="00F46C5F"/>
    <w:rsid w:val="00F632C0"/>
    <w:rsid w:val="00F94A63"/>
    <w:rsid w:val="00FA0361"/>
    <w:rsid w:val="00FA1C28"/>
    <w:rsid w:val="00FB1279"/>
    <w:rsid w:val="00FB6B76"/>
    <w:rsid w:val="00FB7596"/>
    <w:rsid w:val="00FE4077"/>
    <w:rsid w:val="00FE77D2"/>
    <w:rsid w:val="00FF6C13"/>
    <w:rsid w:val="2468345E"/>
    <w:rsid w:val="33B12238"/>
    <w:rsid w:val="3910FDD8"/>
    <w:rsid w:val="46F1BE8C"/>
    <w:rsid w:val="60E4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ListParagraph">
    <w:name w:val="List Paragraph"/>
    <w:basedOn w:val="Normal"/>
    <w:uiPriority w:val="34"/>
    <w:qFormat/>
    <w:rsid w:val="00B45FB9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5B6C69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B7FD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96869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2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2-CEXT23-C-0007/e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1078E3AD18D4E9484B5666A3C18CB" ma:contentTypeVersion="4" ma:contentTypeDescription="Create a new document." ma:contentTypeScope="" ma:versionID="90e34251fc94717518d3a4e6eccd2f18">
  <xsd:schema xmlns:xsd="http://www.w3.org/2001/XMLSchema" xmlns:xs="http://www.w3.org/2001/XMLSchema" xmlns:p="http://schemas.microsoft.com/office/2006/metadata/properties" xmlns:ns2="5a9e730e-50ca-4fdd-8a7a-b4f5b57bd209" xmlns:ns3="f45bef01-bf71-4e4d-8b76-9c8a2fc829be" targetNamespace="http://schemas.microsoft.com/office/2006/metadata/properties" ma:root="true" ma:fieldsID="254a05c69358776f32ebf6508b3eb4c4" ns2:_="" ns3:_="">
    <xsd:import namespace="5a9e730e-50ca-4fdd-8a7a-b4f5b57bd209"/>
    <xsd:import namespace="f45bef01-bf71-4e4d-8b76-9c8a2fc82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730e-50ca-4fdd-8a7a-b4f5b57bd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ef01-bf71-4e4d-8b76-9c8a2fc82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9900DD-6694-477C-8C0E-AE66038193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7CDE45-3EFE-472F-843E-0303E1218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e730e-50ca-4fdd-8a7a-b4f5b57bd209"/>
    <ds:schemaRef ds:uri="f45bef01-bf71-4e4d-8b76-9c8a2fc82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377812-7382-4C76-8BA6-8C96000DE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976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Implementation of the Voluntary Separation Programme</vt:lpstr>
    </vt:vector>
  </TitlesOfParts>
  <Manager>General Secretariat - Pool</Manager>
  <Company>International Telecommunication Union (ITU)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of the Voluntary Separation Programme</dc:title>
  <dc:subject>Council 2023</dc:subject>
  <dc:creator>Pluchon, Beatrice</dc:creator>
  <cp:keywords>C2023, C23, Council-23</cp:keywords>
  <dc:description/>
  <cp:lastModifiedBy>Xue, Kun</cp:lastModifiedBy>
  <cp:revision>3</cp:revision>
  <cp:lastPrinted>2000-07-18T13:30:00Z</cp:lastPrinted>
  <dcterms:created xsi:type="dcterms:W3CDTF">2023-06-09T17:30:00Z</dcterms:created>
  <dcterms:modified xsi:type="dcterms:W3CDTF">2023-06-09T17:38:00Z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0x01010016B1078E3AD18D4E9484B5666A3C18CB</vt:lpwstr>
  </property>
</Properties>
</file>