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FF0BC54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4F71FAF" w14:textId="7777777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91677E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7876314" w14:textId="7777777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91677E">
              <w:rPr>
                <w:b/>
                <w:lang w:val="fr-CH"/>
              </w:rPr>
              <w:t>51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C04AE99" w14:textId="77777777" w:rsidTr="00E31DCE">
        <w:trPr>
          <w:cantSplit/>
        </w:trPr>
        <w:tc>
          <w:tcPr>
            <w:tcW w:w="3969" w:type="dxa"/>
            <w:vMerge/>
          </w:tcPr>
          <w:p w14:paraId="21758FA0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613ADF0" w14:textId="77777777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D35F8C">
              <w:rPr>
                <w:rFonts w:hint="eastAsia"/>
                <w:b/>
                <w:lang w:eastAsia="zh-CN"/>
              </w:rPr>
              <w:t>年</w:t>
            </w:r>
            <w:r w:rsidR="0091677E">
              <w:rPr>
                <w:b/>
                <w:lang w:eastAsia="zh-CN"/>
              </w:rPr>
              <w:t>6</w:t>
            </w:r>
            <w:r w:rsidR="00D35F8C">
              <w:rPr>
                <w:rFonts w:hint="eastAsia"/>
                <w:b/>
                <w:lang w:eastAsia="zh-CN"/>
              </w:rPr>
              <w:t>月</w:t>
            </w:r>
            <w:r w:rsidR="0091677E">
              <w:rPr>
                <w:b/>
                <w:lang w:eastAsia="zh-CN"/>
              </w:rPr>
              <w:t>9</w:t>
            </w:r>
            <w:r w:rsidR="00D35F8C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180E221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AAAF85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C0572B4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00021C6E" w14:textId="77777777" w:rsidTr="00E31DCE">
        <w:trPr>
          <w:cantSplit/>
          <w:trHeight w:val="23"/>
        </w:trPr>
        <w:tc>
          <w:tcPr>
            <w:tcW w:w="3969" w:type="dxa"/>
          </w:tcPr>
          <w:p w14:paraId="713F40EB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2AA72C8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3E47C66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C095D28" w14:textId="77777777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  <w:proofErr w:type="spellEnd"/>
          </w:p>
        </w:tc>
      </w:tr>
      <w:tr w:rsidR="00E24D59" w:rsidRPr="00813E5E" w14:paraId="2D0A818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2929928" w14:textId="67C3105E" w:rsidR="00E24D59" w:rsidRPr="00E24D59" w:rsidRDefault="0091677E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proofErr w:type="spellStart"/>
            <w:r w:rsidRPr="00457BFF">
              <w:rPr>
                <w:rFonts w:ascii="SimSun" w:eastAsia="SimSun" w:hAnsi="Microsoft YaHei" w:cs="Microsoft YaHei" w:hint="eastAsia"/>
              </w:rPr>
              <w:t>自愿离职计划</w:t>
            </w:r>
            <w:proofErr w:type="spellEnd"/>
            <w:r w:rsidR="00CE0BA2">
              <w:rPr>
                <w:rFonts w:ascii="SimSun" w:eastAsia="SimSun" w:hAnsi="Microsoft YaHei" w:cs="Microsoft YaHei" w:hint="eastAsia"/>
                <w:lang w:eastAsia="zh-CN"/>
              </w:rPr>
              <w:t>的执行</w:t>
            </w:r>
          </w:p>
        </w:tc>
      </w:tr>
      <w:tr w:rsidR="00E24D59" w:rsidRPr="00813E5E" w14:paraId="3D2601A6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717E466" w14:textId="77777777" w:rsidR="003F5241" w:rsidRPr="006D59E3" w:rsidRDefault="003F5241" w:rsidP="003F5241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3AA1D40D" w14:textId="637AA462" w:rsidR="003F5241" w:rsidRPr="006D59E3" w:rsidRDefault="00CE0BA2" w:rsidP="00845FC8">
            <w:pPr>
              <w:ind w:firstLineChars="200" w:firstLine="480"/>
              <w:rPr>
                <w:lang w:eastAsia="zh-CN"/>
              </w:rPr>
            </w:pPr>
            <w:r w:rsidRPr="00CE0BA2">
              <w:rPr>
                <w:rFonts w:hint="eastAsia"/>
                <w:lang w:eastAsia="zh-CN"/>
              </w:rPr>
              <w:t>本文件的目的是根据全权代表</w:t>
            </w:r>
            <w:r>
              <w:rPr>
                <w:rFonts w:hint="eastAsia"/>
                <w:lang w:eastAsia="zh-CN"/>
              </w:rPr>
              <w:t>大</w:t>
            </w:r>
            <w:r w:rsidRPr="00CE0BA2">
              <w:rPr>
                <w:rFonts w:hint="eastAsia"/>
                <w:lang w:eastAsia="zh-CN"/>
              </w:rPr>
              <w:t>会第</w:t>
            </w:r>
            <w:r w:rsidRPr="00CE0BA2">
              <w:rPr>
                <w:rFonts w:hint="eastAsia"/>
                <w:lang w:eastAsia="zh-CN"/>
              </w:rPr>
              <w:t>5</w:t>
            </w:r>
            <w:r w:rsidRPr="00CE0BA2">
              <w:rPr>
                <w:rFonts w:hint="eastAsia"/>
                <w:lang w:eastAsia="zh-CN"/>
              </w:rPr>
              <w:t>号决定</w:t>
            </w:r>
            <w:r>
              <w:rPr>
                <w:rFonts w:hint="eastAsia"/>
                <w:lang w:val="en-US" w:eastAsia="zh-CN"/>
              </w:rPr>
              <w:t>（</w:t>
            </w:r>
            <w:r w:rsidRPr="00CE0BA2">
              <w:rPr>
                <w:rFonts w:hint="eastAsia"/>
                <w:lang w:eastAsia="zh-CN"/>
              </w:rPr>
              <w:t>2022</w:t>
            </w:r>
            <w:r w:rsidRPr="00CE0BA2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，</w:t>
            </w:r>
            <w:r w:rsidRPr="00CE0BA2">
              <w:rPr>
                <w:rFonts w:hint="eastAsia"/>
                <w:lang w:eastAsia="zh-CN"/>
              </w:rPr>
              <w:t>布加勒斯特</w:t>
            </w:r>
            <w:r>
              <w:rPr>
                <w:rFonts w:hint="eastAsia"/>
                <w:lang w:eastAsia="zh-CN"/>
              </w:rPr>
              <w:t>，</w:t>
            </w:r>
            <w:r w:rsidRPr="00CE0BA2">
              <w:rPr>
                <w:rFonts w:hint="eastAsia"/>
                <w:lang w:eastAsia="zh-CN"/>
              </w:rPr>
              <w:t>修订版</w:t>
            </w:r>
            <w:r>
              <w:rPr>
                <w:rFonts w:hint="eastAsia"/>
                <w:lang w:eastAsia="zh-CN"/>
              </w:rPr>
              <w:t>）</w:t>
            </w:r>
            <w:r w:rsidRPr="00CE0BA2">
              <w:rPr>
                <w:rFonts w:ascii="STKaiti" w:eastAsia="STKaiti" w:hAnsi="STKaiti" w:hint="eastAsia"/>
                <w:lang w:eastAsia="zh-CN"/>
              </w:rPr>
              <w:t>责成国际电联理事会</w:t>
            </w:r>
            <w:r>
              <w:rPr>
                <w:rFonts w:hint="eastAsia"/>
                <w:lang w:eastAsia="zh-CN"/>
              </w:rPr>
              <w:t>6</w:t>
            </w:r>
            <w:r w:rsidRPr="00CE0BA2">
              <w:rPr>
                <w:rFonts w:hint="eastAsia"/>
                <w:lang w:eastAsia="zh-CN"/>
              </w:rPr>
              <w:t>和理事会第</w:t>
            </w:r>
            <w:r w:rsidRPr="00CE0BA2">
              <w:rPr>
                <w:rFonts w:hint="eastAsia"/>
                <w:lang w:eastAsia="zh-CN"/>
              </w:rPr>
              <w:t>1413</w:t>
            </w:r>
            <w:r w:rsidRPr="00CE0BA2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（</w:t>
            </w:r>
            <w:r w:rsidRPr="00CE0BA2">
              <w:rPr>
                <w:rFonts w:hint="eastAsia"/>
                <w:lang w:eastAsia="zh-CN"/>
              </w:rPr>
              <w:t>C23-EXT</w:t>
            </w:r>
            <w:r>
              <w:rPr>
                <w:rFonts w:hint="eastAsia"/>
                <w:lang w:eastAsia="zh-CN"/>
              </w:rPr>
              <w:t>）</w:t>
            </w:r>
            <w:r w:rsidRPr="00CE0BA2">
              <w:rPr>
                <w:rFonts w:hint="eastAsia"/>
                <w:lang w:eastAsia="zh-CN"/>
              </w:rPr>
              <w:t>报告自愿离职</w:t>
            </w:r>
            <w:r>
              <w:rPr>
                <w:rFonts w:hint="eastAsia"/>
                <w:lang w:eastAsia="zh-CN"/>
              </w:rPr>
              <w:t>计划</w:t>
            </w:r>
            <w:r w:rsidRPr="00CE0BA2">
              <w:rPr>
                <w:rFonts w:hint="eastAsia"/>
                <w:lang w:eastAsia="zh-CN"/>
              </w:rPr>
              <w:t>的执行情况。</w:t>
            </w:r>
          </w:p>
          <w:p w14:paraId="6D50DCFF" w14:textId="2853BEBE" w:rsidR="003F5241" w:rsidRPr="006D59E3" w:rsidRDefault="003F5241" w:rsidP="003F5241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523B2084" w14:textId="3573FB65" w:rsidR="003F5241" w:rsidRPr="00CE0BA2" w:rsidRDefault="00CE0BA2" w:rsidP="00845FC8">
            <w:pPr>
              <w:ind w:firstLineChars="200" w:firstLine="480"/>
            </w:pPr>
            <w:r>
              <w:rPr>
                <w:rFonts w:hint="eastAsia"/>
              </w:rPr>
              <w:t>请国际电联理事会将秘书长的报告</w:t>
            </w:r>
            <w:r w:rsidRPr="00CE0BA2">
              <w:rPr>
                <w:rFonts w:hint="eastAsia"/>
                <w:b/>
                <w:bCs/>
              </w:rPr>
              <w:t>记录在案</w:t>
            </w:r>
            <w:r>
              <w:rPr>
                <w:rFonts w:hint="eastAsia"/>
              </w:rPr>
              <w:t>。</w:t>
            </w:r>
          </w:p>
          <w:p w14:paraId="415B47C9" w14:textId="77777777" w:rsidR="003F5241" w:rsidRPr="00CE0BA2" w:rsidRDefault="003F5241" w:rsidP="003F5241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与《战略规划》的关联</w:t>
            </w:r>
          </w:p>
          <w:p w14:paraId="65DDD012" w14:textId="2FC93FB0" w:rsidR="003F5241" w:rsidRPr="007745E3" w:rsidRDefault="0091677E" w:rsidP="00845FC8">
            <w:pPr>
              <w:ind w:firstLineChars="200" w:firstLine="480"/>
              <w:rPr>
                <w:lang w:val="fr-FR" w:eastAsia="zh-CN"/>
              </w:rPr>
            </w:pPr>
            <w:r w:rsidRPr="0091677E">
              <w:rPr>
                <w:rFonts w:hint="eastAsia"/>
                <w:lang w:eastAsia="zh-CN"/>
              </w:rPr>
              <w:t>卓越的人力资源和组织创新。</w:t>
            </w:r>
          </w:p>
          <w:p w14:paraId="09842B84" w14:textId="77777777" w:rsidR="003F5241" w:rsidRPr="007745E3" w:rsidRDefault="003F5241" w:rsidP="003F5241">
            <w:pPr>
              <w:spacing w:before="160"/>
              <w:rPr>
                <w:b/>
                <w:bCs/>
                <w:sz w:val="26"/>
                <w:szCs w:val="26"/>
                <w:lang w:val="fr-FR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2E862CCA" w14:textId="306CF111" w:rsidR="003F5241" w:rsidRPr="007745E3" w:rsidRDefault="00CE0BA2" w:rsidP="00845FC8">
            <w:pPr>
              <w:ind w:firstLineChars="200" w:firstLine="48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自愿离职计划的</w:t>
            </w:r>
            <w:r w:rsidR="00766A67">
              <w:rPr>
                <w:rFonts w:hint="eastAsia"/>
                <w:lang w:val="fr-FR" w:eastAsia="zh-CN"/>
              </w:rPr>
              <w:t>成本</w:t>
            </w:r>
            <w:r>
              <w:rPr>
                <w:rFonts w:hint="eastAsia"/>
                <w:lang w:val="fr-FR" w:eastAsia="zh-CN"/>
              </w:rPr>
              <w:t>估计为</w:t>
            </w:r>
            <w:r w:rsidR="0091677E" w:rsidRPr="007745E3">
              <w:rPr>
                <w:lang w:val="fr-FR" w:eastAsia="zh-CN"/>
              </w:rPr>
              <w:t>3 860</w:t>
            </w:r>
            <w:r w:rsidR="00845FC8" w:rsidRPr="007745E3">
              <w:rPr>
                <w:lang w:val="fr-FR" w:eastAsia="zh-CN"/>
              </w:rPr>
              <w:t> </w:t>
            </w:r>
            <w:r>
              <w:rPr>
                <w:lang w:val="fr-FR" w:eastAsia="zh-CN"/>
              </w:rPr>
              <w:t>000</w:t>
            </w:r>
            <w:r>
              <w:rPr>
                <w:rFonts w:hint="eastAsia"/>
                <w:lang w:val="fr-FR" w:eastAsia="zh-CN"/>
              </w:rPr>
              <w:t>瑞士法郎，由国际电联储备金账目提供资金。</w:t>
            </w:r>
          </w:p>
          <w:p w14:paraId="6C70FFF2" w14:textId="77777777" w:rsidR="003F5241" w:rsidRPr="006D59E3" w:rsidRDefault="003F5241" w:rsidP="003F5241">
            <w:pPr>
              <w:spacing w:before="160"/>
              <w:rPr>
                <w:caps/>
                <w:sz w:val="22"/>
                <w:lang w:eastAsia="zh-CN"/>
              </w:rPr>
            </w:pPr>
            <w:r w:rsidRPr="006D59E3">
              <w:rPr>
                <w:sz w:val="22"/>
                <w:lang w:eastAsia="zh-CN"/>
              </w:rPr>
              <w:t>__________________</w:t>
            </w:r>
          </w:p>
          <w:p w14:paraId="4617DA74" w14:textId="77777777" w:rsidR="003F5241" w:rsidRPr="006D59E3" w:rsidRDefault="003F5241" w:rsidP="003F5241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C247194" w14:textId="601ADD94" w:rsidR="00E24D59" w:rsidRDefault="002F0815" w:rsidP="003F5241">
            <w:pPr>
              <w:spacing w:after="160"/>
              <w:rPr>
                <w:lang w:eastAsia="zh-CN"/>
              </w:rPr>
            </w:pPr>
            <w:r>
              <w:fldChar w:fldCharType="begin"/>
            </w:r>
            <w:r>
              <w:instrText>HYPERLINK "https://www.itu.int/md/S22-CEXT23-C-0007/en"</w:instrText>
            </w:r>
            <w:r>
              <w:fldChar w:fldCharType="separate"/>
            </w:r>
            <w:r w:rsidR="00CE0BA2">
              <w:rPr>
                <w:rStyle w:val="Hyperlink"/>
                <w:lang w:eastAsia="zh-CN"/>
              </w:rPr>
              <w:t>理事会第</w:t>
            </w:r>
            <w:r w:rsidR="00CE0BA2">
              <w:rPr>
                <w:rStyle w:val="Hyperlink"/>
                <w:lang w:eastAsia="zh-CN"/>
              </w:rPr>
              <w:t>1413</w:t>
            </w:r>
            <w:r w:rsidR="00CE0BA2">
              <w:rPr>
                <w:rStyle w:val="Hyperlink"/>
                <w:lang w:eastAsia="zh-CN"/>
              </w:rPr>
              <w:t>号决议</w:t>
            </w:r>
            <w:r>
              <w:rPr>
                <w:rStyle w:val="Hyperlink"/>
                <w:lang w:eastAsia="zh-CN"/>
              </w:rPr>
              <w:fldChar w:fldCharType="end"/>
            </w:r>
            <w:r w:rsidR="00CE0BA2">
              <w:rPr>
                <w:rStyle w:val="Hyperlink"/>
                <w:rFonts w:hint="eastAsia"/>
                <w:lang w:eastAsia="zh-CN"/>
              </w:rPr>
              <w:t>（</w:t>
            </w:r>
            <w:r w:rsidR="0091677E">
              <w:rPr>
                <w:rStyle w:val="Hyperlink"/>
                <w:lang w:eastAsia="zh-CN"/>
              </w:rPr>
              <w:t>C23-EXT</w:t>
            </w:r>
            <w:r w:rsidR="00CE0BA2">
              <w:rPr>
                <w:rStyle w:val="Hyperlink"/>
                <w:rFonts w:hint="eastAsia"/>
                <w:lang w:eastAsia="zh-CN"/>
              </w:rPr>
              <w:t>）</w:t>
            </w:r>
          </w:p>
        </w:tc>
      </w:tr>
      <w:bookmarkEnd w:id="2"/>
      <w:bookmarkEnd w:id="6"/>
    </w:tbl>
    <w:p w14:paraId="761A10B2" w14:textId="77777777" w:rsidR="0091677E" w:rsidRDefault="009167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0FF833C" w14:textId="0102D5D7" w:rsidR="0091677E" w:rsidRPr="001B0BA1" w:rsidRDefault="0091677E" w:rsidP="006A7A5E">
      <w:pPr>
        <w:pStyle w:val="Heading1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</w:r>
      <w:r w:rsidR="00CE0BA2">
        <w:rPr>
          <w:rFonts w:ascii="SimSun" w:hAnsi="SimSun" w:cs="SimSun" w:hint="eastAsia"/>
          <w:lang w:eastAsia="zh-CN"/>
        </w:rPr>
        <w:t>引言</w:t>
      </w:r>
    </w:p>
    <w:p w14:paraId="455A7754" w14:textId="02BF441B" w:rsidR="0091677E" w:rsidRPr="00CE0BA2" w:rsidRDefault="00CE0BA2" w:rsidP="006A7A5E">
      <w:pPr>
        <w:ind w:firstLineChars="200" w:firstLine="480"/>
        <w:rPr>
          <w:i/>
          <w:iCs/>
          <w:lang w:eastAsia="zh-CN"/>
        </w:rPr>
      </w:pPr>
      <w:r w:rsidRPr="00CE0BA2">
        <w:rPr>
          <w:rFonts w:hint="eastAsia"/>
          <w:lang w:eastAsia="zh-CN"/>
        </w:rPr>
        <w:t>根据全权代表</w:t>
      </w:r>
      <w:r>
        <w:rPr>
          <w:rFonts w:hint="eastAsia"/>
          <w:lang w:eastAsia="zh-CN"/>
        </w:rPr>
        <w:t>大</w:t>
      </w:r>
      <w:r w:rsidRPr="00CE0BA2">
        <w:rPr>
          <w:rFonts w:hint="eastAsia"/>
          <w:lang w:eastAsia="zh-CN"/>
        </w:rPr>
        <w:t>会第</w:t>
      </w:r>
      <w:r w:rsidRPr="00CE0BA2">
        <w:rPr>
          <w:rFonts w:hint="eastAsia"/>
          <w:lang w:eastAsia="zh-CN"/>
        </w:rPr>
        <w:t>5</w:t>
      </w:r>
      <w:r w:rsidRPr="00CE0BA2">
        <w:rPr>
          <w:rFonts w:hint="eastAsia"/>
          <w:lang w:eastAsia="zh-CN"/>
        </w:rPr>
        <w:t>号决定</w:t>
      </w:r>
      <w:r w:rsidR="00357700">
        <w:rPr>
          <w:rFonts w:hint="eastAsia"/>
          <w:lang w:val="en-US" w:eastAsia="zh-CN"/>
        </w:rPr>
        <w:t>（</w:t>
      </w:r>
      <w:r w:rsidRPr="00CE0BA2">
        <w:rPr>
          <w:rFonts w:hint="eastAsia"/>
          <w:lang w:eastAsia="zh-CN"/>
        </w:rPr>
        <w:t>2022</w:t>
      </w:r>
      <w:r w:rsidRPr="00CE0BA2">
        <w:rPr>
          <w:rFonts w:hint="eastAsia"/>
          <w:lang w:eastAsia="zh-CN"/>
        </w:rPr>
        <w:t>年</w:t>
      </w:r>
      <w:r w:rsidR="00357700">
        <w:rPr>
          <w:rFonts w:hint="eastAsia"/>
          <w:lang w:eastAsia="zh-CN"/>
        </w:rPr>
        <w:t>，</w:t>
      </w:r>
      <w:r w:rsidRPr="00CE0BA2">
        <w:rPr>
          <w:rFonts w:hint="eastAsia"/>
          <w:lang w:eastAsia="zh-CN"/>
        </w:rPr>
        <w:t>布加勒斯特</w:t>
      </w:r>
      <w:r w:rsidR="00357700">
        <w:rPr>
          <w:rFonts w:hint="eastAsia"/>
          <w:lang w:eastAsia="zh-CN"/>
        </w:rPr>
        <w:t>，</w:t>
      </w:r>
      <w:r w:rsidRPr="00CE0BA2">
        <w:rPr>
          <w:rFonts w:hint="eastAsia"/>
          <w:lang w:eastAsia="zh-CN"/>
        </w:rPr>
        <w:t>修订版</w:t>
      </w:r>
      <w:r w:rsidR="00357700">
        <w:rPr>
          <w:rFonts w:hint="eastAsia"/>
          <w:lang w:eastAsia="zh-CN"/>
        </w:rPr>
        <w:t>）</w:t>
      </w:r>
      <w:r w:rsidR="00357700" w:rsidRPr="00357700">
        <w:rPr>
          <w:rFonts w:ascii="STKaiti" w:eastAsia="STKaiti" w:hAnsi="STKaiti" w:hint="eastAsia"/>
          <w:lang w:eastAsia="zh-CN"/>
        </w:rPr>
        <w:t>责成</w:t>
      </w:r>
      <w:r w:rsidRPr="00357700">
        <w:rPr>
          <w:rFonts w:ascii="STKaiti" w:eastAsia="STKaiti" w:hAnsi="STKaiti" w:hint="eastAsia"/>
          <w:lang w:eastAsia="zh-CN"/>
        </w:rPr>
        <w:t>理事会</w:t>
      </w:r>
      <w:r w:rsidRPr="00CE0BA2">
        <w:rPr>
          <w:rFonts w:hint="eastAsia"/>
          <w:lang w:eastAsia="zh-CN"/>
        </w:rPr>
        <w:t>6</w:t>
      </w:r>
      <w:r w:rsidRPr="00CE0BA2">
        <w:rPr>
          <w:rFonts w:hint="eastAsia"/>
          <w:lang w:eastAsia="zh-CN"/>
        </w:rPr>
        <w:t>，国际电联理事会</w:t>
      </w:r>
      <w:r w:rsidR="00357700">
        <w:rPr>
          <w:rFonts w:hint="eastAsia"/>
          <w:lang w:eastAsia="zh-CN"/>
        </w:rPr>
        <w:t>将</w:t>
      </w:r>
      <w:r w:rsidRPr="00CE0BA2">
        <w:rPr>
          <w:rFonts w:hint="eastAsia"/>
          <w:lang w:eastAsia="zh-CN"/>
        </w:rPr>
        <w:t>考虑任何成本削减</w:t>
      </w:r>
      <w:r w:rsidR="00357700">
        <w:rPr>
          <w:rFonts w:hint="eastAsia"/>
          <w:lang w:eastAsia="zh-CN"/>
        </w:rPr>
        <w:t>计划</w:t>
      </w:r>
      <w:r w:rsidRPr="00CE0BA2">
        <w:rPr>
          <w:rFonts w:hint="eastAsia"/>
          <w:lang w:eastAsia="zh-CN"/>
        </w:rPr>
        <w:t>对</w:t>
      </w:r>
      <w:r w:rsidR="00357700">
        <w:rPr>
          <w:rFonts w:hint="eastAsia"/>
          <w:lang w:eastAsia="zh-CN"/>
        </w:rPr>
        <w:t>国际电联</w:t>
      </w:r>
      <w:r w:rsidR="00766A67">
        <w:rPr>
          <w:rFonts w:hint="eastAsia"/>
          <w:lang w:eastAsia="zh-CN"/>
        </w:rPr>
        <w:t>职员</w:t>
      </w:r>
      <w:r w:rsidRPr="00CE0BA2">
        <w:rPr>
          <w:rFonts w:hint="eastAsia"/>
          <w:lang w:eastAsia="zh-CN"/>
        </w:rPr>
        <w:t>的影响，并立即实施自愿离职和提前退休计划，最好</w:t>
      </w:r>
      <w:r w:rsidR="00811B70">
        <w:rPr>
          <w:rFonts w:hint="eastAsia"/>
          <w:lang w:eastAsia="zh-CN"/>
        </w:rPr>
        <w:t>最迟在</w:t>
      </w:r>
      <w:r w:rsidRPr="00CE0BA2">
        <w:rPr>
          <w:rFonts w:hint="eastAsia"/>
          <w:lang w:eastAsia="zh-CN"/>
        </w:rPr>
        <w:t>2023</w:t>
      </w:r>
      <w:r w:rsidRPr="00CE0BA2">
        <w:rPr>
          <w:rFonts w:hint="eastAsia"/>
          <w:lang w:eastAsia="zh-CN"/>
        </w:rPr>
        <w:t>年初实施，资金尽可能来自预算盈余，但也可从国际电联储备</w:t>
      </w:r>
      <w:r w:rsidR="00357700">
        <w:rPr>
          <w:rFonts w:hint="eastAsia"/>
          <w:lang w:eastAsia="zh-CN"/>
        </w:rPr>
        <w:t>金账目</w:t>
      </w:r>
      <w:r w:rsidRPr="00CE0BA2">
        <w:rPr>
          <w:rFonts w:hint="eastAsia"/>
          <w:lang w:eastAsia="zh-CN"/>
        </w:rPr>
        <w:t>中提取，</w:t>
      </w:r>
      <w:r w:rsidR="00B45EE9" w:rsidRPr="00B45EE9">
        <w:rPr>
          <w:rFonts w:hint="eastAsia"/>
          <w:lang w:eastAsia="zh-CN"/>
        </w:rPr>
        <w:t>其额度可达但</w:t>
      </w:r>
      <w:r w:rsidRPr="00CE0BA2">
        <w:rPr>
          <w:rFonts w:hint="eastAsia"/>
          <w:lang w:eastAsia="zh-CN"/>
        </w:rPr>
        <w:t>不超过</w:t>
      </w:r>
      <w:r w:rsidRPr="00CE0BA2">
        <w:rPr>
          <w:rFonts w:hint="eastAsia"/>
          <w:lang w:eastAsia="zh-CN"/>
        </w:rPr>
        <w:t>600</w:t>
      </w:r>
      <w:proofErr w:type="gramStart"/>
      <w:r w:rsidRPr="00CE0BA2">
        <w:rPr>
          <w:rFonts w:hint="eastAsia"/>
          <w:lang w:eastAsia="zh-CN"/>
        </w:rPr>
        <w:t>万瑞</w:t>
      </w:r>
      <w:proofErr w:type="gramEnd"/>
      <w:r w:rsidRPr="00CE0BA2">
        <w:rPr>
          <w:rFonts w:hint="eastAsia"/>
          <w:lang w:eastAsia="zh-CN"/>
        </w:rPr>
        <w:t>士法郎。</w:t>
      </w:r>
    </w:p>
    <w:p w14:paraId="3AA0A5E3" w14:textId="079CB634" w:rsidR="0091677E" w:rsidRPr="00CE0BA2" w:rsidRDefault="00357700" w:rsidP="006A7A5E">
      <w:pPr>
        <w:ind w:firstLineChars="200" w:firstLine="480"/>
        <w:rPr>
          <w:i/>
          <w:iCs/>
          <w:lang w:eastAsia="zh-CN"/>
        </w:rPr>
      </w:pPr>
      <w:r w:rsidRPr="00357700">
        <w:rPr>
          <w:rFonts w:hint="eastAsia"/>
          <w:lang w:eastAsia="zh-CN"/>
        </w:rPr>
        <w:t>在</w:t>
      </w:r>
      <w:r w:rsidRPr="00357700">
        <w:rPr>
          <w:rFonts w:hint="eastAsia"/>
          <w:lang w:eastAsia="zh-CN"/>
        </w:rPr>
        <w:t>2023</w:t>
      </w:r>
      <w:r w:rsidRPr="00357700">
        <w:rPr>
          <w:rFonts w:hint="eastAsia"/>
          <w:lang w:eastAsia="zh-CN"/>
        </w:rPr>
        <w:t>年</w:t>
      </w:r>
      <w:r w:rsidR="005757EA">
        <w:rPr>
          <w:rFonts w:hint="eastAsia"/>
          <w:lang w:eastAsia="zh-CN"/>
        </w:rPr>
        <w:t>非常</w:t>
      </w:r>
      <w:r w:rsidRPr="00357700">
        <w:rPr>
          <w:rFonts w:hint="eastAsia"/>
          <w:lang w:eastAsia="zh-CN"/>
        </w:rPr>
        <w:t>会议上，理事会在第</w:t>
      </w:r>
      <w:r w:rsidRPr="00357700">
        <w:rPr>
          <w:rFonts w:hint="eastAsia"/>
          <w:lang w:eastAsia="zh-CN"/>
        </w:rPr>
        <w:t>1413</w:t>
      </w:r>
      <w:r w:rsidRPr="00357700">
        <w:rPr>
          <w:rFonts w:hint="eastAsia"/>
          <w:lang w:eastAsia="zh-CN"/>
        </w:rPr>
        <w:t>号决议</w:t>
      </w:r>
      <w:r w:rsidR="005757EA">
        <w:rPr>
          <w:rFonts w:hint="eastAsia"/>
          <w:lang w:eastAsia="zh-CN"/>
        </w:rPr>
        <w:t>（</w:t>
      </w:r>
      <w:r w:rsidR="005757EA" w:rsidRPr="00357700">
        <w:rPr>
          <w:rFonts w:hint="eastAsia"/>
          <w:lang w:eastAsia="zh-CN"/>
        </w:rPr>
        <w:t>C23-EXT</w:t>
      </w:r>
      <w:r w:rsidR="005757EA">
        <w:rPr>
          <w:rFonts w:hint="eastAsia"/>
          <w:lang w:eastAsia="zh-CN"/>
        </w:rPr>
        <w:t>）</w:t>
      </w:r>
      <w:r w:rsidRPr="00357700">
        <w:rPr>
          <w:rFonts w:hint="eastAsia"/>
          <w:lang w:eastAsia="zh-CN"/>
        </w:rPr>
        <w:t>中</w:t>
      </w:r>
      <w:r w:rsidR="00811B70">
        <w:rPr>
          <w:rFonts w:hint="eastAsia"/>
          <w:lang w:eastAsia="zh-CN"/>
        </w:rPr>
        <w:t>做出</w:t>
      </w:r>
      <w:r w:rsidRPr="00357700">
        <w:rPr>
          <w:rFonts w:hint="eastAsia"/>
          <w:lang w:eastAsia="zh-CN"/>
        </w:rPr>
        <w:t>决定</w:t>
      </w:r>
      <w:r w:rsidR="00811B70">
        <w:rPr>
          <w:rFonts w:hint="eastAsia"/>
          <w:lang w:eastAsia="zh-CN"/>
        </w:rPr>
        <w:t>，</w:t>
      </w:r>
      <w:r w:rsidRPr="00357700">
        <w:rPr>
          <w:rFonts w:hint="eastAsia"/>
          <w:lang w:eastAsia="zh-CN"/>
        </w:rPr>
        <w:t>作为一项特别措施，</w:t>
      </w:r>
      <w:r w:rsidR="00811B70" w:rsidRPr="00357700">
        <w:rPr>
          <w:rFonts w:hint="eastAsia"/>
          <w:lang w:eastAsia="zh-CN"/>
        </w:rPr>
        <w:t>授权秘书长</w:t>
      </w:r>
      <w:r w:rsidRPr="00357700">
        <w:rPr>
          <w:rFonts w:hint="eastAsia"/>
          <w:lang w:eastAsia="zh-CN"/>
        </w:rPr>
        <w:t>从储备</w:t>
      </w:r>
      <w:r w:rsidR="005757EA">
        <w:rPr>
          <w:rFonts w:hint="eastAsia"/>
          <w:lang w:eastAsia="zh-CN"/>
        </w:rPr>
        <w:t>金账目</w:t>
      </w:r>
      <w:r w:rsidRPr="00357700">
        <w:rPr>
          <w:rFonts w:hint="eastAsia"/>
          <w:lang w:eastAsia="zh-CN"/>
        </w:rPr>
        <w:t>中</w:t>
      </w:r>
      <w:r w:rsidR="005757EA">
        <w:rPr>
          <w:rFonts w:hint="eastAsia"/>
          <w:lang w:eastAsia="zh-CN"/>
        </w:rPr>
        <w:t>至多</w:t>
      </w:r>
      <w:r w:rsidRPr="00357700">
        <w:rPr>
          <w:rFonts w:hint="eastAsia"/>
          <w:lang w:eastAsia="zh-CN"/>
        </w:rPr>
        <w:t>提取</w:t>
      </w:r>
      <w:r w:rsidRPr="00357700">
        <w:rPr>
          <w:rFonts w:hint="eastAsia"/>
          <w:lang w:eastAsia="zh-CN"/>
        </w:rPr>
        <w:t>600</w:t>
      </w:r>
      <w:proofErr w:type="gramStart"/>
      <w:r w:rsidRPr="00357700">
        <w:rPr>
          <w:rFonts w:hint="eastAsia"/>
          <w:lang w:eastAsia="zh-CN"/>
        </w:rPr>
        <w:t>万瑞</w:t>
      </w:r>
      <w:proofErr w:type="gramEnd"/>
      <w:r w:rsidRPr="00357700">
        <w:rPr>
          <w:rFonts w:hint="eastAsia"/>
          <w:lang w:eastAsia="zh-CN"/>
        </w:rPr>
        <w:t>士法郎，为执行自愿</w:t>
      </w:r>
      <w:r w:rsidRPr="00357700">
        <w:rPr>
          <w:rFonts w:hint="eastAsia"/>
          <w:lang w:eastAsia="zh-CN"/>
        </w:rPr>
        <w:t>/</w:t>
      </w:r>
      <w:r w:rsidR="005757EA">
        <w:rPr>
          <w:rFonts w:hint="eastAsia"/>
          <w:lang w:eastAsia="zh-CN"/>
        </w:rPr>
        <w:t>协议</w:t>
      </w:r>
      <w:r w:rsidRPr="00357700">
        <w:rPr>
          <w:rFonts w:hint="eastAsia"/>
          <w:lang w:eastAsia="zh-CN"/>
        </w:rPr>
        <w:t>离职和提前退休计划提供资金，并进一步</w:t>
      </w:r>
      <w:r w:rsidR="00811B70">
        <w:rPr>
          <w:rFonts w:hint="eastAsia"/>
          <w:lang w:eastAsia="zh-CN"/>
        </w:rPr>
        <w:t>做出</w:t>
      </w:r>
      <w:r w:rsidRPr="00357700">
        <w:rPr>
          <w:rFonts w:hint="eastAsia"/>
          <w:lang w:eastAsia="zh-CN"/>
        </w:rPr>
        <w:t>决定</w:t>
      </w:r>
      <w:r w:rsidR="00811B70">
        <w:rPr>
          <w:rFonts w:hint="eastAsia"/>
          <w:lang w:eastAsia="zh-CN"/>
        </w:rPr>
        <w:t>，责成</w:t>
      </w:r>
      <w:r w:rsidRPr="00357700">
        <w:rPr>
          <w:rFonts w:hint="eastAsia"/>
          <w:lang w:eastAsia="zh-CN"/>
        </w:rPr>
        <w:t>秘书长立即执行自愿</w:t>
      </w:r>
      <w:r w:rsidRPr="00357700">
        <w:rPr>
          <w:rFonts w:hint="eastAsia"/>
          <w:lang w:eastAsia="zh-CN"/>
        </w:rPr>
        <w:t>/</w:t>
      </w:r>
      <w:r w:rsidR="00811B70">
        <w:rPr>
          <w:rFonts w:hint="eastAsia"/>
          <w:lang w:eastAsia="zh-CN"/>
        </w:rPr>
        <w:t>协议</w:t>
      </w:r>
      <w:r w:rsidRPr="00357700">
        <w:rPr>
          <w:rFonts w:hint="eastAsia"/>
          <w:lang w:eastAsia="zh-CN"/>
        </w:rPr>
        <w:t>离职和提前退休计划，最好不迟于</w:t>
      </w:r>
      <w:r w:rsidRPr="00357700">
        <w:rPr>
          <w:rFonts w:hint="eastAsia"/>
          <w:lang w:eastAsia="zh-CN"/>
        </w:rPr>
        <w:t>2023</w:t>
      </w:r>
      <w:r w:rsidRPr="00357700">
        <w:rPr>
          <w:rFonts w:hint="eastAsia"/>
          <w:lang w:eastAsia="zh-CN"/>
        </w:rPr>
        <w:t>年初，以改善预算执行预测，并</w:t>
      </w:r>
      <w:r w:rsidR="00811B70">
        <w:rPr>
          <w:rFonts w:hint="eastAsia"/>
          <w:lang w:eastAsia="zh-CN"/>
        </w:rPr>
        <w:t>使</w:t>
      </w:r>
      <w:r w:rsidRPr="00357700">
        <w:rPr>
          <w:rFonts w:hint="eastAsia"/>
          <w:lang w:eastAsia="zh-CN"/>
        </w:rPr>
        <w:t>编制未来平衡预算</w:t>
      </w:r>
      <w:r w:rsidR="00811B70">
        <w:rPr>
          <w:rFonts w:hint="eastAsia"/>
          <w:lang w:eastAsia="zh-CN"/>
        </w:rPr>
        <w:t>成为可能</w:t>
      </w:r>
      <w:r w:rsidRPr="00357700">
        <w:rPr>
          <w:rFonts w:hint="eastAsia"/>
          <w:lang w:eastAsia="zh-CN"/>
        </w:rPr>
        <w:t>。</w:t>
      </w:r>
    </w:p>
    <w:p w14:paraId="4008BD2C" w14:textId="2F70724D" w:rsidR="0091677E" w:rsidRPr="00CE0BA2" w:rsidRDefault="0091677E" w:rsidP="006A7A5E">
      <w:pPr>
        <w:pStyle w:val="Heading1"/>
        <w:rPr>
          <w:lang w:eastAsia="zh-CN"/>
        </w:rPr>
      </w:pPr>
      <w:r w:rsidRPr="00CE0BA2">
        <w:rPr>
          <w:lang w:eastAsia="zh-CN"/>
        </w:rPr>
        <w:t>2</w:t>
      </w:r>
      <w:r w:rsidRPr="00CE0BA2">
        <w:rPr>
          <w:lang w:eastAsia="zh-CN"/>
        </w:rPr>
        <w:tab/>
      </w:r>
      <w:r w:rsidR="00E37F3C">
        <w:rPr>
          <w:rFonts w:hint="eastAsia"/>
          <w:lang w:eastAsia="zh-CN"/>
        </w:rPr>
        <w:t>程序</w:t>
      </w:r>
    </w:p>
    <w:p w14:paraId="2A4E144E" w14:textId="7D769A78" w:rsidR="0091677E" w:rsidRPr="00CE0BA2" w:rsidRDefault="00B45EE9" w:rsidP="006A7A5E">
      <w:pPr>
        <w:ind w:firstLineChars="200" w:firstLine="480"/>
        <w:rPr>
          <w:lang w:eastAsia="zh-CN"/>
        </w:rPr>
      </w:pPr>
      <w:r w:rsidRPr="00B45EE9">
        <w:rPr>
          <w:rFonts w:hint="eastAsia"/>
          <w:lang w:eastAsia="zh-CN"/>
        </w:rPr>
        <w:t>根据这些决定，秘书长于</w:t>
      </w:r>
      <w:r w:rsidRPr="00B45EE9">
        <w:rPr>
          <w:rFonts w:hint="eastAsia"/>
          <w:lang w:eastAsia="zh-CN"/>
        </w:rPr>
        <w:t>2023</w:t>
      </w:r>
      <w:r w:rsidRPr="00B45EE9">
        <w:rPr>
          <w:rFonts w:hint="eastAsia"/>
          <w:lang w:eastAsia="zh-CN"/>
        </w:rPr>
        <w:t>年</w:t>
      </w:r>
      <w:r w:rsidRPr="00B45EE9">
        <w:rPr>
          <w:rFonts w:hint="eastAsia"/>
          <w:lang w:eastAsia="zh-CN"/>
        </w:rPr>
        <w:t>3</w:t>
      </w:r>
      <w:r w:rsidRPr="00B45EE9">
        <w:rPr>
          <w:rFonts w:hint="eastAsia"/>
          <w:lang w:eastAsia="zh-CN"/>
        </w:rPr>
        <w:t>月</w:t>
      </w:r>
      <w:r w:rsidRPr="00B45EE9">
        <w:rPr>
          <w:rFonts w:hint="eastAsia"/>
          <w:lang w:eastAsia="zh-CN"/>
        </w:rPr>
        <w:t>17</w:t>
      </w:r>
      <w:r w:rsidRPr="00B45EE9">
        <w:rPr>
          <w:rFonts w:hint="eastAsia"/>
          <w:lang w:eastAsia="zh-CN"/>
        </w:rPr>
        <w:t>日启动了自愿离职</w:t>
      </w:r>
      <w:r>
        <w:rPr>
          <w:rFonts w:hint="eastAsia"/>
          <w:lang w:eastAsia="zh-CN"/>
        </w:rPr>
        <w:t>计划</w:t>
      </w:r>
      <w:r w:rsidRPr="00B45EE9">
        <w:rPr>
          <w:rFonts w:hint="eastAsia"/>
          <w:lang w:eastAsia="zh-CN"/>
        </w:rPr>
        <w:t>，通过</w:t>
      </w:r>
      <w:r>
        <w:rPr>
          <w:rFonts w:hint="eastAsia"/>
          <w:lang w:eastAsia="zh-CN"/>
        </w:rPr>
        <w:t>获得批准的储备</w:t>
      </w:r>
      <w:r w:rsidRPr="00B45EE9">
        <w:rPr>
          <w:rFonts w:hint="eastAsia"/>
          <w:lang w:eastAsia="zh-CN"/>
        </w:rPr>
        <w:t>金</w:t>
      </w:r>
      <w:r>
        <w:rPr>
          <w:rFonts w:hint="eastAsia"/>
          <w:lang w:eastAsia="zh-CN"/>
        </w:rPr>
        <w:t>账目</w:t>
      </w:r>
      <w:r w:rsidRPr="00B45EE9">
        <w:rPr>
          <w:rFonts w:hint="eastAsia"/>
          <w:lang w:eastAsia="zh-CN"/>
        </w:rPr>
        <w:t>提款供资。自愿离职</w:t>
      </w:r>
      <w:r>
        <w:rPr>
          <w:rFonts w:hint="eastAsia"/>
          <w:lang w:eastAsia="zh-CN"/>
        </w:rPr>
        <w:t>计划</w:t>
      </w:r>
      <w:r w:rsidRPr="00B45EE9">
        <w:rPr>
          <w:rFonts w:hint="eastAsia"/>
          <w:lang w:eastAsia="zh-CN"/>
        </w:rPr>
        <w:t>通过第</w:t>
      </w:r>
      <w:r w:rsidRPr="00B45EE9">
        <w:rPr>
          <w:rFonts w:hint="eastAsia"/>
          <w:lang w:eastAsia="zh-CN"/>
        </w:rPr>
        <w:t>23/03</w:t>
      </w:r>
      <w:r w:rsidRPr="00B45EE9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行政规定</w:t>
      </w:r>
      <w:r w:rsidRPr="00B45EE9">
        <w:rPr>
          <w:rFonts w:hint="eastAsia"/>
          <w:lang w:eastAsia="zh-CN"/>
        </w:rPr>
        <w:t>启动，是一项</w:t>
      </w:r>
      <w:r w:rsidR="00E37F3C" w:rsidRPr="00B45EE9">
        <w:rPr>
          <w:rFonts w:hint="eastAsia"/>
          <w:lang w:eastAsia="zh-CN"/>
        </w:rPr>
        <w:t>在有限时期内提供</w:t>
      </w:r>
      <w:r w:rsidR="00E37F3C">
        <w:rPr>
          <w:rFonts w:hint="eastAsia"/>
          <w:lang w:eastAsia="zh-CN"/>
        </w:rPr>
        <w:t>的</w:t>
      </w:r>
      <w:r w:rsidRPr="00B45EE9">
        <w:rPr>
          <w:rFonts w:hint="eastAsia"/>
          <w:lang w:eastAsia="zh-CN"/>
        </w:rPr>
        <w:t>一次性活动，</w:t>
      </w:r>
      <w:r w:rsidR="00E37F3C">
        <w:rPr>
          <w:rFonts w:hint="eastAsia"/>
          <w:lang w:eastAsia="zh-CN"/>
        </w:rPr>
        <w:t>并且</w:t>
      </w:r>
      <w:r w:rsidRPr="00B45EE9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可用</w:t>
      </w:r>
      <w:r w:rsidRPr="00B45EE9">
        <w:rPr>
          <w:rFonts w:hint="eastAsia"/>
          <w:lang w:eastAsia="zh-CN"/>
        </w:rPr>
        <w:t>财</w:t>
      </w:r>
      <w:r>
        <w:rPr>
          <w:rFonts w:hint="eastAsia"/>
          <w:lang w:eastAsia="zh-CN"/>
        </w:rPr>
        <w:t>务</w:t>
      </w:r>
      <w:r w:rsidRPr="00B45EE9">
        <w:rPr>
          <w:rFonts w:hint="eastAsia"/>
          <w:lang w:eastAsia="zh-CN"/>
        </w:rPr>
        <w:t>资源范围内，根据具体条款和条件向符合条件的</w:t>
      </w:r>
      <w:r w:rsidR="00766A67">
        <w:rPr>
          <w:rFonts w:hint="eastAsia"/>
          <w:lang w:eastAsia="zh-CN"/>
        </w:rPr>
        <w:t>职</w:t>
      </w:r>
      <w:r w:rsidRPr="00B45EE9">
        <w:rPr>
          <w:rFonts w:hint="eastAsia"/>
          <w:lang w:eastAsia="zh-CN"/>
        </w:rPr>
        <w:t>员提供。</w:t>
      </w:r>
    </w:p>
    <w:p w14:paraId="106DCD94" w14:textId="256029CB" w:rsidR="0091677E" w:rsidRPr="00CE0BA2" w:rsidRDefault="00E37F3C" w:rsidP="006A7A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该计划的目标是：</w:t>
      </w:r>
    </w:p>
    <w:p w14:paraId="5F74670D" w14:textId="54EF20D6" w:rsidR="0091677E" w:rsidRPr="0052617C" w:rsidRDefault="0060520C" w:rsidP="0052617C">
      <w:pPr>
        <w:pStyle w:val="enumlev1"/>
        <w:rPr>
          <w:lang w:eastAsia="zh-CN"/>
        </w:rPr>
      </w:pPr>
      <w:r w:rsidRPr="0052617C">
        <w:rPr>
          <w:lang w:eastAsia="zh-CN"/>
        </w:rPr>
        <w:t>a)</w:t>
      </w:r>
      <w:r w:rsidRPr="0052617C">
        <w:rPr>
          <w:lang w:eastAsia="zh-CN"/>
        </w:rPr>
        <w:tab/>
      </w:r>
      <w:r w:rsidR="003971CC" w:rsidRPr="0052617C">
        <w:rPr>
          <w:rFonts w:hint="eastAsia"/>
          <w:lang w:eastAsia="zh-CN"/>
        </w:rPr>
        <w:t>以比自然</w:t>
      </w:r>
      <w:r w:rsidR="00127AE9" w:rsidRPr="0052617C">
        <w:rPr>
          <w:rFonts w:hint="eastAsia"/>
          <w:lang w:eastAsia="zh-CN"/>
        </w:rPr>
        <w:t>变动率</w:t>
      </w:r>
      <w:r w:rsidR="003971CC" w:rsidRPr="0052617C">
        <w:rPr>
          <w:rFonts w:hint="eastAsia"/>
          <w:lang w:eastAsia="zh-CN"/>
        </w:rPr>
        <w:t>和预计退休更快的速度减少</w:t>
      </w:r>
      <w:r w:rsidR="00DA5143" w:rsidRPr="0052617C">
        <w:rPr>
          <w:rFonts w:hint="eastAsia"/>
          <w:lang w:eastAsia="zh-CN"/>
        </w:rPr>
        <w:t>国际电联</w:t>
      </w:r>
      <w:r w:rsidR="00127AE9" w:rsidRPr="0052617C">
        <w:rPr>
          <w:rFonts w:hint="eastAsia"/>
          <w:lang w:eastAsia="zh-CN"/>
        </w:rPr>
        <w:t>的</w:t>
      </w:r>
      <w:r w:rsidR="00766A67" w:rsidRPr="0052617C">
        <w:rPr>
          <w:rFonts w:hint="eastAsia"/>
          <w:lang w:eastAsia="zh-CN"/>
        </w:rPr>
        <w:t>职</w:t>
      </w:r>
      <w:r w:rsidR="003971CC" w:rsidRPr="0052617C">
        <w:rPr>
          <w:rFonts w:hint="eastAsia"/>
          <w:lang w:eastAsia="zh-CN"/>
        </w:rPr>
        <w:t>员</w:t>
      </w:r>
      <w:r w:rsidR="00127AE9" w:rsidRPr="0052617C">
        <w:rPr>
          <w:rFonts w:hint="eastAsia"/>
          <w:lang w:eastAsia="zh-CN"/>
        </w:rPr>
        <w:t>数量</w:t>
      </w:r>
      <w:r w:rsidR="003971CC" w:rsidRPr="0052617C">
        <w:rPr>
          <w:rFonts w:hint="eastAsia"/>
          <w:lang w:eastAsia="zh-CN"/>
        </w:rPr>
        <w:t>，</w:t>
      </w:r>
      <w:proofErr w:type="gramStart"/>
      <w:r w:rsidR="003971CC" w:rsidRPr="0052617C">
        <w:rPr>
          <w:rFonts w:hint="eastAsia"/>
          <w:lang w:eastAsia="zh-CN"/>
        </w:rPr>
        <w:t>支持本组织的预算支出</w:t>
      </w:r>
      <w:r w:rsidR="00127AE9" w:rsidRPr="0052617C">
        <w:rPr>
          <w:rFonts w:hint="eastAsia"/>
          <w:lang w:eastAsia="zh-CN"/>
        </w:rPr>
        <w:t>平衡</w:t>
      </w:r>
      <w:r w:rsidR="003971CC" w:rsidRPr="0052617C">
        <w:rPr>
          <w:rFonts w:hint="eastAsia"/>
          <w:lang w:eastAsia="zh-CN"/>
        </w:rPr>
        <w:t>；</w:t>
      </w:r>
      <w:proofErr w:type="gramEnd"/>
    </w:p>
    <w:p w14:paraId="0FA25815" w14:textId="5A4D41B0" w:rsidR="0091677E" w:rsidRPr="0052617C" w:rsidRDefault="0060520C" w:rsidP="0052617C">
      <w:pPr>
        <w:pStyle w:val="enumlev1"/>
      </w:pPr>
      <w:r w:rsidRPr="0052617C">
        <w:t>b)</w:t>
      </w:r>
      <w:r w:rsidRPr="0052617C">
        <w:tab/>
      </w:r>
      <w:r w:rsidR="00127AE9" w:rsidRPr="0052617C">
        <w:rPr>
          <w:rFonts w:hint="eastAsia"/>
        </w:rPr>
        <w:t>为国际电联提供一个机会，根据其重新定义的战略目标重新调整其结构和对资源的使用；</w:t>
      </w:r>
    </w:p>
    <w:p w14:paraId="6219E8DB" w14:textId="635049DF" w:rsidR="0091677E" w:rsidRPr="00CE0BA2" w:rsidRDefault="0060520C" w:rsidP="0052617C">
      <w:pPr>
        <w:pStyle w:val="enumlev1"/>
        <w:rPr>
          <w:lang w:eastAsia="zh-CN"/>
        </w:rPr>
      </w:pPr>
      <w:r w:rsidRPr="0052617C">
        <w:rPr>
          <w:lang w:eastAsia="zh-CN"/>
        </w:rPr>
        <w:t>c)</w:t>
      </w:r>
      <w:r w:rsidRPr="0052617C">
        <w:rPr>
          <w:lang w:eastAsia="zh-CN"/>
        </w:rPr>
        <w:tab/>
      </w:r>
      <w:r w:rsidR="00127AE9" w:rsidRPr="0052617C">
        <w:rPr>
          <w:rFonts w:hint="eastAsia"/>
          <w:lang w:eastAsia="zh-CN"/>
        </w:rPr>
        <w:t>赋予国际电联灵活性，使其能够进一步掌握履行其职权所需的额外技能和能力。</w:t>
      </w:r>
    </w:p>
    <w:p w14:paraId="1707017D" w14:textId="076EEBA1" w:rsidR="0091677E" w:rsidRPr="00CE0BA2" w:rsidRDefault="00127AE9" w:rsidP="006A7A5E">
      <w:pPr>
        <w:ind w:firstLineChars="200" w:firstLine="480"/>
        <w:rPr>
          <w:lang w:val="en-US" w:eastAsia="zh-CN"/>
        </w:rPr>
      </w:pPr>
      <w:r w:rsidRPr="00127AE9">
        <w:rPr>
          <w:rFonts w:hint="eastAsia"/>
          <w:lang w:val="en-US" w:eastAsia="zh-CN"/>
        </w:rPr>
        <w:t>该</w:t>
      </w:r>
      <w:r>
        <w:rPr>
          <w:rFonts w:hint="eastAsia"/>
          <w:lang w:val="en-US" w:eastAsia="zh-CN"/>
        </w:rPr>
        <w:t>计划</w:t>
      </w:r>
      <w:r w:rsidRPr="00127AE9">
        <w:rPr>
          <w:rFonts w:hint="eastAsia"/>
          <w:lang w:val="en-US" w:eastAsia="zh-CN"/>
        </w:rPr>
        <w:t>是在审查了其他组织的最佳做法后设计的，为</w:t>
      </w:r>
      <w:r w:rsidR="00766A67">
        <w:rPr>
          <w:rFonts w:hint="eastAsia"/>
          <w:lang w:val="en-US" w:eastAsia="zh-CN"/>
        </w:rPr>
        <w:t>职</w:t>
      </w:r>
      <w:r w:rsidRPr="00127AE9">
        <w:rPr>
          <w:rFonts w:hint="eastAsia"/>
          <w:lang w:val="en-US" w:eastAsia="zh-CN"/>
        </w:rPr>
        <w:t>员提供了不同的财务结算</w:t>
      </w:r>
      <w:r w:rsidR="0052253C">
        <w:rPr>
          <w:rFonts w:hint="eastAsia"/>
          <w:lang w:val="en-US" w:eastAsia="zh-CN"/>
        </w:rPr>
        <w:t>方案</w:t>
      </w:r>
      <w:r w:rsidRPr="00127AE9">
        <w:rPr>
          <w:rFonts w:hint="eastAsia"/>
          <w:lang w:val="en-US" w:eastAsia="zh-CN"/>
        </w:rPr>
        <w:t>，同时确保采取</w:t>
      </w:r>
      <w:r w:rsidR="0052253C">
        <w:rPr>
          <w:rFonts w:hint="eastAsia"/>
          <w:lang w:val="en-US" w:eastAsia="zh-CN"/>
        </w:rPr>
        <w:t>平衡的</w:t>
      </w:r>
      <w:r w:rsidRPr="00127AE9">
        <w:rPr>
          <w:rFonts w:hint="eastAsia"/>
          <w:lang w:val="en-US" w:eastAsia="zh-CN"/>
        </w:rPr>
        <w:t>办法，</w:t>
      </w:r>
      <w:r w:rsidR="0052253C">
        <w:rPr>
          <w:rFonts w:hint="eastAsia"/>
          <w:lang w:val="en-US" w:eastAsia="zh-CN"/>
        </w:rPr>
        <w:t>既</w:t>
      </w:r>
      <w:r w:rsidRPr="00127AE9">
        <w:rPr>
          <w:rFonts w:hint="eastAsia"/>
          <w:lang w:val="en-US" w:eastAsia="zh-CN"/>
        </w:rPr>
        <w:t>满足本组织的需求，</w:t>
      </w:r>
      <w:r w:rsidR="0052253C">
        <w:rPr>
          <w:rFonts w:hint="eastAsia"/>
          <w:lang w:val="en-US" w:eastAsia="zh-CN"/>
        </w:rPr>
        <w:t>又能够</w:t>
      </w:r>
      <w:r w:rsidRPr="00127AE9">
        <w:rPr>
          <w:rFonts w:hint="eastAsia"/>
          <w:lang w:val="en-US" w:eastAsia="zh-CN"/>
        </w:rPr>
        <w:t>以具有成本效益的方式开展这项工作。</w:t>
      </w:r>
    </w:p>
    <w:p w14:paraId="02D0C96B" w14:textId="40DEF1A4" w:rsidR="0091677E" w:rsidRPr="00CE0BA2" w:rsidRDefault="0052253C" w:rsidP="006A7A5E">
      <w:pPr>
        <w:ind w:firstLineChars="200" w:firstLine="480"/>
        <w:rPr>
          <w:lang w:val="en-US" w:eastAsia="zh-CN"/>
        </w:rPr>
      </w:pPr>
      <w:r w:rsidRPr="0052253C">
        <w:rPr>
          <w:rFonts w:hint="eastAsia"/>
          <w:lang w:val="en-US" w:eastAsia="zh-CN"/>
        </w:rPr>
        <w:t>根据人力资源管理部提供的财务估算，</w:t>
      </w:r>
      <w:r>
        <w:rPr>
          <w:rFonts w:hint="eastAsia"/>
          <w:lang w:val="en-US" w:eastAsia="zh-CN"/>
        </w:rPr>
        <w:t>职员</w:t>
      </w:r>
      <w:r w:rsidRPr="0052253C">
        <w:rPr>
          <w:rFonts w:hint="eastAsia"/>
          <w:lang w:val="en-US" w:eastAsia="zh-CN"/>
        </w:rPr>
        <w:t>可在</w:t>
      </w:r>
      <w:r w:rsidRPr="0052253C">
        <w:rPr>
          <w:rFonts w:hint="eastAsia"/>
          <w:lang w:val="en-US" w:eastAsia="zh-CN"/>
        </w:rPr>
        <w:t>2023</w:t>
      </w:r>
      <w:r w:rsidRPr="0052253C">
        <w:rPr>
          <w:rFonts w:hint="eastAsia"/>
          <w:lang w:val="en-US" w:eastAsia="zh-CN"/>
        </w:rPr>
        <w:t>年</w:t>
      </w:r>
      <w:r w:rsidRPr="0052253C">
        <w:rPr>
          <w:rFonts w:hint="eastAsia"/>
          <w:lang w:val="en-US" w:eastAsia="zh-CN"/>
        </w:rPr>
        <w:t>4</w:t>
      </w:r>
      <w:r w:rsidRPr="0052253C">
        <w:rPr>
          <w:rFonts w:hint="eastAsia"/>
          <w:lang w:val="en-US" w:eastAsia="zh-CN"/>
        </w:rPr>
        <w:t>月</w:t>
      </w:r>
      <w:r w:rsidRPr="0052253C">
        <w:rPr>
          <w:rFonts w:hint="eastAsia"/>
          <w:lang w:val="en-US" w:eastAsia="zh-CN"/>
        </w:rPr>
        <w:t>30</w:t>
      </w:r>
      <w:r w:rsidRPr="0052253C">
        <w:rPr>
          <w:rFonts w:hint="eastAsia"/>
          <w:lang w:val="en-US" w:eastAsia="zh-CN"/>
        </w:rPr>
        <w:t>日前提交正式申请，以受益于该</w:t>
      </w:r>
      <w:r>
        <w:rPr>
          <w:rFonts w:hint="eastAsia"/>
          <w:lang w:val="en-US" w:eastAsia="zh-CN"/>
        </w:rPr>
        <w:t>计划</w:t>
      </w:r>
      <w:r w:rsidRPr="0052253C">
        <w:rPr>
          <w:rFonts w:hint="eastAsia"/>
          <w:lang w:val="en-US" w:eastAsia="zh-CN"/>
        </w:rPr>
        <w:t>。</w:t>
      </w:r>
    </w:p>
    <w:p w14:paraId="1ECBB968" w14:textId="2D5705F4" w:rsidR="0091677E" w:rsidRPr="00CE0BA2" w:rsidRDefault="0091677E" w:rsidP="006A7A5E">
      <w:pPr>
        <w:pStyle w:val="Heading1"/>
        <w:rPr>
          <w:lang w:eastAsia="zh-CN"/>
        </w:rPr>
      </w:pPr>
      <w:r w:rsidRPr="00CE0BA2">
        <w:rPr>
          <w:lang w:eastAsia="zh-CN"/>
        </w:rPr>
        <w:t>3</w:t>
      </w:r>
      <w:r w:rsidRPr="00CE0BA2">
        <w:rPr>
          <w:lang w:eastAsia="zh-CN"/>
        </w:rPr>
        <w:tab/>
      </w:r>
      <w:r w:rsidR="00291EA4">
        <w:rPr>
          <w:rFonts w:cs="SimSun" w:hint="eastAsia"/>
          <w:lang w:eastAsia="zh-CN"/>
        </w:rPr>
        <w:t>申请</w:t>
      </w:r>
    </w:p>
    <w:p w14:paraId="46CD4F58" w14:textId="442EE658" w:rsidR="0091677E" w:rsidRPr="00CE0BA2" w:rsidRDefault="0052253C" w:rsidP="006A7A5E">
      <w:pPr>
        <w:ind w:firstLineChars="200" w:firstLine="480"/>
        <w:rPr>
          <w:szCs w:val="24"/>
          <w:lang w:eastAsia="zh-CN"/>
        </w:rPr>
      </w:pPr>
      <w:r w:rsidRPr="0052253C">
        <w:rPr>
          <w:rFonts w:hint="eastAsia"/>
          <w:lang w:eastAsia="zh-CN"/>
        </w:rPr>
        <w:t>共有</w:t>
      </w:r>
      <w:r w:rsidRPr="0052253C">
        <w:rPr>
          <w:rFonts w:hint="eastAsia"/>
          <w:lang w:eastAsia="zh-CN"/>
        </w:rPr>
        <w:t>46</w:t>
      </w:r>
      <w:r w:rsidRPr="0052253C">
        <w:rPr>
          <w:rFonts w:hint="eastAsia"/>
          <w:lang w:eastAsia="zh-CN"/>
        </w:rPr>
        <w:t>名</w:t>
      </w:r>
      <w:r>
        <w:rPr>
          <w:rFonts w:hint="eastAsia"/>
          <w:lang w:eastAsia="zh-CN"/>
        </w:rPr>
        <w:t>职员</w:t>
      </w:r>
      <w:r w:rsidRPr="0052253C">
        <w:rPr>
          <w:rFonts w:hint="eastAsia"/>
          <w:lang w:eastAsia="zh-CN"/>
        </w:rPr>
        <w:t>向自愿离职</w:t>
      </w:r>
      <w:r>
        <w:rPr>
          <w:rFonts w:hint="eastAsia"/>
          <w:lang w:eastAsia="zh-CN"/>
        </w:rPr>
        <w:t>计划</w:t>
      </w:r>
      <w:r w:rsidRPr="0052253C">
        <w:rPr>
          <w:rFonts w:hint="eastAsia"/>
          <w:lang w:eastAsia="zh-CN"/>
        </w:rPr>
        <w:t>提出</w:t>
      </w:r>
      <w:r>
        <w:rPr>
          <w:rFonts w:hint="eastAsia"/>
          <w:lang w:eastAsia="zh-CN"/>
        </w:rPr>
        <w:t>了</w:t>
      </w:r>
      <w:r w:rsidRPr="0052253C">
        <w:rPr>
          <w:rFonts w:hint="eastAsia"/>
          <w:lang w:eastAsia="zh-CN"/>
        </w:rPr>
        <w:t>申请。在这</w:t>
      </w:r>
      <w:r w:rsidRPr="0052253C">
        <w:rPr>
          <w:rFonts w:hint="eastAsia"/>
          <w:lang w:eastAsia="zh-CN"/>
        </w:rPr>
        <w:t>46</w:t>
      </w:r>
      <w:r w:rsidRPr="0052253C">
        <w:rPr>
          <w:rFonts w:hint="eastAsia"/>
          <w:lang w:eastAsia="zh-CN"/>
        </w:rPr>
        <w:t>份申请中，有</w:t>
      </w:r>
      <w:r w:rsidRPr="0052253C">
        <w:rPr>
          <w:rFonts w:hint="eastAsia"/>
          <w:lang w:eastAsia="zh-CN"/>
        </w:rPr>
        <w:t>4</w:t>
      </w:r>
      <w:r w:rsidRPr="0052253C">
        <w:rPr>
          <w:rFonts w:hint="eastAsia"/>
          <w:lang w:eastAsia="zh-CN"/>
        </w:rPr>
        <w:t>份因业务连续性原因未得到各局</w:t>
      </w:r>
      <w:r>
        <w:rPr>
          <w:rFonts w:hint="eastAsia"/>
          <w:lang w:eastAsia="zh-CN"/>
        </w:rPr>
        <w:t>主任</w:t>
      </w:r>
      <w:r w:rsidRPr="0052253C">
        <w:rPr>
          <w:rFonts w:hint="eastAsia"/>
          <w:lang w:eastAsia="zh-CN"/>
        </w:rPr>
        <w:t>或总秘书处部门主管的</w:t>
      </w:r>
      <w:r>
        <w:rPr>
          <w:rFonts w:hint="eastAsia"/>
          <w:lang w:eastAsia="zh-CN"/>
        </w:rPr>
        <w:t>推荐</w:t>
      </w:r>
      <w:r w:rsidRPr="0052253C">
        <w:rPr>
          <w:rFonts w:hint="eastAsia"/>
          <w:lang w:eastAsia="zh-CN"/>
        </w:rPr>
        <w:t>。因此，特设委员会审查了以下</w:t>
      </w:r>
      <w:r w:rsidRPr="0052253C">
        <w:rPr>
          <w:rFonts w:hint="eastAsia"/>
          <w:lang w:eastAsia="zh-CN"/>
        </w:rPr>
        <w:t>42</w:t>
      </w:r>
      <w:r>
        <w:rPr>
          <w:rFonts w:hint="eastAsia"/>
          <w:lang w:eastAsia="zh-CN"/>
        </w:rPr>
        <w:t>份</w:t>
      </w:r>
      <w:r w:rsidRPr="0052253C">
        <w:rPr>
          <w:rFonts w:hint="eastAsia"/>
          <w:lang w:eastAsia="zh-CN"/>
        </w:rPr>
        <w:t>请求</w:t>
      </w:r>
      <w:r>
        <w:rPr>
          <w:rFonts w:hint="eastAsia"/>
          <w:lang w:eastAsia="zh-CN"/>
        </w:rPr>
        <w:t>：</w:t>
      </w:r>
    </w:p>
    <w:p w14:paraId="4D69CD24" w14:textId="5F07FEFA" w:rsidR="0091677E" w:rsidRPr="00CE0BA2" w:rsidRDefault="00CE0BA2" w:rsidP="006A7A5E">
      <w:pPr>
        <w:pStyle w:val="Tabletitle"/>
        <w:rPr>
          <w:lang w:eastAsia="zh-CN"/>
        </w:rPr>
      </w:pPr>
      <w:r w:rsidRPr="00CE0BA2">
        <w:rPr>
          <w:rFonts w:hint="eastAsia"/>
          <w:lang w:eastAsia="zh-CN"/>
        </w:rPr>
        <w:t>表</w:t>
      </w:r>
      <w:r w:rsidR="0091677E" w:rsidRPr="006A7A5E">
        <w:rPr>
          <w:rFonts w:asciiTheme="minorHAnsi" w:hAnsiTheme="minorHAnsi" w:cstheme="minorHAnsi"/>
          <w:lang w:eastAsia="zh-CN"/>
        </w:rPr>
        <w:t>1</w:t>
      </w:r>
      <w:r w:rsidR="006A7A5E">
        <w:rPr>
          <w:lang w:eastAsia="zh-CN"/>
        </w:rPr>
        <w:t xml:space="preserve"> </w:t>
      </w:r>
      <w:r w:rsidR="006A7A5E" w:rsidRPr="006A7A5E">
        <w:rPr>
          <w:lang w:eastAsia="zh-CN"/>
        </w:rPr>
        <w:t>–</w:t>
      </w:r>
      <w:r w:rsidR="006A7A5E">
        <w:rPr>
          <w:lang w:eastAsia="zh-CN"/>
        </w:rPr>
        <w:t xml:space="preserve"> </w:t>
      </w:r>
      <w:r w:rsidR="0052253C">
        <w:rPr>
          <w:rFonts w:hint="eastAsia"/>
          <w:lang w:eastAsia="zh-CN"/>
        </w:rPr>
        <w:t>推荐各局</w:t>
      </w:r>
      <w:r w:rsidR="0052253C">
        <w:rPr>
          <w:rFonts w:hint="eastAsia"/>
          <w:lang w:eastAsia="zh-CN"/>
        </w:rPr>
        <w:t>/</w:t>
      </w:r>
      <w:r w:rsidR="0052253C">
        <w:rPr>
          <w:rFonts w:hint="eastAsia"/>
          <w:lang w:eastAsia="zh-CN"/>
        </w:rPr>
        <w:t>总秘书处</w:t>
      </w:r>
      <w:r w:rsidR="0091677E" w:rsidRPr="00CE0BA2">
        <w:rPr>
          <w:lang w:eastAsia="zh-CN"/>
        </w:rPr>
        <w:br/>
      </w:r>
      <w:r w:rsidR="0052253C">
        <w:rPr>
          <w:rFonts w:hint="eastAsia"/>
          <w:lang w:eastAsia="zh-CN"/>
        </w:rPr>
        <w:t>批准的请求</w:t>
      </w:r>
    </w:p>
    <w:tbl>
      <w:tblPr>
        <w:tblW w:w="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</w:tblGrid>
      <w:tr w:rsidR="0091677E" w:rsidRPr="00CE0BA2" w14:paraId="1658EFED" w14:textId="77777777" w:rsidTr="00EB1C0F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14:paraId="6EEFC6AD" w14:textId="482B7302" w:rsidR="0091677E" w:rsidRPr="006A7A5E" w:rsidRDefault="0052253C" w:rsidP="006A7A5E">
            <w:pPr>
              <w:pStyle w:val="Tablehead"/>
              <w:rPr>
                <w:color w:val="FFFFFF" w:themeColor="background1"/>
                <w:lang w:eastAsia="en-GB"/>
              </w:rPr>
            </w:pPr>
            <w:r w:rsidRPr="006A7A5E">
              <w:rPr>
                <w:rFonts w:hint="eastAsia"/>
                <w:color w:val="FFFFFF" w:themeColor="background1"/>
                <w:lang w:eastAsia="zh-CN"/>
              </w:rPr>
              <w:t>部门</w:t>
            </w:r>
            <w:r w:rsidRPr="006A7A5E">
              <w:rPr>
                <w:rFonts w:hint="eastAsia"/>
                <w:color w:val="FFFFFF" w:themeColor="background1"/>
                <w:lang w:eastAsia="zh-CN"/>
              </w:rPr>
              <w:t>/</w:t>
            </w:r>
            <w:r w:rsidRPr="006A7A5E">
              <w:rPr>
                <w:rFonts w:hint="eastAsia"/>
                <w:color w:val="FFFFFF" w:themeColor="background1"/>
                <w:lang w:eastAsia="zh-CN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14:paraId="7FA5CA90" w14:textId="357483D2" w:rsidR="0091677E" w:rsidRPr="006A7A5E" w:rsidRDefault="008D19BF" w:rsidP="006A7A5E">
            <w:pPr>
              <w:pStyle w:val="Tablehead"/>
              <w:rPr>
                <w:color w:val="FFFFFF" w:themeColor="background1"/>
                <w:lang w:eastAsia="en-GB"/>
              </w:rPr>
            </w:pPr>
            <w:r w:rsidRPr="006A7A5E">
              <w:rPr>
                <w:rFonts w:hint="eastAsia"/>
                <w:color w:val="FFFFFF" w:themeColor="background1"/>
                <w:lang w:eastAsia="zh-CN"/>
              </w:rPr>
              <w:t>申请</w:t>
            </w:r>
          </w:p>
        </w:tc>
      </w:tr>
      <w:tr w:rsidR="0091677E" w:rsidRPr="00CE0BA2" w14:paraId="7158045F" w14:textId="77777777" w:rsidTr="00EB1C0F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F90314" w14:textId="368BE2C4" w:rsidR="0091677E" w:rsidRPr="00CE0BA2" w:rsidRDefault="008D19BF" w:rsidP="006A7A5E">
            <w:pPr>
              <w:pStyle w:val="Tabletext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电信发展局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F80802" w14:textId="77777777" w:rsidR="0091677E" w:rsidRPr="00CE0BA2" w:rsidRDefault="0091677E" w:rsidP="006A7A5E">
            <w:pPr>
              <w:pStyle w:val="Tabletext"/>
              <w:jc w:val="center"/>
              <w:rPr>
                <w:lang w:eastAsia="en-GB"/>
              </w:rPr>
            </w:pPr>
            <w:r w:rsidRPr="00CE0BA2">
              <w:rPr>
                <w:lang w:eastAsia="en-GB"/>
              </w:rPr>
              <w:t>4</w:t>
            </w:r>
          </w:p>
        </w:tc>
      </w:tr>
      <w:tr w:rsidR="0091677E" w:rsidRPr="00CE0BA2" w14:paraId="6544F098" w14:textId="77777777" w:rsidTr="00EB1C0F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ACB3EF" w14:textId="6666371C" w:rsidR="0091677E" w:rsidRPr="00CE0BA2" w:rsidRDefault="008D19BF" w:rsidP="006A7A5E">
            <w:pPr>
              <w:pStyle w:val="Tabletext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无线电通信局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7FC8BD" w14:textId="77777777" w:rsidR="0091677E" w:rsidRPr="00CE0BA2" w:rsidRDefault="0091677E" w:rsidP="006A7A5E">
            <w:pPr>
              <w:pStyle w:val="Tabletext"/>
              <w:jc w:val="center"/>
              <w:rPr>
                <w:lang w:eastAsia="en-GB"/>
              </w:rPr>
            </w:pPr>
            <w:r w:rsidRPr="00CE0BA2">
              <w:rPr>
                <w:lang w:eastAsia="en-GB"/>
              </w:rPr>
              <w:t>5</w:t>
            </w:r>
          </w:p>
        </w:tc>
      </w:tr>
      <w:tr w:rsidR="0091677E" w:rsidRPr="00CE0BA2" w14:paraId="6D5FB1EB" w14:textId="77777777" w:rsidTr="00EB1C0F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CEF3D4" w14:textId="6153F5FA" w:rsidR="0091677E" w:rsidRPr="00CE0BA2" w:rsidRDefault="008D19BF" w:rsidP="006A7A5E">
            <w:pPr>
              <w:pStyle w:val="Tabletext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lastRenderedPageBreak/>
              <w:t>电信标准化局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6CC21D" w14:textId="77777777" w:rsidR="0091677E" w:rsidRPr="00CE0BA2" w:rsidRDefault="0091677E" w:rsidP="006A7A5E">
            <w:pPr>
              <w:pStyle w:val="Tabletext"/>
              <w:jc w:val="center"/>
              <w:rPr>
                <w:lang w:eastAsia="en-GB"/>
              </w:rPr>
            </w:pPr>
            <w:r w:rsidRPr="00CE0BA2">
              <w:rPr>
                <w:lang w:eastAsia="en-GB"/>
              </w:rPr>
              <w:t>3</w:t>
            </w:r>
          </w:p>
        </w:tc>
      </w:tr>
      <w:tr w:rsidR="0091677E" w:rsidRPr="00CE0BA2" w14:paraId="3EE5C87B" w14:textId="77777777" w:rsidTr="00EB1C0F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3966FB" w14:textId="2BA74D0F" w:rsidR="0091677E" w:rsidRPr="00CE0BA2" w:rsidRDefault="008D19BF" w:rsidP="006A7A5E">
            <w:pPr>
              <w:pStyle w:val="Tabletext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总秘书处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06029" w14:textId="77777777" w:rsidR="0091677E" w:rsidRPr="00CE0BA2" w:rsidRDefault="0091677E" w:rsidP="006A7A5E">
            <w:pPr>
              <w:pStyle w:val="Tabletext"/>
              <w:jc w:val="center"/>
              <w:rPr>
                <w:lang w:eastAsia="en-GB"/>
              </w:rPr>
            </w:pPr>
            <w:r w:rsidRPr="00CE0BA2">
              <w:rPr>
                <w:lang w:eastAsia="en-GB"/>
              </w:rPr>
              <w:t>30</w:t>
            </w:r>
          </w:p>
        </w:tc>
      </w:tr>
      <w:tr w:rsidR="0091677E" w:rsidRPr="00CE0BA2" w14:paraId="3818690D" w14:textId="77777777" w:rsidTr="00EB1C0F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48EA62" w14:textId="5AB7002F" w:rsidR="0091677E" w:rsidRPr="00CE0BA2" w:rsidRDefault="008D19BF" w:rsidP="006A7A5E">
            <w:pPr>
              <w:pStyle w:val="Tabletext"/>
              <w:rPr>
                <w:b/>
                <w:bCs/>
                <w:color w:val="000000" w:themeColor="text1"/>
                <w:lang w:eastAsia="en-GB"/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CN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5460F5" w14:textId="77777777" w:rsidR="0091677E" w:rsidRPr="00CE0BA2" w:rsidRDefault="0091677E" w:rsidP="006A7A5E">
            <w:pPr>
              <w:pStyle w:val="Tabletext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CE0BA2">
              <w:rPr>
                <w:b/>
                <w:bCs/>
                <w:color w:val="000000" w:themeColor="text1"/>
                <w:lang w:eastAsia="en-GB"/>
              </w:rPr>
              <w:t>42</w:t>
            </w:r>
          </w:p>
        </w:tc>
      </w:tr>
    </w:tbl>
    <w:p w14:paraId="1B82ED98" w14:textId="4650FCB2" w:rsidR="0091677E" w:rsidRPr="00CE0BA2" w:rsidRDefault="008D19BF" w:rsidP="006A7A5E">
      <w:pPr>
        <w:ind w:firstLineChars="200" w:firstLine="480"/>
        <w:rPr>
          <w:lang w:eastAsia="zh-CN"/>
        </w:rPr>
      </w:pPr>
      <w:r w:rsidRPr="008D19BF">
        <w:rPr>
          <w:rFonts w:hint="eastAsia"/>
          <w:lang w:eastAsia="zh-CN"/>
        </w:rPr>
        <w:t>就性别而言，</w:t>
      </w:r>
      <w:r w:rsidRPr="008D19BF">
        <w:rPr>
          <w:rFonts w:hint="eastAsia"/>
          <w:lang w:eastAsia="zh-CN"/>
        </w:rPr>
        <w:t>22</w:t>
      </w:r>
      <w:r w:rsidRPr="008D19BF">
        <w:rPr>
          <w:rFonts w:hint="eastAsia"/>
          <w:lang w:eastAsia="zh-CN"/>
        </w:rPr>
        <w:t>份申请来自女性</w:t>
      </w:r>
      <w:r>
        <w:rPr>
          <w:rFonts w:hint="eastAsia"/>
          <w:lang w:eastAsia="zh-CN"/>
        </w:rPr>
        <w:t>职员</w:t>
      </w:r>
      <w:r w:rsidRPr="008D19BF">
        <w:rPr>
          <w:rFonts w:hint="eastAsia"/>
          <w:lang w:eastAsia="zh-CN"/>
        </w:rPr>
        <w:t>，</w:t>
      </w:r>
      <w:r w:rsidRPr="008D19BF">
        <w:rPr>
          <w:rFonts w:hint="eastAsia"/>
          <w:lang w:eastAsia="zh-CN"/>
        </w:rPr>
        <w:t>20</w:t>
      </w:r>
      <w:r w:rsidRPr="008D19BF">
        <w:rPr>
          <w:rFonts w:hint="eastAsia"/>
          <w:lang w:eastAsia="zh-CN"/>
        </w:rPr>
        <w:t>份来自男性</w:t>
      </w:r>
      <w:r>
        <w:rPr>
          <w:rFonts w:hint="eastAsia"/>
          <w:lang w:eastAsia="zh-CN"/>
        </w:rPr>
        <w:t>职员</w:t>
      </w:r>
      <w:r w:rsidRPr="008D19BF">
        <w:rPr>
          <w:rFonts w:hint="eastAsia"/>
          <w:lang w:eastAsia="zh-CN"/>
        </w:rPr>
        <w:t>。申请人的平均年龄为</w:t>
      </w:r>
      <w:r w:rsidRPr="008D19BF">
        <w:rPr>
          <w:rFonts w:hint="eastAsia"/>
          <w:lang w:eastAsia="zh-CN"/>
        </w:rPr>
        <w:t>59.8</w:t>
      </w:r>
      <w:r w:rsidRPr="008D19BF">
        <w:rPr>
          <w:rFonts w:hint="eastAsia"/>
          <w:lang w:eastAsia="zh-CN"/>
        </w:rPr>
        <w:t>岁，最小年龄为</w:t>
      </w:r>
      <w:r w:rsidRPr="008D19BF">
        <w:rPr>
          <w:rFonts w:hint="eastAsia"/>
          <w:lang w:eastAsia="zh-CN"/>
        </w:rPr>
        <w:t>44.5</w:t>
      </w:r>
      <w:r w:rsidRPr="008D19BF">
        <w:rPr>
          <w:rFonts w:hint="eastAsia"/>
          <w:lang w:eastAsia="zh-CN"/>
        </w:rPr>
        <w:t>岁，最大年龄为</w:t>
      </w:r>
      <w:r w:rsidRPr="008D19BF">
        <w:rPr>
          <w:rFonts w:hint="eastAsia"/>
          <w:lang w:eastAsia="zh-CN"/>
        </w:rPr>
        <w:t>64.1</w:t>
      </w:r>
      <w:r w:rsidRPr="008D19BF">
        <w:rPr>
          <w:rFonts w:hint="eastAsia"/>
          <w:lang w:eastAsia="zh-CN"/>
        </w:rPr>
        <w:t>岁。</w:t>
      </w:r>
    </w:p>
    <w:p w14:paraId="08E199D8" w14:textId="24A23D0B" w:rsidR="0091677E" w:rsidRPr="00CE0BA2" w:rsidRDefault="007745E3" w:rsidP="006A7A5E">
      <w:pPr>
        <w:pStyle w:val="Heading1"/>
        <w:rPr>
          <w:lang w:eastAsia="zh-CN"/>
        </w:rPr>
      </w:pPr>
      <w:r w:rsidRPr="00CE0BA2">
        <w:rPr>
          <w:lang w:eastAsia="zh-CN"/>
        </w:rPr>
        <w:t>4</w:t>
      </w:r>
      <w:r w:rsidRPr="00CE0BA2">
        <w:rPr>
          <w:lang w:eastAsia="zh-CN"/>
        </w:rPr>
        <w:tab/>
      </w:r>
      <w:r w:rsidR="00CE0BA2" w:rsidRPr="00CE0BA2">
        <w:rPr>
          <w:rFonts w:hint="eastAsia"/>
          <w:lang w:eastAsia="zh-CN"/>
        </w:rPr>
        <w:t>建议和决定</w:t>
      </w:r>
    </w:p>
    <w:p w14:paraId="51D79ABB" w14:textId="66AED018" w:rsidR="0091677E" w:rsidRPr="00CE0BA2" w:rsidRDefault="00291EA4" w:rsidP="006A7A5E">
      <w:pPr>
        <w:ind w:firstLineChars="200" w:firstLine="480"/>
        <w:rPr>
          <w:lang w:val="en-US" w:eastAsia="zh-CN"/>
        </w:rPr>
      </w:pPr>
      <w:r w:rsidRPr="00291EA4">
        <w:rPr>
          <w:rFonts w:hint="eastAsia"/>
          <w:lang w:val="en-US" w:eastAsia="zh-CN"/>
        </w:rPr>
        <w:t>根据第</w:t>
      </w:r>
      <w:r w:rsidRPr="00291EA4">
        <w:rPr>
          <w:rFonts w:hint="eastAsia"/>
          <w:lang w:val="en-US" w:eastAsia="zh-CN"/>
        </w:rPr>
        <w:t>23/03</w:t>
      </w:r>
      <w:r w:rsidRPr="00291EA4">
        <w:rPr>
          <w:rFonts w:hint="eastAsia"/>
          <w:lang w:val="en-US" w:eastAsia="zh-CN"/>
        </w:rPr>
        <w:t>号</w:t>
      </w:r>
      <w:r>
        <w:rPr>
          <w:rFonts w:hint="eastAsia"/>
          <w:lang w:val="en-US" w:eastAsia="zh-CN"/>
        </w:rPr>
        <w:t>行政规定</w:t>
      </w:r>
      <w:r w:rsidRPr="00291EA4">
        <w:rPr>
          <w:rFonts w:hint="eastAsia"/>
          <w:lang w:val="en-US" w:eastAsia="zh-CN"/>
        </w:rPr>
        <w:t>，秘书长任命了一个特设委员会</w:t>
      </w:r>
      <w:r>
        <w:rPr>
          <w:rFonts w:hint="eastAsia"/>
          <w:lang w:val="en-US" w:eastAsia="zh-CN"/>
        </w:rPr>
        <w:t>负责</w:t>
      </w:r>
      <w:r w:rsidRPr="00291EA4">
        <w:rPr>
          <w:rFonts w:hint="eastAsia"/>
          <w:lang w:val="en-US" w:eastAsia="zh-CN"/>
        </w:rPr>
        <w:t>审查和评估</w:t>
      </w:r>
      <w:r>
        <w:rPr>
          <w:rFonts w:hint="eastAsia"/>
          <w:lang w:val="en-US" w:eastAsia="zh-CN"/>
        </w:rPr>
        <w:t>职员的</w:t>
      </w:r>
      <w:r w:rsidRPr="00291EA4">
        <w:rPr>
          <w:rFonts w:hint="eastAsia"/>
          <w:lang w:val="en-US" w:eastAsia="zh-CN"/>
        </w:rPr>
        <w:t>自愿离职申请以及各局</w:t>
      </w:r>
      <w:r>
        <w:rPr>
          <w:rFonts w:hint="eastAsia"/>
          <w:lang w:val="en-US" w:eastAsia="zh-CN"/>
        </w:rPr>
        <w:t>主任</w:t>
      </w:r>
      <w:r w:rsidRPr="00291EA4">
        <w:rPr>
          <w:rFonts w:hint="eastAsia"/>
          <w:lang w:val="en-US" w:eastAsia="zh-CN"/>
        </w:rPr>
        <w:t>或总秘书处部门主管的</w:t>
      </w:r>
      <w:r>
        <w:rPr>
          <w:rFonts w:hint="eastAsia"/>
          <w:lang w:val="en-US" w:eastAsia="zh-CN"/>
        </w:rPr>
        <w:t>推荐</w:t>
      </w:r>
      <w:r w:rsidRPr="00291EA4">
        <w:rPr>
          <w:rFonts w:hint="eastAsia"/>
          <w:lang w:val="en-US" w:eastAsia="zh-CN"/>
        </w:rPr>
        <w:t>。特设委员会是根据各局</w:t>
      </w:r>
      <w:r>
        <w:rPr>
          <w:rFonts w:hint="eastAsia"/>
          <w:lang w:val="en-US" w:eastAsia="zh-CN"/>
        </w:rPr>
        <w:t>主任</w:t>
      </w:r>
      <w:r w:rsidRPr="00291EA4">
        <w:rPr>
          <w:rFonts w:hint="eastAsia"/>
          <w:lang w:val="en-US" w:eastAsia="zh-CN"/>
        </w:rPr>
        <w:t>的建议任命的。</w:t>
      </w:r>
    </w:p>
    <w:p w14:paraId="5757D8AA" w14:textId="7BE0A8E3" w:rsidR="0091677E" w:rsidRPr="00CE0BA2" w:rsidRDefault="00291EA4" w:rsidP="006A7A5E">
      <w:pPr>
        <w:ind w:firstLineChars="200" w:firstLine="480"/>
        <w:rPr>
          <w:lang w:val="en-US" w:eastAsia="zh-CN"/>
        </w:rPr>
      </w:pPr>
      <w:r w:rsidRPr="00291EA4">
        <w:rPr>
          <w:rFonts w:hint="eastAsia"/>
          <w:lang w:val="en-US" w:eastAsia="zh-CN"/>
        </w:rPr>
        <w:t>委员会根据理事会的决定，</w:t>
      </w:r>
      <w:r>
        <w:rPr>
          <w:rFonts w:hint="eastAsia"/>
          <w:lang w:val="en-US" w:eastAsia="zh-CN"/>
        </w:rPr>
        <w:t>在优先考虑国际电联</w:t>
      </w:r>
      <w:r w:rsidRPr="00291EA4">
        <w:rPr>
          <w:rFonts w:hint="eastAsia"/>
          <w:lang w:val="en-US" w:eastAsia="zh-CN"/>
        </w:rPr>
        <w:t>利益</w:t>
      </w:r>
      <w:r>
        <w:rPr>
          <w:rFonts w:hint="eastAsia"/>
          <w:lang w:val="en-US" w:eastAsia="zh-CN"/>
        </w:rPr>
        <w:t>的基础上</w:t>
      </w:r>
      <w:r w:rsidRPr="00291EA4">
        <w:rPr>
          <w:rFonts w:hint="eastAsia"/>
          <w:lang w:val="en-US" w:eastAsia="zh-CN"/>
        </w:rPr>
        <w:t>，纯粹基于财务考虑提出建议。</w:t>
      </w:r>
      <w:r w:rsidR="00F151D9" w:rsidRPr="00291EA4">
        <w:rPr>
          <w:rFonts w:hint="eastAsia"/>
          <w:lang w:val="en-US" w:eastAsia="zh-CN"/>
        </w:rPr>
        <w:t>每</w:t>
      </w:r>
      <w:r w:rsidR="00F151D9">
        <w:rPr>
          <w:rFonts w:hint="eastAsia"/>
          <w:lang w:val="en-US" w:eastAsia="zh-CN"/>
        </w:rPr>
        <w:t>份申请</w:t>
      </w:r>
      <w:r w:rsidR="00F151D9" w:rsidRPr="00291EA4">
        <w:rPr>
          <w:rFonts w:hint="eastAsia"/>
          <w:lang w:val="en-US" w:eastAsia="zh-CN"/>
        </w:rPr>
        <w:t>的投资回报</w:t>
      </w:r>
      <w:r w:rsidR="00F151D9">
        <w:rPr>
          <w:rFonts w:hint="eastAsia"/>
          <w:lang w:val="en-US" w:eastAsia="zh-CN"/>
        </w:rPr>
        <w:t>（</w:t>
      </w:r>
      <w:r w:rsidR="00F151D9" w:rsidRPr="00291EA4">
        <w:rPr>
          <w:rFonts w:hint="eastAsia"/>
          <w:lang w:val="en-US" w:eastAsia="zh-CN"/>
        </w:rPr>
        <w:t>ROI</w:t>
      </w:r>
      <w:r w:rsidR="00F151D9">
        <w:rPr>
          <w:rFonts w:hint="eastAsia"/>
          <w:lang w:val="en-US" w:eastAsia="zh-CN"/>
        </w:rPr>
        <w:t>）是通过</w:t>
      </w:r>
      <w:r w:rsidRPr="00291EA4">
        <w:rPr>
          <w:rFonts w:hint="eastAsia"/>
          <w:lang w:val="en-US" w:eastAsia="zh-CN"/>
        </w:rPr>
        <w:t>考虑</w:t>
      </w:r>
      <w:r w:rsidR="00F151D9">
        <w:rPr>
          <w:rFonts w:hint="eastAsia"/>
          <w:lang w:val="en-US" w:eastAsia="zh-CN"/>
        </w:rPr>
        <w:t>该</w:t>
      </w:r>
      <w:r w:rsidRPr="00291EA4">
        <w:rPr>
          <w:rFonts w:hint="eastAsia"/>
          <w:lang w:val="en-US" w:eastAsia="zh-CN"/>
        </w:rPr>
        <w:t>计划的成本和对组织的长期节约估计</w:t>
      </w:r>
      <w:r w:rsidR="00F151D9">
        <w:rPr>
          <w:rFonts w:hint="eastAsia"/>
          <w:lang w:val="en-US" w:eastAsia="zh-CN"/>
        </w:rPr>
        <w:t>来</w:t>
      </w:r>
      <w:r w:rsidRPr="00291EA4">
        <w:rPr>
          <w:rFonts w:hint="eastAsia"/>
          <w:lang w:val="en-US" w:eastAsia="zh-CN"/>
        </w:rPr>
        <w:t>计算</w:t>
      </w:r>
      <w:r w:rsidR="00F151D9">
        <w:rPr>
          <w:rFonts w:hint="eastAsia"/>
          <w:lang w:val="en-US" w:eastAsia="zh-CN"/>
        </w:rPr>
        <w:t>的</w:t>
      </w:r>
      <w:r w:rsidRPr="00291EA4">
        <w:rPr>
          <w:rFonts w:hint="eastAsia"/>
          <w:lang w:val="en-US" w:eastAsia="zh-CN"/>
        </w:rPr>
        <w:t>。</w:t>
      </w:r>
    </w:p>
    <w:p w14:paraId="601FDEB4" w14:textId="0BB3E58E" w:rsidR="0091677E" w:rsidRPr="00CE0BA2" w:rsidRDefault="001E0D57" w:rsidP="006A7A5E">
      <w:pPr>
        <w:ind w:firstLineChars="200" w:firstLine="480"/>
        <w:rPr>
          <w:lang w:val="en-US" w:eastAsia="zh-CN"/>
        </w:rPr>
      </w:pPr>
      <w:r w:rsidRPr="001E0D57">
        <w:rPr>
          <w:rFonts w:hint="eastAsia"/>
          <w:lang w:val="en-US" w:eastAsia="zh-CN"/>
        </w:rPr>
        <w:t>特设委员会将报告提交协调委员会讨论，并进一步建议秘书长根据</w:t>
      </w:r>
      <w:r>
        <w:rPr>
          <w:rFonts w:hint="eastAsia"/>
          <w:lang w:val="en-US" w:eastAsia="zh-CN"/>
        </w:rPr>
        <w:t>国际电联</w:t>
      </w:r>
      <w:r w:rsidRPr="001E0D57">
        <w:rPr>
          <w:rFonts w:hint="eastAsia"/>
          <w:lang w:val="en-US" w:eastAsia="zh-CN"/>
        </w:rPr>
        <w:t>的利益和战略目标做出批准或拒绝申请的最后决定。根据第</w:t>
      </w:r>
      <w:r w:rsidRPr="001E0D57">
        <w:rPr>
          <w:rFonts w:hint="eastAsia"/>
          <w:lang w:val="en-US" w:eastAsia="zh-CN"/>
        </w:rPr>
        <w:t>23/03</w:t>
      </w:r>
      <w:r w:rsidRPr="001E0D57">
        <w:rPr>
          <w:rFonts w:hint="eastAsia"/>
          <w:lang w:val="en-US" w:eastAsia="zh-CN"/>
        </w:rPr>
        <w:t>号</w:t>
      </w:r>
      <w:r>
        <w:rPr>
          <w:rFonts w:hint="eastAsia"/>
          <w:lang w:val="en-US" w:eastAsia="zh-CN"/>
        </w:rPr>
        <w:t>行政规定</w:t>
      </w:r>
      <w:r w:rsidRPr="001E0D57">
        <w:rPr>
          <w:rFonts w:hint="eastAsia"/>
          <w:lang w:val="en-US" w:eastAsia="zh-CN"/>
        </w:rPr>
        <w:t>，自愿离职应由秘书长酌情批准，而不是法定权利。</w:t>
      </w:r>
    </w:p>
    <w:p w14:paraId="41AF7D47" w14:textId="09DAA6F9" w:rsidR="0091677E" w:rsidRPr="00CE0BA2" w:rsidRDefault="001E0D57" w:rsidP="006A7A5E">
      <w:pPr>
        <w:ind w:firstLineChars="200" w:firstLine="480"/>
        <w:rPr>
          <w:lang w:eastAsia="zh-CN"/>
        </w:rPr>
      </w:pPr>
      <w:r w:rsidRPr="001E0D57">
        <w:rPr>
          <w:rFonts w:hint="eastAsia"/>
          <w:lang w:eastAsia="zh-CN"/>
        </w:rPr>
        <w:t>秘书长根据</w:t>
      </w:r>
      <w:r>
        <w:rPr>
          <w:rFonts w:hint="eastAsia"/>
          <w:lang w:eastAsia="zh-CN"/>
        </w:rPr>
        <w:t>国际电联</w:t>
      </w:r>
      <w:r w:rsidRPr="001E0D57">
        <w:rPr>
          <w:rFonts w:hint="eastAsia"/>
          <w:lang w:eastAsia="zh-CN"/>
        </w:rPr>
        <w:t>的利益和战略目标，并在认真考虑这项工作的财务影响后，遵照理事会</w:t>
      </w:r>
      <w:r>
        <w:rPr>
          <w:rFonts w:hint="eastAsia"/>
          <w:lang w:eastAsia="zh-CN"/>
        </w:rPr>
        <w:t>为</w:t>
      </w:r>
      <w:r w:rsidRPr="001E0D57">
        <w:rPr>
          <w:rFonts w:hint="eastAsia"/>
          <w:lang w:eastAsia="zh-CN"/>
        </w:rPr>
        <w:t>改善预算执行预测</w:t>
      </w:r>
      <w:r w:rsidR="00766A67" w:rsidRPr="00766A67">
        <w:rPr>
          <w:rFonts w:hint="eastAsia"/>
          <w:lang w:eastAsia="zh-CN"/>
        </w:rPr>
        <w:t>并使编制未来平衡预算成为可能</w:t>
      </w:r>
      <w:r>
        <w:rPr>
          <w:rFonts w:hint="eastAsia"/>
          <w:lang w:eastAsia="zh-CN"/>
        </w:rPr>
        <w:t>而批准</w:t>
      </w:r>
      <w:r w:rsidRPr="001E0D57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计划</w:t>
      </w:r>
      <w:r w:rsidRPr="001E0D57">
        <w:rPr>
          <w:rFonts w:hint="eastAsia"/>
          <w:lang w:eastAsia="zh-CN"/>
        </w:rPr>
        <w:t>的决定，共</w:t>
      </w:r>
      <w:r>
        <w:rPr>
          <w:rFonts w:hint="eastAsia"/>
          <w:lang w:eastAsia="zh-CN"/>
        </w:rPr>
        <w:t>批准</w:t>
      </w:r>
      <w:r w:rsidRPr="001E0D57">
        <w:rPr>
          <w:rFonts w:hint="eastAsia"/>
          <w:lang w:eastAsia="zh-CN"/>
        </w:rPr>
        <w:t>了</w:t>
      </w:r>
      <w:r w:rsidRPr="001E0D57"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份申请</w:t>
      </w:r>
      <w:r w:rsidRPr="001E0D57">
        <w:rPr>
          <w:rFonts w:hint="eastAsia"/>
          <w:lang w:eastAsia="zh-CN"/>
        </w:rPr>
        <w:t>。</w:t>
      </w:r>
    </w:p>
    <w:p w14:paraId="0465D720" w14:textId="381FB1E7" w:rsidR="0091677E" w:rsidRPr="00CE0BA2" w:rsidRDefault="001E0D57" w:rsidP="006A7A5E">
      <w:pPr>
        <w:ind w:firstLineChars="200" w:firstLine="480"/>
        <w:rPr>
          <w:lang w:eastAsia="zh-CN"/>
        </w:rPr>
      </w:pPr>
      <w:r w:rsidRPr="001E0D57">
        <w:rPr>
          <w:rFonts w:hint="eastAsia"/>
          <w:lang w:eastAsia="zh-CN"/>
        </w:rPr>
        <w:t>自愿离职</w:t>
      </w:r>
      <w:r>
        <w:rPr>
          <w:rFonts w:hint="eastAsia"/>
          <w:lang w:eastAsia="zh-CN"/>
        </w:rPr>
        <w:t>计划</w:t>
      </w:r>
      <w:r w:rsidRPr="001E0D57">
        <w:rPr>
          <w:rFonts w:hint="eastAsia"/>
          <w:lang w:eastAsia="zh-CN"/>
        </w:rPr>
        <w:t>的最终</w:t>
      </w:r>
      <w:r w:rsidR="00F151D9">
        <w:rPr>
          <w:rFonts w:hint="eastAsia"/>
          <w:lang w:eastAsia="zh-CN"/>
        </w:rPr>
        <w:t>成本</w:t>
      </w:r>
      <w:r w:rsidRPr="001E0D57">
        <w:rPr>
          <w:rFonts w:hint="eastAsia"/>
          <w:lang w:eastAsia="zh-CN"/>
        </w:rPr>
        <w:t>估计为</w:t>
      </w:r>
      <w:r w:rsidRPr="001E0D57">
        <w:rPr>
          <w:rFonts w:hint="eastAsia"/>
          <w:lang w:eastAsia="zh-CN"/>
        </w:rPr>
        <w:t>3</w:t>
      </w:r>
      <w:r w:rsidR="006A7A5E" w:rsidRPr="007745E3">
        <w:rPr>
          <w:lang w:val="fr-FR" w:eastAsia="zh-CN"/>
        </w:rPr>
        <w:t> </w:t>
      </w:r>
      <w:r w:rsidRPr="001E0D57">
        <w:rPr>
          <w:rFonts w:hint="eastAsia"/>
          <w:lang w:eastAsia="zh-CN"/>
        </w:rPr>
        <w:t>86</w:t>
      </w:r>
      <w:r>
        <w:rPr>
          <w:rFonts w:hint="eastAsia"/>
          <w:lang w:eastAsia="zh-CN"/>
        </w:rPr>
        <w:t>0</w:t>
      </w:r>
      <w:r w:rsidR="006A7A5E" w:rsidRPr="007745E3">
        <w:rPr>
          <w:lang w:val="fr-FR" w:eastAsia="zh-CN"/>
        </w:rPr>
        <w:t> </w:t>
      </w:r>
      <w:r>
        <w:rPr>
          <w:lang w:eastAsia="zh-CN"/>
        </w:rPr>
        <w:t>000</w:t>
      </w:r>
      <w:r w:rsidRPr="001E0D57">
        <w:rPr>
          <w:rFonts w:hint="eastAsia"/>
          <w:lang w:eastAsia="zh-CN"/>
        </w:rPr>
        <w:t>瑞士法郎，</w:t>
      </w:r>
      <w:r>
        <w:rPr>
          <w:rFonts w:hint="eastAsia"/>
          <w:lang w:eastAsia="zh-CN"/>
        </w:rPr>
        <w:t>估计能够</w:t>
      </w:r>
      <w:r w:rsidRPr="001E0D57">
        <w:rPr>
          <w:rFonts w:hint="eastAsia"/>
          <w:lang w:eastAsia="zh-CN"/>
        </w:rPr>
        <w:t>长期节省</w:t>
      </w:r>
      <w:r w:rsidRPr="00CE0BA2">
        <w:rPr>
          <w:rStyle w:val="FootnoteReference"/>
          <w:szCs w:val="16"/>
        </w:rPr>
        <w:footnoteReference w:id="1"/>
      </w:r>
      <w:r w:rsidRPr="001E0D57">
        <w:rPr>
          <w:rFonts w:hint="eastAsia"/>
          <w:lang w:eastAsia="zh-CN"/>
        </w:rPr>
        <w:t>14</w:t>
      </w:r>
      <w:r w:rsidR="006A7A5E" w:rsidRPr="007745E3">
        <w:rPr>
          <w:lang w:val="fr-FR" w:eastAsia="zh-CN"/>
        </w:rPr>
        <w:t> </w:t>
      </w:r>
      <w:r w:rsidRPr="001E0D57">
        <w:rPr>
          <w:rFonts w:hint="eastAsia"/>
          <w:lang w:eastAsia="zh-CN"/>
        </w:rPr>
        <w:t>059</w:t>
      </w:r>
      <w:r w:rsidR="006A7A5E" w:rsidRPr="007745E3">
        <w:rPr>
          <w:lang w:val="fr-FR" w:eastAsia="zh-CN"/>
        </w:rPr>
        <w:t> </w:t>
      </w:r>
      <w:r>
        <w:rPr>
          <w:lang w:eastAsia="zh-CN"/>
        </w:rPr>
        <w:t>000</w:t>
      </w:r>
      <w:r w:rsidRPr="001E0D57">
        <w:rPr>
          <w:rFonts w:hint="eastAsia"/>
          <w:lang w:eastAsia="zh-CN"/>
        </w:rPr>
        <w:t>瑞士法郎，实际投资回报为</w:t>
      </w:r>
      <w:r w:rsidRPr="001E0D57">
        <w:rPr>
          <w:rFonts w:hint="eastAsia"/>
          <w:lang w:eastAsia="zh-CN"/>
        </w:rPr>
        <w:t>10</w:t>
      </w:r>
      <w:r w:rsidR="006A7A5E" w:rsidRPr="007745E3">
        <w:rPr>
          <w:lang w:val="fr-FR" w:eastAsia="zh-CN"/>
        </w:rPr>
        <w:t> </w:t>
      </w:r>
      <w:r w:rsidRPr="001E0D57">
        <w:rPr>
          <w:rFonts w:hint="eastAsia"/>
          <w:lang w:eastAsia="zh-CN"/>
        </w:rPr>
        <w:t>189</w:t>
      </w:r>
      <w:r w:rsidR="006A7A5E" w:rsidRPr="007745E3">
        <w:rPr>
          <w:lang w:val="fr-FR" w:eastAsia="zh-CN"/>
        </w:rPr>
        <w:t> </w:t>
      </w:r>
      <w:r>
        <w:rPr>
          <w:lang w:eastAsia="zh-CN"/>
        </w:rPr>
        <w:t>000</w:t>
      </w:r>
      <w:r w:rsidRPr="001E0D57">
        <w:rPr>
          <w:rFonts w:hint="eastAsia"/>
          <w:lang w:eastAsia="zh-CN"/>
        </w:rPr>
        <w:t>瑞士法郎</w:t>
      </w:r>
      <w:r>
        <w:rPr>
          <w:rFonts w:hint="eastAsia"/>
          <w:lang w:eastAsia="zh-CN"/>
        </w:rPr>
        <w:t>（</w:t>
      </w:r>
      <w:r w:rsidRPr="001E0D57">
        <w:rPr>
          <w:rFonts w:hint="eastAsia"/>
          <w:lang w:eastAsia="zh-CN"/>
        </w:rPr>
        <w:t>264%</w:t>
      </w:r>
      <w:r>
        <w:rPr>
          <w:rFonts w:hint="eastAsia"/>
          <w:lang w:eastAsia="zh-CN"/>
        </w:rPr>
        <w:t>）</w:t>
      </w:r>
      <w:r w:rsidRPr="001E0D57">
        <w:rPr>
          <w:rFonts w:hint="eastAsia"/>
          <w:lang w:eastAsia="zh-CN"/>
        </w:rPr>
        <w:t>。</w:t>
      </w:r>
    </w:p>
    <w:p w14:paraId="56E33D62" w14:textId="1BD146F8" w:rsidR="0060520C" w:rsidRPr="00CE0BA2" w:rsidRDefault="00CE0BA2" w:rsidP="006A7A5E">
      <w:pPr>
        <w:pStyle w:val="Tabletitle"/>
        <w:rPr>
          <w:lang w:eastAsia="zh-CN"/>
        </w:rPr>
      </w:pPr>
      <w:r w:rsidRPr="00CE0BA2">
        <w:rPr>
          <w:rFonts w:hint="eastAsia"/>
          <w:lang w:eastAsia="zh-CN"/>
        </w:rPr>
        <w:t>表</w:t>
      </w:r>
      <w:r w:rsidR="0060520C" w:rsidRPr="006A7A5E">
        <w:rPr>
          <w:rFonts w:asciiTheme="minorHAnsi" w:hAnsiTheme="minorHAnsi" w:cstheme="minorHAnsi"/>
          <w:lang w:eastAsia="zh-CN"/>
        </w:rPr>
        <w:t>2</w:t>
      </w:r>
      <w:r w:rsidR="006A7A5E">
        <w:rPr>
          <w:lang w:eastAsia="zh-CN"/>
        </w:rPr>
        <w:t xml:space="preserve"> </w:t>
      </w:r>
      <w:r w:rsidR="006A7A5E" w:rsidRPr="006A7A5E">
        <w:rPr>
          <w:lang w:eastAsia="zh-CN"/>
        </w:rPr>
        <w:t>–</w:t>
      </w:r>
      <w:r w:rsidR="006A7A5E">
        <w:rPr>
          <w:lang w:eastAsia="zh-CN"/>
        </w:rPr>
        <w:t xml:space="preserve"> </w:t>
      </w:r>
      <w:r w:rsidR="00EA389E" w:rsidRPr="00EA389E">
        <w:rPr>
          <w:rFonts w:hint="eastAsia"/>
          <w:lang w:eastAsia="zh-CN"/>
        </w:rPr>
        <w:t>自愿离职</w:t>
      </w:r>
      <w:r w:rsidR="00EA389E">
        <w:rPr>
          <w:rFonts w:hint="eastAsia"/>
          <w:lang w:eastAsia="zh-CN"/>
        </w:rPr>
        <w:t>计划</w:t>
      </w:r>
      <w:r w:rsidR="00EA389E" w:rsidRPr="00EA389E">
        <w:rPr>
          <w:rFonts w:hint="eastAsia"/>
          <w:lang w:eastAsia="zh-CN"/>
        </w:rPr>
        <w:t>的估计</w:t>
      </w:r>
      <w:r w:rsidR="00EA389E">
        <w:rPr>
          <w:rFonts w:hint="eastAsia"/>
          <w:lang w:eastAsia="zh-CN"/>
        </w:rPr>
        <w:t>成本</w:t>
      </w:r>
      <w:r w:rsidR="00EA389E" w:rsidRPr="00EA389E">
        <w:rPr>
          <w:rFonts w:hint="eastAsia"/>
          <w:lang w:eastAsia="zh-CN"/>
        </w:rPr>
        <w:t>、预计节</w:t>
      </w:r>
      <w:r w:rsidR="00EA389E">
        <w:rPr>
          <w:rFonts w:hint="eastAsia"/>
          <w:lang w:eastAsia="zh-CN"/>
        </w:rPr>
        <w:t>约</w:t>
      </w:r>
      <w:r w:rsidR="00EA389E" w:rsidRPr="00EA389E">
        <w:rPr>
          <w:rFonts w:hint="eastAsia"/>
          <w:lang w:eastAsia="zh-CN"/>
        </w:rPr>
        <w:t>和投资回报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559"/>
        <w:gridCol w:w="1560"/>
        <w:gridCol w:w="1153"/>
      </w:tblGrid>
      <w:tr w:rsidR="0060520C" w:rsidRPr="00CE0BA2" w14:paraId="07CA0447" w14:textId="77777777" w:rsidTr="00EB1C0F">
        <w:trPr>
          <w:trHeight w:val="11"/>
          <w:jc w:val="center"/>
        </w:trPr>
        <w:tc>
          <w:tcPr>
            <w:tcW w:w="1413" w:type="dxa"/>
            <w:shd w:val="clear" w:color="D9E1F2" w:fill="D9E1F2"/>
            <w:noWrap/>
            <w:vAlign w:val="bottom"/>
            <w:hideMark/>
          </w:tcPr>
          <w:p w14:paraId="66B6B1EA" w14:textId="70F0D19B" w:rsidR="0060520C" w:rsidRPr="00CE0BA2" w:rsidRDefault="00EA389E" w:rsidP="006A7A5E">
            <w:pPr>
              <w:pStyle w:val="Tablehead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获得批准</w:t>
            </w:r>
            <w:r w:rsidR="006A7A5E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的申请</w:t>
            </w:r>
          </w:p>
        </w:tc>
        <w:tc>
          <w:tcPr>
            <w:tcW w:w="1701" w:type="dxa"/>
            <w:shd w:val="clear" w:color="D9E1F2" w:fill="D9E1F2"/>
            <w:vAlign w:val="bottom"/>
            <w:hideMark/>
          </w:tcPr>
          <w:p w14:paraId="09D44BA2" w14:textId="37000CD3" w:rsidR="0060520C" w:rsidRPr="00CE0BA2" w:rsidRDefault="00EA389E" w:rsidP="006A7A5E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自愿离职计划的成本</w:t>
            </w:r>
            <w:r w:rsidR="0060520C" w:rsidRPr="00CE0BA2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（瑞士法郎）</w:t>
            </w:r>
          </w:p>
        </w:tc>
        <w:tc>
          <w:tcPr>
            <w:tcW w:w="1559" w:type="dxa"/>
            <w:shd w:val="clear" w:color="D9E1F2" w:fill="D9E1F2"/>
            <w:vAlign w:val="bottom"/>
            <w:hideMark/>
          </w:tcPr>
          <w:p w14:paraId="30662F5D" w14:textId="761EF374" w:rsidR="0060520C" w:rsidRPr="00CE0BA2" w:rsidRDefault="00EA389E" w:rsidP="006A7A5E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 w:rsidR="0060520C" w:rsidRPr="00CE0BA2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净节约</w:t>
            </w:r>
            <w:r w:rsidR="0060520C" w:rsidRPr="00CE0BA2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（瑞士法郎）</w:t>
            </w:r>
          </w:p>
        </w:tc>
        <w:tc>
          <w:tcPr>
            <w:tcW w:w="1559" w:type="dxa"/>
            <w:shd w:val="clear" w:color="D9E1F2" w:fill="D9E1F2"/>
            <w:vAlign w:val="bottom"/>
            <w:hideMark/>
          </w:tcPr>
          <w:p w14:paraId="5B33CE63" w14:textId="58D14FD7" w:rsidR="0060520C" w:rsidRPr="00CE0BA2" w:rsidRDefault="00EA389E" w:rsidP="006A7A5E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2024-2027</w:t>
            </w:r>
            <w:r>
              <w:rPr>
                <w:rFonts w:hint="eastAsia"/>
                <w:lang w:eastAsia="zh-CN"/>
              </w:rPr>
              <w:t>年</w:t>
            </w:r>
            <w:r w:rsidR="0060520C" w:rsidRPr="00CE0BA2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净节约</w:t>
            </w:r>
            <w:r w:rsidR="0060520C" w:rsidRPr="00CE0BA2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（瑞士法郎）</w:t>
            </w:r>
          </w:p>
        </w:tc>
        <w:tc>
          <w:tcPr>
            <w:tcW w:w="1560" w:type="dxa"/>
            <w:shd w:val="clear" w:color="auto" w:fill="808080" w:themeFill="background1" w:themeFillShade="80"/>
            <w:vAlign w:val="bottom"/>
            <w:hideMark/>
          </w:tcPr>
          <w:p w14:paraId="6D81905E" w14:textId="61A613BA" w:rsidR="0060520C" w:rsidRPr="006A7A5E" w:rsidRDefault="0060520C" w:rsidP="006A7A5E">
            <w:pPr>
              <w:pStyle w:val="Tablehead"/>
              <w:rPr>
                <w:bCs/>
                <w:color w:val="FFFFFF" w:themeColor="background1"/>
                <w:lang w:eastAsia="en-GB"/>
              </w:rPr>
            </w:pPr>
            <w:r w:rsidRPr="006A7A5E">
              <w:rPr>
                <w:bCs/>
                <w:color w:val="FFFFFF" w:themeColor="background1"/>
                <w:lang w:eastAsia="en-GB"/>
              </w:rPr>
              <w:t>ROI</w:t>
            </w:r>
            <w:r w:rsidR="006A7A5E">
              <w:rPr>
                <w:bCs/>
                <w:color w:val="FFFFFF" w:themeColor="background1"/>
                <w:lang w:eastAsia="en-GB"/>
              </w:rPr>
              <w:br/>
            </w:r>
            <w:r w:rsidR="00EA389E" w:rsidRPr="006A7A5E">
              <w:rPr>
                <w:rFonts w:hint="eastAsia"/>
                <w:bCs/>
                <w:color w:val="FFFFFF" w:themeColor="background1"/>
                <w:lang w:eastAsia="zh-CN"/>
              </w:rPr>
              <w:t>（</w:t>
            </w:r>
            <w:r w:rsidR="00F151D9" w:rsidRPr="006A7A5E">
              <w:rPr>
                <w:rFonts w:hint="eastAsia"/>
                <w:bCs/>
                <w:color w:val="FFFFFF" w:themeColor="background1"/>
                <w:lang w:eastAsia="zh-CN"/>
              </w:rPr>
              <w:t>瑞士法郎</w:t>
            </w:r>
            <w:r w:rsidR="00EA389E" w:rsidRPr="006A7A5E">
              <w:rPr>
                <w:rFonts w:hint="eastAsia"/>
                <w:bCs/>
                <w:color w:val="FFFFFF" w:themeColor="background1"/>
                <w:lang w:eastAsia="zh-CN"/>
              </w:rPr>
              <w:t>）</w:t>
            </w:r>
            <w:r w:rsidRPr="0052617C">
              <w:rPr>
                <w:rStyle w:val="FootnoteReference"/>
                <w:rFonts w:cstheme="minorHAnsi"/>
                <w:bCs/>
                <w:color w:val="FFFFFF" w:themeColor="background1"/>
                <w:position w:val="0"/>
                <w:szCs w:val="28"/>
                <w:lang w:eastAsia="en-GB"/>
              </w:rPr>
              <w:footnoteReference w:id="2"/>
            </w:r>
          </w:p>
        </w:tc>
        <w:tc>
          <w:tcPr>
            <w:tcW w:w="1153" w:type="dxa"/>
            <w:shd w:val="clear" w:color="auto" w:fill="808080" w:themeFill="background1" w:themeFillShade="80"/>
            <w:vAlign w:val="bottom"/>
            <w:hideMark/>
          </w:tcPr>
          <w:p w14:paraId="1E8C4F46" w14:textId="3B4FC07B" w:rsidR="0060520C" w:rsidRPr="006A7A5E" w:rsidRDefault="0060520C" w:rsidP="006A7A5E">
            <w:pPr>
              <w:pStyle w:val="Tablehead"/>
              <w:rPr>
                <w:bCs/>
                <w:color w:val="FFFFFF" w:themeColor="background1"/>
                <w:lang w:eastAsia="zh-CN"/>
              </w:rPr>
            </w:pPr>
            <w:r w:rsidRPr="006A7A5E">
              <w:rPr>
                <w:bCs/>
                <w:color w:val="FFFFFF" w:themeColor="background1"/>
                <w:lang w:eastAsia="en-GB"/>
              </w:rPr>
              <w:t>ROI</w:t>
            </w:r>
            <w:r w:rsidR="006A7A5E">
              <w:rPr>
                <w:bCs/>
                <w:color w:val="FFFFFF" w:themeColor="background1"/>
                <w:lang w:eastAsia="en-GB"/>
              </w:rPr>
              <w:br/>
            </w:r>
            <w:r w:rsidR="00EA389E" w:rsidRPr="006A7A5E">
              <w:rPr>
                <w:rFonts w:hint="eastAsia"/>
                <w:bCs/>
                <w:color w:val="FFFFFF" w:themeColor="background1"/>
                <w:lang w:eastAsia="zh-CN"/>
              </w:rPr>
              <w:t>（</w:t>
            </w:r>
            <w:r w:rsidRPr="006A7A5E">
              <w:rPr>
                <w:bCs/>
                <w:color w:val="FFFFFF" w:themeColor="background1"/>
                <w:lang w:eastAsia="en-GB"/>
              </w:rPr>
              <w:t>%</w:t>
            </w:r>
            <w:r w:rsidR="00EA389E" w:rsidRPr="006A7A5E">
              <w:rPr>
                <w:rFonts w:hint="eastAsia"/>
                <w:bCs/>
                <w:color w:val="FFFFFF" w:themeColor="background1"/>
                <w:lang w:eastAsia="zh-CN"/>
              </w:rPr>
              <w:t>）</w:t>
            </w:r>
          </w:p>
        </w:tc>
      </w:tr>
      <w:tr w:rsidR="0060520C" w:rsidRPr="00CE0BA2" w14:paraId="1A104CCF" w14:textId="77777777" w:rsidTr="00EB1C0F">
        <w:trPr>
          <w:trHeight w:val="659"/>
          <w:jc w:val="center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6C12D515" w14:textId="77777777" w:rsidR="0060520C" w:rsidRPr="00CE0BA2" w:rsidRDefault="0060520C" w:rsidP="006A7A5E">
            <w:pPr>
              <w:pStyle w:val="Tabletext"/>
              <w:jc w:val="center"/>
              <w:rPr>
                <w:lang w:eastAsia="en-GB"/>
              </w:rPr>
            </w:pPr>
            <w:r w:rsidRPr="00CE0BA2">
              <w:rPr>
                <w:lang w:eastAsia="en-GB"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98576CC" w14:textId="77777777" w:rsidR="0060520C" w:rsidRPr="00CE0BA2" w:rsidRDefault="0060520C" w:rsidP="006A7A5E">
            <w:pPr>
              <w:pStyle w:val="Tabletext"/>
              <w:jc w:val="center"/>
              <w:rPr>
                <w:lang w:eastAsia="en-GB"/>
              </w:rPr>
            </w:pPr>
            <w:r w:rsidRPr="00CE0BA2">
              <w:rPr>
                <w:lang w:eastAsia="en-GB"/>
              </w:rPr>
              <w:t>(3 860 013)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02B46CE" w14:textId="77777777" w:rsidR="0060520C" w:rsidRPr="00CE0BA2" w:rsidRDefault="0060520C" w:rsidP="006A7A5E">
            <w:pPr>
              <w:pStyle w:val="Tabletext"/>
              <w:jc w:val="center"/>
              <w:rPr>
                <w:lang w:eastAsia="en-GB"/>
              </w:rPr>
            </w:pPr>
            <w:r w:rsidRPr="00CE0BA2">
              <w:rPr>
                <w:lang w:eastAsia="en-GB"/>
              </w:rPr>
              <w:t>1 394 563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17480662" w14:textId="77777777" w:rsidR="0060520C" w:rsidRPr="00CE0BA2" w:rsidRDefault="0060520C" w:rsidP="006A7A5E">
            <w:pPr>
              <w:pStyle w:val="Tabletext"/>
              <w:jc w:val="center"/>
              <w:rPr>
                <w:lang w:eastAsia="en-GB"/>
              </w:rPr>
            </w:pPr>
            <w:r w:rsidRPr="00CE0BA2">
              <w:rPr>
                <w:lang w:eastAsia="en-GB"/>
              </w:rPr>
              <w:t>12 654 438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center"/>
          </w:tcPr>
          <w:p w14:paraId="4129A443" w14:textId="77777777" w:rsidR="0060520C" w:rsidRPr="00CE0BA2" w:rsidRDefault="0060520C" w:rsidP="006A7A5E">
            <w:pPr>
              <w:pStyle w:val="Tabletext"/>
              <w:jc w:val="center"/>
              <w:rPr>
                <w:b/>
                <w:bCs/>
                <w:lang w:eastAsia="en-GB"/>
              </w:rPr>
            </w:pPr>
            <w:r w:rsidRPr="00CE0BA2">
              <w:rPr>
                <w:b/>
                <w:bCs/>
                <w:lang w:eastAsia="en-GB"/>
              </w:rPr>
              <w:t>10 188 988</w:t>
            </w:r>
          </w:p>
        </w:tc>
        <w:tc>
          <w:tcPr>
            <w:tcW w:w="1153" w:type="dxa"/>
            <w:shd w:val="clear" w:color="auto" w:fill="F2F2F2" w:themeFill="background1" w:themeFillShade="F2"/>
            <w:noWrap/>
            <w:vAlign w:val="center"/>
          </w:tcPr>
          <w:p w14:paraId="758F6B32" w14:textId="77777777" w:rsidR="0060520C" w:rsidRPr="00CE0BA2" w:rsidRDefault="0060520C" w:rsidP="006A7A5E">
            <w:pPr>
              <w:pStyle w:val="Tabletext"/>
              <w:jc w:val="center"/>
              <w:rPr>
                <w:b/>
                <w:bCs/>
                <w:lang w:eastAsia="en-GB"/>
              </w:rPr>
            </w:pPr>
            <w:r w:rsidRPr="00CE0BA2">
              <w:rPr>
                <w:b/>
                <w:bCs/>
                <w:lang w:eastAsia="en-GB"/>
              </w:rPr>
              <w:t>264%</w:t>
            </w:r>
          </w:p>
        </w:tc>
      </w:tr>
    </w:tbl>
    <w:p w14:paraId="166B77EC" w14:textId="77777777" w:rsidR="006A7A5E" w:rsidRDefault="00EA389E" w:rsidP="0052617C">
      <w:pPr>
        <w:pStyle w:val="Reasons"/>
        <w:ind w:firstLineChars="200" w:firstLine="480"/>
      </w:pPr>
      <w:r w:rsidRPr="00EA389E">
        <w:rPr>
          <w:rFonts w:hint="eastAsia"/>
          <w:lang w:eastAsia="zh-CN"/>
        </w:rPr>
        <w:t>根据第</w:t>
      </w:r>
      <w:r w:rsidRPr="00EA389E">
        <w:rPr>
          <w:rFonts w:hint="eastAsia"/>
          <w:lang w:eastAsia="zh-CN"/>
        </w:rPr>
        <w:t>23/03</w:t>
      </w:r>
      <w:r w:rsidRPr="00EA389E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行政规定</w:t>
      </w:r>
      <w:r w:rsidRPr="00EA389E">
        <w:rPr>
          <w:rFonts w:hint="eastAsia"/>
          <w:lang w:eastAsia="zh-CN"/>
        </w:rPr>
        <w:t>的规定，申请被接受的</w:t>
      </w:r>
      <w:r>
        <w:rPr>
          <w:rFonts w:hint="eastAsia"/>
          <w:lang w:eastAsia="zh-CN"/>
        </w:rPr>
        <w:t>职员</w:t>
      </w:r>
      <w:r w:rsidRPr="00EA389E">
        <w:rPr>
          <w:rFonts w:hint="eastAsia"/>
          <w:lang w:eastAsia="zh-CN"/>
        </w:rPr>
        <w:t>的离职日期为</w:t>
      </w:r>
      <w:r w:rsidRPr="00EA389E">
        <w:rPr>
          <w:rFonts w:hint="eastAsia"/>
          <w:lang w:eastAsia="zh-CN"/>
        </w:rPr>
        <w:t>2023</w:t>
      </w:r>
      <w:r w:rsidRPr="00EA389E">
        <w:rPr>
          <w:rFonts w:hint="eastAsia"/>
          <w:lang w:eastAsia="zh-CN"/>
        </w:rPr>
        <w:t>年</w:t>
      </w:r>
      <w:r w:rsidRPr="00EA389E">
        <w:rPr>
          <w:rFonts w:hint="eastAsia"/>
          <w:lang w:eastAsia="zh-CN"/>
        </w:rPr>
        <w:t>7</w:t>
      </w:r>
      <w:r w:rsidRPr="00EA389E">
        <w:rPr>
          <w:rFonts w:hint="eastAsia"/>
          <w:lang w:eastAsia="zh-CN"/>
        </w:rPr>
        <w:t>月</w:t>
      </w:r>
      <w:r w:rsidRPr="00EA389E">
        <w:rPr>
          <w:rFonts w:hint="eastAsia"/>
          <w:lang w:eastAsia="zh-CN"/>
        </w:rPr>
        <w:t>31</w:t>
      </w:r>
      <w:r w:rsidRPr="00EA389E">
        <w:rPr>
          <w:rFonts w:hint="eastAsia"/>
          <w:lang w:eastAsia="zh-CN"/>
        </w:rPr>
        <w:t>日。这不包括为确保业务连续性而推迟离职的六</w:t>
      </w:r>
      <w:r>
        <w:rPr>
          <w:rFonts w:hint="eastAsia"/>
          <w:lang w:eastAsia="zh-CN"/>
        </w:rPr>
        <w:t>（</w:t>
      </w:r>
      <w:r w:rsidRPr="00EA389E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）</w:t>
      </w:r>
      <w:r w:rsidRPr="00EA389E">
        <w:rPr>
          <w:rFonts w:hint="eastAsia"/>
          <w:lang w:eastAsia="zh-CN"/>
        </w:rPr>
        <w:t>名</w:t>
      </w:r>
      <w:r>
        <w:rPr>
          <w:rFonts w:hint="eastAsia"/>
          <w:lang w:eastAsia="zh-CN"/>
        </w:rPr>
        <w:t>职员</w:t>
      </w:r>
      <w:r w:rsidRPr="00EA389E">
        <w:rPr>
          <w:rFonts w:hint="eastAsia"/>
          <w:lang w:eastAsia="zh-CN"/>
        </w:rPr>
        <w:t>，</w:t>
      </w:r>
      <w:r w:rsidR="00766A67">
        <w:rPr>
          <w:rFonts w:hint="eastAsia"/>
          <w:lang w:eastAsia="zh-CN"/>
        </w:rPr>
        <w:t>他们的</w:t>
      </w:r>
      <w:r w:rsidRPr="00EA389E">
        <w:rPr>
          <w:rFonts w:hint="eastAsia"/>
          <w:lang w:eastAsia="zh-CN"/>
        </w:rPr>
        <w:t>离职时间不会超过</w:t>
      </w:r>
      <w:r w:rsidRPr="00EA389E">
        <w:rPr>
          <w:rFonts w:hint="eastAsia"/>
          <w:lang w:eastAsia="zh-CN"/>
        </w:rPr>
        <w:t>2023</w:t>
      </w:r>
      <w:r w:rsidRPr="00EA389E">
        <w:rPr>
          <w:rFonts w:hint="eastAsia"/>
          <w:lang w:eastAsia="zh-CN"/>
        </w:rPr>
        <w:t>年底。</w:t>
      </w:r>
    </w:p>
    <w:p w14:paraId="33E444A5" w14:textId="77777777" w:rsidR="006A7A5E" w:rsidRDefault="006A7A5E">
      <w:pPr>
        <w:jc w:val="center"/>
      </w:pPr>
      <w:r>
        <w:t>______________</w:t>
      </w:r>
    </w:p>
    <w:sectPr w:rsidR="006A7A5E" w:rsidSect="003F5241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834A" w14:textId="77777777" w:rsidR="00271375" w:rsidRDefault="00271375">
      <w:r>
        <w:separator/>
      </w:r>
    </w:p>
  </w:endnote>
  <w:endnote w:type="continuationSeparator" w:id="0">
    <w:p w14:paraId="4C57770C" w14:textId="77777777" w:rsidR="00271375" w:rsidRDefault="0027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745E3" w:rsidRPr="00784011" w14:paraId="099A13F5" w14:textId="77777777" w:rsidTr="00EB1C0F">
      <w:trPr>
        <w:jc w:val="center"/>
      </w:trPr>
      <w:tc>
        <w:tcPr>
          <w:tcW w:w="1803" w:type="dxa"/>
          <w:vAlign w:val="center"/>
        </w:tcPr>
        <w:p w14:paraId="71253CA0" w14:textId="77777777" w:rsidR="007745E3" w:rsidRDefault="007745E3" w:rsidP="007745E3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521085</w:t>
          </w:r>
        </w:p>
      </w:tc>
      <w:tc>
        <w:tcPr>
          <w:tcW w:w="8261" w:type="dxa"/>
        </w:tcPr>
        <w:p w14:paraId="3C93B52B" w14:textId="2C60219B" w:rsidR="007745E3" w:rsidRPr="00E06FD5" w:rsidRDefault="007745E3" w:rsidP="007745E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51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87FFD4D" w14:textId="77777777" w:rsidR="007745E3" w:rsidRDefault="00774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1677E" w:rsidRPr="00784011" w14:paraId="6B79A12E" w14:textId="77777777" w:rsidTr="00EB1C0F">
      <w:trPr>
        <w:jc w:val="center"/>
      </w:trPr>
      <w:tc>
        <w:tcPr>
          <w:tcW w:w="1803" w:type="dxa"/>
          <w:vAlign w:val="center"/>
        </w:tcPr>
        <w:p w14:paraId="18DD19E7" w14:textId="77777777" w:rsidR="0091677E" w:rsidRDefault="002F0815" w:rsidP="0091677E">
          <w:pPr>
            <w:pStyle w:val="Header"/>
            <w:jc w:val="left"/>
            <w:rPr>
              <w:noProof/>
            </w:rPr>
          </w:pPr>
          <w:hyperlink r:id="rId1" w:history="1">
            <w:r w:rsidR="0091677E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5377468" w14:textId="77777777" w:rsidR="0091677E" w:rsidRPr="00E06FD5" w:rsidRDefault="0091677E" w:rsidP="0091677E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51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4295507" w14:textId="77777777" w:rsidR="0091677E" w:rsidRDefault="00916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F0B3" w14:textId="77777777" w:rsidR="00271375" w:rsidRDefault="00271375">
      <w:r>
        <w:t>____________________</w:t>
      </w:r>
    </w:p>
  </w:footnote>
  <w:footnote w:type="continuationSeparator" w:id="0">
    <w:p w14:paraId="72A110BF" w14:textId="77777777" w:rsidR="00271375" w:rsidRDefault="00271375">
      <w:r>
        <w:continuationSeparator/>
      </w:r>
    </w:p>
  </w:footnote>
  <w:footnote w:id="1">
    <w:p w14:paraId="02FB3D92" w14:textId="6CD70888" w:rsidR="001E0D57" w:rsidRPr="006A7A5E" w:rsidRDefault="001E0D57" w:rsidP="006A7A5E">
      <w:pPr>
        <w:pStyle w:val="FootnoteText"/>
      </w:pPr>
      <w:r w:rsidRPr="006A7A5E">
        <w:rPr>
          <w:rStyle w:val="FootnoteReference"/>
          <w:position w:val="0"/>
          <w:sz w:val="24"/>
        </w:rPr>
        <w:footnoteRef/>
      </w:r>
      <w:r w:rsidR="006A7A5E">
        <w:rPr>
          <w:lang w:eastAsia="zh-CN"/>
        </w:rPr>
        <w:tab/>
      </w:r>
      <w:r w:rsidR="00EA389E" w:rsidRPr="006A7A5E">
        <w:rPr>
          <w:rFonts w:hint="eastAsia"/>
          <w:lang w:eastAsia="zh-CN"/>
        </w:rPr>
        <w:t>出于</w:t>
      </w:r>
      <w:r w:rsidRPr="006A7A5E">
        <w:rPr>
          <w:rFonts w:hint="eastAsia"/>
          <w:lang w:eastAsia="zh-CN"/>
        </w:rPr>
        <w:t>本分析的目的，长期被定义为从</w:t>
      </w:r>
      <w:r w:rsidRPr="006A7A5E">
        <w:rPr>
          <w:rFonts w:hint="eastAsia"/>
          <w:lang w:eastAsia="zh-CN"/>
        </w:rPr>
        <w:t>2023</w:t>
      </w:r>
      <w:r w:rsidRPr="006A7A5E">
        <w:rPr>
          <w:rFonts w:hint="eastAsia"/>
          <w:lang w:eastAsia="zh-CN"/>
        </w:rPr>
        <w:t>年</w:t>
      </w:r>
      <w:r w:rsidRPr="006A7A5E">
        <w:rPr>
          <w:rFonts w:hint="eastAsia"/>
          <w:lang w:eastAsia="zh-CN"/>
        </w:rPr>
        <w:t>8</w:t>
      </w:r>
      <w:r w:rsidRPr="006A7A5E">
        <w:rPr>
          <w:rFonts w:hint="eastAsia"/>
          <w:lang w:eastAsia="zh-CN"/>
        </w:rPr>
        <w:t>月到下一个</w:t>
      </w:r>
      <w:r w:rsidR="00EA389E" w:rsidRPr="006A7A5E">
        <w:rPr>
          <w:rFonts w:hint="eastAsia"/>
          <w:lang w:eastAsia="zh-CN"/>
        </w:rPr>
        <w:t>计划</w:t>
      </w:r>
      <w:r w:rsidRPr="006A7A5E">
        <w:rPr>
          <w:rFonts w:hint="eastAsia"/>
          <w:lang w:eastAsia="zh-CN"/>
        </w:rPr>
        <w:t>周期</w:t>
      </w:r>
      <w:r w:rsidR="00EA389E" w:rsidRPr="006A7A5E">
        <w:rPr>
          <w:rFonts w:hint="eastAsia"/>
          <w:lang w:eastAsia="zh-CN"/>
        </w:rPr>
        <w:t>（</w:t>
      </w:r>
      <w:r w:rsidRPr="006A7A5E">
        <w:rPr>
          <w:rFonts w:hint="eastAsia"/>
          <w:lang w:eastAsia="zh-CN"/>
        </w:rPr>
        <w:t>2024-2027</w:t>
      </w:r>
      <w:r w:rsidRPr="006A7A5E">
        <w:rPr>
          <w:rFonts w:hint="eastAsia"/>
          <w:lang w:eastAsia="zh-CN"/>
        </w:rPr>
        <w:t>年</w:t>
      </w:r>
      <w:r w:rsidR="00EA389E" w:rsidRPr="006A7A5E">
        <w:rPr>
          <w:rFonts w:hint="eastAsia"/>
          <w:lang w:eastAsia="zh-CN"/>
        </w:rPr>
        <w:t>）</w:t>
      </w:r>
      <w:r w:rsidRPr="006A7A5E">
        <w:rPr>
          <w:rFonts w:hint="eastAsia"/>
          <w:lang w:eastAsia="zh-CN"/>
        </w:rPr>
        <w:t>结束</w:t>
      </w:r>
      <w:r w:rsidR="00EA389E" w:rsidRPr="006A7A5E">
        <w:rPr>
          <w:rFonts w:hint="eastAsia"/>
          <w:lang w:eastAsia="zh-CN"/>
        </w:rPr>
        <w:t>之间</w:t>
      </w:r>
      <w:r w:rsidRPr="006A7A5E">
        <w:rPr>
          <w:rFonts w:hint="eastAsia"/>
          <w:lang w:eastAsia="zh-CN"/>
        </w:rPr>
        <w:t>的时期。</w:t>
      </w:r>
      <w:r w:rsidRPr="006A7A5E">
        <w:rPr>
          <w:rFonts w:hint="eastAsia"/>
        </w:rPr>
        <w:t>主要是通过在现任者离职后取消该职位，或者在特殊情况下，通过</w:t>
      </w:r>
      <w:r w:rsidR="00EA389E" w:rsidRPr="006A7A5E">
        <w:rPr>
          <w:rFonts w:hint="eastAsia"/>
        </w:rPr>
        <w:t>重新聘用</w:t>
      </w:r>
      <w:r w:rsidRPr="006A7A5E">
        <w:rPr>
          <w:rFonts w:hint="eastAsia"/>
        </w:rPr>
        <w:t>较低职等</w:t>
      </w:r>
      <w:r w:rsidR="00EA389E" w:rsidRPr="006A7A5E">
        <w:rPr>
          <w:rFonts w:hint="eastAsia"/>
        </w:rPr>
        <w:t>职员</w:t>
      </w:r>
      <w:r w:rsidRPr="006A7A5E">
        <w:rPr>
          <w:rFonts w:hint="eastAsia"/>
        </w:rPr>
        <w:t>来实现</w:t>
      </w:r>
      <w:r w:rsidR="00EA389E" w:rsidRPr="006A7A5E">
        <w:rPr>
          <w:rFonts w:hint="eastAsia"/>
        </w:rPr>
        <w:t>节约</w:t>
      </w:r>
      <w:r w:rsidRPr="006A7A5E">
        <w:rPr>
          <w:rFonts w:hint="eastAsia"/>
        </w:rPr>
        <w:t>，在这种情况下，征聘工作将推迟到投资获得正回报时进行。</w:t>
      </w:r>
    </w:p>
  </w:footnote>
  <w:footnote w:id="2">
    <w:p w14:paraId="7E5F6D8C" w14:textId="2C671344" w:rsidR="0060520C" w:rsidRPr="006F3387" w:rsidRDefault="0060520C" w:rsidP="006A7A5E">
      <w:pPr>
        <w:pStyle w:val="FootnoteText"/>
        <w:rPr>
          <w:lang w:val="en-US" w:eastAsia="zh-CN"/>
        </w:rPr>
      </w:pPr>
      <w:r w:rsidRPr="006A7A5E">
        <w:rPr>
          <w:rStyle w:val="FootnoteReference"/>
          <w:position w:val="0"/>
          <w:sz w:val="24"/>
        </w:rPr>
        <w:footnoteRef/>
      </w:r>
      <w:r w:rsidRPr="006A7A5E">
        <w:tab/>
      </w:r>
      <w:r w:rsidR="001E0D57" w:rsidRPr="006A7A5E">
        <w:rPr>
          <w:rFonts w:hint="eastAsia"/>
        </w:rPr>
        <w:t>投资回报通常计算为净收入</w:t>
      </w:r>
      <w:r w:rsidR="001E0D57" w:rsidRPr="006A7A5E">
        <w:rPr>
          <w:rFonts w:hint="eastAsia"/>
        </w:rPr>
        <w:t>/</w:t>
      </w:r>
      <w:r w:rsidR="001E0D57" w:rsidRPr="006A7A5E">
        <w:rPr>
          <w:rFonts w:hint="eastAsia"/>
        </w:rPr>
        <w:t>投资成本。</w:t>
      </w:r>
      <w:r w:rsidR="001E0D57" w:rsidRPr="006A7A5E">
        <w:rPr>
          <w:rFonts w:hint="eastAsia"/>
          <w:lang w:eastAsia="zh-CN"/>
        </w:rPr>
        <w:t>在这种情况下，</w:t>
      </w:r>
      <w:r w:rsidR="001E0D57" w:rsidRPr="006A7A5E">
        <w:rPr>
          <w:rFonts w:hint="eastAsia"/>
          <w:lang w:eastAsia="zh-CN"/>
        </w:rPr>
        <w:t>ROI</w:t>
      </w:r>
      <w:r w:rsidR="00F151D9" w:rsidRPr="006A7A5E">
        <w:rPr>
          <w:rFonts w:hint="eastAsia"/>
          <w:lang w:eastAsia="zh-CN"/>
        </w:rPr>
        <w:t>（瑞士法郎）</w:t>
      </w:r>
      <w:r w:rsidR="0052617C" w:rsidRPr="006A7A5E">
        <w:rPr>
          <w:rFonts w:hint="eastAsia"/>
          <w:lang w:eastAsia="zh-CN"/>
        </w:rPr>
        <w:t>=</w:t>
      </w:r>
      <w:r w:rsidR="00EA389E" w:rsidRPr="006A7A5E">
        <w:rPr>
          <w:rFonts w:hint="eastAsia"/>
          <w:lang w:eastAsia="zh-CN"/>
        </w:rPr>
        <w:t>估</w:t>
      </w:r>
      <w:r w:rsidR="001E0D57" w:rsidRPr="006A7A5E">
        <w:rPr>
          <w:rFonts w:hint="eastAsia"/>
          <w:lang w:eastAsia="zh-CN"/>
        </w:rPr>
        <w:t>计净节约</w:t>
      </w:r>
      <w:r w:rsidR="004A5C23">
        <w:rPr>
          <w:rFonts w:cs="Calibri"/>
          <w:lang w:eastAsia="zh-CN"/>
        </w:rPr>
        <w:t>-</w:t>
      </w:r>
      <w:r w:rsidR="001E0D57" w:rsidRPr="006A7A5E">
        <w:rPr>
          <w:rFonts w:hint="eastAsia"/>
          <w:lang w:eastAsia="zh-CN"/>
        </w:rPr>
        <w:t>自愿离职计划的成本。</w:t>
      </w:r>
      <w:r w:rsidR="00EA389E" w:rsidRPr="006A7A5E">
        <w:rPr>
          <w:rFonts w:hint="eastAsia"/>
        </w:rPr>
        <w:t>ROI</w:t>
      </w:r>
      <w:r w:rsidR="001E0D57" w:rsidRPr="006A7A5E">
        <w:rPr>
          <w:rFonts w:hint="eastAsia"/>
        </w:rPr>
        <w:t>(%) =</w:t>
      </w:r>
      <w:r w:rsidR="00EA389E" w:rsidRPr="006A7A5E">
        <w:t xml:space="preserve"> </w:t>
      </w:r>
      <w:r w:rsidR="00EA389E" w:rsidRPr="006A7A5E">
        <w:rPr>
          <w:rFonts w:hint="eastAsia"/>
        </w:rPr>
        <w:t>ROI</w:t>
      </w:r>
      <w:r w:rsidR="00F151D9" w:rsidRPr="006A7A5E">
        <w:rPr>
          <w:rFonts w:hint="eastAsia"/>
        </w:rPr>
        <w:t>（瑞士法郎）</w:t>
      </w:r>
      <w:r w:rsidR="001E0D57" w:rsidRPr="006A7A5E">
        <w:rPr>
          <w:rFonts w:hint="eastAsia"/>
        </w:rPr>
        <w:t>/</w:t>
      </w:r>
      <w:r w:rsidR="001E0D57" w:rsidRPr="006A7A5E">
        <w:rPr>
          <w:rFonts w:hint="eastAsia"/>
        </w:rPr>
        <w:t>自愿离职计划的成本。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91677E" w:rsidRPr="00784011" w14:paraId="2DC1D10A" w14:textId="77777777" w:rsidTr="00EB1C0F">
      <w:trPr>
        <w:trHeight w:val="1104"/>
        <w:jc w:val="center"/>
      </w:trPr>
      <w:tc>
        <w:tcPr>
          <w:tcW w:w="4390" w:type="dxa"/>
          <w:vAlign w:val="center"/>
        </w:tcPr>
        <w:p w14:paraId="4D47AB69" w14:textId="77777777" w:rsidR="0091677E" w:rsidRPr="009621F8" w:rsidRDefault="0091677E" w:rsidP="0091677E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2597C30" wp14:editId="0DFE017A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187A7DF" w14:textId="77777777" w:rsidR="0091677E" w:rsidRDefault="0091677E" w:rsidP="0091677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C3FEFD9" w14:textId="77777777" w:rsidR="0091677E" w:rsidRDefault="0091677E" w:rsidP="0091677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BE14FDF" w14:textId="77777777" w:rsidR="0091677E" w:rsidRPr="00784011" w:rsidRDefault="0091677E" w:rsidP="0091677E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7F7D3ADB" w14:textId="77777777" w:rsidR="003F5241" w:rsidRDefault="003F5241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B5619" wp14:editId="5072E070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9325D" id="Rectangle 4" o:spid="_x0000_s1026" style="position:absolute;margin-left:1.75pt;margin-top:48.65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920CB"/>
    <w:multiLevelType w:val="hybridMultilevel"/>
    <w:tmpl w:val="BBF894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3188C"/>
    <w:multiLevelType w:val="hybridMultilevel"/>
    <w:tmpl w:val="867821C6"/>
    <w:lvl w:ilvl="0" w:tplc="08090017">
      <w:start w:val="1"/>
      <w:numFmt w:val="lowerLetter"/>
      <w:lvlText w:val="%1)"/>
      <w:lvlJc w:val="left"/>
      <w:pPr>
        <w:ind w:left="5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686" w:hanging="360"/>
      </w:pPr>
    </w:lvl>
    <w:lvl w:ilvl="2" w:tplc="0809001B" w:tentative="1">
      <w:start w:val="1"/>
      <w:numFmt w:val="lowerRoman"/>
      <w:lvlText w:val="%3."/>
      <w:lvlJc w:val="right"/>
      <w:pPr>
        <w:ind w:left="7406" w:hanging="180"/>
      </w:pPr>
    </w:lvl>
    <w:lvl w:ilvl="3" w:tplc="0809000F" w:tentative="1">
      <w:start w:val="1"/>
      <w:numFmt w:val="decimal"/>
      <w:lvlText w:val="%4."/>
      <w:lvlJc w:val="left"/>
      <w:pPr>
        <w:ind w:left="8126" w:hanging="360"/>
      </w:pPr>
    </w:lvl>
    <w:lvl w:ilvl="4" w:tplc="08090019" w:tentative="1">
      <w:start w:val="1"/>
      <w:numFmt w:val="lowerLetter"/>
      <w:lvlText w:val="%5."/>
      <w:lvlJc w:val="left"/>
      <w:pPr>
        <w:ind w:left="8846" w:hanging="360"/>
      </w:pPr>
    </w:lvl>
    <w:lvl w:ilvl="5" w:tplc="0809001B" w:tentative="1">
      <w:start w:val="1"/>
      <w:numFmt w:val="lowerRoman"/>
      <w:lvlText w:val="%6."/>
      <w:lvlJc w:val="right"/>
      <w:pPr>
        <w:ind w:left="9566" w:hanging="180"/>
      </w:pPr>
    </w:lvl>
    <w:lvl w:ilvl="6" w:tplc="0809000F" w:tentative="1">
      <w:start w:val="1"/>
      <w:numFmt w:val="decimal"/>
      <w:lvlText w:val="%7."/>
      <w:lvlJc w:val="left"/>
      <w:pPr>
        <w:ind w:left="10286" w:hanging="360"/>
      </w:pPr>
    </w:lvl>
    <w:lvl w:ilvl="7" w:tplc="08090019" w:tentative="1">
      <w:start w:val="1"/>
      <w:numFmt w:val="lowerLetter"/>
      <w:lvlText w:val="%8."/>
      <w:lvlJc w:val="left"/>
      <w:pPr>
        <w:ind w:left="11006" w:hanging="360"/>
      </w:pPr>
    </w:lvl>
    <w:lvl w:ilvl="8" w:tplc="0809001B" w:tentative="1">
      <w:start w:val="1"/>
      <w:numFmt w:val="lowerRoman"/>
      <w:lvlText w:val="%9."/>
      <w:lvlJc w:val="right"/>
      <w:pPr>
        <w:ind w:left="11726" w:hanging="180"/>
      </w:pPr>
    </w:lvl>
  </w:abstractNum>
  <w:num w:numId="1" w16cid:durableId="1079449368">
    <w:abstractNumId w:val="0"/>
  </w:num>
  <w:num w:numId="2" w16cid:durableId="501241818">
    <w:abstractNumId w:val="3"/>
  </w:num>
  <w:num w:numId="3" w16cid:durableId="371539808">
    <w:abstractNumId w:val="4"/>
  </w:num>
  <w:num w:numId="4" w16cid:durableId="1525828948">
    <w:abstractNumId w:val="5"/>
  </w:num>
  <w:num w:numId="5" w16cid:durableId="2033219779">
    <w:abstractNumId w:val="7"/>
  </w:num>
  <w:num w:numId="6" w16cid:durableId="349645790">
    <w:abstractNumId w:val="6"/>
  </w:num>
  <w:num w:numId="7" w16cid:durableId="1451586466">
    <w:abstractNumId w:val="2"/>
  </w:num>
  <w:num w:numId="8" w16cid:durableId="844779799">
    <w:abstractNumId w:val="1"/>
  </w:num>
  <w:num w:numId="9" w16cid:durableId="562176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8C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27AE9"/>
    <w:rsid w:val="00157773"/>
    <w:rsid w:val="0018251A"/>
    <w:rsid w:val="00190272"/>
    <w:rsid w:val="00193244"/>
    <w:rsid w:val="00195C6C"/>
    <w:rsid w:val="00195FED"/>
    <w:rsid w:val="001A4BD6"/>
    <w:rsid w:val="001D5A18"/>
    <w:rsid w:val="001E0D57"/>
    <w:rsid w:val="00271375"/>
    <w:rsid w:val="00280EB8"/>
    <w:rsid w:val="00291EA4"/>
    <w:rsid w:val="002A6670"/>
    <w:rsid w:val="002F0815"/>
    <w:rsid w:val="00303502"/>
    <w:rsid w:val="00325C25"/>
    <w:rsid w:val="00357700"/>
    <w:rsid w:val="00372C8F"/>
    <w:rsid w:val="00380ECE"/>
    <w:rsid w:val="00393DDF"/>
    <w:rsid w:val="003971CC"/>
    <w:rsid w:val="00397F55"/>
    <w:rsid w:val="003B4454"/>
    <w:rsid w:val="003C2E37"/>
    <w:rsid w:val="003C7D51"/>
    <w:rsid w:val="003F1415"/>
    <w:rsid w:val="003F5241"/>
    <w:rsid w:val="0040144C"/>
    <w:rsid w:val="00403EB7"/>
    <w:rsid w:val="00430BF0"/>
    <w:rsid w:val="004672E6"/>
    <w:rsid w:val="00474ED1"/>
    <w:rsid w:val="00493085"/>
    <w:rsid w:val="004A36EC"/>
    <w:rsid w:val="004A5C23"/>
    <w:rsid w:val="004D163F"/>
    <w:rsid w:val="004E4BFF"/>
    <w:rsid w:val="004F2598"/>
    <w:rsid w:val="0052253C"/>
    <w:rsid w:val="0052617C"/>
    <w:rsid w:val="005403F7"/>
    <w:rsid w:val="00540632"/>
    <w:rsid w:val="00541CF4"/>
    <w:rsid w:val="005451E8"/>
    <w:rsid w:val="005507F2"/>
    <w:rsid w:val="005757EA"/>
    <w:rsid w:val="005759CC"/>
    <w:rsid w:val="005A72E1"/>
    <w:rsid w:val="005C6632"/>
    <w:rsid w:val="005D1C9E"/>
    <w:rsid w:val="0060520C"/>
    <w:rsid w:val="00654257"/>
    <w:rsid w:val="0065435A"/>
    <w:rsid w:val="006A2DD3"/>
    <w:rsid w:val="006A5AF8"/>
    <w:rsid w:val="006A7A5E"/>
    <w:rsid w:val="006C36CD"/>
    <w:rsid w:val="006D02EE"/>
    <w:rsid w:val="00700D1F"/>
    <w:rsid w:val="00701B83"/>
    <w:rsid w:val="007205CB"/>
    <w:rsid w:val="00726073"/>
    <w:rsid w:val="00734FE8"/>
    <w:rsid w:val="007360CE"/>
    <w:rsid w:val="00766A67"/>
    <w:rsid w:val="00772315"/>
    <w:rsid w:val="007745E3"/>
    <w:rsid w:val="00775157"/>
    <w:rsid w:val="007813AE"/>
    <w:rsid w:val="007A37DB"/>
    <w:rsid w:val="007E189D"/>
    <w:rsid w:val="00811259"/>
    <w:rsid w:val="00811B70"/>
    <w:rsid w:val="00813AA2"/>
    <w:rsid w:val="008173A3"/>
    <w:rsid w:val="008418F5"/>
    <w:rsid w:val="00845FC8"/>
    <w:rsid w:val="0086059C"/>
    <w:rsid w:val="00864589"/>
    <w:rsid w:val="00890AFB"/>
    <w:rsid w:val="00890FC4"/>
    <w:rsid w:val="00895905"/>
    <w:rsid w:val="008D19BF"/>
    <w:rsid w:val="008D50D9"/>
    <w:rsid w:val="00911867"/>
    <w:rsid w:val="009164A9"/>
    <w:rsid w:val="0091677E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1F11"/>
    <w:rsid w:val="00A5354B"/>
    <w:rsid w:val="00A71B57"/>
    <w:rsid w:val="00AB42C1"/>
    <w:rsid w:val="00AC516F"/>
    <w:rsid w:val="00AE195F"/>
    <w:rsid w:val="00AE2926"/>
    <w:rsid w:val="00B000D1"/>
    <w:rsid w:val="00B0184B"/>
    <w:rsid w:val="00B035CD"/>
    <w:rsid w:val="00B0769D"/>
    <w:rsid w:val="00B217F8"/>
    <w:rsid w:val="00B332EA"/>
    <w:rsid w:val="00B40A53"/>
    <w:rsid w:val="00B45365"/>
    <w:rsid w:val="00B45EE9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0BA2"/>
    <w:rsid w:val="00CE6F22"/>
    <w:rsid w:val="00CF41F6"/>
    <w:rsid w:val="00CF7D3E"/>
    <w:rsid w:val="00D02B4E"/>
    <w:rsid w:val="00D21F11"/>
    <w:rsid w:val="00D35F8C"/>
    <w:rsid w:val="00D36817"/>
    <w:rsid w:val="00D453EE"/>
    <w:rsid w:val="00D5666C"/>
    <w:rsid w:val="00D666BC"/>
    <w:rsid w:val="00D83542"/>
    <w:rsid w:val="00D92F45"/>
    <w:rsid w:val="00D94637"/>
    <w:rsid w:val="00D9725C"/>
    <w:rsid w:val="00DA30BC"/>
    <w:rsid w:val="00DA5143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78D8"/>
    <w:rsid w:val="00E37F3C"/>
    <w:rsid w:val="00E43A12"/>
    <w:rsid w:val="00E67C67"/>
    <w:rsid w:val="00E77476"/>
    <w:rsid w:val="00E8228B"/>
    <w:rsid w:val="00EA389E"/>
    <w:rsid w:val="00EE5706"/>
    <w:rsid w:val="00EF373D"/>
    <w:rsid w:val="00F11595"/>
    <w:rsid w:val="00F13BC9"/>
    <w:rsid w:val="00F151D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84E8E"/>
  <w15:docId w15:val="{7B910A0E-55CC-4DE7-BC4D-1C42806A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normaltextrun">
    <w:name w:val="normaltextrun"/>
    <w:basedOn w:val="DefaultParagraphFont"/>
    <w:rsid w:val="003F5241"/>
  </w:style>
  <w:style w:type="paragraph" w:styleId="NormalWeb">
    <w:name w:val="Normal (Web)"/>
    <w:basedOn w:val="Normal"/>
    <w:uiPriority w:val="99"/>
    <w:unhideWhenUsed/>
    <w:rsid w:val="003F52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numlev1Char">
    <w:name w:val="enumlev1 Char"/>
    <w:basedOn w:val="DefaultParagraphFont"/>
    <w:link w:val="enumlev1"/>
    <w:qFormat/>
    <w:locked/>
    <w:rsid w:val="003F5241"/>
    <w:rPr>
      <w:rFonts w:ascii="Calibri" w:hAnsi="Calibri"/>
      <w:sz w:val="24"/>
      <w:lang w:val="en-GB" w:eastAsia="en-US"/>
    </w:rPr>
  </w:style>
  <w:style w:type="paragraph" w:customStyle="1" w:styleId="NormalaftertitleBlack">
    <w:name w:val="Normal after title + Black"/>
    <w:basedOn w:val="Normal"/>
    <w:rsid w:val="003F5241"/>
    <w:pPr>
      <w:topLinePunct/>
      <w:spacing w:before="320"/>
    </w:pPr>
    <w:rPr>
      <w:rFonts w:cstheme="minorHAns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voluntary separation programme</dc:title>
  <dc:subject>Council 2023</dc:subject>
  <dc:creator>p</dc:creator>
  <cp:keywords>C2023, C23, Council-23</cp:keywords>
  <dc:description/>
  <cp:lastModifiedBy>Xue, Kun</cp:lastModifiedBy>
  <cp:revision>2</cp:revision>
  <cp:lastPrinted>2015-02-24T13:23:00Z</cp:lastPrinted>
  <dcterms:created xsi:type="dcterms:W3CDTF">2023-07-05T16:16:00Z</dcterms:created>
  <dcterms:modified xsi:type="dcterms:W3CDTF">2023-07-05T16:16:00Z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