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1E2D5FB5" w14:textId="77777777" w:rsidTr="00F363FE">
        <w:tc>
          <w:tcPr>
            <w:tcW w:w="6512" w:type="dxa"/>
          </w:tcPr>
          <w:p w14:paraId="27B38526" w14:textId="1B75ABFA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4F623E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4F623E">
              <w:rPr>
                <w:b/>
                <w:bCs/>
                <w:lang w:bidi="ar-EG"/>
              </w:rPr>
              <w:t>ADM 1</w:t>
            </w:r>
          </w:p>
        </w:tc>
        <w:tc>
          <w:tcPr>
            <w:tcW w:w="3117" w:type="dxa"/>
          </w:tcPr>
          <w:p w14:paraId="2D07C56B" w14:textId="19A53252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C23/</w:t>
            </w:r>
            <w:r w:rsidR="004F623E">
              <w:rPr>
                <w:b/>
                <w:bCs/>
                <w:lang w:bidi="ar-EG"/>
              </w:rPr>
              <w:t>51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65E10804" w14:textId="77777777" w:rsidTr="00F363FE">
        <w:tc>
          <w:tcPr>
            <w:tcW w:w="6512" w:type="dxa"/>
          </w:tcPr>
          <w:p w14:paraId="4DBD6152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754B53F6" w14:textId="68F67860" w:rsidR="007B0AA0" w:rsidRPr="007B0AA0" w:rsidRDefault="004F623E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9 يونيو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417735AB" w14:textId="77777777" w:rsidTr="00F363FE">
        <w:tc>
          <w:tcPr>
            <w:tcW w:w="6512" w:type="dxa"/>
          </w:tcPr>
          <w:p w14:paraId="04FD60D7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0778D45A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107DE485" w14:textId="77777777" w:rsidTr="00F363FE">
        <w:tc>
          <w:tcPr>
            <w:tcW w:w="6512" w:type="dxa"/>
          </w:tcPr>
          <w:p w14:paraId="1552CB13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2445453C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4CECCBDE" w14:textId="77777777" w:rsidTr="00EE7446">
        <w:tc>
          <w:tcPr>
            <w:tcW w:w="9629" w:type="dxa"/>
            <w:gridSpan w:val="2"/>
          </w:tcPr>
          <w:p w14:paraId="48B46E00" w14:textId="77777777" w:rsidR="007B0AA0" w:rsidRDefault="007B0AA0" w:rsidP="007B0AA0">
            <w:pPr>
              <w:pStyle w:val="Source"/>
              <w:jc w:val="lef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تقرير من </w:t>
            </w:r>
            <w:r w:rsidR="004B7334">
              <w:rPr>
                <w:rFonts w:hint="cs"/>
                <w:rtl/>
                <w:lang w:bidi="ar-EG"/>
              </w:rPr>
              <w:t>الأمينة العامة</w:t>
            </w:r>
          </w:p>
        </w:tc>
      </w:tr>
      <w:tr w:rsidR="007B0AA0" w14:paraId="010A8B7B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3355E3A2" w14:textId="15922371" w:rsidR="007B0AA0" w:rsidRDefault="002F4F8C" w:rsidP="007B0AA0">
            <w:pPr>
              <w:pStyle w:val="Subtitle0"/>
            </w:pPr>
            <w:r>
              <w:rPr>
                <w:rFonts w:hint="cs"/>
                <w:rtl/>
              </w:rPr>
              <w:t>تنفيذ برنامج الإنهاء الطوعي للخدمة</w:t>
            </w:r>
          </w:p>
        </w:tc>
      </w:tr>
      <w:tr w:rsidR="007B0AA0" w14:paraId="1DAF207F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95A80E" w14:textId="60DD854D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 xml:space="preserve">الغرض </w:t>
            </w:r>
          </w:p>
          <w:p w14:paraId="645CE7AB" w14:textId="07A8456A" w:rsidR="007B0AA0" w:rsidRDefault="005F3BFF" w:rsidP="007B0AA0">
            <w:pPr>
              <w:rPr>
                <w:rtl/>
              </w:rPr>
            </w:pPr>
            <w:r w:rsidRPr="005F3BFF">
              <w:rPr>
                <w:rtl/>
              </w:rPr>
              <w:t xml:space="preserve">الغرض من هذه الوثيقة </w:t>
            </w:r>
            <w:r w:rsidR="00905E95">
              <w:rPr>
                <w:rFonts w:hint="cs"/>
                <w:rtl/>
              </w:rPr>
              <w:t>تقديم تقرير</w:t>
            </w:r>
            <w:r w:rsidRPr="005F3BFF">
              <w:rPr>
                <w:rtl/>
              </w:rPr>
              <w:t xml:space="preserve"> عن تنفيذ برنامج </w:t>
            </w:r>
            <w:r>
              <w:rPr>
                <w:rFonts w:hint="cs"/>
                <w:rtl/>
              </w:rPr>
              <w:t>الإنهاء الطوعي للخدمة</w:t>
            </w:r>
            <w:r w:rsidRPr="005F3BFF">
              <w:rPr>
                <w:rtl/>
              </w:rPr>
              <w:t xml:space="preserve">، </w:t>
            </w:r>
            <w:r>
              <w:rPr>
                <w:rFonts w:hint="cs"/>
                <w:rtl/>
              </w:rPr>
              <w:t xml:space="preserve">وفقاً </w:t>
            </w:r>
            <w:r w:rsidRPr="005F3BFF">
              <w:rPr>
                <w:rFonts w:hint="cs"/>
                <w:rtl/>
              </w:rPr>
              <w:t>للفقرة</w:t>
            </w:r>
            <w:r w:rsidRPr="005F3BFF">
              <w:rPr>
                <w:rFonts w:hint="cs"/>
                <w:i/>
                <w:iCs/>
                <w:rtl/>
              </w:rPr>
              <w:t xml:space="preserve"> </w:t>
            </w:r>
            <w:r w:rsidR="00D763A7" w:rsidRPr="00D763A7">
              <w:rPr>
                <w:rFonts w:hint="cs"/>
                <w:rtl/>
              </w:rPr>
              <w:t>6 من</w:t>
            </w:r>
            <w:r w:rsidR="00D763A7">
              <w:rPr>
                <w:rFonts w:hint="cs"/>
                <w:i/>
                <w:iCs/>
                <w:rtl/>
              </w:rPr>
              <w:t xml:space="preserve"> </w:t>
            </w:r>
            <w:r w:rsidRPr="00D763A7">
              <w:rPr>
                <w:rFonts w:hint="cs"/>
                <w:rtl/>
              </w:rPr>
              <w:t>"</w:t>
            </w:r>
            <w:r w:rsidRPr="005F3BFF">
              <w:rPr>
                <w:rFonts w:hint="cs"/>
                <w:i/>
                <w:iCs/>
                <w:rtl/>
              </w:rPr>
              <w:t>يكلف</w:t>
            </w:r>
            <w:r w:rsidRPr="005F3BFF">
              <w:rPr>
                <w:i/>
                <w:iCs/>
                <w:rtl/>
              </w:rPr>
              <w:t xml:space="preserve"> مجلس الاتحاد</w:t>
            </w:r>
            <w:r w:rsidRPr="00D763A7">
              <w:rPr>
                <w:rFonts w:hint="cs"/>
                <w:rtl/>
              </w:rPr>
              <w:t>"</w:t>
            </w:r>
            <w:r w:rsidR="00D763A7">
              <w:rPr>
                <w:rFonts w:hint="cs"/>
                <w:i/>
                <w:iCs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الواردة </w:t>
            </w:r>
            <w:r w:rsidRPr="005F3BFF">
              <w:rPr>
                <w:rtl/>
              </w:rPr>
              <w:t>في المقرر 5 (المراج</w:t>
            </w:r>
            <w:r w:rsidR="00D763A7">
              <w:rPr>
                <w:rFonts w:hint="cs"/>
                <w:rtl/>
              </w:rPr>
              <w:t>َ</w:t>
            </w:r>
            <w:r w:rsidRPr="005F3BFF">
              <w:rPr>
                <w:rtl/>
              </w:rPr>
              <w:t xml:space="preserve">ع في بوخارست، 2022) لمؤتمر المندوبين المفوضين والقرار 1413 </w:t>
            </w:r>
            <w:r>
              <w:rPr>
                <w:rFonts w:hint="cs"/>
                <w:rtl/>
              </w:rPr>
              <w:t>الصادر عن ا</w:t>
            </w:r>
            <w:r w:rsidRPr="005F3BFF">
              <w:rPr>
                <w:rtl/>
              </w:rPr>
              <w:t>لمجلس</w:t>
            </w:r>
            <w:r>
              <w:rPr>
                <w:rFonts w:hint="cs"/>
                <w:rtl/>
              </w:rPr>
              <w:t xml:space="preserve"> (الدورة الاستثنائية للمجلس</w:t>
            </w:r>
            <w:r w:rsidR="0074784B">
              <w:rPr>
                <w:rFonts w:hint="cs"/>
                <w:rtl/>
                <w:lang w:bidi="ar-EG"/>
              </w:rPr>
              <w:t xml:space="preserve"> لعام</w:t>
            </w:r>
            <w:r>
              <w:rPr>
                <w:rFonts w:hint="cs"/>
                <w:rtl/>
              </w:rPr>
              <w:t xml:space="preserve"> 2023).</w:t>
            </w:r>
          </w:p>
          <w:p w14:paraId="5B307482" w14:textId="77777777" w:rsidR="007B0AA0" w:rsidRPr="007B0AA0" w:rsidRDefault="007B0AA0" w:rsidP="007B0AA0">
            <w:pPr>
              <w:rPr>
                <w:b/>
                <w:bCs/>
              </w:rPr>
            </w:pPr>
            <w:r w:rsidRPr="007B0AA0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6CF2783D" w14:textId="317EEFC7" w:rsidR="007B0AA0" w:rsidRDefault="000A20BD" w:rsidP="007B0AA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يُدعى المجلس إلى </w:t>
            </w:r>
            <w:r w:rsidRPr="00905E95">
              <w:rPr>
                <w:rFonts w:hint="cs"/>
                <w:b/>
                <w:bCs/>
                <w:rtl/>
              </w:rPr>
              <w:t>الإحاطة علماً</w:t>
            </w:r>
            <w:r>
              <w:rPr>
                <w:rFonts w:hint="cs"/>
                <w:rtl/>
              </w:rPr>
              <w:t xml:space="preserve"> بتقرير الأمينة العامة.</w:t>
            </w:r>
          </w:p>
          <w:p w14:paraId="2CFBB446" w14:textId="77777777" w:rsidR="007B0AA0" w:rsidRPr="007B0AA0" w:rsidRDefault="00C25F68" w:rsidP="007B0AA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الصلة بالخطة</w:t>
            </w:r>
            <w:r w:rsidR="007B0AA0" w:rsidRPr="007B0AA0">
              <w:rPr>
                <w:b/>
                <w:bCs/>
                <w:rtl/>
              </w:rPr>
              <w:t xml:space="preserve"> ال</w:t>
            </w:r>
            <w:r w:rsidR="007B0AA0" w:rsidRPr="007B0AA0">
              <w:rPr>
                <w:rFonts w:hint="cs"/>
                <w:b/>
                <w:bCs/>
                <w:rtl/>
              </w:rPr>
              <w:t>ا</w:t>
            </w:r>
            <w:r w:rsidR="007B0AA0" w:rsidRPr="007B0AA0">
              <w:rPr>
                <w:b/>
                <w:bCs/>
                <w:rtl/>
              </w:rPr>
              <w:t>ستراتيجية</w:t>
            </w:r>
          </w:p>
          <w:p w14:paraId="4F3F9B80" w14:textId="3E348A45" w:rsidR="007B0AA0" w:rsidRDefault="000A20BD" w:rsidP="007B0AA0">
            <w:pPr>
              <w:rPr>
                <w:lang w:bidi="ar-EG"/>
              </w:rPr>
            </w:pPr>
            <w:r w:rsidRPr="001756A9">
              <w:rPr>
                <w:rFonts w:hint="cs"/>
                <w:rtl/>
              </w:rPr>
              <w:t xml:space="preserve">التميز في الموارد البشرية </w:t>
            </w:r>
            <w:r w:rsidRPr="00394885">
              <w:rPr>
                <w:rFonts w:hint="cs"/>
                <w:rtl/>
              </w:rPr>
              <w:t xml:space="preserve">والابتكار </w:t>
            </w:r>
            <w:r w:rsidR="00E137AC">
              <w:rPr>
                <w:rFonts w:hint="cs"/>
                <w:rtl/>
                <w:lang w:bidi="ar-EG"/>
              </w:rPr>
              <w:t>التنظيمي</w:t>
            </w:r>
            <w:r w:rsidRPr="001756A9">
              <w:rPr>
                <w:rFonts w:hint="cs"/>
                <w:rtl/>
              </w:rPr>
              <w:t>.</w:t>
            </w:r>
          </w:p>
          <w:p w14:paraId="563D4E92" w14:textId="77777777" w:rsidR="00B269D3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 xml:space="preserve">الآثار المالية: </w:t>
            </w:r>
          </w:p>
          <w:p w14:paraId="08FC256A" w14:textId="615C2D81" w:rsidR="007B0AA0" w:rsidRPr="00B269D3" w:rsidRDefault="00F63306" w:rsidP="007B0AA0">
            <w:pPr>
              <w:rPr>
                <w:rtl/>
              </w:rPr>
            </w:pPr>
            <w:r>
              <w:rPr>
                <w:rFonts w:hint="cs"/>
                <w:rtl/>
              </w:rPr>
              <w:t>تُ</w:t>
            </w:r>
            <w:r w:rsidRPr="00F63306">
              <w:rPr>
                <w:rtl/>
              </w:rPr>
              <w:t xml:space="preserve">قدَّر تكلفة برنامج الإنهاء الطوعي للخدمة بمبلغ </w:t>
            </w:r>
            <w:r w:rsidRPr="00F63306">
              <w:rPr>
                <w:rFonts w:ascii="Arial" w:hAnsi="Arial" w:cs="Arial" w:hint="cs"/>
                <w:rtl/>
              </w:rPr>
              <w:t>‬</w:t>
            </w:r>
            <w:r>
              <w:t>3 860 000</w:t>
            </w:r>
            <w:r w:rsidRPr="00F63306">
              <w:rPr>
                <w:rtl/>
              </w:rPr>
              <w:t xml:space="preserve"> </w:t>
            </w:r>
            <w:r w:rsidRPr="00F63306">
              <w:rPr>
                <w:rFonts w:hint="cs"/>
                <w:rtl/>
              </w:rPr>
              <w:t>فرنك</w:t>
            </w:r>
            <w:r w:rsidRPr="00F63306">
              <w:rPr>
                <w:rtl/>
              </w:rPr>
              <w:t xml:space="preserve"> </w:t>
            </w:r>
            <w:r w:rsidRPr="00F63306">
              <w:rPr>
                <w:rFonts w:hint="cs"/>
                <w:rtl/>
              </w:rPr>
              <w:t>سويسري</w:t>
            </w:r>
            <w:r w:rsidRPr="00F63306">
              <w:rPr>
                <w:rtl/>
              </w:rPr>
              <w:t xml:space="preserve"> </w:t>
            </w:r>
            <w:r w:rsidR="00A206C7">
              <w:rPr>
                <w:rFonts w:hint="cs"/>
                <w:rtl/>
              </w:rPr>
              <w:t>تُموّل</w:t>
            </w:r>
            <w:r w:rsidRPr="00F63306">
              <w:rPr>
                <w:rtl/>
              </w:rPr>
              <w:t xml:space="preserve"> </w:t>
            </w:r>
            <w:r w:rsidRPr="00F63306">
              <w:rPr>
                <w:rFonts w:hint="cs"/>
                <w:rtl/>
              </w:rPr>
              <w:t>من</w:t>
            </w:r>
            <w:r w:rsidRPr="00F63306">
              <w:rPr>
                <w:rtl/>
              </w:rPr>
              <w:t xml:space="preserve"> </w:t>
            </w:r>
            <w:r w:rsidRPr="00F63306">
              <w:rPr>
                <w:rFonts w:hint="cs"/>
                <w:rtl/>
              </w:rPr>
              <w:t>حساب</w:t>
            </w:r>
            <w:r w:rsidRPr="00F63306">
              <w:rPr>
                <w:rtl/>
              </w:rPr>
              <w:t xml:space="preserve"> </w:t>
            </w:r>
            <w:r w:rsidRPr="00F63306">
              <w:rPr>
                <w:rFonts w:hint="cs"/>
                <w:rtl/>
              </w:rPr>
              <w:t>احتياطي</w:t>
            </w:r>
            <w:r w:rsidRPr="00F63306">
              <w:rPr>
                <w:rtl/>
              </w:rPr>
              <w:t xml:space="preserve"> </w:t>
            </w:r>
            <w:r w:rsidRPr="00F63306">
              <w:rPr>
                <w:rFonts w:hint="cs"/>
                <w:rtl/>
              </w:rPr>
              <w:t>الاتحاد</w:t>
            </w:r>
            <w:r>
              <w:rPr>
                <w:rFonts w:hint="cs"/>
                <w:rtl/>
              </w:rPr>
              <w:t>.</w:t>
            </w:r>
          </w:p>
          <w:p w14:paraId="4C33F5F9" w14:textId="77777777" w:rsidR="007B0AA0" w:rsidRPr="007B0AA0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00704094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المراجع</w:t>
            </w:r>
          </w:p>
          <w:p w14:paraId="6D6A2F8D" w14:textId="5BC0359A" w:rsidR="007B0AA0" w:rsidRDefault="00A6037F" w:rsidP="001756A9">
            <w:pPr>
              <w:spacing w:after="120"/>
              <w:rPr>
                <w:rtl/>
              </w:rPr>
            </w:pPr>
            <w:hyperlink r:id="rId8" w:history="1">
              <w:r w:rsidR="004F623E" w:rsidRPr="004F623E">
                <w:rPr>
                  <w:rStyle w:val="Hyperlink"/>
                  <w:rFonts w:hint="cs"/>
                  <w:rtl/>
                </w:rPr>
                <w:t>قرار المجلس 1413 (</w:t>
              </w:r>
              <w:r w:rsidR="00E06A99">
                <w:rPr>
                  <w:rStyle w:val="Hyperlink"/>
                  <w:rFonts w:hint="cs"/>
                  <w:rtl/>
                </w:rPr>
                <w:t>الدورة الاستثنائية للمجلس 2023</w:t>
              </w:r>
              <w:r w:rsidR="004F623E" w:rsidRPr="004F623E">
                <w:rPr>
                  <w:rStyle w:val="Hyperlink"/>
                  <w:rFonts w:hint="cs"/>
                  <w:rtl/>
                </w:rPr>
                <w:t>)</w:t>
              </w:r>
            </w:hyperlink>
          </w:p>
        </w:tc>
      </w:tr>
    </w:tbl>
    <w:p w14:paraId="627E7948" w14:textId="77777777" w:rsidR="00E61BE8" w:rsidRDefault="00E61BE8" w:rsidP="00E61BE8">
      <w:pPr>
        <w:rPr>
          <w:rtl/>
          <w:lang w:bidi="ar-EG"/>
        </w:rPr>
      </w:pPr>
    </w:p>
    <w:p w14:paraId="28FFB47F" w14:textId="77777777" w:rsidR="00F50E3F" w:rsidRDefault="00F50E3F" w:rsidP="004F623E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74BC30D8" w14:textId="61F37AD2" w:rsidR="00F50E3F" w:rsidRDefault="004F623E" w:rsidP="009B30E9">
      <w:pPr>
        <w:pStyle w:val="Heading1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مقدمة</w:t>
      </w:r>
    </w:p>
    <w:p w14:paraId="54BBBB81" w14:textId="6B0AF29C" w:rsidR="004F623E" w:rsidRDefault="00304F53" w:rsidP="00D763A7">
      <w:pPr>
        <w:rPr>
          <w:rtl/>
        </w:rPr>
      </w:pPr>
      <w:r>
        <w:rPr>
          <w:rFonts w:hint="cs"/>
          <w:rtl/>
          <w:lang w:bidi="ar-EG"/>
        </w:rPr>
        <w:t xml:space="preserve">عملاً بالفقرة </w:t>
      </w:r>
      <w:r w:rsidR="00D53057">
        <w:rPr>
          <w:rFonts w:hint="cs"/>
          <w:rtl/>
          <w:lang w:bidi="ar-EG"/>
        </w:rPr>
        <w:t xml:space="preserve">6 من </w:t>
      </w:r>
      <w:r>
        <w:rPr>
          <w:rFonts w:hint="cs"/>
          <w:rtl/>
          <w:lang w:bidi="ar-EG"/>
        </w:rPr>
        <w:t>"</w:t>
      </w:r>
      <w:r w:rsidRPr="00D763A7">
        <w:rPr>
          <w:rFonts w:hint="cs"/>
          <w:i/>
          <w:iCs/>
          <w:rtl/>
          <w:lang w:bidi="ar-EG"/>
        </w:rPr>
        <w:t>يكلف مجلس</w:t>
      </w:r>
      <w:r w:rsidR="00D763A7">
        <w:rPr>
          <w:rFonts w:hint="cs"/>
          <w:i/>
          <w:iCs/>
          <w:rtl/>
          <w:lang w:bidi="ar-EG"/>
        </w:rPr>
        <w:t xml:space="preserve"> الاتحاد</w:t>
      </w:r>
      <w:r>
        <w:rPr>
          <w:rFonts w:hint="cs"/>
          <w:rtl/>
          <w:lang w:bidi="ar-EG"/>
        </w:rPr>
        <w:t>" في المقرر 5</w:t>
      </w:r>
      <w:r w:rsidRPr="00304F53">
        <w:rPr>
          <w:rtl/>
          <w:lang w:bidi="ar-EG"/>
        </w:rPr>
        <w:t xml:space="preserve"> (</w:t>
      </w:r>
      <w:dir w:val="rtl">
        <w:r w:rsidRPr="00304F53">
          <w:rPr>
            <w:rFonts w:hint="cs"/>
            <w:rtl/>
            <w:lang w:bidi="ar-EG"/>
          </w:rPr>
          <w:t>المراجَع</w:t>
        </w:r>
        <w:r w:rsidRPr="00304F53">
          <w:rPr>
            <w:rtl/>
            <w:lang w:bidi="ar-EG"/>
          </w:rPr>
          <w:t xml:space="preserve"> </w:t>
        </w:r>
        <w:r w:rsidRPr="00304F53">
          <w:rPr>
            <w:rFonts w:hint="cs"/>
            <w:rtl/>
            <w:lang w:bidi="ar-EG"/>
          </w:rPr>
          <w:t>في</w:t>
        </w:r>
        <w:r w:rsidRPr="00304F53">
          <w:rPr>
            <w:rtl/>
            <w:lang w:bidi="ar-EG"/>
          </w:rPr>
          <w:t xml:space="preserve"> </w:t>
        </w:r>
        <w:r>
          <w:rPr>
            <w:rFonts w:hint="cs"/>
            <w:rtl/>
            <w:lang w:bidi="ar-EG"/>
          </w:rPr>
          <w:t>بوخارست، 2022</w:t>
        </w:r>
        <w:r w:rsidRPr="00304F53">
          <w:rPr>
            <w:rFonts w:ascii="Arial" w:hAnsi="Arial" w:cs="Arial" w:hint="cs"/>
            <w:rtl/>
            <w:lang w:bidi="ar-EG"/>
          </w:rPr>
          <w:t>‬</w:t>
        </w:r>
        <w:r w:rsidRPr="00304F53">
          <w:rPr>
            <w:rtl/>
            <w:lang w:bidi="ar-EG"/>
          </w:rPr>
          <w:t xml:space="preserve">) </w:t>
        </w:r>
        <w:dir w:val="rtl">
          <w:r w:rsidRPr="00304F53">
            <w:rPr>
              <w:rFonts w:hint="cs"/>
              <w:rtl/>
              <w:lang w:bidi="ar-EG"/>
            </w:rPr>
            <w:t>لمؤتمر</w:t>
          </w:r>
          <w:r w:rsidRPr="00304F53">
            <w:rPr>
              <w:rtl/>
              <w:lang w:bidi="ar-EG"/>
            </w:rPr>
            <w:t xml:space="preserve"> </w:t>
          </w:r>
          <w:r w:rsidRPr="00304F53">
            <w:rPr>
              <w:rFonts w:hint="cs"/>
              <w:rtl/>
              <w:lang w:bidi="ar-EG"/>
            </w:rPr>
            <w:t>المندوبين</w:t>
          </w:r>
          <w:r w:rsidRPr="00304F53">
            <w:rPr>
              <w:rtl/>
              <w:lang w:bidi="ar-EG"/>
            </w:rPr>
            <w:t xml:space="preserve"> </w:t>
          </w:r>
          <w:r w:rsidRPr="00304F53">
            <w:rPr>
              <w:rFonts w:hint="cs"/>
              <w:rtl/>
              <w:lang w:bidi="ar-EG"/>
            </w:rPr>
            <w:t>المفوضين،</w:t>
          </w:r>
          <w:r w:rsidRPr="00304F53">
            <w:rPr>
              <w:rtl/>
              <w:lang w:bidi="ar-EG"/>
            </w:rPr>
            <w:t xml:space="preserve"> </w:t>
          </w:r>
          <w:r>
            <w:rPr>
              <w:rFonts w:hint="cs"/>
              <w:rtl/>
              <w:lang w:bidi="ar-EG"/>
            </w:rPr>
            <w:t>يتعين على مجلس الاتحاد</w:t>
          </w:r>
          <w:r w:rsidRPr="00304F53">
            <w:rPr>
              <w:rtl/>
              <w:lang w:bidi="ar-EG"/>
            </w:rPr>
            <w:t xml:space="preserve"> </w:t>
          </w:r>
          <w:r w:rsidRPr="00304F53">
            <w:rPr>
              <w:rFonts w:hint="cs"/>
              <w:rtl/>
              <w:lang w:bidi="ar-EG"/>
            </w:rPr>
            <w:t>أن</w:t>
          </w:r>
          <w:r w:rsidRPr="00304F53">
            <w:rPr>
              <w:rtl/>
              <w:lang w:bidi="ar-EG"/>
            </w:rPr>
            <w:t xml:space="preserve"> </w:t>
          </w:r>
          <w:r w:rsidRPr="00304F53">
            <w:rPr>
              <w:rFonts w:hint="cs"/>
              <w:rtl/>
              <w:lang w:bidi="ar-EG"/>
            </w:rPr>
            <w:t>يأخذ</w:t>
          </w:r>
          <w:r w:rsidRPr="00304F53">
            <w:rPr>
              <w:rtl/>
              <w:lang w:bidi="ar-EG"/>
            </w:rPr>
            <w:t xml:space="preserve"> </w:t>
          </w:r>
          <w:r w:rsidRPr="00304F53">
            <w:rPr>
              <w:rFonts w:hint="cs"/>
              <w:rtl/>
              <w:lang w:bidi="ar-EG"/>
            </w:rPr>
            <w:t>بعين</w:t>
          </w:r>
          <w:r w:rsidRPr="00304F53">
            <w:rPr>
              <w:rtl/>
              <w:lang w:bidi="ar-EG"/>
            </w:rPr>
            <w:t xml:space="preserve"> </w:t>
          </w:r>
          <w:r w:rsidRPr="00304F53">
            <w:rPr>
              <w:rFonts w:hint="cs"/>
              <w:rtl/>
              <w:lang w:bidi="ar-EG"/>
            </w:rPr>
            <w:t>الاعتبار</w:t>
          </w:r>
          <w:r w:rsidRPr="00304F53">
            <w:rPr>
              <w:rtl/>
              <w:lang w:bidi="ar-EG"/>
            </w:rPr>
            <w:t xml:space="preserve"> </w:t>
          </w:r>
          <w:r w:rsidRPr="00304F53">
            <w:rPr>
              <w:rFonts w:hint="cs"/>
              <w:rtl/>
              <w:lang w:bidi="ar-EG"/>
            </w:rPr>
            <w:t>تأثير</w:t>
          </w:r>
          <w:r w:rsidRPr="00304F53">
            <w:rPr>
              <w:rtl/>
              <w:lang w:bidi="ar-EG"/>
            </w:rPr>
            <w:t xml:space="preserve"> </w:t>
          </w:r>
          <w:r w:rsidRPr="00304F53">
            <w:rPr>
              <w:rFonts w:hint="cs"/>
              <w:rtl/>
              <w:lang w:bidi="ar-EG"/>
            </w:rPr>
            <w:t>أي</w:t>
          </w:r>
          <w:r w:rsidRPr="00304F53">
            <w:rPr>
              <w:rtl/>
              <w:lang w:bidi="ar-EG"/>
            </w:rPr>
            <w:t xml:space="preserve"> </w:t>
          </w:r>
          <w:r w:rsidRPr="00304F53">
            <w:rPr>
              <w:rFonts w:hint="cs"/>
              <w:rtl/>
              <w:lang w:bidi="ar-EG"/>
            </w:rPr>
            <w:t>برنامج</w:t>
          </w:r>
          <w:r w:rsidRPr="00304F53">
            <w:rPr>
              <w:rtl/>
              <w:lang w:bidi="ar-EG"/>
            </w:rPr>
            <w:t xml:space="preserve"> </w:t>
          </w:r>
          <w:r w:rsidRPr="00304F53">
            <w:rPr>
              <w:rFonts w:hint="cs"/>
              <w:rtl/>
              <w:lang w:bidi="ar-EG"/>
            </w:rPr>
            <w:t>لخفض</w:t>
          </w:r>
          <w:r w:rsidRPr="00304F53">
            <w:rPr>
              <w:rtl/>
              <w:lang w:bidi="ar-EG"/>
            </w:rPr>
            <w:t xml:space="preserve"> </w:t>
          </w:r>
          <w:r w:rsidRPr="00304F53">
            <w:rPr>
              <w:rFonts w:hint="cs"/>
              <w:rtl/>
              <w:lang w:bidi="ar-EG"/>
            </w:rPr>
            <w:t>التكاليف</w:t>
          </w:r>
          <w:r w:rsidRPr="00304F53">
            <w:rPr>
              <w:rtl/>
              <w:lang w:bidi="ar-EG"/>
            </w:rPr>
            <w:t xml:space="preserve"> </w:t>
          </w:r>
          <w:r w:rsidRPr="00304F53">
            <w:rPr>
              <w:rFonts w:hint="cs"/>
              <w:rtl/>
              <w:lang w:bidi="ar-EG"/>
            </w:rPr>
            <w:t>على</w:t>
          </w:r>
          <w:r w:rsidRPr="00304F53">
            <w:rPr>
              <w:rtl/>
              <w:lang w:bidi="ar-EG"/>
            </w:rPr>
            <w:t xml:space="preserve"> </w:t>
          </w:r>
          <w:r w:rsidRPr="00304F53">
            <w:rPr>
              <w:rFonts w:hint="cs"/>
              <w:rtl/>
              <w:lang w:bidi="ar-EG"/>
            </w:rPr>
            <w:t>موظفي</w:t>
          </w:r>
          <w:r w:rsidRPr="00304F53">
            <w:rPr>
              <w:rtl/>
              <w:lang w:bidi="ar-EG"/>
            </w:rPr>
            <w:t xml:space="preserve"> </w:t>
          </w:r>
          <w:r w:rsidRPr="00304F53">
            <w:rPr>
              <w:rFonts w:hint="cs"/>
              <w:rtl/>
              <w:lang w:bidi="ar-EG"/>
            </w:rPr>
            <w:t>الاتحاد</w:t>
          </w:r>
          <w:r w:rsidRPr="00304F53">
            <w:rPr>
              <w:rtl/>
              <w:lang w:bidi="ar-EG"/>
            </w:rPr>
            <w:t xml:space="preserve"> </w:t>
          </w:r>
          <w:r w:rsidRPr="00304F53">
            <w:rPr>
              <w:rFonts w:hint="cs"/>
              <w:rtl/>
              <w:lang w:bidi="ar-EG"/>
            </w:rPr>
            <w:t>وأن</w:t>
          </w:r>
          <w:r w:rsidRPr="00304F53">
            <w:rPr>
              <w:rtl/>
              <w:lang w:bidi="ar-EG"/>
            </w:rPr>
            <w:t xml:space="preserve"> </w:t>
          </w:r>
          <w:r w:rsidRPr="00304F53">
            <w:rPr>
              <w:rFonts w:hint="cs"/>
              <w:rtl/>
              <w:lang w:bidi="ar-EG"/>
            </w:rPr>
            <w:t>ينفذ</w:t>
          </w:r>
          <w:r w:rsidRPr="00304F53">
            <w:rPr>
              <w:rtl/>
              <w:lang w:bidi="ar-EG"/>
            </w:rPr>
            <w:t xml:space="preserve"> </w:t>
          </w:r>
          <w:r w:rsidRPr="00304F53">
            <w:rPr>
              <w:rFonts w:hint="cs"/>
              <w:rtl/>
              <w:lang w:bidi="ar-EG"/>
            </w:rPr>
            <w:t>دون</w:t>
          </w:r>
          <w:r w:rsidRPr="00304F53">
            <w:rPr>
              <w:rtl/>
              <w:lang w:bidi="ar-EG"/>
            </w:rPr>
            <w:t xml:space="preserve"> </w:t>
          </w:r>
          <w:r w:rsidRPr="00304F53">
            <w:rPr>
              <w:rFonts w:hint="cs"/>
              <w:rtl/>
              <w:lang w:bidi="ar-EG"/>
            </w:rPr>
            <w:t>تأخير</w:t>
          </w:r>
          <w:r>
            <w:rPr>
              <w:rFonts w:hint="cs"/>
              <w:rtl/>
              <w:lang w:bidi="ar-EG"/>
            </w:rPr>
            <w:t>،</w:t>
          </w:r>
          <w:r w:rsidRPr="00304F53">
            <w:rPr>
              <w:rtl/>
              <w:lang w:bidi="ar-EG"/>
            </w:rPr>
            <w:t xml:space="preserve"> </w:t>
          </w:r>
          <w:r w:rsidR="000B2AFC">
            <w:rPr>
              <w:color w:val="000000"/>
              <w:rtl/>
            </w:rPr>
            <w:t xml:space="preserve">ويفضل أن يكون ذلك في موعد أقصاه أوائل عام 2023، </w:t>
          </w:r>
          <w:r w:rsidR="000B2AFC">
            <w:rPr>
              <w:rFonts w:hint="cs"/>
              <w:rtl/>
              <w:lang w:bidi="ar-EG"/>
            </w:rPr>
            <w:t>نظاماً</w:t>
          </w:r>
          <w:r w:rsidRPr="00304F53">
            <w:rPr>
              <w:rtl/>
              <w:lang w:bidi="ar-EG"/>
            </w:rPr>
            <w:t xml:space="preserve"> لإنهاء الخدمة الطوعية والتقاعد المبكر، </w:t>
          </w:r>
          <w:r w:rsidR="000B2AFC">
            <w:rPr>
              <w:color w:val="000000"/>
              <w:rtl/>
            </w:rPr>
            <w:t>على أن يمول قدر الإمكان من فائض الميزانية</w:t>
          </w:r>
          <w:r w:rsidR="00371AEB">
            <w:rPr>
              <w:rFonts w:hint="cs"/>
              <w:color w:val="000000"/>
              <w:rtl/>
            </w:rPr>
            <w:t>،</w:t>
          </w:r>
          <w:r w:rsidR="000B2AFC">
            <w:rPr>
              <w:color w:val="000000"/>
              <w:rtl/>
            </w:rPr>
            <w:t xml:space="preserve"> ولكن أيضاً من خلال السحب من حساب </w:t>
          </w:r>
          <w:r w:rsidR="00D53057">
            <w:rPr>
              <w:rFonts w:hint="cs"/>
              <w:color w:val="000000"/>
              <w:rtl/>
            </w:rPr>
            <w:t>احتياطي الاتحاد</w:t>
          </w:r>
          <w:r w:rsidR="000B2AFC">
            <w:rPr>
              <w:color w:val="000000"/>
              <w:rtl/>
            </w:rPr>
            <w:t xml:space="preserve"> بما لا يتجاوز مبلغ 6 ملايين فرنك سويسري</w:t>
          </w:r>
          <w:r w:rsidR="00D53057">
            <w:rPr>
              <w:rFonts w:hint="cs"/>
              <w:color w:val="000000"/>
              <w:rtl/>
            </w:rPr>
            <w:t>.</w:t>
          </w:r>
          <w:r w:rsidR="00E11DA6">
            <w:rPr>
              <w:rFonts w:ascii="Arial" w:hAnsi="Arial" w:cs="Arial"/>
            </w:rPr>
            <w:t>‬</w:t>
          </w:r>
          <w:r w:rsidR="00E11DA6">
            <w:rPr>
              <w:rFonts w:ascii="Arial" w:hAnsi="Arial" w:cs="Arial"/>
            </w:rPr>
            <w:t>‬</w:t>
          </w:r>
          <w:r w:rsidR="00CA1E2E">
            <w:rPr>
              <w:rFonts w:ascii="Arial" w:hAnsi="Arial" w:cs="Arial"/>
            </w:rPr>
            <w:t>‬</w:t>
          </w:r>
          <w:r w:rsidR="00CA1E2E">
            <w:rPr>
              <w:rFonts w:ascii="Arial" w:hAnsi="Arial" w:cs="Arial"/>
            </w:rPr>
            <w:t>‬</w:t>
          </w:r>
          <w:r w:rsidR="00980136">
            <w:rPr>
              <w:rFonts w:ascii="Arial" w:hAnsi="Arial" w:cs="Arial"/>
            </w:rPr>
            <w:t>‬</w:t>
          </w:r>
          <w:r w:rsidR="00980136">
            <w:rPr>
              <w:rFonts w:ascii="Arial" w:hAnsi="Arial" w:cs="Arial"/>
            </w:rPr>
            <w:t>‬</w:t>
          </w:r>
          <w:r w:rsidR="00630A2A">
            <w:t>‬</w:t>
          </w:r>
          <w:r w:rsidR="00630A2A">
            <w:t>‬</w:t>
          </w:r>
          <w:r w:rsidR="00A6037F">
            <w:t>‬</w:t>
          </w:r>
          <w:r w:rsidR="00A6037F">
            <w:t>‬</w:t>
          </w:r>
        </w:dir>
      </w:dir>
    </w:p>
    <w:p w14:paraId="47AAAE71" w14:textId="499FEF8E" w:rsidR="004F623E" w:rsidRDefault="0090300D" w:rsidP="00775125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775125" w:rsidRPr="00775125">
        <w:rPr>
          <w:rtl/>
          <w:lang w:bidi="ar-EG"/>
        </w:rPr>
        <w:t>قرر المجلس، في دورته الاستثنائية لعام 2023، في القرار 1413 (</w:t>
      </w:r>
      <w:r w:rsidR="00D763A7">
        <w:rPr>
          <w:rFonts w:hint="cs"/>
          <w:rtl/>
        </w:rPr>
        <w:t>الدورة الاستثنائية للمجلس</w:t>
      </w:r>
      <w:r w:rsidR="00F656BA">
        <w:rPr>
          <w:rFonts w:hint="cs"/>
          <w:rtl/>
        </w:rPr>
        <w:t xml:space="preserve"> لعام</w:t>
      </w:r>
      <w:r w:rsidR="00D763A7">
        <w:rPr>
          <w:rFonts w:hint="cs"/>
          <w:rtl/>
        </w:rPr>
        <w:t xml:space="preserve"> 2023</w:t>
      </w:r>
      <w:r w:rsidR="00775125" w:rsidRPr="00775125">
        <w:rPr>
          <w:rtl/>
          <w:lang w:bidi="ar-EG"/>
        </w:rPr>
        <w:t>) أن يأذن للأمين</w:t>
      </w:r>
      <w:r>
        <w:rPr>
          <w:rFonts w:hint="cs"/>
          <w:rtl/>
          <w:lang w:bidi="ar-EG"/>
        </w:rPr>
        <w:t>ة</w:t>
      </w:r>
      <w:r w:rsidR="00775125" w:rsidRPr="00775125">
        <w:rPr>
          <w:rtl/>
          <w:lang w:bidi="ar-EG"/>
        </w:rPr>
        <w:t xml:space="preserve"> العام</w:t>
      </w:r>
      <w:r>
        <w:rPr>
          <w:rFonts w:hint="cs"/>
          <w:rtl/>
          <w:lang w:bidi="ar-EG"/>
        </w:rPr>
        <w:t>ة</w:t>
      </w:r>
      <w:r w:rsidR="00775125" w:rsidRPr="00775125">
        <w:rPr>
          <w:rtl/>
          <w:lang w:bidi="ar-EG"/>
        </w:rPr>
        <w:t xml:space="preserve">، كتدبير استثنائي، بسحب مبلغ يصل إلى 6 ملايين فرنك سويسري من حساب الاحتياطي لتمويل تنفيذ </w:t>
      </w:r>
      <w:r w:rsidR="00775125">
        <w:rPr>
          <w:color w:val="000000"/>
          <w:rtl/>
        </w:rPr>
        <w:t xml:space="preserve">نظام الإنهاء الطوعي/المتفق عليه للخدمة والتقاعد المبكر، </w:t>
      </w:r>
      <w:r w:rsidR="00775125" w:rsidRPr="00775125">
        <w:rPr>
          <w:rtl/>
          <w:lang w:bidi="ar-EG"/>
        </w:rPr>
        <w:t>وقرر كذلك أن يكلف الأمين</w:t>
      </w:r>
      <w:r w:rsidR="00905E95">
        <w:rPr>
          <w:rFonts w:hint="cs"/>
          <w:rtl/>
          <w:lang w:bidi="ar-EG"/>
        </w:rPr>
        <w:t>ة</w:t>
      </w:r>
      <w:r w:rsidR="00775125" w:rsidRPr="00775125">
        <w:rPr>
          <w:rtl/>
          <w:lang w:bidi="ar-EG"/>
        </w:rPr>
        <w:t xml:space="preserve"> العام</w:t>
      </w:r>
      <w:r w:rsidR="00905E95">
        <w:rPr>
          <w:rFonts w:hint="cs"/>
          <w:rtl/>
          <w:lang w:bidi="ar-EG"/>
        </w:rPr>
        <w:t>ة</w:t>
      </w:r>
      <w:r w:rsidR="00775125" w:rsidRPr="00775125">
        <w:rPr>
          <w:rtl/>
          <w:lang w:bidi="ar-EG"/>
        </w:rPr>
        <w:t xml:space="preserve"> بتنفيذ </w:t>
      </w:r>
      <w:r>
        <w:rPr>
          <w:color w:val="000000"/>
          <w:rtl/>
        </w:rPr>
        <w:t>نظام الإنهاء الطوعي/المتفق عليه للخدمة والتقاعد المبكر</w:t>
      </w:r>
      <w:r w:rsidR="00775125">
        <w:rPr>
          <w:color w:val="000000"/>
          <w:rtl/>
        </w:rPr>
        <w:t>، دون تأخير ويفضل أن يكون ذلك في موعد أقصاه أوائل عام 2023، لتحسين توقعات تنفيذ الميزانية والسماح بإعداد ميزانيات متوازنة في المستقبل</w:t>
      </w:r>
      <w:r w:rsidR="00775125">
        <w:rPr>
          <w:rFonts w:hint="cs"/>
          <w:color w:val="000000"/>
          <w:rtl/>
        </w:rPr>
        <w:t>.</w:t>
      </w:r>
    </w:p>
    <w:p w14:paraId="4D863661" w14:textId="635E015B" w:rsidR="004F623E" w:rsidRDefault="004F623E" w:rsidP="009B30E9">
      <w:pPr>
        <w:pStyle w:val="Heading1"/>
        <w:rPr>
          <w:rtl/>
          <w:lang w:bidi="ar-EG"/>
        </w:rPr>
      </w:pPr>
      <w:r>
        <w:rPr>
          <w:rFonts w:hint="cs"/>
          <w:rtl/>
          <w:lang w:bidi="ar-EG"/>
        </w:rPr>
        <w:t>2</w:t>
      </w:r>
      <w:r>
        <w:rPr>
          <w:rtl/>
          <w:lang w:bidi="ar-EG"/>
        </w:rPr>
        <w:tab/>
      </w:r>
      <w:r w:rsidR="0090300D">
        <w:rPr>
          <w:rFonts w:hint="cs"/>
          <w:rtl/>
          <w:lang w:bidi="ar-EG"/>
        </w:rPr>
        <w:t>العملية</w:t>
      </w:r>
    </w:p>
    <w:p w14:paraId="1A6A746C" w14:textId="09C815D3" w:rsidR="004F623E" w:rsidRPr="0090300D" w:rsidRDefault="0090300D" w:rsidP="004F623E">
      <w:pPr>
        <w:rPr>
          <w:rtl/>
          <w:lang w:val="en-GB"/>
        </w:rPr>
      </w:pPr>
      <w:r>
        <w:rPr>
          <w:rFonts w:hint="cs"/>
          <w:rtl/>
          <w:lang w:bidi="ar-EG"/>
        </w:rPr>
        <w:t xml:space="preserve">وامتثالاً لهذه القرارات، أطلقت الأمينة العامة برنامجاً طوعياً لإنهاء الخدمة في 17 مارس 2023، يُمول من السحب من حساب الاحتياطي. وقد أطلق برنامج الإنهاء الطوعي للخدمة من خلال الأمر الإداري </w:t>
      </w:r>
      <w:r>
        <w:rPr>
          <w:lang w:val="en-GB" w:bidi="ar-EG"/>
        </w:rPr>
        <w:t>23/03</w:t>
      </w:r>
      <w:r>
        <w:rPr>
          <w:rFonts w:hint="cs"/>
          <w:rtl/>
          <w:lang w:val="en-GB"/>
        </w:rPr>
        <w:t xml:space="preserve"> </w:t>
      </w:r>
      <w:r w:rsidR="00083553">
        <w:rPr>
          <w:rFonts w:hint="cs"/>
          <w:rtl/>
          <w:lang w:val="en-GB"/>
        </w:rPr>
        <w:t>كممارسة تتبع لمرة واحدة</w:t>
      </w:r>
      <w:r>
        <w:rPr>
          <w:rFonts w:hint="cs"/>
          <w:rtl/>
          <w:lang w:val="en-GB"/>
        </w:rPr>
        <w:t xml:space="preserve">، متاحة لفترة محدودة، وعُرضت على الموظفين </w:t>
      </w:r>
      <w:r w:rsidR="001808B4">
        <w:rPr>
          <w:rFonts w:hint="cs"/>
          <w:rtl/>
          <w:lang w:val="en-GB"/>
        </w:rPr>
        <w:t>المؤهلين</w:t>
      </w:r>
      <w:r>
        <w:rPr>
          <w:rFonts w:hint="cs"/>
          <w:rtl/>
          <w:lang w:val="en-GB"/>
        </w:rPr>
        <w:t xml:space="preserve"> في حدود الموارد المالية المتاحة </w:t>
      </w:r>
      <w:r w:rsidR="007353F3">
        <w:rPr>
          <w:rFonts w:hint="cs"/>
          <w:rtl/>
          <w:lang w:val="en-GB"/>
        </w:rPr>
        <w:t>وبموجب</w:t>
      </w:r>
      <w:r>
        <w:rPr>
          <w:rFonts w:hint="cs"/>
          <w:rtl/>
          <w:lang w:val="en-GB"/>
        </w:rPr>
        <w:t xml:space="preserve"> أحكام وشروط محددة.</w:t>
      </w:r>
    </w:p>
    <w:p w14:paraId="01011327" w14:textId="5322F1A5" w:rsidR="004F623E" w:rsidRDefault="00977D45" w:rsidP="004F623E">
      <w:pPr>
        <w:rPr>
          <w:rtl/>
          <w:lang w:bidi="ar-EG"/>
        </w:rPr>
      </w:pPr>
      <w:r>
        <w:rPr>
          <w:rFonts w:hint="cs"/>
          <w:rtl/>
          <w:lang w:bidi="ar-EG"/>
        </w:rPr>
        <w:t>وتمثلت أهداف البرنامج فيما يلي:</w:t>
      </w:r>
    </w:p>
    <w:p w14:paraId="72AABDF6" w14:textId="432F1C58" w:rsidR="00F50E3F" w:rsidRDefault="004F623E" w:rsidP="004F623E">
      <w:pPr>
        <w:pStyle w:val="enumlev1"/>
        <w:rPr>
          <w:rtl/>
          <w:lang w:bidi="ar-SA"/>
        </w:rPr>
      </w:pPr>
      <w:r>
        <w:rPr>
          <w:rFonts w:hint="cs"/>
          <w:rtl/>
        </w:rPr>
        <w:t> </w:t>
      </w:r>
      <w:proofErr w:type="gramStart"/>
      <w:r>
        <w:rPr>
          <w:rFonts w:hint="cs"/>
          <w:rtl/>
        </w:rPr>
        <w:t>أ )</w:t>
      </w:r>
      <w:proofErr w:type="gramEnd"/>
      <w:r>
        <w:rPr>
          <w:rtl/>
        </w:rPr>
        <w:tab/>
      </w:r>
      <w:r w:rsidR="00236701" w:rsidRPr="00236701">
        <w:rPr>
          <w:rtl/>
        </w:rPr>
        <w:t xml:space="preserve">دعم موازنة نفقات ميزانية المنظمة من خلال تخفيض عدد موظفي الاتحاد </w:t>
      </w:r>
      <w:r w:rsidR="00076558">
        <w:rPr>
          <w:rFonts w:hint="cs"/>
          <w:rtl/>
        </w:rPr>
        <w:t>بوتيرة أسرع</w:t>
      </w:r>
      <w:r w:rsidR="00236701" w:rsidRPr="00236701">
        <w:rPr>
          <w:rtl/>
        </w:rPr>
        <w:t xml:space="preserve"> مما </w:t>
      </w:r>
      <w:r w:rsidR="00076558">
        <w:rPr>
          <w:rFonts w:hint="cs"/>
          <w:rtl/>
        </w:rPr>
        <w:t>يمكن تحقيقه من</w:t>
      </w:r>
      <w:r w:rsidR="00236701" w:rsidRPr="00236701">
        <w:rPr>
          <w:rtl/>
        </w:rPr>
        <w:t xml:space="preserve"> خلال </w:t>
      </w:r>
      <w:r w:rsidR="00236701">
        <w:rPr>
          <w:rFonts w:hint="cs"/>
          <w:rtl/>
        </w:rPr>
        <w:t>دوران</w:t>
      </w:r>
      <w:r w:rsidR="00076558">
        <w:rPr>
          <w:rFonts w:hint="cs"/>
          <w:rtl/>
        </w:rPr>
        <w:t xml:space="preserve"> الموظفين</w:t>
      </w:r>
      <w:r w:rsidR="00236701">
        <w:rPr>
          <w:rFonts w:hint="cs"/>
          <w:rtl/>
        </w:rPr>
        <w:t xml:space="preserve"> الطبيعي وحالات التقاعد المتوقعة.</w:t>
      </w:r>
    </w:p>
    <w:p w14:paraId="5128845B" w14:textId="26D7175E" w:rsidR="004F623E" w:rsidRDefault="004F623E" w:rsidP="004F623E">
      <w:pPr>
        <w:pStyle w:val="enumlev1"/>
        <w:rPr>
          <w:rtl/>
          <w:lang w:bidi="ar-SA"/>
        </w:rPr>
      </w:pPr>
      <w:r>
        <w:rPr>
          <w:rFonts w:hint="cs"/>
          <w:rtl/>
        </w:rPr>
        <w:t>ب)</w:t>
      </w:r>
      <w:r>
        <w:rPr>
          <w:rtl/>
        </w:rPr>
        <w:tab/>
      </w:r>
      <w:r w:rsidR="00D12355">
        <w:rPr>
          <w:rFonts w:hint="cs"/>
          <w:rtl/>
        </w:rPr>
        <w:t>إتاحة الفرصة للاتحاد لإعادة مواءمة هياكله واستخدام موارده بما يتماشى</w:t>
      </w:r>
      <w:r w:rsidR="00371AEB">
        <w:rPr>
          <w:rFonts w:hint="cs"/>
          <w:rtl/>
        </w:rPr>
        <w:t xml:space="preserve"> مع</w:t>
      </w:r>
      <w:r w:rsidR="00D12355">
        <w:rPr>
          <w:rFonts w:hint="cs"/>
          <w:rtl/>
        </w:rPr>
        <w:t xml:space="preserve"> أهدافه الاستراتيجية التي أعيد تحديدها؛</w:t>
      </w:r>
    </w:p>
    <w:p w14:paraId="74ACA9FB" w14:textId="0B1293BB" w:rsidR="004F623E" w:rsidRDefault="004F623E" w:rsidP="004F623E">
      <w:pPr>
        <w:pStyle w:val="enumlev1"/>
        <w:rPr>
          <w:rtl/>
          <w:lang w:bidi="ar-SA"/>
        </w:rPr>
      </w:pPr>
      <w:r>
        <w:rPr>
          <w:rFonts w:hint="cs"/>
          <w:rtl/>
        </w:rPr>
        <w:t>ج)</w:t>
      </w:r>
      <w:r>
        <w:rPr>
          <w:rtl/>
        </w:rPr>
        <w:tab/>
      </w:r>
      <w:r w:rsidR="00CF2B15">
        <w:rPr>
          <w:rFonts w:hint="cs"/>
          <w:rtl/>
        </w:rPr>
        <w:t>م</w:t>
      </w:r>
      <w:r w:rsidR="00CF2B15" w:rsidRPr="00CF2B15">
        <w:rPr>
          <w:rtl/>
        </w:rPr>
        <w:t xml:space="preserve">نح الاتحاد المرونة </w:t>
      </w:r>
      <w:r w:rsidR="00F208B6">
        <w:rPr>
          <w:rFonts w:hint="cs"/>
          <w:rtl/>
        </w:rPr>
        <w:t>ليتزود</w:t>
      </w:r>
      <w:r w:rsidR="00CF2B15">
        <w:rPr>
          <w:rFonts w:hint="cs"/>
          <w:rtl/>
        </w:rPr>
        <w:t xml:space="preserve"> </w:t>
      </w:r>
      <w:r w:rsidR="00CF2B15" w:rsidRPr="00CF2B15">
        <w:rPr>
          <w:rtl/>
        </w:rPr>
        <w:t>بالمهارات والكفاءات الإضافية اللازمة للوفاء بولايته</w:t>
      </w:r>
      <w:r w:rsidR="00CF2B15">
        <w:rPr>
          <w:rFonts w:hint="cs"/>
          <w:rtl/>
        </w:rPr>
        <w:t>.</w:t>
      </w:r>
    </w:p>
    <w:p w14:paraId="67313A47" w14:textId="1E0A39DE" w:rsidR="004F623E" w:rsidRDefault="00CD6EC6" w:rsidP="004F623E">
      <w:pPr>
        <w:rPr>
          <w:rtl/>
          <w:lang w:bidi="ar-EG"/>
        </w:rPr>
      </w:pPr>
      <w:r w:rsidRPr="00CD6EC6">
        <w:rPr>
          <w:rtl/>
          <w:lang w:bidi="ar-EG"/>
        </w:rPr>
        <w:t>وقد ص</w:t>
      </w:r>
      <w:r w:rsidR="001D2531">
        <w:rPr>
          <w:rFonts w:hint="cs"/>
          <w:rtl/>
          <w:lang w:bidi="ar-EG"/>
        </w:rPr>
        <w:t>ُ</w:t>
      </w:r>
      <w:r w:rsidRPr="00CD6EC6">
        <w:rPr>
          <w:rtl/>
          <w:lang w:bidi="ar-EG"/>
        </w:rPr>
        <w:t xml:space="preserve">مم البرنامج </w:t>
      </w:r>
      <w:r>
        <w:rPr>
          <w:rFonts w:hint="cs"/>
          <w:rtl/>
          <w:lang w:bidi="ar-EG"/>
        </w:rPr>
        <w:t>بعد</w:t>
      </w:r>
      <w:r w:rsidRPr="00CD6EC6">
        <w:rPr>
          <w:rtl/>
          <w:lang w:bidi="ar-EG"/>
        </w:rPr>
        <w:t xml:space="preserve"> استعراض أفضل الممارسات المتبعة في المنظمات الأخرى </w:t>
      </w:r>
      <w:r w:rsidR="001D2531">
        <w:rPr>
          <w:rFonts w:hint="cs"/>
          <w:rtl/>
          <w:lang w:bidi="ar-EG"/>
        </w:rPr>
        <w:t>وأتاح خيارات</w:t>
      </w:r>
      <w:r>
        <w:rPr>
          <w:rFonts w:hint="cs"/>
          <w:rtl/>
          <w:lang w:bidi="ar-EG"/>
        </w:rPr>
        <w:t xml:space="preserve"> مختلفة</w:t>
      </w:r>
      <w:r w:rsidRPr="00CD6EC6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لل</w:t>
      </w:r>
      <w:r w:rsidRPr="00CD6EC6">
        <w:rPr>
          <w:rtl/>
          <w:lang w:bidi="ar-EG"/>
        </w:rPr>
        <w:t xml:space="preserve">تسوية </w:t>
      </w:r>
      <w:r>
        <w:rPr>
          <w:rFonts w:hint="cs"/>
          <w:rtl/>
          <w:lang w:bidi="ar-EG"/>
        </w:rPr>
        <w:t>ال</w:t>
      </w:r>
      <w:r w:rsidRPr="00CD6EC6">
        <w:rPr>
          <w:rtl/>
          <w:lang w:bidi="ar-EG"/>
        </w:rPr>
        <w:t xml:space="preserve">مالية للموظفين، مع ضمان نهج متوازن مع احتياجات المنظمة وضرورة </w:t>
      </w:r>
      <w:r>
        <w:rPr>
          <w:rFonts w:hint="cs"/>
          <w:rtl/>
          <w:lang w:bidi="ar-EG"/>
        </w:rPr>
        <w:t>أداء العملية</w:t>
      </w:r>
      <w:r w:rsidRPr="00CD6EC6">
        <w:rPr>
          <w:rtl/>
          <w:lang w:bidi="ar-EG"/>
        </w:rPr>
        <w:t xml:space="preserve"> بطريقة فع</w:t>
      </w:r>
      <w:r w:rsidR="00D763A7">
        <w:rPr>
          <w:rFonts w:hint="cs"/>
          <w:rtl/>
          <w:lang w:bidi="ar-EG"/>
        </w:rPr>
        <w:t>ّ</w:t>
      </w:r>
      <w:r w:rsidRPr="00CD6EC6">
        <w:rPr>
          <w:rtl/>
          <w:lang w:bidi="ar-EG"/>
        </w:rPr>
        <w:t>الة من حيث التكلفة</w:t>
      </w:r>
      <w:r>
        <w:rPr>
          <w:rFonts w:hint="cs"/>
          <w:rtl/>
          <w:lang w:bidi="ar-EG"/>
        </w:rPr>
        <w:t>.</w:t>
      </w:r>
    </w:p>
    <w:p w14:paraId="716CA521" w14:textId="095AC268" w:rsidR="001D2531" w:rsidRPr="001D2531" w:rsidRDefault="001D2531" w:rsidP="00F7529C">
      <w:pPr>
        <w:rPr>
          <w:rtl/>
        </w:rPr>
      </w:pPr>
      <w:r w:rsidRPr="001D2531">
        <w:rPr>
          <w:rtl/>
          <w:lang w:bidi="ar-EG"/>
        </w:rPr>
        <w:t xml:space="preserve">وكان على الموظفين تقديم طلباتهم الرسمية </w:t>
      </w:r>
      <w:r w:rsidR="00371AEB">
        <w:rPr>
          <w:rFonts w:hint="cs"/>
          <w:rtl/>
          <w:lang w:bidi="ar-EG"/>
        </w:rPr>
        <w:t>بحلول</w:t>
      </w:r>
      <w:r w:rsidRPr="001D2531">
        <w:rPr>
          <w:rtl/>
          <w:lang w:bidi="ar-EG"/>
        </w:rPr>
        <w:t xml:space="preserve"> 30 أبريل 2023 للاستفادة من البرنامج، </w:t>
      </w:r>
      <w:r w:rsidR="00A32C31">
        <w:rPr>
          <w:rFonts w:hint="cs"/>
          <w:rtl/>
          <w:lang w:bidi="ar-EG"/>
        </w:rPr>
        <w:t>بناءً على</w:t>
      </w:r>
      <w:r w:rsidRPr="001D2531">
        <w:rPr>
          <w:rtl/>
          <w:lang w:bidi="ar-EG"/>
        </w:rPr>
        <w:t xml:space="preserve"> التقديرات المالية المقدمة من إدارة الموارد البشرية.</w:t>
      </w:r>
    </w:p>
    <w:p w14:paraId="7831AE0E" w14:textId="3C1655C5" w:rsidR="004F623E" w:rsidRDefault="004F623E" w:rsidP="009B30E9">
      <w:pPr>
        <w:pStyle w:val="Heading1"/>
        <w:rPr>
          <w:rtl/>
          <w:lang w:bidi="ar-EG"/>
        </w:rPr>
      </w:pPr>
      <w:r>
        <w:rPr>
          <w:rFonts w:hint="cs"/>
          <w:rtl/>
          <w:lang w:bidi="ar-EG"/>
        </w:rPr>
        <w:t>3</w:t>
      </w:r>
      <w:r>
        <w:rPr>
          <w:rtl/>
          <w:lang w:bidi="ar-EG"/>
        </w:rPr>
        <w:tab/>
      </w:r>
      <w:r w:rsidR="00806AC2">
        <w:rPr>
          <w:rFonts w:hint="cs"/>
          <w:rtl/>
          <w:lang w:bidi="ar-EG"/>
        </w:rPr>
        <w:t>الطلبات</w:t>
      </w:r>
    </w:p>
    <w:p w14:paraId="24EF5702" w14:textId="361F9113" w:rsidR="004F623E" w:rsidRDefault="00F7529C" w:rsidP="004F623E">
      <w:pPr>
        <w:rPr>
          <w:rtl/>
        </w:rPr>
      </w:pPr>
      <w:r>
        <w:rPr>
          <w:rFonts w:hint="cs"/>
          <w:rtl/>
          <w:lang w:bidi="ar-EG"/>
        </w:rPr>
        <w:t>وقدم</w:t>
      </w:r>
      <w:r w:rsidR="00806AC2">
        <w:rPr>
          <w:rFonts w:hint="cs"/>
          <w:rtl/>
          <w:lang w:bidi="ar-EG"/>
        </w:rPr>
        <w:t xml:space="preserve"> ما مجموعه 46 موظفاً طلبات </w:t>
      </w:r>
      <w:r>
        <w:rPr>
          <w:rFonts w:hint="cs"/>
          <w:rtl/>
          <w:lang w:bidi="ar-EG"/>
        </w:rPr>
        <w:t>للاستفادة من</w:t>
      </w:r>
      <w:r w:rsidR="00806AC2">
        <w:rPr>
          <w:rFonts w:hint="cs"/>
          <w:rtl/>
          <w:lang w:bidi="ar-EG"/>
        </w:rPr>
        <w:t xml:space="preserve"> برنامج الإنهاء الطوعي للخدمة. ومن بين</w:t>
      </w:r>
      <w:r>
        <w:rPr>
          <w:rFonts w:hint="cs"/>
          <w:rtl/>
          <w:lang w:bidi="ar-EG"/>
        </w:rPr>
        <w:t xml:space="preserve"> هذه</w:t>
      </w:r>
      <w:r w:rsidR="00806AC2">
        <w:rPr>
          <w:rFonts w:hint="cs"/>
          <w:rtl/>
          <w:lang w:bidi="ar-EG"/>
        </w:rPr>
        <w:t xml:space="preserve"> الطلبات الست</w:t>
      </w:r>
      <w:r>
        <w:rPr>
          <w:rFonts w:hint="cs"/>
          <w:rtl/>
          <w:lang w:bidi="ar-EG"/>
        </w:rPr>
        <w:t>ة</w:t>
      </w:r>
      <w:r w:rsidR="00806AC2">
        <w:rPr>
          <w:rFonts w:hint="cs"/>
          <w:rtl/>
          <w:lang w:bidi="ar-EG"/>
        </w:rPr>
        <w:t xml:space="preserve"> والأربعين</w:t>
      </w:r>
      <w:r w:rsidR="00806AC2">
        <w:rPr>
          <w:rFonts w:hint="cs"/>
          <w:rtl/>
        </w:rPr>
        <w:t xml:space="preserve"> (46)، </w:t>
      </w:r>
      <w:r w:rsidR="00612A7A">
        <w:rPr>
          <w:rFonts w:hint="cs"/>
          <w:rtl/>
        </w:rPr>
        <w:t>لم تحظ</w:t>
      </w:r>
      <w:r>
        <w:rPr>
          <w:rFonts w:hint="cs"/>
          <w:rtl/>
        </w:rPr>
        <w:t xml:space="preserve"> أربعة طلبات </w:t>
      </w:r>
      <w:r w:rsidR="00D8318C">
        <w:rPr>
          <w:rFonts w:hint="cs"/>
          <w:rtl/>
        </w:rPr>
        <w:t>بتوصية</w:t>
      </w:r>
      <w:r w:rsidR="00612A7A">
        <w:rPr>
          <w:rFonts w:hint="cs"/>
          <w:rtl/>
        </w:rPr>
        <w:t xml:space="preserve"> </w:t>
      </w:r>
      <w:r w:rsidR="00806AC2">
        <w:rPr>
          <w:rFonts w:hint="cs"/>
          <w:rtl/>
        </w:rPr>
        <w:t>مدير</w:t>
      </w:r>
      <w:r>
        <w:rPr>
          <w:rFonts w:hint="cs"/>
          <w:rtl/>
        </w:rPr>
        <w:t>ي</w:t>
      </w:r>
      <w:r w:rsidR="00806AC2">
        <w:rPr>
          <w:rFonts w:hint="cs"/>
          <w:rtl/>
        </w:rPr>
        <w:t xml:space="preserve"> المكاتب أو رؤساء الدوائر التابعة للأمانة العامة لأسباب تتعلق باستمرارية العمل. </w:t>
      </w:r>
      <w:r>
        <w:rPr>
          <w:rFonts w:hint="cs"/>
          <w:rtl/>
        </w:rPr>
        <w:t>وبناءً على ذلك استعرضت</w:t>
      </w:r>
      <w:r w:rsidR="00806AC2">
        <w:rPr>
          <w:rFonts w:hint="cs"/>
          <w:rtl/>
        </w:rPr>
        <w:t xml:space="preserve"> اللجنة المخصصة 42 طلباً على النحو التالي:</w:t>
      </w:r>
    </w:p>
    <w:p w14:paraId="1B466B00" w14:textId="7CBD2E03" w:rsidR="00F50E3F" w:rsidRDefault="004F623E" w:rsidP="004F623E">
      <w:pPr>
        <w:pStyle w:val="Tabletitle"/>
        <w:rPr>
          <w:rtl/>
        </w:rPr>
      </w:pPr>
      <w:r>
        <w:rPr>
          <w:rFonts w:hint="cs"/>
          <w:rtl/>
        </w:rPr>
        <w:t xml:space="preserve">الجدول 1. </w:t>
      </w:r>
      <w:r w:rsidR="00D8318C">
        <w:rPr>
          <w:rFonts w:hint="cs"/>
          <w:rtl/>
        </w:rPr>
        <w:t>الطلبات الموصى بالموافقة عليها من جانب المكاتب/الأمانة العامة</w:t>
      </w:r>
    </w:p>
    <w:tbl>
      <w:tblPr>
        <w:bidiVisual/>
        <w:tblW w:w="3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276"/>
      </w:tblGrid>
      <w:tr w:rsidR="004F623E" w:rsidRPr="004F623E" w14:paraId="5B9B58BB" w14:textId="77777777" w:rsidTr="004F623E">
        <w:trPr>
          <w:trHeight w:val="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noWrap/>
            <w:vAlign w:val="bottom"/>
            <w:hideMark/>
          </w:tcPr>
          <w:p w14:paraId="0F93A8DC" w14:textId="7B1787F6" w:rsidR="004F623E" w:rsidRPr="004F623E" w:rsidRDefault="00B55BB5" w:rsidP="004F623E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rPr>
                <w:rFonts w:eastAsia="Times New Roman"/>
                <w:b/>
                <w:bCs/>
                <w:color w:val="FFFFFF"/>
                <w:lang w:eastAsia="en-GB"/>
              </w:rPr>
            </w:pPr>
            <w:r>
              <w:rPr>
                <w:rFonts w:eastAsia="Times New Roman" w:hint="cs"/>
                <w:b/>
                <w:bCs/>
                <w:color w:val="FFFFFF"/>
                <w:rtl/>
                <w:lang w:eastAsia="en-GB"/>
              </w:rPr>
              <w:t>القطاع/الدائرة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noWrap/>
            <w:vAlign w:val="bottom"/>
            <w:hideMark/>
          </w:tcPr>
          <w:p w14:paraId="2EC1CB27" w14:textId="269B28B9" w:rsidR="004F623E" w:rsidRPr="004F623E" w:rsidRDefault="00B55BB5" w:rsidP="004F623E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eastAsia="Times New Roman"/>
                <w:b/>
                <w:bCs/>
                <w:color w:val="FFFFFF"/>
                <w:lang w:eastAsia="en-GB"/>
              </w:rPr>
            </w:pPr>
            <w:r>
              <w:rPr>
                <w:rFonts w:eastAsia="Times New Roman" w:hint="cs"/>
                <w:b/>
                <w:bCs/>
                <w:color w:val="FFFFFF"/>
                <w:rtl/>
                <w:lang w:eastAsia="en-GB"/>
              </w:rPr>
              <w:t>الحالات</w:t>
            </w:r>
          </w:p>
        </w:tc>
      </w:tr>
      <w:tr w:rsidR="004F623E" w:rsidRPr="004F623E" w14:paraId="20907F05" w14:textId="77777777" w:rsidTr="004F623E">
        <w:trPr>
          <w:trHeight w:val="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A7D54C" w14:textId="72E751CF" w:rsidR="004F623E" w:rsidRPr="004F623E" w:rsidRDefault="004F623E" w:rsidP="004F623E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 w:hint="cs"/>
                <w:color w:val="000000"/>
                <w:rtl/>
                <w:lang w:eastAsia="en-GB"/>
              </w:rPr>
              <w:t>مكتب تنمية الاتصالات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AEBCDE" w14:textId="77777777" w:rsidR="004F623E" w:rsidRPr="004F623E" w:rsidRDefault="004F623E" w:rsidP="004F623E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4F623E">
              <w:rPr>
                <w:rFonts w:eastAsia="Times New Roman"/>
                <w:color w:val="000000"/>
                <w:lang w:eastAsia="en-GB"/>
              </w:rPr>
              <w:t>4</w:t>
            </w:r>
          </w:p>
        </w:tc>
      </w:tr>
      <w:tr w:rsidR="004F623E" w:rsidRPr="004F623E" w14:paraId="74E5CF99" w14:textId="77777777" w:rsidTr="004F623E">
        <w:trPr>
          <w:trHeight w:val="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65ABA5" w14:textId="5753E083" w:rsidR="004F623E" w:rsidRPr="004F623E" w:rsidRDefault="004F623E" w:rsidP="004F623E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 w:hint="cs"/>
                <w:color w:val="000000"/>
                <w:rtl/>
                <w:lang w:eastAsia="en-GB"/>
              </w:rPr>
              <w:t>مكتب الاتصالات الراديوية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176C80F" w14:textId="77777777" w:rsidR="004F623E" w:rsidRPr="004F623E" w:rsidRDefault="004F623E" w:rsidP="004F623E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4F623E">
              <w:rPr>
                <w:rFonts w:eastAsia="Times New Roman"/>
                <w:color w:val="000000"/>
                <w:lang w:eastAsia="en-GB"/>
              </w:rPr>
              <w:t>5</w:t>
            </w:r>
          </w:p>
        </w:tc>
      </w:tr>
      <w:tr w:rsidR="004F623E" w:rsidRPr="004F623E" w14:paraId="38295C6D" w14:textId="77777777" w:rsidTr="004F623E">
        <w:trPr>
          <w:trHeight w:val="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5A0D01" w14:textId="75178373" w:rsidR="004F623E" w:rsidRPr="004F623E" w:rsidRDefault="004F623E" w:rsidP="004F623E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 w:hint="cs"/>
                <w:color w:val="000000"/>
                <w:rtl/>
                <w:lang w:eastAsia="en-GB"/>
              </w:rPr>
              <w:t>مكتب تقييس الاتصالات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B1B2E9" w14:textId="77777777" w:rsidR="004F623E" w:rsidRPr="004F623E" w:rsidRDefault="004F623E" w:rsidP="004F623E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4F623E">
              <w:rPr>
                <w:rFonts w:eastAsia="Times New Roman"/>
                <w:color w:val="000000"/>
                <w:lang w:eastAsia="en-GB"/>
              </w:rPr>
              <w:t>3</w:t>
            </w:r>
          </w:p>
        </w:tc>
      </w:tr>
      <w:tr w:rsidR="004F623E" w:rsidRPr="004F623E" w14:paraId="12A9C329" w14:textId="77777777" w:rsidTr="004F623E">
        <w:trPr>
          <w:trHeight w:val="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CB9BE3" w14:textId="5109005F" w:rsidR="004F623E" w:rsidRPr="004F623E" w:rsidRDefault="004F623E" w:rsidP="004F623E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 w:hint="cs"/>
                <w:color w:val="000000"/>
                <w:rtl/>
                <w:lang w:eastAsia="en-GB"/>
              </w:rPr>
              <w:t>الأمانة العامة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282896" w14:textId="77777777" w:rsidR="004F623E" w:rsidRPr="004F623E" w:rsidRDefault="004F623E" w:rsidP="004F623E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4F623E">
              <w:rPr>
                <w:rFonts w:eastAsia="Times New Roman"/>
                <w:color w:val="000000"/>
                <w:lang w:eastAsia="en-GB"/>
              </w:rPr>
              <w:t>30</w:t>
            </w:r>
          </w:p>
        </w:tc>
      </w:tr>
      <w:tr w:rsidR="004F623E" w:rsidRPr="004F623E" w14:paraId="2986AD22" w14:textId="77777777" w:rsidTr="004F623E">
        <w:trPr>
          <w:trHeight w:val="2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5B0A602" w14:textId="6154A340" w:rsidR="004F623E" w:rsidRPr="004F623E" w:rsidRDefault="004F623E" w:rsidP="004F623E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hint="cs"/>
                <w:b/>
                <w:bCs/>
                <w:color w:val="000000"/>
                <w:rtl/>
                <w:lang w:eastAsia="en-GB"/>
              </w:rPr>
              <w:t>المجموع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4DD515A" w14:textId="77777777" w:rsidR="004F623E" w:rsidRPr="004F623E" w:rsidRDefault="004F623E" w:rsidP="004F623E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4F623E">
              <w:rPr>
                <w:rFonts w:eastAsia="Times New Roman"/>
                <w:b/>
                <w:bCs/>
                <w:color w:val="000000"/>
                <w:lang w:eastAsia="en-GB"/>
              </w:rPr>
              <w:t>42</w:t>
            </w:r>
          </w:p>
        </w:tc>
      </w:tr>
    </w:tbl>
    <w:p w14:paraId="13B6674B" w14:textId="53283964" w:rsidR="004F623E" w:rsidRDefault="00B55BB5" w:rsidP="004F623E">
      <w:pPr>
        <w:spacing w:before="240"/>
        <w:rPr>
          <w:rtl/>
          <w:lang w:val="en-GB"/>
        </w:rPr>
      </w:pPr>
      <w:r>
        <w:rPr>
          <w:rFonts w:hint="cs"/>
          <w:rtl/>
          <w:lang w:bidi="ar-EG"/>
        </w:rPr>
        <w:t xml:space="preserve">وفيما يتعلق بنوع الجنس، ورد 22 طلباً من النساء و20 طلباً من الرجال. وكان متوسط عمر المتقدمين </w:t>
      </w:r>
      <w:r>
        <w:rPr>
          <w:lang w:val="en-GB" w:bidi="ar-EG"/>
        </w:rPr>
        <w:t>59,8</w:t>
      </w:r>
      <w:r>
        <w:rPr>
          <w:rFonts w:hint="cs"/>
          <w:rtl/>
          <w:lang w:val="en-GB"/>
        </w:rPr>
        <w:t xml:space="preserve"> عاماً، حيث كان أصغر موظف يبلغ من العمر </w:t>
      </w:r>
      <w:r>
        <w:rPr>
          <w:lang w:val="en-GB"/>
        </w:rPr>
        <w:t>44,5</w:t>
      </w:r>
      <w:r>
        <w:rPr>
          <w:rFonts w:hint="cs"/>
          <w:rtl/>
          <w:lang w:val="en-GB"/>
        </w:rPr>
        <w:t xml:space="preserve"> عاماً وأكبرهم </w:t>
      </w:r>
      <w:r>
        <w:rPr>
          <w:lang w:val="en-GB"/>
        </w:rPr>
        <w:t>64,1</w:t>
      </w:r>
      <w:r>
        <w:rPr>
          <w:rFonts w:hint="cs"/>
          <w:rtl/>
          <w:lang w:val="en-GB"/>
        </w:rPr>
        <w:t xml:space="preserve"> عاماً.</w:t>
      </w:r>
    </w:p>
    <w:p w14:paraId="59603897" w14:textId="7F9B1148" w:rsidR="004F623E" w:rsidRPr="00A06854" w:rsidRDefault="004F623E" w:rsidP="009B30E9">
      <w:pPr>
        <w:pStyle w:val="Heading1"/>
        <w:rPr>
          <w:rtl/>
          <w:lang w:val="en-GB"/>
        </w:rPr>
      </w:pPr>
      <w:r>
        <w:rPr>
          <w:rFonts w:hint="cs"/>
          <w:rtl/>
          <w:lang w:bidi="ar-EG"/>
        </w:rPr>
        <w:lastRenderedPageBreak/>
        <w:t>4</w:t>
      </w:r>
      <w:r>
        <w:rPr>
          <w:rtl/>
          <w:lang w:bidi="ar-EG"/>
        </w:rPr>
        <w:tab/>
      </w:r>
      <w:r w:rsidR="00551E57">
        <w:rPr>
          <w:rFonts w:hint="cs"/>
          <w:rtl/>
          <w:lang w:bidi="ar-EG"/>
        </w:rPr>
        <w:t>التوصيات والقرارات</w:t>
      </w:r>
    </w:p>
    <w:p w14:paraId="39C26015" w14:textId="29C092D7" w:rsidR="004F623E" w:rsidRPr="00A06854" w:rsidRDefault="00A06854" w:rsidP="004F623E">
      <w:pPr>
        <w:rPr>
          <w:rtl/>
          <w:lang w:val="en-GB"/>
        </w:rPr>
      </w:pPr>
      <w:r>
        <w:rPr>
          <w:rFonts w:hint="cs"/>
          <w:rtl/>
          <w:lang w:bidi="ar-EG"/>
        </w:rPr>
        <w:t xml:space="preserve">وفقاً للأمر الإداري </w:t>
      </w:r>
      <w:r>
        <w:rPr>
          <w:lang w:val="en-GB" w:bidi="ar-EG"/>
        </w:rPr>
        <w:t>23/03</w:t>
      </w:r>
      <w:r>
        <w:rPr>
          <w:rFonts w:hint="cs"/>
          <w:rtl/>
          <w:lang w:bidi="ar-EG"/>
        </w:rPr>
        <w:t xml:space="preserve">، عيّنت الأمينة العامة لجنة مخصصة </w:t>
      </w:r>
      <w:r>
        <w:rPr>
          <w:rFonts w:hint="cs"/>
          <w:rtl/>
        </w:rPr>
        <w:t>لاستعراض وتقييم طلبات الإنهاء الطوعي للخدمة الواردة من الموظفين والتوصيات المقدمة من مديري المكاتب ورؤساء الدوائر التابعة للأمانة العامة.</w:t>
      </w:r>
      <w:r>
        <w:rPr>
          <w:rFonts w:hint="cs"/>
          <w:rtl/>
          <w:lang w:val="en-GB"/>
        </w:rPr>
        <w:t xml:space="preserve"> وقد عُيّنت اللجنة المخصصة </w:t>
      </w:r>
      <w:r w:rsidR="009212B8">
        <w:rPr>
          <w:rFonts w:hint="cs"/>
          <w:rtl/>
          <w:lang w:val="en-GB"/>
        </w:rPr>
        <w:t>بناءً</w:t>
      </w:r>
      <w:r>
        <w:rPr>
          <w:rFonts w:hint="cs"/>
          <w:rtl/>
          <w:lang w:val="en-GB"/>
        </w:rPr>
        <w:t xml:space="preserve"> على توصيات مديري المكاتب.</w:t>
      </w:r>
    </w:p>
    <w:p w14:paraId="6B1B0B68" w14:textId="51DD482A" w:rsidR="004F623E" w:rsidRDefault="00F4372F" w:rsidP="004F623E">
      <w:pPr>
        <w:rPr>
          <w:rtl/>
        </w:rPr>
      </w:pPr>
      <w:r w:rsidRPr="00F4372F">
        <w:rPr>
          <w:rtl/>
          <w:lang w:bidi="ar-EG"/>
        </w:rPr>
        <w:t>وقدمت اللجنة توصيات تضع مصالح الاتحاد على رأس أولوياتها وتستند إلى اعتبارات مالية</w:t>
      </w:r>
      <w:r w:rsidR="00FD2153">
        <w:rPr>
          <w:rFonts w:hint="cs"/>
          <w:rtl/>
          <w:lang w:bidi="ar-EG"/>
        </w:rPr>
        <w:t xml:space="preserve"> بحتة</w:t>
      </w:r>
      <w:r w:rsidRPr="00F4372F">
        <w:rPr>
          <w:rtl/>
          <w:lang w:bidi="ar-EG"/>
        </w:rPr>
        <w:t xml:space="preserve">، بما يتماشى مع قرار المجلس. </w:t>
      </w:r>
      <w:r>
        <w:rPr>
          <w:rFonts w:hint="cs"/>
          <w:rtl/>
          <w:lang w:bidi="ar-EG"/>
        </w:rPr>
        <w:t>و</w:t>
      </w:r>
      <w:r w:rsidRPr="00F4372F">
        <w:rPr>
          <w:rtl/>
          <w:lang w:bidi="ar-EG"/>
        </w:rPr>
        <w:t>تم حساب عائد الاستثمار (</w:t>
      </w:r>
      <w:r w:rsidRPr="00F4372F">
        <w:rPr>
          <w:lang w:bidi="ar-EG"/>
        </w:rPr>
        <w:t>ROI</w:t>
      </w:r>
      <w:r w:rsidRPr="00F4372F">
        <w:rPr>
          <w:rtl/>
          <w:lang w:bidi="ar-EG"/>
        </w:rPr>
        <w:t>) لكل طلب مع مراعاة تكاليف البرنامج والوفورات المقدرة للمنظمة</w:t>
      </w:r>
      <w:r w:rsidR="00FD2153">
        <w:rPr>
          <w:rFonts w:hint="cs"/>
          <w:rtl/>
          <w:lang w:bidi="ar-EG"/>
        </w:rPr>
        <w:t xml:space="preserve"> على المدى البعيد.</w:t>
      </w:r>
    </w:p>
    <w:p w14:paraId="5422CFE7" w14:textId="01A0F6CB" w:rsidR="002C482E" w:rsidRPr="00F84CE1" w:rsidRDefault="002C482E" w:rsidP="002C482E">
      <w:pPr>
        <w:rPr>
          <w:rtl/>
          <w:lang w:val="en-GB"/>
        </w:rPr>
      </w:pPr>
      <w:r w:rsidRPr="002C482E">
        <w:rPr>
          <w:rtl/>
          <w:lang w:bidi="ar-EG"/>
        </w:rPr>
        <w:t xml:space="preserve">وقدمت اللجنة المخصصة التقرير إلى لجنة التنسيق لمناقشته </w:t>
      </w:r>
      <w:r w:rsidR="00864D88">
        <w:rPr>
          <w:rFonts w:hint="cs"/>
          <w:rtl/>
          <w:lang w:bidi="ar-EG"/>
        </w:rPr>
        <w:t>وأوصت</w:t>
      </w:r>
      <w:r w:rsidRPr="002C482E">
        <w:rPr>
          <w:rtl/>
          <w:lang w:bidi="ar-EG"/>
        </w:rPr>
        <w:t xml:space="preserve"> الأمين</w:t>
      </w:r>
      <w:r>
        <w:rPr>
          <w:rFonts w:hint="cs"/>
          <w:rtl/>
          <w:lang w:bidi="ar-EG"/>
        </w:rPr>
        <w:t>ة</w:t>
      </w:r>
      <w:r w:rsidRPr="002C482E">
        <w:rPr>
          <w:rtl/>
          <w:lang w:bidi="ar-EG"/>
        </w:rPr>
        <w:t xml:space="preserve"> العام</w:t>
      </w:r>
      <w:r>
        <w:rPr>
          <w:rFonts w:hint="cs"/>
          <w:rtl/>
          <w:lang w:bidi="ar-EG"/>
        </w:rPr>
        <w:t>ة</w:t>
      </w:r>
      <w:r w:rsidRPr="002C482E">
        <w:rPr>
          <w:rtl/>
          <w:lang w:bidi="ar-EG"/>
        </w:rPr>
        <w:t xml:space="preserve"> </w:t>
      </w:r>
      <w:r w:rsidR="00864D88">
        <w:rPr>
          <w:rFonts w:hint="cs"/>
          <w:rtl/>
          <w:lang w:bidi="ar-EG"/>
        </w:rPr>
        <w:t>بعد ذلك</w:t>
      </w:r>
      <w:r w:rsidRPr="002C482E">
        <w:rPr>
          <w:rtl/>
          <w:lang w:bidi="ar-EG"/>
        </w:rPr>
        <w:t xml:space="preserve"> باتخاذ القرار النهائي بالموافقة على الطلبات أو رفضها استنادا</w:t>
      </w:r>
      <w:r w:rsidR="00864D88">
        <w:rPr>
          <w:rFonts w:hint="cs"/>
          <w:rtl/>
          <w:lang w:bidi="ar-EG"/>
        </w:rPr>
        <w:t>ً</w:t>
      </w:r>
      <w:r w:rsidRPr="002C482E">
        <w:rPr>
          <w:rtl/>
          <w:lang w:bidi="ar-EG"/>
        </w:rPr>
        <w:t xml:space="preserve"> إلى مصالح الاتحاد وأهدافه الاستراتيجية.</w:t>
      </w:r>
      <w:r w:rsidR="00F84CE1">
        <w:rPr>
          <w:rFonts w:hint="cs"/>
          <w:rtl/>
          <w:lang w:bidi="ar-EG"/>
        </w:rPr>
        <w:t xml:space="preserve"> ووفقاً للأمر الإداري </w:t>
      </w:r>
      <w:r w:rsidR="00F84CE1">
        <w:rPr>
          <w:lang w:val="en-GB" w:bidi="ar-EG"/>
        </w:rPr>
        <w:t>23/03</w:t>
      </w:r>
      <w:r w:rsidR="00F84CE1">
        <w:rPr>
          <w:rFonts w:hint="cs"/>
          <w:rtl/>
          <w:lang w:val="en-GB"/>
        </w:rPr>
        <w:t>، يُمنح الإنهاء الطوعي للخدمة حسب تقدير الأمين العام ولا يشكل استحقاقاً قانونياً.</w:t>
      </w:r>
    </w:p>
    <w:p w14:paraId="5496E494" w14:textId="79E0D191" w:rsidR="00F84CE1" w:rsidRPr="00F84CE1" w:rsidRDefault="00F84CE1" w:rsidP="00F84CE1">
      <w:pPr>
        <w:rPr>
          <w:rtl/>
        </w:rPr>
      </w:pPr>
      <w:r>
        <w:rPr>
          <w:rFonts w:hint="cs"/>
          <w:rtl/>
          <w:lang w:bidi="ar-EG"/>
        </w:rPr>
        <w:t>و</w:t>
      </w:r>
      <w:r w:rsidRPr="00F84CE1">
        <w:rPr>
          <w:rtl/>
          <w:lang w:bidi="ar-EG"/>
        </w:rPr>
        <w:t>وافق</w:t>
      </w:r>
      <w:r>
        <w:rPr>
          <w:rFonts w:hint="cs"/>
          <w:rtl/>
          <w:lang w:bidi="ar-EG"/>
        </w:rPr>
        <w:t>ت</w:t>
      </w:r>
      <w:r w:rsidRPr="00F84CE1">
        <w:rPr>
          <w:rtl/>
          <w:lang w:bidi="ar-EG"/>
        </w:rPr>
        <w:t xml:space="preserve"> الأمين</w:t>
      </w:r>
      <w:r>
        <w:rPr>
          <w:rFonts w:hint="cs"/>
          <w:rtl/>
          <w:lang w:bidi="ar-EG"/>
        </w:rPr>
        <w:t>ة</w:t>
      </w:r>
      <w:r w:rsidRPr="00F84CE1">
        <w:rPr>
          <w:rtl/>
          <w:lang w:bidi="ar-EG"/>
        </w:rPr>
        <w:t xml:space="preserve"> العام</w:t>
      </w:r>
      <w:r>
        <w:rPr>
          <w:rFonts w:hint="cs"/>
          <w:rtl/>
          <w:lang w:bidi="ar-EG"/>
        </w:rPr>
        <w:t>ة</w:t>
      </w:r>
      <w:r w:rsidRPr="00F84CE1">
        <w:rPr>
          <w:rtl/>
          <w:lang w:bidi="ar-EG"/>
        </w:rPr>
        <w:t xml:space="preserve"> على ما مجموعه 28 حالة استنادا</w:t>
      </w:r>
      <w:r>
        <w:rPr>
          <w:rFonts w:hint="cs"/>
          <w:rtl/>
          <w:lang w:bidi="ar-EG"/>
        </w:rPr>
        <w:t>ً</w:t>
      </w:r>
      <w:r w:rsidRPr="00F84CE1">
        <w:rPr>
          <w:rtl/>
          <w:lang w:bidi="ar-EG"/>
        </w:rPr>
        <w:t xml:space="preserve"> إلى مصالح الاتحاد وأهدافه الاستراتيجية، </w:t>
      </w:r>
      <w:r w:rsidR="008C4A1E">
        <w:rPr>
          <w:rFonts w:hint="cs"/>
          <w:rtl/>
          <w:lang w:bidi="ar-EG"/>
        </w:rPr>
        <w:t>وإلى استعراض دقيق</w:t>
      </w:r>
      <w:r w:rsidRPr="00F84CE1">
        <w:rPr>
          <w:rtl/>
          <w:lang w:bidi="ar-EG"/>
        </w:rPr>
        <w:t xml:space="preserve"> </w:t>
      </w:r>
      <w:r w:rsidR="008C4A1E">
        <w:rPr>
          <w:rFonts w:hint="cs"/>
          <w:rtl/>
          <w:lang w:bidi="ar-EG"/>
        </w:rPr>
        <w:t>للآثار المالية</w:t>
      </w:r>
      <w:r w:rsidRPr="00F84CE1">
        <w:rPr>
          <w:rtl/>
          <w:lang w:bidi="ar-EG"/>
        </w:rPr>
        <w:t xml:space="preserve"> لهذه العملية، </w:t>
      </w:r>
      <w:r w:rsidR="008C4A1E">
        <w:rPr>
          <w:rFonts w:hint="cs"/>
          <w:rtl/>
          <w:lang w:bidi="ar-EG"/>
        </w:rPr>
        <w:t>تم</w:t>
      </w:r>
      <w:r w:rsidR="00D763A7">
        <w:rPr>
          <w:rFonts w:hint="cs"/>
          <w:rtl/>
          <w:lang w:bidi="ar-EG"/>
        </w:rPr>
        <w:t>ا</w:t>
      </w:r>
      <w:r w:rsidR="008C4A1E">
        <w:rPr>
          <w:rFonts w:hint="cs"/>
          <w:rtl/>
          <w:lang w:bidi="ar-EG"/>
        </w:rPr>
        <w:t>شياً مع</w:t>
      </w:r>
      <w:r w:rsidRPr="00F84CE1">
        <w:rPr>
          <w:rtl/>
          <w:lang w:bidi="ar-EG"/>
        </w:rPr>
        <w:t xml:space="preserve"> قرار المجلس بالموافقة على البرنامج من أجل تحسين توقعات تنفيذ الميزانية والسماح بإعداد ميزانيات متوازنة في المستقبل</w:t>
      </w:r>
      <w:r w:rsidR="008C4A1E">
        <w:rPr>
          <w:rFonts w:hint="cs"/>
          <w:rtl/>
          <w:lang w:bidi="ar-EG"/>
        </w:rPr>
        <w:t>.</w:t>
      </w:r>
    </w:p>
    <w:p w14:paraId="63904BAC" w14:textId="363C96E3" w:rsidR="004F623E" w:rsidRPr="001A58DD" w:rsidRDefault="001A58DD" w:rsidP="004F623E">
      <w:pPr>
        <w:rPr>
          <w:rtl/>
          <w:lang w:val="en-GB"/>
        </w:rPr>
      </w:pPr>
      <w:r>
        <w:rPr>
          <w:rFonts w:hint="cs"/>
          <w:rtl/>
          <w:lang w:bidi="ar-EG"/>
        </w:rPr>
        <w:t xml:space="preserve">وتُقدر التكلفة النهائية لبرنامج الإنهاء الطوعي للخدمة بمبلغ </w:t>
      </w:r>
      <w:r>
        <w:rPr>
          <w:lang w:val="en-GB" w:bidi="ar-EG"/>
        </w:rPr>
        <w:t>3 860 000</w:t>
      </w:r>
      <w:r w:rsidR="00D763A7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فرنك سويسري، مع وفورات </w:t>
      </w:r>
      <w:r w:rsidR="00371AEB">
        <w:rPr>
          <w:rFonts w:hint="cs"/>
          <w:rtl/>
          <w:lang w:bidi="ar-EG"/>
        </w:rPr>
        <w:t>على المدى البعيد</w:t>
      </w:r>
      <w:r w:rsidR="008D1191">
        <w:rPr>
          <w:rStyle w:val="FootnoteReference"/>
          <w:rtl/>
          <w:lang w:bidi="ar-EG"/>
        </w:rPr>
        <w:footnoteReference w:id="1"/>
      </w:r>
      <w:r>
        <w:rPr>
          <w:rFonts w:hint="cs"/>
          <w:rtl/>
          <w:lang w:bidi="ar-EG"/>
        </w:rPr>
        <w:t xml:space="preserve"> تُقدر بمبلغ </w:t>
      </w:r>
      <w:r>
        <w:rPr>
          <w:lang w:val="en-GB" w:bidi="ar-EG"/>
        </w:rPr>
        <w:t>14 059 000</w:t>
      </w:r>
      <w:r>
        <w:rPr>
          <w:rFonts w:hint="cs"/>
          <w:rtl/>
          <w:lang w:val="en-GB"/>
        </w:rPr>
        <w:t xml:space="preserve"> وعائد استثمار ملموس قدره </w:t>
      </w:r>
      <w:r>
        <w:rPr>
          <w:lang w:val="en-GB"/>
        </w:rPr>
        <w:t>10 189 000</w:t>
      </w:r>
      <w:r>
        <w:rPr>
          <w:rFonts w:hint="cs"/>
          <w:rtl/>
          <w:lang w:val="en-GB"/>
        </w:rPr>
        <w:t xml:space="preserve"> (264 في المائة).</w:t>
      </w:r>
    </w:p>
    <w:p w14:paraId="27F9A6D6" w14:textId="50F4FAEF" w:rsidR="004F623E" w:rsidRDefault="004F623E" w:rsidP="004F623E">
      <w:pPr>
        <w:pStyle w:val="Tabletitle"/>
        <w:rPr>
          <w:rtl/>
          <w:lang w:bidi="ar-SA"/>
        </w:rPr>
      </w:pPr>
      <w:r>
        <w:rPr>
          <w:rFonts w:hint="cs"/>
          <w:rtl/>
        </w:rPr>
        <w:t>الجدول 2.</w:t>
      </w:r>
      <w:r w:rsidR="00B43DAD">
        <w:rPr>
          <w:rFonts w:hint="cs"/>
          <w:rtl/>
        </w:rPr>
        <w:t xml:space="preserve"> التكلفة التقديرية لبرنامج الإنهاء الطوعي للخدمة، والوفورات المتوقعة وعائد الاستثمار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22"/>
        <w:gridCol w:w="1831"/>
        <w:gridCol w:w="1678"/>
        <w:gridCol w:w="1678"/>
        <w:gridCol w:w="1679"/>
        <w:gridCol w:w="1241"/>
      </w:tblGrid>
      <w:tr w:rsidR="004F623E" w:rsidRPr="004F623E" w14:paraId="2650BC9E" w14:textId="77777777" w:rsidTr="001D02CD">
        <w:trPr>
          <w:trHeight w:val="11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7DC13B85" w14:textId="3DC11A0A" w:rsidR="004F623E" w:rsidRPr="004F623E" w:rsidRDefault="00042AF2" w:rsidP="00980136">
            <w:pPr>
              <w:keepNext/>
              <w:spacing w:before="60"/>
              <w:jc w:val="center"/>
              <w:rPr>
                <w:b/>
                <w:bCs/>
                <w:color w:val="000000"/>
                <w:rtl/>
                <w:lang w:eastAsia="en-GB"/>
              </w:rPr>
            </w:pPr>
            <w:r>
              <w:rPr>
                <w:rFonts w:hint="cs"/>
                <w:b/>
                <w:bCs/>
                <w:color w:val="000000"/>
                <w:rtl/>
                <w:lang w:eastAsia="en-GB"/>
              </w:rPr>
              <w:t>الحالات الموافق عليها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bottom"/>
            <w:hideMark/>
          </w:tcPr>
          <w:p w14:paraId="79155D4A" w14:textId="59AD5E6E" w:rsidR="004F623E" w:rsidRPr="004F623E" w:rsidRDefault="00042AF2" w:rsidP="00980136">
            <w:pPr>
              <w:keepNext/>
              <w:spacing w:before="60"/>
              <w:jc w:val="center"/>
              <w:rPr>
                <w:b/>
                <w:bCs/>
                <w:color w:val="000000"/>
                <w:lang w:eastAsia="en-GB"/>
              </w:rPr>
            </w:pPr>
            <w:r>
              <w:rPr>
                <w:rFonts w:hint="cs"/>
                <w:b/>
                <w:bCs/>
                <w:color w:val="000000"/>
                <w:rtl/>
                <w:lang w:eastAsia="en-GB"/>
              </w:rPr>
              <w:t>تكلفة برنامج الإنهاء الطوعي للخدمة</w:t>
            </w:r>
            <w:r w:rsidR="004F623E">
              <w:rPr>
                <w:rFonts w:hint="cs"/>
                <w:b/>
                <w:bCs/>
                <w:color w:val="000000"/>
                <w:rtl/>
                <w:lang w:eastAsia="en-GB"/>
              </w:rPr>
              <w:t xml:space="preserve"> (بالفرنك السويسري)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bottom"/>
            <w:hideMark/>
          </w:tcPr>
          <w:p w14:paraId="43A8E960" w14:textId="3B746D04" w:rsidR="004F623E" w:rsidRPr="004F623E" w:rsidRDefault="00042AF2" w:rsidP="00980136">
            <w:pPr>
              <w:keepNext/>
              <w:spacing w:before="60"/>
              <w:jc w:val="center"/>
              <w:rPr>
                <w:b/>
                <w:bCs/>
                <w:color w:val="000000"/>
                <w:lang w:eastAsia="en-GB"/>
              </w:rPr>
            </w:pPr>
            <w:r>
              <w:rPr>
                <w:rFonts w:hint="cs"/>
                <w:b/>
                <w:bCs/>
                <w:color w:val="000000"/>
                <w:rtl/>
                <w:lang w:eastAsia="en-GB"/>
              </w:rPr>
              <w:t>الوفورات الصافية</w:t>
            </w:r>
            <w:r w:rsidR="004F623E">
              <w:rPr>
                <w:rFonts w:hint="cs"/>
                <w:b/>
                <w:bCs/>
                <w:color w:val="000000"/>
                <w:rtl/>
                <w:lang w:eastAsia="en-GB"/>
              </w:rPr>
              <w:t xml:space="preserve"> </w:t>
            </w:r>
            <w:r w:rsidR="00980136">
              <w:rPr>
                <w:b/>
                <w:bCs/>
                <w:color w:val="000000"/>
                <w:lang w:eastAsia="en-GB"/>
              </w:rPr>
              <w:br/>
              <w:t>2023</w:t>
            </w:r>
            <w:r w:rsidR="00980136">
              <w:rPr>
                <w:b/>
                <w:bCs/>
                <w:color w:val="000000"/>
                <w:lang w:eastAsia="en-GB"/>
              </w:rPr>
              <w:br/>
            </w:r>
            <w:r w:rsidR="004F623E">
              <w:rPr>
                <w:rFonts w:hint="cs"/>
                <w:b/>
                <w:bCs/>
                <w:color w:val="000000"/>
                <w:rtl/>
                <w:lang w:eastAsia="en-GB"/>
              </w:rPr>
              <w:t>(بالفرنك السويسري)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bottom"/>
            <w:hideMark/>
          </w:tcPr>
          <w:p w14:paraId="420DEDB4" w14:textId="75AD81C4" w:rsidR="004F623E" w:rsidRPr="004F623E" w:rsidRDefault="00042AF2" w:rsidP="00980136">
            <w:pPr>
              <w:keepNext/>
              <w:spacing w:before="60"/>
              <w:jc w:val="center"/>
              <w:rPr>
                <w:b/>
                <w:bCs/>
                <w:color w:val="000000"/>
                <w:lang w:eastAsia="en-GB"/>
              </w:rPr>
            </w:pPr>
            <w:r>
              <w:rPr>
                <w:rFonts w:hint="cs"/>
                <w:b/>
                <w:bCs/>
                <w:color w:val="000000"/>
                <w:rtl/>
                <w:lang w:eastAsia="en-GB"/>
              </w:rPr>
              <w:t>الوفورات الصافية</w:t>
            </w:r>
            <w:r w:rsidR="004F623E" w:rsidRPr="004F623E">
              <w:rPr>
                <w:b/>
                <w:bCs/>
                <w:color w:val="000000"/>
                <w:lang w:eastAsia="en-GB"/>
              </w:rPr>
              <w:br/>
              <w:t>202</w:t>
            </w:r>
            <w:r w:rsidR="00C777E7">
              <w:rPr>
                <w:b/>
                <w:bCs/>
                <w:color w:val="000000"/>
                <w:lang w:eastAsia="en-GB"/>
              </w:rPr>
              <w:t>7</w:t>
            </w:r>
            <w:r w:rsidR="004F623E" w:rsidRPr="004F623E">
              <w:rPr>
                <w:b/>
                <w:bCs/>
                <w:color w:val="000000"/>
                <w:lang w:eastAsia="en-GB"/>
              </w:rPr>
              <w:t>-202</w:t>
            </w:r>
            <w:r w:rsidR="00C777E7">
              <w:rPr>
                <w:b/>
                <w:bCs/>
                <w:color w:val="000000"/>
                <w:lang w:eastAsia="en-GB"/>
              </w:rPr>
              <w:t>4</w:t>
            </w:r>
            <w:r w:rsidR="004F623E" w:rsidRPr="004F623E">
              <w:rPr>
                <w:b/>
                <w:bCs/>
                <w:color w:val="000000"/>
                <w:lang w:eastAsia="en-GB"/>
              </w:rPr>
              <w:t xml:space="preserve"> </w:t>
            </w:r>
            <w:r w:rsidR="004F623E" w:rsidRPr="004F623E">
              <w:rPr>
                <w:b/>
                <w:bCs/>
                <w:color w:val="000000"/>
                <w:lang w:eastAsia="en-GB"/>
              </w:rPr>
              <w:br/>
            </w:r>
            <w:r w:rsidR="004F623E">
              <w:rPr>
                <w:rFonts w:hint="cs"/>
                <w:b/>
                <w:bCs/>
                <w:color w:val="000000"/>
                <w:rtl/>
                <w:lang w:eastAsia="en-GB"/>
              </w:rPr>
              <w:t>(بالفرنك السويسري)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bottom"/>
            <w:hideMark/>
          </w:tcPr>
          <w:p w14:paraId="2B64E676" w14:textId="6710664A" w:rsidR="004F623E" w:rsidRPr="004F623E" w:rsidRDefault="00042AF2" w:rsidP="00980136">
            <w:pPr>
              <w:keepNext/>
              <w:spacing w:before="60"/>
              <w:jc w:val="center"/>
              <w:rPr>
                <w:b/>
                <w:bCs/>
                <w:color w:val="000000"/>
                <w:lang w:eastAsia="en-GB"/>
              </w:rPr>
            </w:pPr>
            <w:bookmarkStart w:id="0" w:name="lt_pId075"/>
            <w:r>
              <w:rPr>
                <w:rFonts w:hint="cs"/>
                <w:b/>
                <w:bCs/>
                <w:color w:val="FFFFFF" w:themeColor="background1"/>
                <w:rtl/>
                <w:lang w:eastAsia="en-GB"/>
              </w:rPr>
              <w:t>عائد الاستثمار</w:t>
            </w:r>
            <w:r w:rsidR="004F623E" w:rsidRPr="004F623E">
              <w:rPr>
                <w:rFonts w:hint="cs"/>
                <w:b/>
                <w:bCs/>
                <w:color w:val="000000"/>
                <w:rtl/>
                <w:lang w:eastAsia="en-GB"/>
              </w:rPr>
              <w:t xml:space="preserve"> </w:t>
            </w:r>
            <w:r w:rsidR="004F623E" w:rsidRPr="004F623E">
              <w:rPr>
                <w:rFonts w:hint="cs"/>
                <w:b/>
                <w:bCs/>
                <w:color w:val="FFFFFF" w:themeColor="background1"/>
                <w:rtl/>
                <w:lang w:eastAsia="en-GB"/>
              </w:rPr>
              <w:t>(بالفرنك السويسري)</w:t>
            </w:r>
            <w:bookmarkEnd w:id="0"/>
            <w:r w:rsidR="004F623E" w:rsidRPr="00980136">
              <w:rPr>
                <w:rStyle w:val="FootnoteReference"/>
                <w:b/>
                <w:bCs/>
                <w:color w:val="FFFFFF" w:themeColor="background1"/>
              </w:rPr>
              <w:footnoteReference w:id="2"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bottom"/>
            <w:hideMark/>
          </w:tcPr>
          <w:p w14:paraId="58EA0F10" w14:textId="32A7CA7B" w:rsidR="004F623E" w:rsidRPr="004F623E" w:rsidRDefault="00042AF2" w:rsidP="00980136">
            <w:pPr>
              <w:keepNext/>
              <w:spacing w:before="60"/>
              <w:jc w:val="center"/>
              <w:rPr>
                <w:b/>
                <w:bCs/>
                <w:color w:val="000000"/>
                <w:lang w:eastAsia="en-GB"/>
              </w:rPr>
            </w:pPr>
            <w:bookmarkStart w:id="1" w:name="lt_pId076"/>
            <w:r>
              <w:rPr>
                <w:rFonts w:hint="cs"/>
                <w:b/>
                <w:bCs/>
                <w:color w:val="FFFFFF" w:themeColor="background1"/>
                <w:rtl/>
                <w:lang w:eastAsia="en-GB"/>
              </w:rPr>
              <w:t>عائد الاستثمار</w:t>
            </w:r>
            <w:r w:rsidR="004F623E" w:rsidRPr="004F623E">
              <w:rPr>
                <w:rFonts w:hint="cs"/>
                <w:b/>
                <w:bCs/>
                <w:color w:val="FFFFFF" w:themeColor="background1"/>
                <w:rtl/>
                <w:lang w:eastAsia="en-GB"/>
              </w:rPr>
              <w:t xml:space="preserve"> </w:t>
            </w:r>
            <w:r w:rsidR="004F623E" w:rsidRPr="004F623E">
              <w:rPr>
                <w:b/>
                <w:bCs/>
                <w:color w:val="000000"/>
                <w:lang w:eastAsia="en-GB"/>
              </w:rPr>
              <w:t xml:space="preserve"> </w:t>
            </w:r>
            <w:r w:rsidR="004F623E" w:rsidRPr="004F623E">
              <w:rPr>
                <w:b/>
                <w:bCs/>
                <w:color w:val="FFFFFF" w:themeColor="background1"/>
                <w:lang w:eastAsia="en-GB"/>
              </w:rPr>
              <w:t>(%)</w:t>
            </w:r>
            <w:bookmarkEnd w:id="1"/>
          </w:p>
        </w:tc>
      </w:tr>
      <w:tr w:rsidR="004F623E" w:rsidRPr="004F623E" w14:paraId="5A1FCD04" w14:textId="77777777" w:rsidTr="001D02CD">
        <w:trPr>
          <w:trHeight w:val="659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60D125" w14:textId="77777777" w:rsidR="004F623E" w:rsidRPr="004F623E" w:rsidRDefault="004F623E" w:rsidP="00980136">
            <w:pPr>
              <w:keepNext/>
              <w:spacing w:before="60"/>
              <w:jc w:val="center"/>
              <w:rPr>
                <w:color w:val="000000" w:themeColor="text1"/>
                <w:lang w:eastAsia="en-GB"/>
              </w:rPr>
            </w:pPr>
            <w:r w:rsidRPr="004F623E">
              <w:rPr>
                <w:color w:val="000000" w:themeColor="text1"/>
                <w:lang w:eastAsia="en-GB"/>
              </w:rPr>
              <w:t>28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442074" w14:textId="77777777" w:rsidR="004F623E" w:rsidRPr="004F623E" w:rsidRDefault="004F623E" w:rsidP="00980136">
            <w:pPr>
              <w:keepNext/>
              <w:spacing w:before="60"/>
              <w:jc w:val="center"/>
              <w:rPr>
                <w:color w:val="000000" w:themeColor="text1"/>
                <w:lang w:eastAsia="en-GB"/>
              </w:rPr>
            </w:pPr>
            <w:r w:rsidRPr="004F623E">
              <w:rPr>
                <w:color w:val="000000" w:themeColor="text1"/>
                <w:lang w:eastAsia="en-GB"/>
              </w:rPr>
              <w:t>(3 860 013)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9DDBD4" w14:textId="77777777" w:rsidR="004F623E" w:rsidRPr="004F623E" w:rsidRDefault="004F623E" w:rsidP="00980136">
            <w:pPr>
              <w:keepNext/>
              <w:spacing w:before="60"/>
              <w:jc w:val="center"/>
              <w:rPr>
                <w:color w:val="000000" w:themeColor="text1"/>
                <w:lang w:eastAsia="en-GB"/>
              </w:rPr>
            </w:pPr>
            <w:r w:rsidRPr="004F623E">
              <w:rPr>
                <w:color w:val="000000" w:themeColor="text1"/>
                <w:lang w:eastAsia="en-GB"/>
              </w:rPr>
              <w:t>1 394 563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07551F" w14:textId="77777777" w:rsidR="004F623E" w:rsidRPr="004F623E" w:rsidRDefault="004F623E" w:rsidP="00980136">
            <w:pPr>
              <w:keepNext/>
              <w:spacing w:before="60"/>
              <w:jc w:val="center"/>
              <w:rPr>
                <w:color w:val="000000" w:themeColor="text1"/>
                <w:lang w:eastAsia="en-GB"/>
              </w:rPr>
            </w:pPr>
            <w:r w:rsidRPr="004F623E">
              <w:rPr>
                <w:color w:val="000000" w:themeColor="text1"/>
                <w:lang w:eastAsia="en-GB"/>
              </w:rPr>
              <w:t>12 654 438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E59388B" w14:textId="77777777" w:rsidR="004F623E" w:rsidRPr="004F623E" w:rsidRDefault="004F623E" w:rsidP="00980136">
            <w:pPr>
              <w:keepNext/>
              <w:spacing w:before="60"/>
              <w:jc w:val="center"/>
              <w:rPr>
                <w:b/>
                <w:bCs/>
                <w:color w:val="000000" w:themeColor="text1"/>
                <w:lang w:eastAsia="en-GB"/>
              </w:rPr>
            </w:pPr>
            <w:r w:rsidRPr="004F623E">
              <w:rPr>
                <w:b/>
                <w:bCs/>
                <w:color w:val="000000" w:themeColor="text1"/>
                <w:lang w:eastAsia="en-GB"/>
              </w:rPr>
              <w:t>10 188 988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FDADB68" w14:textId="3536BF1D" w:rsidR="004F623E" w:rsidRPr="004F623E" w:rsidRDefault="004F623E" w:rsidP="00980136">
            <w:pPr>
              <w:keepNext/>
              <w:spacing w:before="60"/>
              <w:jc w:val="center"/>
              <w:rPr>
                <w:b/>
                <w:bCs/>
                <w:color w:val="000000" w:themeColor="text1"/>
                <w:lang w:eastAsia="en-GB"/>
              </w:rPr>
            </w:pPr>
            <w:r w:rsidRPr="004F623E">
              <w:rPr>
                <w:b/>
                <w:bCs/>
                <w:color w:val="000000" w:themeColor="text1"/>
                <w:lang w:eastAsia="en-GB"/>
              </w:rPr>
              <w:t>%264</w:t>
            </w:r>
          </w:p>
        </w:tc>
      </w:tr>
    </w:tbl>
    <w:p w14:paraId="663CF306" w14:textId="60A1B165" w:rsidR="004F623E" w:rsidRDefault="00671C0B" w:rsidP="004F623E">
      <w:pPr>
        <w:spacing w:before="240"/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1D02CD">
        <w:rPr>
          <w:rFonts w:hint="cs"/>
          <w:rtl/>
          <w:lang w:bidi="ar-EG"/>
        </w:rPr>
        <w:t>الموظفون</w:t>
      </w:r>
      <w:r w:rsidR="001D02CD" w:rsidRPr="001D02CD">
        <w:rPr>
          <w:rtl/>
          <w:lang w:bidi="ar-EG"/>
        </w:rPr>
        <w:t xml:space="preserve"> الذين </w:t>
      </w:r>
      <w:r w:rsidR="001D02CD">
        <w:rPr>
          <w:rFonts w:hint="cs"/>
          <w:rtl/>
          <w:lang w:bidi="ar-EG"/>
        </w:rPr>
        <w:t>حظيت طلباتهم بالقبول</w:t>
      </w:r>
      <w:r w:rsidR="001D02CD" w:rsidRPr="001D02CD">
        <w:rPr>
          <w:rtl/>
          <w:lang w:bidi="ar-EG"/>
        </w:rPr>
        <w:t xml:space="preserve"> وفقا</w:t>
      </w:r>
      <w:r w:rsidR="001D02CD">
        <w:rPr>
          <w:rFonts w:hint="cs"/>
          <w:rtl/>
          <w:lang w:bidi="ar-EG"/>
        </w:rPr>
        <w:t>ً</w:t>
      </w:r>
      <w:r w:rsidR="001D02CD" w:rsidRPr="001D02CD">
        <w:rPr>
          <w:rtl/>
          <w:lang w:bidi="ar-EG"/>
        </w:rPr>
        <w:t xml:space="preserve"> للأحكام المنصوص عليها في </w:t>
      </w:r>
      <w:r w:rsidR="001D02CD">
        <w:rPr>
          <w:rFonts w:hint="cs"/>
          <w:rtl/>
          <w:lang w:bidi="ar-EG"/>
        </w:rPr>
        <w:t xml:space="preserve">الأمر الإداري </w:t>
      </w:r>
      <w:r w:rsidR="001D02CD">
        <w:rPr>
          <w:lang w:val="en-GB" w:bidi="ar-EG"/>
        </w:rPr>
        <w:t>23/03</w:t>
      </w:r>
      <w:r w:rsidR="001D02CD">
        <w:rPr>
          <w:rFonts w:hint="cs"/>
          <w:rtl/>
          <w:lang w:bidi="ar-EG"/>
        </w:rPr>
        <w:t xml:space="preserve">، </w:t>
      </w:r>
      <w:r>
        <w:rPr>
          <w:rFonts w:hint="cs"/>
          <w:rtl/>
          <w:lang w:bidi="ar-EG"/>
        </w:rPr>
        <w:t xml:space="preserve">سيتركون </w:t>
      </w:r>
      <w:r w:rsidR="001D02CD">
        <w:rPr>
          <w:rFonts w:hint="cs"/>
          <w:rtl/>
          <w:lang w:bidi="ar-EG"/>
        </w:rPr>
        <w:t>الخدمة الفعلية في</w:t>
      </w:r>
      <w:r w:rsidR="00980136">
        <w:rPr>
          <w:rFonts w:hint="eastAsia"/>
          <w:rtl/>
          <w:lang w:bidi="ar-EG"/>
        </w:rPr>
        <w:t> </w:t>
      </w:r>
      <w:r w:rsidR="001D02CD" w:rsidRPr="001D02CD">
        <w:rPr>
          <w:rtl/>
          <w:lang w:bidi="ar-EG"/>
        </w:rPr>
        <w:t xml:space="preserve">31 </w:t>
      </w:r>
      <w:r w:rsidR="001D02CD">
        <w:rPr>
          <w:rFonts w:hint="cs"/>
          <w:rtl/>
          <w:lang w:bidi="ar-EG"/>
        </w:rPr>
        <w:t>يوليو</w:t>
      </w:r>
      <w:r w:rsidR="001D02CD" w:rsidRPr="001D02CD">
        <w:rPr>
          <w:rtl/>
          <w:lang w:bidi="ar-EG"/>
        </w:rPr>
        <w:t xml:space="preserve"> 2023. ويستثنى </w:t>
      </w:r>
      <w:r w:rsidR="001D02CD">
        <w:rPr>
          <w:rFonts w:hint="cs"/>
          <w:rtl/>
          <w:lang w:bidi="ar-EG"/>
        </w:rPr>
        <w:t>منهم</w:t>
      </w:r>
      <w:r w:rsidR="001D02CD" w:rsidRPr="001D02CD">
        <w:rPr>
          <w:rtl/>
          <w:lang w:bidi="ar-EG"/>
        </w:rPr>
        <w:t xml:space="preserve"> ستة (6) موظفين تم تمديد تاريخ انتهاء خدمتهم لضمان استمرارية العمل </w:t>
      </w:r>
      <w:r>
        <w:rPr>
          <w:rFonts w:hint="cs"/>
          <w:rtl/>
          <w:lang w:bidi="ar-EG"/>
        </w:rPr>
        <w:t>و</w:t>
      </w:r>
      <w:r w:rsidR="001D02CD">
        <w:rPr>
          <w:rFonts w:hint="cs"/>
          <w:rtl/>
          <w:lang w:bidi="ar-EG"/>
        </w:rPr>
        <w:t>سيتركون الخدمة الفعلية في نهاية عام 2023 على أبعد تقدير.</w:t>
      </w:r>
    </w:p>
    <w:p w14:paraId="0D46A79E" w14:textId="77777777" w:rsidR="00F50E3F" w:rsidRDefault="00D63735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E2093" w14:textId="77777777" w:rsidR="004F623E" w:rsidRDefault="004F623E" w:rsidP="006C3242">
      <w:pPr>
        <w:spacing w:before="0" w:line="240" w:lineRule="auto"/>
      </w:pPr>
      <w:r>
        <w:separator/>
      </w:r>
    </w:p>
  </w:endnote>
  <w:endnote w:type="continuationSeparator" w:id="0">
    <w:p w14:paraId="19CB3120" w14:textId="77777777" w:rsidR="004F623E" w:rsidRDefault="004F623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78524" w14:textId="77777777" w:rsidR="00494D29" w:rsidRDefault="00494D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5CDFE9F4" w14:textId="77777777" w:rsidTr="00357086">
      <w:trPr>
        <w:jc w:val="center"/>
      </w:trPr>
      <w:tc>
        <w:tcPr>
          <w:tcW w:w="868" w:type="pct"/>
          <w:vAlign w:val="center"/>
        </w:tcPr>
        <w:p w14:paraId="11617C00" w14:textId="6D9125A3" w:rsidR="00F50E3F" w:rsidRPr="007B0AA0" w:rsidRDefault="00F50E3F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 xml:space="preserve">DPS </w:t>
          </w:r>
          <w:r w:rsidR="004F623E">
            <w:rPr>
              <w:rFonts w:ascii="Calibri" w:hAnsi="Calibri" w:cs="Arial"/>
              <w:sz w:val="18"/>
              <w:szCs w:val="14"/>
            </w:rPr>
            <w:t>521085</w:t>
          </w:r>
        </w:p>
      </w:tc>
      <w:tc>
        <w:tcPr>
          <w:tcW w:w="3912" w:type="pct"/>
        </w:tcPr>
        <w:p w14:paraId="63DED534" w14:textId="5DDE65AA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4F623E">
            <w:rPr>
              <w:rFonts w:ascii="Calibri" w:hAnsi="Calibri" w:cs="Arial"/>
              <w:bCs/>
              <w:color w:val="7F7F7F"/>
              <w:sz w:val="18"/>
            </w:rPr>
            <w:t>51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76A6177C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151F23DD" w14:textId="7B97981B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6361A4">
      <w:rPr>
        <w:color w:val="F2F2F2" w:themeColor="background1" w:themeShade="F2"/>
        <w:sz w:val="16"/>
        <w:szCs w:val="16"/>
        <w:lang w:val="fr-FR"/>
      </w:rPr>
      <w:fldChar w:fldCharType="begin"/>
    </w:r>
    <w:r w:rsidRPr="006361A4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6361A4">
      <w:rPr>
        <w:color w:val="F2F2F2" w:themeColor="background1" w:themeShade="F2"/>
        <w:sz w:val="16"/>
        <w:szCs w:val="16"/>
        <w:lang w:val="fr-FR"/>
      </w:rPr>
      <w:fldChar w:fldCharType="separate"/>
    </w:r>
    <w:r w:rsidR="00D763A7" w:rsidRPr="006361A4">
      <w:rPr>
        <w:noProof/>
        <w:color w:val="F2F2F2" w:themeColor="background1" w:themeShade="F2"/>
        <w:sz w:val="16"/>
        <w:szCs w:val="16"/>
        <w:lang w:val="fr-FR"/>
      </w:rPr>
      <w:t>P:\ARA\SG\CONSEIL\C23\000\051A.docx</w:t>
    </w:r>
    <w:r w:rsidRPr="006361A4">
      <w:rPr>
        <w:color w:val="F2F2F2" w:themeColor="background1" w:themeShade="F2"/>
        <w:sz w:val="16"/>
        <w:szCs w:val="16"/>
      </w:rPr>
      <w:fldChar w:fldCharType="end"/>
    </w:r>
    <w:r w:rsidRPr="006361A4">
      <w:rPr>
        <w:color w:val="F2F2F2" w:themeColor="background1" w:themeShade="F2"/>
        <w:sz w:val="16"/>
        <w:szCs w:val="16"/>
        <w:lang w:val="fr-CH"/>
      </w:rPr>
      <w:t xml:space="preserve">  </w:t>
    </w:r>
    <w:r w:rsidRPr="006361A4">
      <w:rPr>
        <w:color w:val="F2F2F2" w:themeColor="background1" w:themeShade="F2"/>
        <w:sz w:val="16"/>
        <w:szCs w:val="16"/>
        <w:lang w:val="fr-FR"/>
      </w:rPr>
      <w:t xml:space="preserve"> (</w:t>
    </w:r>
    <w:r w:rsidR="009B30E9" w:rsidRPr="006361A4">
      <w:rPr>
        <w:color w:val="F2F2F2" w:themeColor="background1" w:themeShade="F2"/>
        <w:sz w:val="16"/>
        <w:szCs w:val="16"/>
        <w:lang w:val="fr-FR"/>
      </w:rPr>
      <w:t>521085</w:t>
    </w:r>
    <w:r w:rsidRPr="006361A4">
      <w:rPr>
        <w:color w:val="F2F2F2" w:themeColor="background1" w:themeShade="F2"/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5C6B2294" w14:textId="77777777" w:rsidTr="00F50E3F">
      <w:trPr>
        <w:jc w:val="center"/>
      </w:trPr>
      <w:tc>
        <w:tcPr>
          <w:tcW w:w="868" w:type="pct"/>
          <w:vAlign w:val="center"/>
        </w:tcPr>
        <w:p w14:paraId="1DAF437C" w14:textId="77777777" w:rsidR="007B0AA0" w:rsidRPr="007B0AA0" w:rsidRDefault="00A6037F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67BCB46D" w14:textId="39A847E7" w:rsidR="007B0AA0" w:rsidRPr="007B0AA0" w:rsidRDefault="007B0AA0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4F623E">
            <w:rPr>
              <w:rFonts w:ascii="Calibri" w:hAnsi="Calibri" w:cs="Arial"/>
              <w:bCs/>
              <w:color w:val="7F7F7F"/>
              <w:sz w:val="18"/>
            </w:rPr>
            <w:t>51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4D62A545" w14:textId="77777777" w:rsidR="007B0AA0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151A71CB" w14:textId="61368EC3" w:rsidR="0006468A" w:rsidRPr="009B30E9" w:rsidRDefault="009B30E9" w:rsidP="009B30E9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6361A4">
      <w:rPr>
        <w:color w:val="F2F2F2" w:themeColor="background1" w:themeShade="F2"/>
        <w:sz w:val="16"/>
        <w:szCs w:val="16"/>
        <w:lang w:val="fr-FR"/>
      </w:rPr>
      <w:fldChar w:fldCharType="begin"/>
    </w:r>
    <w:r w:rsidRPr="006361A4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6361A4">
      <w:rPr>
        <w:color w:val="F2F2F2" w:themeColor="background1" w:themeShade="F2"/>
        <w:sz w:val="16"/>
        <w:szCs w:val="16"/>
        <w:lang w:val="fr-FR"/>
      </w:rPr>
      <w:fldChar w:fldCharType="separate"/>
    </w:r>
    <w:r w:rsidR="00D763A7" w:rsidRPr="006361A4">
      <w:rPr>
        <w:noProof/>
        <w:color w:val="F2F2F2" w:themeColor="background1" w:themeShade="F2"/>
        <w:sz w:val="16"/>
        <w:szCs w:val="16"/>
        <w:lang w:val="fr-FR"/>
      </w:rPr>
      <w:t>P:\ARA\SG\CONSEIL\C23\000\051A.docx</w:t>
    </w:r>
    <w:r w:rsidRPr="006361A4">
      <w:rPr>
        <w:color w:val="F2F2F2" w:themeColor="background1" w:themeShade="F2"/>
        <w:sz w:val="16"/>
        <w:szCs w:val="16"/>
      </w:rPr>
      <w:fldChar w:fldCharType="end"/>
    </w:r>
    <w:r w:rsidRPr="006361A4">
      <w:rPr>
        <w:color w:val="F2F2F2" w:themeColor="background1" w:themeShade="F2"/>
        <w:sz w:val="16"/>
        <w:szCs w:val="16"/>
        <w:lang w:val="fr-CH"/>
      </w:rPr>
      <w:t xml:space="preserve">  </w:t>
    </w:r>
    <w:r w:rsidRPr="006361A4">
      <w:rPr>
        <w:color w:val="F2F2F2" w:themeColor="background1" w:themeShade="F2"/>
        <w:sz w:val="16"/>
        <w:szCs w:val="16"/>
        <w:lang w:val="fr-FR"/>
      </w:rPr>
      <w:t xml:space="preserve"> (521085)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90BDF" w14:textId="77777777" w:rsidR="004F623E" w:rsidRDefault="004F623E" w:rsidP="006C3242">
      <w:pPr>
        <w:spacing w:before="0" w:line="240" w:lineRule="auto"/>
      </w:pPr>
      <w:r>
        <w:separator/>
      </w:r>
    </w:p>
  </w:footnote>
  <w:footnote w:type="continuationSeparator" w:id="0">
    <w:p w14:paraId="41E33FC0" w14:textId="77777777" w:rsidR="004F623E" w:rsidRDefault="004F623E" w:rsidP="006C3242">
      <w:pPr>
        <w:spacing w:before="0" w:line="240" w:lineRule="auto"/>
      </w:pPr>
      <w:r>
        <w:continuationSeparator/>
      </w:r>
    </w:p>
  </w:footnote>
  <w:footnote w:id="1">
    <w:p w14:paraId="7CDDC11D" w14:textId="767D4E64" w:rsidR="008D1191" w:rsidRPr="00D763A7" w:rsidRDefault="008D1191" w:rsidP="00D763A7">
      <w:pPr>
        <w:pStyle w:val="Footnotetexte"/>
        <w:spacing w:line="192" w:lineRule="auto"/>
        <w:rPr>
          <w:sz w:val="18"/>
          <w:szCs w:val="18"/>
          <w:rtl/>
        </w:rPr>
      </w:pPr>
      <w:r w:rsidRPr="00D763A7">
        <w:rPr>
          <w:rStyle w:val="FootnoteReference"/>
        </w:rPr>
        <w:footnoteRef/>
      </w:r>
      <w:r w:rsidRPr="00D763A7">
        <w:rPr>
          <w:sz w:val="18"/>
          <w:szCs w:val="18"/>
          <w:rtl/>
        </w:rPr>
        <w:tab/>
        <w:t>لأغراض هذا التحليل، ي</w:t>
      </w:r>
      <w:r w:rsidRPr="00D763A7">
        <w:rPr>
          <w:rFonts w:hint="cs"/>
          <w:sz w:val="18"/>
          <w:szCs w:val="18"/>
          <w:rtl/>
        </w:rPr>
        <w:t>ُ</w:t>
      </w:r>
      <w:r w:rsidRPr="00D763A7">
        <w:rPr>
          <w:sz w:val="18"/>
          <w:szCs w:val="18"/>
          <w:rtl/>
        </w:rPr>
        <w:t>عر</w:t>
      </w:r>
      <w:r w:rsidRPr="00D763A7">
        <w:rPr>
          <w:rFonts w:hint="cs"/>
          <w:sz w:val="18"/>
          <w:szCs w:val="18"/>
          <w:rtl/>
        </w:rPr>
        <w:t>ّ</w:t>
      </w:r>
      <w:r w:rsidRPr="00D763A7">
        <w:rPr>
          <w:sz w:val="18"/>
          <w:szCs w:val="18"/>
          <w:rtl/>
        </w:rPr>
        <w:t xml:space="preserve">ف </w:t>
      </w:r>
      <w:r w:rsidR="00B71889" w:rsidRPr="00D763A7">
        <w:rPr>
          <w:rFonts w:hint="cs"/>
          <w:sz w:val="18"/>
          <w:szCs w:val="18"/>
          <w:rtl/>
        </w:rPr>
        <w:t>المدى البعيد</w:t>
      </w:r>
      <w:r w:rsidRPr="00D763A7">
        <w:rPr>
          <w:sz w:val="18"/>
          <w:szCs w:val="18"/>
          <w:rtl/>
        </w:rPr>
        <w:t xml:space="preserve"> بأنه الفترة </w:t>
      </w:r>
      <w:r w:rsidRPr="00D763A7">
        <w:rPr>
          <w:rFonts w:hint="cs"/>
          <w:sz w:val="18"/>
          <w:szCs w:val="18"/>
          <w:rtl/>
        </w:rPr>
        <w:t xml:space="preserve">الممتدة من </w:t>
      </w:r>
      <w:r w:rsidRPr="00D763A7">
        <w:rPr>
          <w:sz w:val="18"/>
          <w:szCs w:val="18"/>
          <w:rtl/>
        </w:rPr>
        <w:t xml:space="preserve">أغسطس 2023 حتى نهاية الدورة </w:t>
      </w:r>
      <w:proofErr w:type="spellStart"/>
      <w:r w:rsidR="00D763A7" w:rsidRPr="00D763A7">
        <w:rPr>
          <w:rFonts w:hint="cs"/>
          <w:sz w:val="18"/>
          <w:szCs w:val="18"/>
          <w:rtl/>
        </w:rPr>
        <w:t>البرنامجي</w:t>
      </w:r>
      <w:r w:rsidR="00D763A7">
        <w:rPr>
          <w:rFonts w:hint="cs"/>
          <w:sz w:val="18"/>
          <w:szCs w:val="18"/>
          <w:rtl/>
        </w:rPr>
        <w:t>ة</w:t>
      </w:r>
      <w:proofErr w:type="spellEnd"/>
      <w:r w:rsidRPr="00D763A7">
        <w:rPr>
          <w:sz w:val="18"/>
          <w:szCs w:val="18"/>
          <w:rtl/>
        </w:rPr>
        <w:t xml:space="preserve"> التالية (2024-2027). </w:t>
      </w:r>
      <w:r w:rsidR="00F5027A" w:rsidRPr="00D763A7">
        <w:rPr>
          <w:rFonts w:hint="cs"/>
          <w:sz w:val="18"/>
          <w:szCs w:val="18"/>
          <w:rtl/>
        </w:rPr>
        <w:t>وتتحقق</w:t>
      </w:r>
      <w:r w:rsidRPr="00D763A7">
        <w:rPr>
          <w:sz w:val="18"/>
          <w:szCs w:val="18"/>
          <w:rtl/>
        </w:rPr>
        <w:t xml:space="preserve"> الوفورات </w:t>
      </w:r>
      <w:r w:rsidRPr="00D763A7">
        <w:rPr>
          <w:rFonts w:hint="cs"/>
          <w:sz w:val="18"/>
          <w:szCs w:val="18"/>
          <w:rtl/>
        </w:rPr>
        <w:t>أساساً</w:t>
      </w:r>
      <w:r w:rsidRPr="00D763A7">
        <w:rPr>
          <w:sz w:val="18"/>
          <w:szCs w:val="18"/>
          <w:rtl/>
        </w:rPr>
        <w:t xml:space="preserve"> بإلغاء الوظيفة بعد مغادرة </w:t>
      </w:r>
      <w:r w:rsidR="00F5027A" w:rsidRPr="00D763A7">
        <w:rPr>
          <w:rFonts w:hint="cs"/>
          <w:sz w:val="18"/>
          <w:szCs w:val="18"/>
          <w:rtl/>
        </w:rPr>
        <w:t>شاغلها</w:t>
      </w:r>
      <w:r w:rsidRPr="00D763A7">
        <w:rPr>
          <w:sz w:val="18"/>
          <w:szCs w:val="18"/>
          <w:rtl/>
        </w:rPr>
        <w:t xml:space="preserve"> </w:t>
      </w:r>
      <w:r w:rsidRPr="00D763A7">
        <w:rPr>
          <w:rFonts w:hint="cs"/>
          <w:sz w:val="18"/>
          <w:szCs w:val="18"/>
          <w:rtl/>
        </w:rPr>
        <w:t>أو</w:t>
      </w:r>
      <w:r w:rsidRPr="00D763A7">
        <w:rPr>
          <w:sz w:val="18"/>
          <w:szCs w:val="18"/>
          <w:rtl/>
        </w:rPr>
        <w:t xml:space="preserve">، في حالات استثنائية، عن طريق إعادة التوظيف في رتبة </w:t>
      </w:r>
      <w:r w:rsidR="00BD475C" w:rsidRPr="00D763A7">
        <w:rPr>
          <w:rFonts w:hint="cs"/>
          <w:sz w:val="18"/>
          <w:szCs w:val="18"/>
          <w:rtl/>
        </w:rPr>
        <w:t>أدنى</w:t>
      </w:r>
      <w:r w:rsidRPr="00D763A7">
        <w:rPr>
          <w:sz w:val="18"/>
          <w:szCs w:val="18"/>
          <w:rtl/>
        </w:rPr>
        <w:t>، وفي هذه الحالة يؤجل التوظيف إلى أن يتم تحقيق عائد إيجابي على الاستثمار</w:t>
      </w:r>
      <w:r w:rsidR="00BD475C" w:rsidRPr="00D763A7">
        <w:rPr>
          <w:rFonts w:hint="cs"/>
          <w:sz w:val="18"/>
          <w:szCs w:val="18"/>
          <w:rtl/>
        </w:rPr>
        <w:t>.</w:t>
      </w:r>
    </w:p>
  </w:footnote>
  <w:footnote w:id="2">
    <w:p w14:paraId="1109010D" w14:textId="68FF9D99" w:rsidR="004F623E" w:rsidRPr="00D763A7" w:rsidRDefault="004F623E" w:rsidP="00D763A7">
      <w:pPr>
        <w:pStyle w:val="Footnotetexte"/>
        <w:spacing w:line="192" w:lineRule="auto"/>
        <w:rPr>
          <w:rFonts w:ascii="Calibri" w:hAnsi="Calibri"/>
          <w:sz w:val="18"/>
          <w:szCs w:val="18"/>
          <w:rtl/>
          <w:lang w:val="en-GB" w:eastAsia="en-US"/>
        </w:rPr>
      </w:pPr>
      <w:r w:rsidRPr="00980136">
        <w:rPr>
          <w:rStyle w:val="FootnoteReference"/>
        </w:rPr>
        <w:footnoteRef/>
      </w:r>
      <w:r w:rsidRPr="00980136">
        <w:rPr>
          <w:sz w:val="18"/>
          <w:szCs w:val="18"/>
        </w:rPr>
        <w:t xml:space="preserve"> </w:t>
      </w:r>
      <w:r w:rsidRPr="00980136">
        <w:rPr>
          <w:sz w:val="18"/>
          <w:szCs w:val="18"/>
        </w:rPr>
        <w:tab/>
      </w:r>
      <w:r w:rsidR="00AA134A" w:rsidRPr="00980136">
        <w:rPr>
          <w:rFonts w:hint="cs"/>
          <w:sz w:val="18"/>
          <w:szCs w:val="18"/>
          <w:rtl/>
        </w:rPr>
        <w:t xml:space="preserve">يُحسب عائد الاستثمار بشكل عام </w:t>
      </w:r>
      <w:r w:rsidR="003D5DF5" w:rsidRPr="00980136">
        <w:rPr>
          <w:rFonts w:hint="cs"/>
          <w:sz w:val="18"/>
          <w:szCs w:val="18"/>
          <w:rtl/>
        </w:rPr>
        <w:t xml:space="preserve">على أنه </w:t>
      </w:r>
      <w:r w:rsidR="00AA134A" w:rsidRPr="00980136">
        <w:rPr>
          <w:rFonts w:hint="cs"/>
          <w:sz w:val="18"/>
          <w:szCs w:val="18"/>
          <w:rtl/>
        </w:rPr>
        <w:t xml:space="preserve">صافي الدخل/تكلفة الاستثمار. وفي هذه الحالة، يساوي عائد الاستثمار (فرنك سويسري) صافي الوفورات </w:t>
      </w:r>
      <w:r w:rsidR="00E11DA6" w:rsidRPr="00980136">
        <w:rPr>
          <w:rFonts w:hint="cs"/>
          <w:sz w:val="18"/>
          <w:szCs w:val="18"/>
          <w:rtl/>
        </w:rPr>
        <w:t>مطروحة منه</w:t>
      </w:r>
      <w:r w:rsidR="00AA134A" w:rsidRPr="00980136">
        <w:rPr>
          <w:rFonts w:hint="cs"/>
          <w:sz w:val="18"/>
          <w:szCs w:val="18"/>
          <w:rtl/>
        </w:rPr>
        <w:t xml:space="preserve"> تكلفة برنامج الإنهاء الطوعي للخدمة. عائد الاستثمار </w:t>
      </w:r>
      <w:r w:rsidR="00AA134A" w:rsidRPr="00980136">
        <w:rPr>
          <w:sz w:val="18"/>
          <w:szCs w:val="18"/>
          <w:lang w:val="en-GB"/>
        </w:rPr>
        <w:t>(%)</w:t>
      </w:r>
      <w:r w:rsidR="00AA134A" w:rsidRPr="00980136">
        <w:rPr>
          <w:rFonts w:hint="cs"/>
          <w:sz w:val="18"/>
          <w:szCs w:val="18"/>
          <w:rtl/>
          <w:lang w:val="en-GB"/>
        </w:rPr>
        <w:t xml:space="preserve"> = عائد الاستثمار (فرنك </w:t>
      </w:r>
      <w:proofErr w:type="gramStart"/>
      <w:r w:rsidR="00E40DF0" w:rsidRPr="00980136">
        <w:rPr>
          <w:rFonts w:hint="cs"/>
          <w:sz w:val="18"/>
          <w:szCs w:val="18"/>
          <w:rtl/>
          <w:lang w:val="en-GB"/>
        </w:rPr>
        <w:t>سويسري)</w:t>
      </w:r>
      <w:r w:rsidR="00630A2A">
        <w:rPr>
          <w:rFonts w:hint="cs"/>
          <w:sz w:val="18"/>
          <w:szCs w:val="18"/>
          <w:rtl/>
          <w:lang w:val="en-GB"/>
        </w:rPr>
        <w:t>/</w:t>
      </w:r>
      <w:proofErr w:type="gramEnd"/>
      <w:r w:rsidR="00AA134A" w:rsidRPr="00980136">
        <w:rPr>
          <w:rFonts w:hint="cs"/>
          <w:sz w:val="18"/>
          <w:szCs w:val="18"/>
          <w:rtl/>
          <w:lang w:val="en-GB"/>
        </w:rPr>
        <w:t>تكلفة برنامج الإنهاء الطوعي للخدمة.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6A714" w14:textId="77777777" w:rsidR="00494D29" w:rsidRDefault="00494D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BE507" w14:textId="77777777" w:rsidR="00494D29" w:rsidRDefault="00494D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B05B5" w14:textId="77777777" w:rsidR="007B0AA0" w:rsidRDefault="00D13941" w:rsidP="007B0AA0">
    <w:pPr>
      <w:pStyle w:val="Header"/>
      <w:spacing w:before="120" w:after="240"/>
    </w:pPr>
    <w:r>
      <w:rPr>
        <w:noProof/>
      </w:rPr>
      <w:drawing>
        <wp:inline distT="0" distB="0" distL="0" distR="0" wp14:anchorId="5B16E76C" wp14:editId="18B912F2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3E"/>
    <w:rsid w:val="00010C3B"/>
    <w:rsid w:val="00042AF2"/>
    <w:rsid w:val="0006468A"/>
    <w:rsid w:val="00076558"/>
    <w:rsid w:val="00083553"/>
    <w:rsid w:val="00090574"/>
    <w:rsid w:val="000933EF"/>
    <w:rsid w:val="000A20BD"/>
    <w:rsid w:val="000B2AFC"/>
    <w:rsid w:val="000C1C0E"/>
    <w:rsid w:val="000C548A"/>
    <w:rsid w:val="001756A9"/>
    <w:rsid w:val="001808B4"/>
    <w:rsid w:val="001A58DD"/>
    <w:rsid w:val="001C0169"/>
    <w:rsid w:val="001D02CD"/>
    <w:rsid w:val="001D1D50"/>
    <w:rsid w:val="001D2531"/>
    <w:rsid w:val="001D6745"/>
    <w:rsid w:val="001E446E"/>
    <w:rsid w:val="00204517"/>
    <w:rsid w:val="002154EE"/>
    <w:rsid w:val="002276D2"/>
    <w:rsid w:val="0023283D"/>
    <w:rsid w:val="00236701"/>
    <w:rsid w:val="0026373E"/>
    <w:rsid w:val="00271C43"/>
    <w:rsid w:val="00290728"/>
    <w:rsid w:val="00296CF5"/>
    <w:rsid w:val="002978F4"/>
    <w:rsid w:val="002B028D"/>
    <w:rsid w:val="002C482E"/>
    <w:rsid w:val="002E6541"/>
    <w:rsid w:val="002F4F8C"/>
    <w:rsid w:val="00304F53"/>
    <w:rsid w:val="003146C5"/>
    <w:rsid w:val="00334924"/>
    <w:rsid w:val="003409BC"/>
    <w:rsid w:val="00357185"/>
    <w:rsid w:val="00371AEB"/>
    <w:rsid w:val="00383829"/>
    <w:rsid w:val="00394885"/>
    <w:rsid w:val="003D5DF5"/>
    <w:rsid w:val="003F4B29"/>
    <w:rsid w:val="0042686F"/>
    <w:rsid w:val="004317D8"/>
    <w:rsid w:val="00434183"/>
    <w:rsid w:val="00443869"/>
    <w:rsid w:val="00447F32"/>
    <w:rsid w:val="00494D29"/>
    <w:rsid w:val="004B7334"/>
    <w:rsid w:val="004E11DC"/>
    <w:rsid w:val="004E2DB1"/>
    <w:rsid w:val="004E7B5B"/>
    <w:rsid w:val="004F623E"/>
    <w:rsid w:val="00525DDD"/>
    <w:rsid w:val="005409AC"/>
    <w:rsid w:val="00551E57"/>
    <w:rsid w:val="0055516A"/>
    <w:rsid w:val="0058491B"/>
    <w:rsid w:val="00592EA5"/>
    <w:rsid w:val="00594CA9"/>
    <w:rsid w:val="005A3170"/>
    <w:rsid w:val="005D7AF0"/>
    <w:rsid w:val="005F3BFF"/>
    <w:rsid w:val="00612A7A"/>
    <w:rsid w:val="00630A2A"/>
    <w:rsid w:val="006361A4"/>
    <w:rsid w:val="00671C0B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353F3"/>
    <w:rsid w:val="0074420E"/>
    <w:rsid w:val="0074784B"/>
    <w:rsid w:val="00750D58"/>
    <w:rsid w:val="00775125"/>
    <w:rsid w:val="00783E26"/>
    <w:rsid w:val="007B0AA0"/>
    <w:rsid w:val="007C3BC7"/>
    <w:rsid w:val="007C3BCD"/>
    <w:rsid w:val="007D4ACF"/>
    <w:rsid w:val="007F0787"/>
    <w:rsid w:val="00806AC2"/>
    <w:rsid w:val="00810B7B"/>
    <w:rsid w:val="0082358A"/>
    <w:rsid w:val="008235CD"/>
    <w:rsid w:val="008247DE"/>
    <w:rsid w:val="008339C0"/>
    <w:rsid w:val="00840B10"/>
    <w:rsid w:val="008513CB"/>
    <w:rsid w:val="00864D88"/>
    <w:rsid w:val="00867DDC"/>
    <w:rsid w:val="008A7F84"/>
    <w:rsid w:val="008C4A1E"/>
    <w:rsid w:val="008D1191"/>
    <w:rsid w:val="0090300D"/>
    <w:rsid w:val="00905E95"/>
    <w:rsid w:val="0091702E"/>
    <w:rsid w:val="009212B8"/>
    <w:rsid w:val="00923B0C"/>
    <w:rsid w:val="0094021C"/>
    <w:rsid w:val="00952F86"/>
    <w:rsid w:val="00977D45"/>
    <w:rsid w:val="00980136"/>
    <w:rsid w:val="00982B28"/>
    <w:rsid w:val="009B30E9"/>
    <w:rsid w:val="009D313F"/>
    <w:rsid w:val="00A06854"/>
    <w:rsid w:val="00A206C7"/>
    <w:rsid w:val="00A32C31"/>
    <w:rsid w:val="00A47A5A"/>
    <w:rsid w:val="00A6037F"/>
    <w:rsid w:val="00A6683B"/>
    <w:rsid w:val="00A97F94"/>
    <w:rsid w:val="00AA134A"/>
    <w:rsid w:val="00AA7EA2"/>
    <w:rsid w:val="00B03099"/>
    <w:rsid w:val="00B05BC8"/>
    <w:rsid w:val="00B269D3"/>
    <w:rsid w:val="00B43DAD"/>
    <w:rsid w:val="00B55BB5"/>
    <w:rsid w:val="00B64B47"/>
    <w:rsid w:val="00B71889"/>
    <w:rsid w:val="00B95654"/>
    <w:rsid w:val="00BD475C"/>
    <w:rsid w:val="00C002DE"/>
    <w:rsid w:val="00C25F68"/>
    <w:rsid w:val="00C53BF8"/>
    <w:rsid w:val="00C66157"/>
    <w:rsid w:val="00C674FE"/>
    <w:rsid w:val="00C67501"/>
    <w:rsid w:val="00C75633"/>
    <w:rsid w:val="00C777E7"/>
    <w:rsid w:val="00CA1E2E"/>
    <w:rsid w:val="00CD6EC6"/>
    <w:rsid w:val="00CE2EE1"/>
    <w:rsid w:val="00CE3349"/>
    <w:rsid w:val="00CE36E5"/>
    <w:rsid w:val="00CF27F5"/>
    <w:rsid w:val="00CF2B15"/>
    <w:rsid w:val="00CF3FFD"/>
    <w:rsid w:val="00D10CCF"/>
    <w:rsid w:val="00D12355"/>
    <w:rsid w:val="00D13941"/>
    <w:rsid w:val="00D53057"/>
    <w:rsid w:val="00D63735"/>
    <w:rsid w:val="00D763A7"/>
    <w:rsid w:val="00D77D0F"/>
    <w:rsid w:val="00D8318C"/>
    <w:rsid w:val="00DA1CF0"/>
    <w:rsid w:val="00DC1E02"/>
    <w:rsid w:val="00DC24B4"/>
    <w:rsid w:val="00DC5FB0"/>
    <w:rsid w:val="00DF16DC"/>
    <w:rsid w:val="00E06A99"/>
    <w:rsid w:val="00E11DA6"/>
    <w:rsid w:val="00E137AC"/>
    <w:rsid w:val="00E40DF0"/>
    <w:rsid w:val="00E45211"/>
    <w:rsid w:val="00E473C5"/>
    <w:rsid w:val="00E61BE8"/>
    <w:rsid w:val="00E92863"/>
    <w:rsid w:val="00EB796D"/>
    <w:rsid w:val="00F058DC"/>
    <w:rsid w:val="00F208B6"/>
    <w:rsid w:val="00F24FC4"/>
    <w:rsid w:val="00F2676C"/>
    <w:rsid w:val="00F363FE"/>
    <w:rsid w:val="00F4372F"/>
    <w:rsid w:val="00F5027A"/>
    <w:rsid w:val="00F50E3F"/>
    <w:rsid w:val="00F63306"/>
    <w:rsid w:val="00F656BA"/>
    <w:rsid w:val="00F7529C"/>
    <w:rsid w:val="00F84366"/>
    <w:rsid w:val="00F84CE1"/>
    <w:rsid w:val="00F85089"/>
    <w:rsid w:val="00F974C5"/>
    <w:rsid w:val="00FA6F46"/>
    <w:rsid w:val="00FC4592"/>
    <w:rsid w:val="00FD2153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DA1BF"/>
  <w15:chartTrackingRefBased/>
  <w15:docId w15:val="{4ED83477-3F8C-49A2-95C2-7D7C882E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D763A7"/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F62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7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6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1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0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94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36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51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12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947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849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995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1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2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1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11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64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274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18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583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689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15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2-CEXT23-C-0007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</Company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Implementation of the voluntary separation programme</dc:title>
  <dc:subject>Council 2023</dc:subject>
  <dc:creator>Arabic_GE</dc:creator>
  <cp:keywords>C2023, C23, Council-23</cp:keywords>
  <dc:description/>
  <cp:lastModifiedBy>Xue, Kun</cp:lastModifiedBy>
  <cp:revision>4</cp:revision>
  <dcterms:created xsi:type="dcterms:W3CDTF">2023-07-06T18:17:00Z</dcterms:created>
  <dcterms:modified xsi:type="dcterms:W3CDTF">2023-07-06T18:17:00Z</dcterms:modified>
  <cp:category>Conference document</cp:category>
</cp:coreProperties>
</file>