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051142" w14:paraId="7CE4A96C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AB2F2AE" w14:textId="0929B259" w:rsidR="00796BD3" w:rsidRPr="00051142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051142">
              <w:rPr>
                <w:b/>
                <w:lang w:val="ru-RU" w:bidi="ru-RU"/>
              </w:rPr>
              <w:t>Пункт повестки дня</w:t>
            </w:r>
            <w:r w:rsidRPr="00051142">
              <w:rPr>
                <w:lang w:val="ru-RU" w:bidi="ru-RU"/>
              </w:rPr>
              <w:t>:</w:t>
            </w:r>
            <w:r w:rsidRPr="00051142">
              <w:rPr>
                <w:b/>
                <w:lang w:val="ru-RU" w:bidi="ru-RU"/>
              </w:rPr>
              <w:t xml:space="preserve"> PL 2</w:t>
            </w:r>
          </w:p>
        </w:tc>
        <w:tc>
          <w:tcPr>
            <w:tcW w:w="5245" w:type="dxa"/>
          </w:tcPr>
          <w:p w14:paraId="7E14BEB2" w14:textId="07A23B64" w:rsidR="00796BD3" w:rsidRPr="00051142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51142">
              <w:rPr>
                <w:b/>
                <w:lang w:val="ru-RU" w:bidi="ru-RU"/>
              </w:rPr>
              <w:t>Документ C23/49-R</w:t>
            </w:r>
          </w:p>
        </w:tc>
      </w:tr>
      <w:tr w:rsidR="00796BD3" w:rsidRPr="00051142" w14:paraId="1615FA3A" w14:textId="77777777" w:rsidTr="0099131E">
        <w:trPr>
          <w:cantSplit/>
        </w:trPr>
        <w:tc>
          <w:tcPr>
            <w:tcW w:w="3969" w:type="dxa"/>
            <w:vMerge/>
          </w:tcPr>
          <w:p w14:paraId="6B4490B0" w14:textId="77777777" w:rsidR="00796BD3" w:rsidRPr="00051142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6FA4E7" w14:textId="2A339025" w:rsidR="00796BD3" w:rsidRPr="00051142" w:rsidRDefault="00CD7E86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051142">
              <w:rPr>
                <w:b/>
                <w:lang w:val="ru-RU" w:bidi="ru-RU"/>
              </w:rPr>
              <w:t>12 июня 2023 года</w:t>
            </w:r>
          </w:p>
        </w:tc>
      </w:tr>
      <w:tr w:rsidR="00796BD3" w:rsidRPr="00051142" w14:paraId="42EFB6F1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42D4169" w14:textId="77777777" w:rsidR="00796BD3" w:rsidRPr="00051142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73337C8" w14:textId="77777777" w:rsidR="00796BD3" w:rsidRPr="00051142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51142">
              <w:rPr>
                <w:b/>
                <w:lang w:val="ru-RU" w:bidi="ru-RU"/>
              </w:rPr>
              <w:t>Оригинал: английский</w:t>
            </w:r>
          </w:p>
        </w:tc>
      </w:tr>
      <w:tr w:rsidR="00796BD3" w:rsidRPr="00051142" w14:paraId="705A2A0C" w14:textId="77777777" w:rsidTr="0099131E">
        <w:trPr>
          <w:cantSplit/>
          <w:trHeight w:val="23"/>
        </w:trPr>
        <w:tc>
          <w:tcPr>
            <w:tcW w:w="3969" w:type="dxa"/>
          </w:tcPr>
          <w:p w14:paraId="014A19BD" w14:textId="77777777" w:rsidR="00796BD3" w:rsidRPr="00051142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2CA2781" w14:textId="77777777" w:rsidR="00796BD3" w:rsidRPr="00051142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051142" w14:paraId="3D1508ED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0BFDD1" w14:textId="77777777" w:rsidR="00796BD3" w:rsidRPr="00051142" w:rsidRDefault="0033025A" w:rsidP="0099131E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051142">
              <w:rPr>
                <w:sz w:val="32"/>
                <w:lang w:val="ru-RU" w:bidi="ru-RU"/>
              </w:rPr>
              <w:t>Отчет Генерального секретаря</w:t>
            </w:r>
          </w:p>
        </w:tc>
      </w:tr>
      <w:tr w:rsidR="00796BD3" w:rsidRPr="00051142" w14:paraId="1E7D340B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B04494E" w14:textId="0E609CDB" w:rsidR="00796BD3" w:rsidRPr="00051142" w:rsidRDefault="00CD7E86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_Hlk136507695"/>
            <w:bookmarkStart w:id="7" w:name="lt_pId012"/>
            <w:bookmarkStart w:id="8" w:name="dtitle1" w:colFirst="0" w:colLast="0"/>
            <w:bookmarkEnd w:id="5"/>
            <w:r w:rsidRPr="00051142">
              <w:rPr>
                <w:sz w:val="32"/>
                <w:lang w:val="ru-RU" w:bidi="ru-RU"/>
              </w:rPr>
              <w:t>СОТРУДНИЧЕСТВО С СИСТЕМОЙ ОРГАНИЗАЦИИ ОБЪЕДИНЕННЫХ НАЦИЙ И ДРУГИМИ МЕЖДУНАРОДНЫМИ МЕЖПРАВИТЕЛЬСТВЕННЫМИ ПРОЦЕССАМИ</w:t>
            </w:r>
            <w:bookmarkEnd w:id="6"/>
            <w:r w:rsidRPr="00051142">
              <w:rPr>
                <w:sz w:val="32"/>
                <w:lang w:val="ru-RU" w:bidi="ru-RU"/>
              </w:rPr>
              <w:t>, В ТОМ ЧИСЛЕ В</w:t>
            </w:r>
            <w:r w:rsidR="00F76BB2" w:rsidRPr="00051142">
              <w:rPr>
                <w:sz w:val="32"/>
                <w:lang w:val="ru-RU" w:bidi="ru-RU"/>
              </w:rPr>
              <w:t> </w:t>
            </w:r>
            <w:r w:rsidRPr="00051142">
              <w:rPr>
                <w:sz w:val="32"/>
                <w:lang w:val="ru-RU" w:bidi="ru-RU"/>
              </w:rPr>
              <w:t>ОБЛАСТИ РАЗРАБОТКИ СТАНДАРТОВ</w:t>
            </w:r>
            <w:bookmarkEnd w:id="7"/>
          </w:p>
        </w:tc>
      </w:tr>
      <w:tr w:rsidR="00796BD3" w:rsidRPr="004B7BE9" w14:paraId="7B0F0CD3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4424377" w14:textId="5AE64F5F" w:rsidR="00796BD3" w:rsidRPr="00051142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051142">
              <w:rPr>
                <w:b/>
                <w:sz w:val="24"/>
                <w:lang w:val="ru-RU" w:bidi="ru-RU"/>
              </w:rPr>
              <w:t>Назначение</w:t>
            </w:r>
          </w:p>
          <w:p w14:paraId="3D231249" w14:textId="57599B0F" w:rsidR="00796BD3" w:rsidRPr="00051142" w:rsidRDefault="00CD7E86" w:rsidP="0099131E">
            <w:pPr>
              <w:rPr>
                <w:lang w:val="ru-RU"/>
              </w:rPr>
            </w:pPr>
            <w:bookmarkStart w:id="9" w:name="lt_pId014"/>
            <w:r w:rsidRPr="00051142">
              <w:rPr>
                <w:lang w:val="ru-RU" w:bidi="ru-RU"/>
              </w:rPr>
              <w:t xml:space="preserve">В настоящем отчете представлены некоторые </w:t>
            </w:r>
            <w:r w:rsidR="003F59E7" w:rsidRPr="00051142">
              <w:rPr>
                <w:lang w:val="ru-RU" w:bidi="ru-RU"/>
              </w:rPr>
              <w:t>ключевые</w:t>
            </w:r>
            <w:r w:rsidRPr="00051142">
              <w:rPr>
                <w:lang w:val="ru-RU" w:bidi="ru-RU"/>
              </w:rPr>
              <w:t xml:space="preserve"> аспекты вклада МСЭ и его участия в основных конференциях, процессах и рабочих направлениях Организации Объединенных Наций по цифровой тематике, включая аспекты доклада Генерального секретаря </w:t>
            </w:r>
            <w:r w:rsidR="00206A6D" w:rsidRPr="00051142">
              <w:rPr>
                <w:lang w:val="ru-RU" w:bidi="ru-RU"/>
              </w:rPr>
              <w:t>Организации Объединенных Наций</w:t>
            </w:r>
            <w:r w:rsidRPr="00051142">
              <w:rPr>
                <w:lang w:val="ru-RU" w:bidi="ru-RU"/>
              </w:rPr>
              <w:t xml:space="preserve"> "Наша общая повестка дня".</w:t>
            </w:r>
            <w:bookmarkEnd w:id="9"/>
            <w:r w:rsidRPr="00051142">
              <w:rPr>
                <w:lang w:val="ru-RU" w:bidi="ru-RU"/>
              </w:rPr>
              <w:t xml:space="preserve"> </w:t>
            </w:r>
            <w:bookmarkStart w:id="10" w:name="lt_pId015"/>
            <w:r w:rsidRPr="00051142">
              <w:rPr>
                <w:lang w:val="ru-RU" w:bidi="ru-RU"/>
              </w:rPr>
              <w:t>Более полное описание можно найти в информационном документе о сотрудничестве с системой Организации Объединенных Наций.</w:t>
            </w:r>
            <w:bookmarkEnd w:id="10"/>
          </w:p>
          <w:p w14:paraId="05813D22" w14:textId="77777777" w:rsidR="00796BD3" w:rsidRPr="00051142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051142">
              <w:rPr>
                <w:b/>
                <w:sz w:val="24"/>
                <w:lang w:val="ru-RU" w:bidi="ru-RU"/>
              </w:rPr>
              <w:t>Необходимые действия Совета</w:t>
            </w:r>
          </w:p>
          <w:p w14:paraId="1592145C" w14:textId="50C2852F" w:rsidR="00DC600B" w:rsidRPr="00051142" w:rsidRDefault="000D2148" w:rsidP="00DC600B">
            <w:pPr>
              <w:rPr>
                <w:lang w:val="ru-RU"/>
              </w:rPr>
            </w:pPr>
            <w:r w:rsidRPr="00051142">
              <w:rPr>
                <w:lang w:val="ru-RU" w:bidi="ru-RU"/>
              </w:rPr>
              <w:t xml:space="preserve">Совету предлагается </w:t>
            </w:r>
            <w:r w:rsidRPr="00051142">
              <w:rPr>
                <w:b/>
                <w:lang w:val="ru-RU" w:bidi="ru-RU"/>
              </w:rPr>
              <w:t xml:space="preserve">принять к сведению </w:t>
            </w:r>
            <w:r w:rsidRPr="00051142">
              <w:rPr>
                <w:lang w:val="ru-RU" w:bidi="ru-RU"/>
              </w:rPr>
              <w:t>настоящий отчет.</w:t>
            </w:r>
          </w:p>
          <w:p w14:paraId="57077B00" w14:textId="77777777" w:rsidR="00796BD3" w:rsidRPr="00051142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051142">
              <w:rPr>
                <w:b/>
                <w:sz w:val="24"/>
                <w:lang w:val="ru-RU" w:bidi="ru-RU"/>
              </w:rPr>
              <w:t>Соответствующая увязка со Стратегическим планом</w:t>
            </w:r>
          </w:p>
          <w:bookmarkStart w:id="11" w:name="lt_pId019"/>
          <w:p w14:paraId="5506A28A" w14:textId="3F3EE237" w:rsidR="00796BD3" w:rsidRPr="00051142" w:rsidRDefault="00CD7E86" w:rsidP="0099131E">
            <w:pPr>
              <w:rPr>
                <w:lang w:val="ru-RU"/>
              </w:rPr>
            </w:pPr>
            <w:r w:rsidRPr="00051142">
              <w:rPr>
                <w:lang w:val="ru-RU" w:bidi="ru-RU"/>
              </w:rPr>
              <w:fldChar w:fldCharType="begin"/>
            </w:r>
            <w:r w:rsidRPr="00051142">
              <w:rPr>
                <w:lang w:val="ru-RU" w:bidi="ru-RU"/>
              </w:rPr>
              <w:instrText xml:space="preserve"> HYPERLINK "https://www.itu.int/en/council/planning/Documents/Res71-PP2-final.pdf" </w:instrText>
            </w:r>
            <w:r w:rsidRPr="00051142">
              <w:rPr>
                <w:lang w:val="ru-RU" w:bidi="ru-RU"/>
              </w:rPr>
            </w:r>
            <w:r w:rsidRPr="00051142">
              <w:rPr>
                <w:lang w:val="ru-RU" w:bidi="ru-RU"/>
              </w:rPr>
              <w:fldChar w:fldCharType="separate"/>
            </w:r>
            <w:r w:rsidRPr="00051142">
              <w:rPr>
                <w:rStyle w:val="Hyperlink"/>
                <w:lang w:val="ru-RU" w:bidi="ru-RU"/>
              </w:rPr>
              <w:t>Резолюция 71 (</w:t>
            </w:r>
            <w:proofErr w:type="spellStart"/>
            <w:r w:rsidRPr="00051142">
              <w:rPr>
                <w:rStyle w:val="Hyperlink"/>
                <w:lang w:val="ru-RU" w:bidi="ru-RU"/>
              </w:rPr>
              <w:t>Пересм</w:t>
            </w:r>
            <w:proofErr w:type="spellEnd"/>
            <w:r w:rsidRPr="00051142">
              <w:rPr>
                <w:rStyle w:val="Hyperlink"/>
                <w:lang w:val="ru-RU" w:bidi="ru-RU"/>
              </w:rPr>
              <w:t>. Бухарест, 2022 г.) Полномочной конференции</w:t>
            </w:r>
            <w:r w:rsidRPr="00051142">
              <w:rPr>
                <w:lang w:val="ru-RU" w:bidi="ru-RU"/>
              </w:rPr>
              <w:fldChar w:fldCharType="end"/>
            </w:r>
            <w:r w:rsidRPr="00051142">
              <w:rPr>
                <w:lang w:val="ru-RU" w:bidi="ru-RU"/>
              </w:rPr>
              <w:t xml:space="preserve">, включая Приложение 2 к ней и, в частности, </w:t>
            </w:r>
            <w:r w:rsidR="00206A6D" w:rsidRPr="00051142">
              <w:rPr>
                <w:lang w:val="ru-RU" w:bidi="ru-RU"/>
              </w:rPr>
              <w:t xml:space="preserve">п. </w:t>
            </w:r>
            <w:r w:rsidRPr="00051142">
              <w:rPr>
                <w:lang w:val="ru-RU" w:bidi="ru-RU"/>
              </w:rPr>
              <w:t xml:space="preserve">72 </w:t>
            </w:r>
            <w:r w:rsidR="00F76BB2" w:rsidRPr="00051142">
              <w:rPr>
                <w:lang w:val="ru-RU" w:bidi="ru-RU"/>
              </w:rPr>
              <w:t xml:space="preserve">Стратегического </w:t>
            </w:r>
            <w:r w:rsidRPr="00051142">
              <w:rPr>
                <w:lang w:val="ru-RU" w:bidi="ru-RU"/>
              </w:rPr>
              <w:t xml:space="preserve">плана и </w:t>
            </w:r>
            <w:r w:rsidR="00206A6D" w:rsidRPr="00051142">
              <w:rPr>
                <w:lang w:val="ru-RU" w:bidi="ru-RU"/>
              </w:rPr>
              <w:t>пп.</w:t>
            </w:r>
            <w:r w:rsidRPr="00051142">
              <w:rPr>
                <w:lang w:val="ru-RU" w:bidi="ru-RU"/>
              </w:rPr>
              <w:t> 1</w:t>
            </w:r>
            <w:r w:rsidR="00EB5E41" w:rsidRPr="00051142">
              <w:rPr>
                <w:lang w:val="ru-RU" w:bidi="ru-RU"/>
              </w:rPr>
              <w:t>–</w:t>
            </w:r>
            <w:r w:rsidRPr="00051142">
              <w:rPr>
                <w:lang w:val="ru-RU" w:bidi="ru-RU"/>
              </w:rPr>
              <w:t>6 Приложения 2.</w:t>
            </w:r>
            <w:bookmarkEnd w:id="11"/>
          </w:p>
          <w:p w14:paraId="7A96656A" w14:textId="2CF476F0" w:rsidR="00796BD3" w:rsidRPr="00051142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051142">
              <w:rPr>
                <w:b/>
                <w:sz w:val="24"/>
                <w:lang w:val="ru-RU" w:bidi="ru-RU"/>
              </w:rPr>
              <w:t>Финансовые последствия</w:t>
            </w:r>
          </w:p>
          <w:p w14:paraId="3F441306" w14:textId="2FB2CAC8" w:rsidR="00DC600B" w:rsidRPr="00051142" w:rsidRDefault="00DC600B" w:rsidP="005039F9">
            <w:pPr>
              <w:rPr>
                <w:lang w:val="ru-RU"/>
              </w:rPr>
            </w:pPr>
            <w:r w:rsidRPr="00051142">
              <w:rPr>
                <w:lang w:val="ru-RU" w:bidi="ru-RU"/>
              </w:rPr>
              <w:t>Отсутствуют.</w:t>
            </w:r>
          </w:p>
          <w:p w14:paraId="76BD992D" w14:textId="06DF4AC5" w:rsidR="00796BD3" w:rsidRPr="00051142" w:rsidRDefault="00796BD3" w:rsidP="0099131E">
            <w:pPr>
              <w:spacing w:before="160"/>
              <w:rPr>
                <w:caps/>
                <w:szCs w:val="22"/>
                <w:lang w:val="ru-RU"/>
              </w:rPr>
            </w:pPr>
            <w:r w:rsidRPr="00051142">
              <w:rPr>
                <w:lang w:val="ru-RU" w:bidi="ru-RU"/>
              </w:rPr>
              <w:t>__________________</w:t>
            </w:r>
          </w:p>
          <w:p w14:paraId="62AA5559" w14:textId="77777777" w:rsidR="00796BD3" w:rsidRPr="00051142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051142">
              <w:rPr>
                <w:b/>
                <w:sz w:val="24"/>
                <w:lang w:val="ru-RU" w:bidi="ru-RU"/>
              </w:rPr>
              <w:t>Справочные материалы</w:t>
            </w:r>
          </w:p>
          <w:p w14:paraId="3B9916DE" w14:textId="7681D146" w:rsidR="00796BD3" w:rsidRPr="00051142" w:rsidRDefault="00CD7E86" w:rsidP="0099131E">
            <w:pPr>
              <w:spacing w:after="120"/>
              <w:rPr>
                <w:i/>
                <w:iCs/>
                <w:lang w:val="ru-RU"/>
              </w:rPr>
            </w:pPr>
            <w:bookmarkStart w:id="12" w:name="lt_pId024"/>
            <w:r w:rsidRPr="00051142">
              <w:rPr>
                <w:i/>
                <w:lang w:val="ru-RU" w:bidi="ru-RU"/>
              </w:rPr>
              <w:t xml:space="preserve">Документы </w:t>
            </w:r>
            <w:hyperlink r:id="rId7" w:history="1">
              <w:r w:rsidRPr="00051142">
                <w:rPr>
                  <w:rStyle w:val="Hyperlink"/>
                  <w:i/>
                  <w:lang w:val="ru-RU" w:bidi="ru-RU"/>
                </w:rPr>
                <w:t>C08/INF/8</w:t>
              </w:r>
            </w:hyperlink>
            <w:r w:rsidRPr="00051142">
              <w:rPr>
                <w:i/>
                <w:lang w:val="ru-RU" w:bidi="ru-RU"/>
              </w:rPr>
              <w:t xml:space="preserve">, </w:t>
            </w:r>
            <w:hyperlink r:id="rId8" w:history="1">
              <w:r w:rsidRPr="00051142">
                <w:rPr>
                  <w:rStyle w:val="Hyperlink"/>
                  <w:i/>
                  <w:lang w:val="ru-RU" w:bidi="ru-RU"/>
                </w:rPr>
                <w:t>C11/INF/6</w:t>
              </w:r>
            </w:hyperlink>
            <w:r w:rsidRPr="00051142">
              <w:rPr>
                <w:i/>
                <w:lang w:val="ru-RU" w:bidi="ru-RU"/>
              </w:rPr>
              <w:t xml:space="preserve">, </w:t>
            </w:r>
            <w:hyperlink r:id="rId9" w:history="1">
              <w:r w:rsidRPr="00051142">
                <w:rPr>
                  <w:rStyle w:val="Hyperlink"/>
                  <w:i/>
                  <w:lang w:val="ru-RU" w:bidi="ru-RU"/>
                </w:rPr>
                <w:t>C12/INF/1(Rev.1)</w:t>
              </w:r>
            </w:hyperlink>
            <w:r w:rsidRPr="00051142">
              <w:rPr>
                <w:i/>
                <w:lang w:val="ru-RU" w:bidi="ru-RU"/>
              </w:rPr>
              <w:t xml:space="preserve">, </w:t>
            </w:r>
            <w:hyperlink r:id="rId10" w:history="1">
              <w:r w:rsidRPr="00051142">
                <w:rPr>
                  <w:rStyle w:val="Hyperlink"/>
                  <w:i/>
                  <w:lang w:val="ru-RU" w:bidi="ru-RU"/>
                </w:rPr>
                <w:t>C13/INF/10</w:t>
              </w:r>
            </w:hyperlink>
            <w:r w:rsidRPr="00051142">
              <w:rPr>
                <w:i/>
                <w:lang w:val="ru-RU" w:bidi="ru-RU"/>
              </w:rPr>
              <w:t xml:space="preserve">, </w:t>
            </w:r>
            <w:hyperlink r:id="rId11" w:history="1">
              <w:r w:rsidRPr="00051142">
                <w:rPr>
                  <w:rStyle w:val="Hyperlink"/>
                  <w:i/>
                  <w:lang w:val="ru-RU" w:bidi="ru-RU"/>
                </w:rPr>
                <w:t>C14/INF/7</w:t>
              </w:r>
            </w:hyperlink>
            <w:r w:rsidRPr="00051142">
              <w:rPr>
                <w:i/>
                <w:lang w:val="ru-RU" w:bidi="ru-RU"/>
              </w:rPr>
              <w:t xml:space="preserve">, </w:t>
            </w:r>
            <w:hyperlink r:id="rId12" w:history="1">
              <w:r w:rsidRPr="00051142">
                <w:rPr>
                  <w:rStyle w:val="Hyperlink"/>
                  <w:i/>
                  <w:lang w:val="ru-RU" w:bidi="ru-RU"/>
                </w:rPr>
                <w:t>C15/INF/4</w:t>
              </w:r>
            </w:hyperlink>
            <w:r w:rsidRPr="00051142">
              <w:rPr>
                <w:i/>
                <w:lang w:val="ru-RU" w:bidi="ru-RU"/>
              </w:rPr>
              <w:t xml:space="preserve">, </w:t>
            </w:r>
            <w:hyperlink r:id="rId13" w:history="1">
              <w:r w:rsidRPr="00051142">
                <w:rPr>
                  <w:rStyle w:val="Hyperlink"/>
                  <w:i/>
                  <w:lang w:val="ru-RU" w:bidi="ru-RU"/>
                </w:rPr>
                <w:t>C16/57</w:t>
              </w:r>
            </w:hyperlink>
            <w:r w:rsidRPr="00051142">
              <w:rPr>
                <w:i/>
                <w:lang w:val="ru-RU" w:bidi="ru-RU"/>
              </w:rPr>
              <w:t xml:space="preserve"> и </w:t>
            </w:r>
            <w:hyperlink r:id="rId14" w:history="1">
              <w:r w:rsidRPr="00051142">
                <w:rPr>
                  <w:rStyle w:val="Hyperlink"/>
                  <w:i/>
                  <w:lang w:val="ru-RU" w:bidi="ru-RU"/>
                </w:rPr>
                <w:t>C17/INF/10</w:t>
              </w:r>
            </w:hyperlink>
            <w:r w:rsidRPr="00051142">
              <w:rPr>
                <w:i/>
                <w:lang w:val="ru-RU" w:bidi="ru-RU"/>
              </w:rPr>
              <w:t xml:space="preserve">, </w:t>
            </w:r>
            <w:hyperlink r:id="rId15" w:history="1">
              <w:r w:rsidRPr="00051142">
                <w:rPr>
                  <w:rStyle w:val="Hyperlink"/>
                  <w:i/>
                  <w:lang w:val="ru-RU" w:bidi="ru-RU"/>
                </w:rPr>
                <w:t>C18/INF/4</w:t>
              </w:r>
            </w:hyperlink>
            <w:r w:rsidRPr="00051142">
              <w:rPr>
                <w:i/>
                <w:lang w:val="ru-RU" w:bidi="ru-RU"/>
              </w:rPr>
              <w:t xml:space="preserve">, </w:t>
            </w:r>
            <w:hyperlink r:id="rId16" w:history="1">
              <w:r w:rsidRPr="00051142">
                <w:rPr>
                  <w:rStyle w:val="Hyperlink"/>
                  <w:i/>
                  <w:lang w:val="ru-RU" w:bidi="ru-RU"/>
                </w:rPr>
                <w:t>C19/INF/8</w:t>
              </w:r>
            </w:hyperlink>
            <w:r w:rsidRPr="00051142">
              <w:rPr>
                <w:i/>
                <w:lang w:val="ru-RU" w:bidi="ru-RU"/>
              </w:rPr>
              <w:t xml:space="preserve">, </w:t>
            </w:r>
            <w:hyperlink r:id="rId17" w:history="1">
              <w:r w:rsidRPr="00051142">
                <w:rPr>
                  <w:rStyle w:val="Hyperlink"/>
                  <w:i/>
                  <w:lang w:val="ru-RU" w:bidi="ru-RU"/>
                </w:rPr>
                <w:t>C20/INF/3</w:t>
              </w:r>
            </w:hyperlink>
            <w:bookmarkEnd w:id="12"/>
            <w:r w:rsidRPr="00051142">
              <w:rPr>
                <w:i/>
                <w:lang w:val="ru-RU" w:bidi="ru-RU"/>
              </w:rPr>
              <w:t xml:space="preserve">, </w:t>
            </w:r>
            <w:bookmarkStart w:id="13" w:name="lt_pId025"/>
            <w:r w:rsidRPr="00051142">
              <w:rPr>
                <w:i/>
                <w:lang w:val="ru-RU" w:bidi="ru-RU"/>
              </w:rPr>
              <w:fldChar w:fldCharType="begin"/>
            </w:r>
            <w:r w:rsidRPr="00051142">
              <w:rPr>
                <w:i/>
                <w:lang w:val="ru-RU" w:bidi="ru-RU"/>
              </w:rPr>
              <w:instrText xml:space="preserve"> HYPERLINK "https://www.itu.int/md/S21-CL-INF-0002/en" </w:instrText>
            </w:r>
            <w:r w:rsidRPr="00051142">
              <w:rPr>
                <w:i/>
                <w:lang w:val="ru-RU" w:bidi="ru-RU"/>
              </w:rPr>
            </w:r>
            <w:r w:rsidRPr="00051142">
              <w:rPr>
                <w:i/>
                <w:lang w:val="ru-RU" w:bidi="ru-RU"/>
              </w:rPr>
              <w:fldChar w:fldCharType="separate"/>
            </w:r>
            <w:r w:rsidRPr="00051142">
              <w:rPr>
                <w:rStyle w:val="Hyperlink"/>
                <w:i/>
                <w:lang w:val="ru-RU" w:bidi="ru-RU"/>
              </w:rPr>
              <w:t>C21/INF/2</w:t>
            </w:r>
            <w:r w:rsidRPr="00051142">
              <w:rPr>
                <w:i/>
                <w:lang w:val="ru-RU" w:bidi="ru-RU"/>
              </w:rPr>
              <w:fldChar w:fldCharType="end"/>
            </w:r>
            <w:bookmarkEnd w:id="13"/>
            <w:r w:rsidRPr="00051142">
              <w:rPr>
                <w:i/>
                <w:lang w:val="ru-RU" w:bidi="ru-RU"/>
              </w:rPr>
              <w:t xml:space="preserve">, </w:t>
            </w:r>
            <w:bookmarkStart w:id="14" w:name="lt_pId026"/>
            <w:r w:rsidRPr="00051142">
              <w:rPr>
                <w:i/>
                <w:lang w:val="ru-RU" w:bidi="ru-RU"/>
              </w:rPr>
              <w:fldChar w:fldCharType="begin"/>
            </w:r>
            <w:r w:rsidRPr="00051142">
              <w:rPr>
                <w:i/>
                <w:lang w:val="ru-RU" w:bidi="ru-RU"/>
              </w:rPr>
              <w:instrText xml:space="preserve"> HYPERLINK "https://www.itu.int/md/S22-CL-INF-0002/en" </w:instrText>
            </w:r>
            <w:r w:rsidRPr="00051142">
              <w:rPr>
                <w:i/>
                <w:lang w:val="ru-RU" w:bidi="ru-RU"/>
              </w:rPr>
            </w:r>
            <w:r w:rsidRPr="00051142">
              <w:rPr>
                <w:i/>
                <w:lang w:val="ru-RU" w:bidi="ru-RU"/>
              </w:rPr>
              <w:fldChar w:fldCharType="separate"/>
            </w:r>
            <w:r w:rsidRPr="00051142">
              <w:rPr>
                <w:rStyle w:val="Hyperlink"/>
                <w:i/>
                <w:lang w:val="ru-RU" w:bidi="ru-RU"/>
              </w:rPr>
              <w:t>C22/INF/2</w:t>
            </w:r>
            <w:r w:rsidRPr="00051142">
              <w:rPr>
                <w:i/>
                <w:lang w:val="ru-RU" w:bidi="ru-RU"/>
              </w:rPr>
              <w:fldChar w:fldCharType="end"/>
            </w:r>
            <w:bookmarkEnd w:id="14"/>
            <w:r w:rsidRPr="00051142">
              <w:rPr>
                <w:i/>
                <w:lang w:val="ru-RU" w:bidi="ru-RU"/>
              </w:rPr>
              <w:t xml:space="preserve">, </w:t>
            </w:r>
            <w:hyperlink r:id="rId18" w:history="1">
              <w:bookmarkStart w:id="15" w:name="lt_pId027"/>
              <w:r w:rsidRPr="00051142">
                <w:rPr>
                  <w:rStyle w:val="Hyperlink"/>
                  <w:i/>
                  <w:lang w:val="ru-RU" w:bidi="ru-RU"/>
                </w:rPr>
                <w:t>C23/INF/9</w:t>
              </w:r>
              <w:bookmarkEnd w:id="15"/>
            </w:hyperlink>
          </w:p>
        </w:tc>
      </w:tr>
      <w:bookmarkEnd w:id="2"/>
      <w:bookmarkEnd w:id="8"/>
    </w:tbl>
    <w:p w14:paraId="1D18282E" w14:textId="77777777" w:rsidR="00CD7E86" w:rsidRPr="00051142" w:rsidRDefault="00CD7E86" w:rsidP="00CD7E86">
      <w:pPr>
        <w:rPr>
          <w:lang w:val="ru-RU"/>
        </w:rPr>
      </w:pPr>
      <w:r w:rsidRPr="00051142">
        <w:rPr>
          <w:lang w:val="ru-RU" w:bidi="ru-RU"/>
        </w:rPr>
        <w:br w:type="page"/>
      </w:r>
    </w:p>
    <w:p w14:paraId="4FA1538A" w14:textId="6DF5DA0D" w:rsidR="00AC2500" w:rsidRPr="00051142" w:rsidRDefault="00AC2500" w:rsidP="00AC2500">
      <w:pPr>
        <w:pStyle w:val="Heading1"/>
        <w:rPr>
          <w:lang w:val="ru-RU"/>
        </w:rPr>
      </w:pPr>
      <w:r w:rsidRPr="00051142">
        <w:rPr>
          <w:lang w:val="ru-RU" w:bidi="ru-RU"/>
        </w:rPr>
        <w:lastRenderedPageBreak/>
        <w:t>1</w:t>
      </w:r>
      <w:r w:rsidRPr="00051142">
        <w:rPr>
          <w:lang w:val="ru-RU" w:bidi="ru-RU"/>
        </w:rPr>
        <w:tab/>
        <w:t>Введение</w:t>
      </w:r>
    </w:p>
    <w:p w14:paraId="7B0EA647" w14:textId="626BB17B" w:rsidR="00AC2500" w:rsidRPr="00051142" w:rsidRDefault="00AC2500" w:rsidP="00AC2500">
      <w:pPr>
        <w:rPr>
          <w:b/>
          <w:bCs/>
          <w:lang w:val="ru-RU"/>
        </w:rPr>
      </w:pPr>
      <w:r w:rsidRPr="00051142">
        <w:rPr>
          <w:lang w:val="ru-RU" w:bidi="ru-RU"/>
        </w:rPr>
        <w:t>1.1</w:t>
      </w:r>
      <w:r w:rsidRPr="00051142">
        <w:rPr>
          <w:lang w:val="ru-RU" w:bidi="ru-RU"/>
        </w:rPr>
        <w:tab/>
        <w:t xml:space="preserve">Цифровые технологии продолжают играть все более важную роль в преобразовании глобальной экономической и социальной деятельности, поэтому максимальное использование преимуществ и решение проблем цифровой повестки дня стали общими интересами и приоритетами в масштабе всей системы Организации Объединенных Наций и остаются одним из главных приоритетов Генерального секретаря Организации Объединенных Наций. Информационно-коммуникационные технологии (ИКТ) признаны в Повестке дня в области устойчивого развития на период до 2030 года в качестве одного из основных средств реализации, поэтому эта эволюция в системе Организации Объединенных Наций привела к появлению многочисленных </w:t>
      </w:r>
      <w:r w:rsidR="00206A6D" w:rsidRPr="00051142">
        <w:rPr>
          <w:lang w:val="ru-RU" w:bidi="ru-RU"/>
        </w:rPr>
        <w:t>областей работы</w:t>
      </w:r>
      <w:r w:rsidRPr="00051142">
        <w:rPr>
          <w:lang w:val="ru-RU" w:bidi="ru-RU"/>
        </w:rPr>
        <w:t xml:space="preserve"> в </w:t>
      </w:r>
      <w:r w:rsidR="00206A6D" w:rsidRPr="00051142">
        <w:rPr>
          <w:lang w:val="ru-RU" w:bidi="ru-RU"/>
        </w:rPr>
        <w:t>сфере</w:t>
      </w:r>
      <w:r w:rsidRPr="00051142">
        <w:rPr>
          <w:lang w:val="ru-RU" w:bidi="ru-RU"/>
        </w:rPr>
        <w:t xml:space="preserve"> цифрового сотрудничества, а также к росту внимания к вопросам, связанным с цифровыми технологиями, в рамках крупных конференций и процессов Организации Объединенных Наций. В качестве специализированного учреждения Организации Объединенных Наций по вопросам ИКТ МСЭ активно сотрудничает и взаимодействует с различными процессами, механизмами и координационными сетями в рамках системы Организации Объединенных Наций, а также вносит свой вклад в различные совместные или межведомственные инициативы. Кроме того, используя свои знания и обширный опыт в области электросвязи/ИКТ, МСЭ демонстрирует проактивное лидерство в решении вопросов, связанных с цифровыми технологиями, и выполнении цифровой повестки дня, включая, в частности, Всемирную встречу на высшем уровне по вопросам информационного общества (ВВУИО), в рамках системы Организации Объединенных Наций. </w:t>
      </w:r>
    </w:p>
    <w:p w14:paraId="7C0DE721" w14:textId="00B69640" w:rsidR="00AC2500" w:rsidRPr="00051142" w:rsidRDefault="00AC2500" w:rsidP="00AC2500">
      <w:pPr>
        <w:pStyle w:val="Heading1"/>
        <w:rPr>
          <w:lang w:val="ru-RU"/>
        </w:rPr>
      </w:pPr>
      <w:r w:rsidRPr="00051142">
        <w:rPr>
          <w:lang w:val="ru-RU" w:bidi="ru-RU"/>
        </w:rPr>
        <w:t>2</w:t>
      </w:r>
      <w:r w:rsidRPr="00051142">
        <w:rPr>
          <w:lang w:val="ru-RU" w:bidi="ru-RU"/>
        </w:rPr>
        <w:tab/>
        <w:t>Наша общая повестка дня</w:t>
      </w:r>
    </w:p>
    <w:p w14:paraId="3C68C836" w14:textId="2E48407A" w:rsidR="00AC2500" w:rsidRPr="00051142" w:rsidRDefault="00AC2500" w:rsidP="00AC2500">
      <w:pPr>
        <w:rPr>
          <w:lang w:val="ru-RU"/>
        </w:rPr>
      </w:pPr>
      <w:r w:rsidRPr="00051142">
        <w:rPr>
          <w:lang w:val="ru-RU" w:bidi="ru-RU"/>
        </w:rPr>
        <w:t>2.1</w:t>
      </w:r>
      <w:r w:rsidRPr="00051142">
        <w:rPr>
          <w:lang w:val="ru-RU" w:bidi="ru-RU"/>
        </w:rPr>
        <w:tab/>
        <w:t xml:space="preserve">МСЭ вносит вклад как в усилия </w:t>
      </w:r>
      <w:r w:rsidR="0002479E" w:rsidRPr="00051142">
        <w:rPr>
          <w:lang w:val="ru-RU" w:bidi="ru-RU"/>
        </w:rPr>
        <w:t>г</w:t>
      </w:r>
      <w:r w:rsidRPr="00051142">
        <w:rPr>
          <w:lang w:val="ru-RU" w:bidi="ru-RU"/>
        </w:rPr>
        <w:t xml:space="preserve">осударств – </w:t>
      </w:r>
      <w:r w:rsidR="0002479E" w:rsidRPr="00051142">
        <w:rPr>
          <w:lang w:val="ru-RU" w:bidi="ru-RU"/>
        </w:rPr>
        <w:t>ч</w:t>
      </w:r>
      <w:r w:rsidRPr="00051142">
        <w:rPr>
          <w:lang w:val="ru-RU" w:bidi="ru-RU"/>
        </w:rPr>
        <w:t xml:space="preserve">ленов Организации Объединенных Наций, так и в межведомственные усилия по выполнению доклада Генерального секретаря </w:t>
      </w:r>
      <w:r w:rsidR="0002479E" w:rsidRPr="00051142">
        <w:rPr>
          <w:lang w:val="ru-RU" w:bidi="ru-RU"/>
        </w:rPr>
        <w:t>Организации Объединенных Наций</w:t>
      </w:r>
      <w:r w:rsidRPr="00051142">
        <w:rPr>
          <w:lang w:val="ru-RU" w:bidi="ru-RU"/>
        </w:rPr>
        <w:t xml:space="preserve"> </w:t>
      </w:r>
      <w:hyperlink r:id="rId19" w:history="1">
        <w:r w:rsidRPr="00051142">
          <w:rPr>
            <w:rStyle w:val="Hyperlink"/>
            <w:lang w:val="ru-RU" w:bidi="ru-RU"/>
          </w:rPr>
          <w:t>"Наша общая повестка дня"</w:t>
        </w:r>
      </w:hyperlink>
      <w:r w:rsidRPr="00051142">
        <w:rPr>
          <w:lang w:val="ru-RU" w:bidi="ru-RU"/>
        </w:rPr>
        <w:t xml:space="preserve">, который был представлен на 76-й сессии Генеральной Ассамблеи Организации Объединенных Наций (ГА ООН) в сентябре 2021 года. В </w:t>
      </w:r>
      <w:r w:rsidR="00EB5E41" w:rsidRPr="00051142">
        <w:rPr>
          <w:lang w:val="ru-RU" w:bidi="ru-RU"/>
        </w:rPr>
        <w:t>соответствии с</w:t>
      </w:r>
      <w:r w:rsidRPr="00051142">
        <w:rPr>
          <w:lang w:val="ru-RU" w:bidi="ru-RU"/>
        </w:rPr>
        <w:t xml:space="preserve"> резолюци</w:t>
      </w:r>
      <w:r w:rsidR="00EB5E41" w:rsidRPr="00051142">
        <w:rPr>
          <w:lang w:val="ru-RU" w:bidi="ru-RU"/>
        </w:rPr>
        <w:t>ей</w:t>
      </w:r>
      <w:r w:rsidRPr="00051142">
        <w:rPr>
          <w:lang w:val="ru-RU" w:bidi="ru-RU"/>
        </w:rPr>
        <w:t xml:space="preserve"> 75/1 ГА ООН, касающ</w:t>
      </w:r>
      <w:r w:rsidR="00EB5E41" w:rsidRPr="00051142">
        <w:rPr>
          <w:lang w:val="ru-RU" w:bidi="ru-RU"/>
        </w:rPr>
        <w:t>ей</w:t>
      </w:r>
      <w:r w:rsidRPr="00051142">
        <w:rPr>
          <w:lang w:val="ru-RU" w:bidi="ru-RU"/>
        </w:rPr>
        <w:t>ся декларации о праздновании 75-й годовщины Организации Объединенных Наций, доклад "Наша общая повестка дня" включает, в частности, предложения в отношении Глобального цифрового договора и Саммита будущего с возможным сегментом по цифровым технологиям, а также многие другие предложения с цифровым измерением, в том числе о трансформации образования, космическом пространстве и "ООН 2.0".</w:t>
      </w:r>
    </w:p>
    <w:p w14:paraId="1AD596C3" w14:textId="2608D411" w:rsidR="00AC2500" w:rsidRPr="00051142" w:rsidRDefault="00AC2500" w:rsidP="00AC2500">
      <w:pPr>
        <w:rPr>
          <w:lang w:val="ru-RU"/>
        </w:rPr>
      </w:pPr>
      <w:r w:rsidRPr="00051142">
        <w:rPr>
          <w:lang w:val="ru-RU" w:bidi="ru-RU"/>
        </w:rPr>
        <w:t>2.2</w:t>
      </w:r>
      <w:r w:rsidRPr="00051142">
        <w:rPr>
          <w:lang w:val="ru-RU" w:bidi="ru-RU"/>
        </w:rPr>
        <w:tab/>
        <w:t>Согласно резолюции 76/307 ГА ООН о порядке проведения Саммита будущего, саммит должен состояться в сентябре 2024 года</w:t>
      </w:r>
      <w:r w:rsidR="0002479E" w:rsidRPr="00051142">
        <w:rPr>
          <w:lang w:val="ru-RU" w:bidi="ru-RU"/>
        </w:rPr>
        <w:t>,</w:t>
      </w:r>
      <w:r w:rsidRPr="00051142">
        <w:rPr>
          <w:lang w:val="ru-RU" w:bidi="ru-RU"/>
        </w:rPr>
        <w:t xml:space="preserve"> и ему будет предшествовать встреча </w:t>
      </w:r>
      <w:r w:rsidR="0002479E" w:rsidRPr="00051142">
        <w:rPr>
          <w:lang w:val="ru-RU" w:bidi="ru-RU"/>
        </w:rPr>
        <w:t xml:space="preserve">на уровне </w:t>
      </w:r>
      <w:r w:rsidRPr="00051142">
        <w:rPr>
          <w:lang w:val="ru-RU" w:bidi="ru-RU"/>
        </w:rPr>
        <w:t xml:space="preserve">министров 21 сентября 2023 года. На Саммите будущего в 2024 году будет принят итоговый документ "Пакт для будущего", который будет согласован заранее на основе консенсуса в рамках межправительственного процесса при участии </w:t>
      </w:r>
      <w:r w:rsidR="009446E0" w:rsidRPr="00051142">
        <w:rPr>
          <w:lang w:val="ru-RU" w:bidi="ru-RU"/>
        </w:rPr>
        <w:t xml:space="preserve">сокоординаторов от </w:t>
      </w:r>
      <w:r w:rsidRPr="00051142">
        <w:rPr>
          <w:lang w:val="ru-RU" w:bidi="ru-RU"/>
        </w:rPr>
        <w:t>Германии и Намибии.</w:t>
      </w:r>
    </w:p>
    <w:p w14:paraId="0F0573D6" w14:textId="0412BB5A" w:rsidR="00AC2500" w:rsidRPr="00051142" w:rsidRDefault="00AC2500" w:rsidP="00AC2500">
      <w:pPr>
        <w:rPr>
          <w:lang w:val="ru-RU"/>
        </w:rPr>
      </w:pPr>
      <w:r w:rsidRPr="00051142">
        <w:rPr>
          <w:lang w:val="ru-RU" w:bidi="ru-RU"/>
        </w:rPr>
        <w:t>2.3</w:t>
      </w:r>
      <w:r w:rsidRPr="00051142">
        <w:rPr>
          <w:b/>
          <w:lang w:val="ru-RU" w:bidi="ru-RU"/>
        </w:rPr>
        <w:tab/>
        <w:t>Глобальный цифровой договор</w:t>
      </w:r>
      <w:r w:rsidR="0002479E" w:rsidRPr="00051142">
        <w:rPr>
          <w:bCs/>
          <w:lang w:val="ru-RU" w:bidi="ru-RU"/>
        </w:rPr>
        <w:t>:</w:t>
      </w:r>
      <w:r w:rsidRPr="00051142">
        <w:rPr>
          <w:bCs/>
          <w:lang w:val="ru-RU" w:bidi="ru-RU"/>
        </w:rPr>
        <w:t xml:space="preserve"> </w:t>
      </w:r>
      <w:r w:rsidR="0002479E" w:rsidRPr="00051142">
        <w:rPr>
          <w:lang w:val="ru-RU" w:bidi="ru-RU"/>
        </w:rPr>
        <w:t>в</w:t>
      </w:r>
      <w:r w:rsidRPr="00051142">
        <w:rPr>
          <w:lang w:val="ru-RU" w:bidi="ru-RU"/>
        </w:rPr>
        <w:t xml:space="preserve"> докладе "Наша общая повестка дня" Глобальный цифровой договор (ГЦД) является главным предложением по решению вопросов, связанных с цифровыми технологиями, и предусматривает изложение общих принципов для открытого, свободного и безопасного цифрового будущего для всех. В нем предлагается учесть несколько вопросов, связанных с цифровыми технологиями, в том числе возможность установления цифровых соединений, предотвращение фрагментации интернета, защиту данных, соблюдение прав человека в онлайновой среде, содействие созданию надежного интернета, рег</w:t>
      </w:r>
      <w:r w:rsidR="00101A37" w:rsidRPr="00051142">
        <w:rPr>
          <w:lang w:val="ru-RU" w:bidi="ru-RU"/>
        </w:rPr>
        <w:t xml:space="preserve">улирование </w:t>
      </w:r>
      <w:r w:rsidRPr="00051142">
        <w:rPr>
          <w:lang w:val="ru-RU" w:bidi="ru-RU"/>
        </w:rPr>
        <w:t>искусственного интеллекта и поощрение формированию цифрового сообщества</w:t>
      </w:r>
      <w:r w:rsidR="00101A37" w:rsidRPr="00051142">
        <w:rPr>
          <w:lang w:val="ru-RU" w:bidi="ru-RU"/>
        </w:rPr>
        <w:t>; эти вопросы п</w:t>
      </w:r>
      <w:r w:rsidRPr="00051142">
        <w:rPr>
          <w:lang w:val="ru-RU" w:bidi="ru-RU"/>
        </w:rPr>
        <w:t>редложены для включения в ГЦД, который будет согласован на Саммите будущего в сентябре 2024 года.</w:t>
      </w:r>
    </w:p>
    <w:p w14:paraId="5F3986AC" w14:textId="6E698F22" w:rsidR="00AC2500" w:rsidRPr="00051142" w:rsidRDefault="00AC2500" w:rsidP="00AC2500">
      <w:pPr>
        <w:rPr>
          <w:lang w:val="ru-RU"/>
        </w:rPr>
      </w:pPr>
      <w:r w:rsidRPr="00051142">
        <w:rPr>
          <w:lang w:val="ru-RU" w:bidi="ru-RU"/>
        </w:rPr>
        <w:lastRenderedPageBreak/>
        <w:t>2.4</w:t>
      </w:r>
      <w:r w:rsidRPr="00051142">
        <w:rPr>
          <w:lang w:val="ru-RU" w:bidi="ru-RU"/>
        </w:rPr>
        <w:tab/>
        <w:t>В качестве члена основной межучрежденческой группы Организации Объединенных Наций по ГЦД, созванной Канцеляри</w:t>
      </w:r>
      <w:r w:rsidR="00101A37" w:rsidRPr="00051142">
        <w:rPr>
          <w:lang w:val="ru-RU" w:bidi="ru-RU"/>
        </w:rPr>
        <w:t>ей</w:t>
      </w:r>
      <w:r w:rsidRPr="00051142">
        <w:rPr>
          <w:lang w:val="ru-RU" w:bidi="ru-RU"/>
        </w:rPr>
        <w:t xml:space="preserve"> посланника Генерального секретаря Организации Объединенных Наций по вопросам технологий (OSET)</w:t>
      </w:r>
      <w:r w:rsidR="00101A37" w:rsidRPr="00051142">
        <w:rPr>
          <w:lang w:val="ru-RU" w:bidi="ru-RU"/>
        </w:rPr>
        <w:t>,</w:t>
      </w:r>
      <w:r w:rsidRPr="00051142">
        <w:rPr>
          <w:lang w:val="ru-RU" w:bidi="ru-RU"/>
        </w:rPr>
        <w:t xml:space="preserve"> МСЭ принял обязательство поддерживать консультационный процесс и участвовать в нем, чтобы внести свой вклад в разработку ГЦД. Таким образом, МСЭ принимает активное участие в ряде межправительственных процессов, организованных </w:t>
      </w:r>
      <w:r w:rsidR="009446E0" w:rsidRPr="00051142">
        <w:rPr>
          <w:lang w:val="ru-RU" w:bidi="ru-RU"/>
        </w:rPr>
        <w:t xml:space="preserve">сокоординаторами от </w:t>
      </w:r>
      <w:r w:rsidRPr="00051142">
        <w:rPr>
          <w:lang w:val="ru-RU" w:bidi="ru-RU"/>
        </w:rPr>
        <w:t xml:space="preserve">Руанды и Швеции, и предпринимает соответствующие меры в ходе консультаций по вопросу ГЦД, включая программное послание Генерального секретаря по вопросам возможности установления цифровых соединений и охвата цифровыми технологиями в ходе одной тематической консультации с подробным рассмотрением вопроса ГЦД и заявления в ходе нескольких других тематических консультаций с подробным рассмотрением вопроса ГЦД. Кроме того, для поддержки процесса с участием Государств-Членов МСЭ организовал круглый стол в Женеве для </w:t>
      </w:r>
      <w:r w:rsidR="009446E0" w:rsidRPr="00051142">
        <w:rPr>
          <w:lang w:val="ru-RU" w:bidi="ru-RU"/>
        </w:rPr>
        <w:t xml:space="preserve">сокоординаторов </w:t>
      </w:r>
      <w:r w:rsidRPr="00051142">
        <w:rPr>
          <w:lang w:val="ru-RU" w:bidi="ru-RU"/>
        </w:rPr>
        <w:t xml:space="preserve">во время Форума ВВУИО 2023 года и использовал каналы связи МСЭ для повышения осведомленности о возможностях внесения вклада в онлайновые консультации по вопросу ГЦД и участия в консультациях </w:t>
      </w:r>
      <w:r w:rsidR="009446E0" w:rsidRPr="00051142">
        <w:rPr>
          <w:lang w:val="ru-RU" w:bidi="ru-RU"/>
        </w:rPr>
        <w:t>сокоординаторов</w:t>
      </w:r>
      <w:r w:rsidRPr="00051142">
        <w:rPr>
          <w:lang w:val="ru-RU" w:bidi="ru-RU"/>
        </w:rPr>
        <w:t>.</w:t>
      </w:r>
    </w:p>
    <w:p w14:paraId="3CF05B96" w14:textId="50298972" w:rsidR="00AC2500" w:rsidRPr="00051142" w:rsidRDefault="00AC2500" w:rsidP="00AC2500">
      <w:pPr>
        <w:rPr>
          <w:lang w:val="ru-RU"/>
        </w:rPr>
      </w:pPr>
      <w:r w:rsidRPr="00051142">
        <w:rPr>
          <w:lang w:val="ru-RU" w:bidi="ru-RU"/>
        </w:rPr>
        <w:t>2.5</w:t>
      </w:r>
      <w:r w:rsidRPr="00051142">
        <w:rPr>
          <w:lang w:val="ru-RU" w:bidi="ru-RU"/>
        </w:rPr>
        <w:tab/>
        <w:t xml:space="preserve">МСЭ также внес вклад в подготовку </w:t>
      </w:r>
      <w:hyperlink r:id="rId20">
        <w:r w:rsidR="007702CE" w:rsidRPr="00051142">
          <w:rPr>
            <w:rStyle w:val="Hyperlink"/>
            <w:lang w:val="ru-RU" w:bidi="ru-RU"/>
          </w:rPr>
          <w:t xml:space="preserve">концептуальной </w:t>
        </w:r>
        <w:r w:rsidRPr="00051142">
          <w:rPr>
            <w:rStyle w:val="Hyperlink"/>
            <w:lang w:val="ru-RU" w:bidi="ru-RU"/>
          </w:rPr>
          <w:t>записки Генерального секретаря Организации Объединенных Наций по ГЦД</w:t>
        </w:r>
      </w:hyperlink>
      <w:r w:rsidRPr="00051142">
        <w:rPr>
          <w:lang w:val="ru-RU" w:bidi="ru-RU"/>
        </w:rPr>
        <w:t xml:space="preserve">, которая была опубликована 24 мая 2023 года и представлена Государствам-Членам 5 июня. В </w:t>
      </w:r>
      <w:r w:rsidR="007702CE" w:rsidRPr="00051142">
        <w:rPr>
          <w:lang w:val="ru-RU" w:bidi="ru-RU"/>
        </w:rPr>
        <w:t>концептуальной</w:t>
      </w:r>
      <w:r w:rsidRPr="00051142">
        <w:rPr>
          <w:lang w:val="ru-RU" w:bidi="ru-RU"/>
        </w:rPr>
        <w:t xml:space="preserve"> записке даются рекомендации Государствам-Членам, приводятся данные МСЭ и предлагается роль для МСЭ и инициатив МСЭ (признается лидерство МСЭ в рамках инициатив Giga и "Партнерство для подключения" (Partner2Connect)) и участие членов Секторов МСЭ в выполнении ГЦД. Кроме того, МСЭ представил </w:t>
      </w:r>
      <w:hyperlink r:id="rId21">
        <w:r w:rsidR="00CE2FB9" w:rsidRPr="00051142">
          <w:rPr>
            <w:rStyle w:val="Hyperlink"/>
            <w:lang w:val="ru-RU" w:bidi="ru-RU"/>
          </w:rPr>
          <w:t>собственные материалы</w:t>
        </w:r>
      </w:hyperlink>
      <w:r w:rsidRPr="00051142">
        <w:rPr>
          <w:lang w:val="ru-RU" w:bidi="ru-RU"/>
        </w:rPr>
        <w:t xml:space="preserve"> в онлайновую консультацию, организованную OSET, на основе ценных дискуссий, состоявшихся во время ключевых мероприятий, таких как консультации в ходе Полномочной конференции 2022 года и Круглого стола на уровне министров в Бухаресте, Всемирной конференции по развитию электросвязи 2022 года в Кигали и Форума ВВУИО 2023 года в Женеве, а также итогов последнего Всемирного форума по политике в области электросвязи и соответствующих резолюций Полномочной конференции. Полный список письменных представлений, поданных заинтересованными сторонами в рамках процесса онлайновых консультаций по вопросам ГЦД, находится </w:t>
      </w:r>
      <w:hyperlink r:id="rId22">
        <w:r w:rsidRPr="00051142">
          <w:rPr>
            <w:rStyle w:val="Hyperlink"/>
            <w:lang w:val="ru-RU" w:bidi="ru-RU"/>
          </w:rPr>
          <w:t>здесь</w:t>
        </w:r>
      </w:hyperlink>
      <w:r w:rsidRPr="00051142">
        <w:rPr>
          <w:lang w:val="ru-RU" w:bidi="ru-RU"/>
        </w:rPr>
        <w:t xml:space="preserve">. Дополнительную информацию о ГЦД и соответствующие документы можно найти </w:t>
      </w:r>
      <w:hyperlink r:id="rId23">
        <w:r w:rsidRPr="00051142">
          <w:rPr>
            <w:rStyle w:val="Hyperlink"/>
            <w:lang w:val="ru-RU" w:bidi="ru-RU"/>
          </w:rPr>
          <w:t>здесь</w:t>
        </w:r>
      </w:hyperlink>
      <w:r w:rsidRPr="00051142">
        <w:rPr>
          <w:lang w:val="ru-RU" w:bidi="ru-RU"/>
        </w:rPr>
        <w:t>. Следующие шаги в процессе ГЦД включают разработку тематического документа в июне</w:t>
      </w:r>
      <w:r w:rsidR="00051142">
        <w:rPr>
          <w:lang w:val="ru-RU" w:bidi="ru-RU"/>
        </w:rPr>
        <w:t>−</w:t>
      </w:r>
      <w:r w:rsidRPr="00051142">
        <w:rPr>
          <w:lang w:val="ru-RU" w:bidi="ru-RU"/>
        </w:rPr>
        <w:t>августе 2023 года на основе консультаций, проведенных при участии вспомогательных содействующих организаций, а затем его представление на совещании на уровне министров в рамках Саммита будущего 21 сентября 2023 года. Ожидается, что Государства</w:t>
      </w:r>
      <w:r w:rsidR="00051142">
        <w:rPr>
          <w:lang w:val="ru-RU" w:bidi="ru-RU"/>
        </w:rPr>
        <w:t> </w:t>
      </w:r>
      <w:r w:rsidRPr="00051142">
        <w:rPr>
          <w:lang w:val="ru-RU" w:bidi="ru-RU"/>
        </w:rPr>
        <w:t>– Члены Организации Объединенных Наций начнут переговоры по ГЦД в конце 2023 года и продолжат их до второго квартала 2024 года с целью принятия ГЦД на Саммите будущего.</w:t>
      </w:r>
    </w:p>
    <w:p w14:paraId="6BF660EE" w14:textId="434BAD11" w:rsidR="00AC2500" w:rsidRPr="00051142" w:rsidRDefault="00AC2500" w:rsidP="00AC2500">
      <w:pPr>
        <w:rPr>
          <w:lang w:val="ru-RU"/>
        </w:rPr>
      </w:pPr>
      <w:r w:rsidRPr="00051142">
        <w:rPr>
          <w:lang w:val="ru-RU" w:bidi="ru-RU"/>
        </w:rPr>
        <w:t>2.6</w:t>
      </w:r>
      <w:r w:rsidRPr="00051142">
        <w:rPr>
          <w:lang w:val="ru-RU" w:bidi="ru-RU"/>
        </w:rPr>
        <w:tab/>
      </w:r>
      <w:r w:rsidRPr="00051142">
        <w:rPr>
          <w:b/>
          <w:lang w:val="ru-RU" w:bidi="ru-RU"/>
        </w:rPr>
        <w:t>Космическое пространство</w:t>
      </w:r>
      <w:r w:rsidRPr="00051142">
        <w:rPr>
          <w:bCs/>
          <w:lang w:val="ru-RU" w:bidi="ru-RU"/>
        </w:rPr>
        <w:t xml:space="preserve">: </w:t>
      </w:r>
      <w:r w:rsidRPr="00051142">
        <w:rPr>
          <w:lang w:val="ru-RU" w:bidi="ru-RU"/>
        </w:rPr>
        <w:t xml:space="preserve">в докладе "Наша общая повестка дня" содержится призыв к проведению в рамках Саммита будущего многостороннего диалога по космическому пространству с целью достижения политического соглашения высокого уровня по мирному, безопасному и устойчивому использованию космического пространства, переходу к глобальному режиму координации трафика в космическом пространстве и принципам будущего управления деятельностью в космическом пространстве. Генеральный секретарь Организации Объединенных Наций пригласил МСЭ в качестве члена основной межучрежденческой группы Организации Объединенных Наций по космическому пространству поддержать подготовку к такому диалогу и внести свой вклад в </w:t>
      </w:r>
      <w:hyperlink r:id="rId24">
        <w:r w:rsidR="007702CE" w:rsidRPr="00051142">
          <w:rPr>
            <w:rStyle w:val="Hyperlink"/>
            <w:lang w:val="ru-RU" w:bidi="ru-RU"/>
          </w:rPr>
          <w:t>концептуальную з</w:t>
        </w:r>
        <w:r w:rsidRPr="00051142">
          <w:rPr>
            <w:rStyle w:val="Hyperlink"/>
            <w:lang w:val="ru-RU" w:bidi="ru-RU"/>
          </w:rPr>
          <w:t>аписку Генерального секретаря Организации Объединенных Наций по космическому пространству</w:t>
        </w:r>
      </w:hyperlink>
      <w:r w:rsidRPr="00051142">
        <w:rPr>
          <w:lang w:val="ru-RU" w:bidi="ru-RU"/>
        </w:rPr>
        <w:t xml:space="preserve">, которая была опубликована 29 мая 2023 года. В </w:t>
      </w:r>
      <w:r w:rsidR="007702CE" w:rsidRPr="00051142">
        <w:rPr>
          <w:lang w:val="ru-RU" w:bidi="ru-RU"/>
        </w:rPr>
        <w:t>концептуальной</w:t>
      </w:r>
      <w:r w:rsidRPr="00051142">
        <w:rPr>
          <w:lang w:val="ru-RU" w:bidi="ru-RU"/>
        </w:rPr>
        <w:t xml:space="preserve"> записке подчеркиваются вызовы и смелые, но разумные действия, а МСЭ, в том числе в связи со Всемирной конференцией радиосвязи, неоднократно упоминается как организация, способная обеспечить международное сотрудничество по вопросам устойчивости космического пространства.</w:t>
      </w:r>
    </w:p>
    <w:p w14:paraId="65F189B0" w14:textId="493B3ABE" w:rsidR="00AC2500" w:rsidRPr="00051142" w:rsidRDefault="00AC2500" w:rsidP="00AC2500">
      <w:pPr>
        <w:rPr>
          <w:lang w:val="ru-RU"/>
        </w:rPr>
      </w:pPr>
      <w:r w:rsidRPr="00051142">
        <w:rPr>
          <w:lang w:val="ru-RU" w:bidi="ru-RU"/>
        </w:rPr>
        <w:lastRenderedPageBreak/>
        <w:t>2.7</w:t>
      </w:r>
      <w:r w:rsidRPr="00051142">
        <w:rPr>
          <w:b/>
          <w:lang w:val="ru-RU" w:bidi="ru-RU"/>
        </w:rPr>
        <w:tab/>
        <w:t>Трансформация образования</w:t>
      </w:r>
      <w:r w:rsidRPr="00051142">
        <w:rPr>
          <w:bCs/>
          <w:lang w:val="ru-RU" w:bidi="ru-RU"/>
        </w:rPr>
        <w:t xml:space="preserve">: </w:t>
      </w:r>
      <w:r w:rsidRPr="00051142">
        <w:rPr>
          <w:lang w:val="ru-RU" w:bidi="ru-RU"/>
        </w:rPr>
        <w:t xml:space="preserve">еще одной инициативой, упомянутой в докладе "Наша общая повестка дня", стал созыв Генеральным секретарем Организации Объединенных Наций </w:t>
      </w:r>
      <w:hyperlink r:id="rId25" w:history="1">
        <w:r w:rsidRPr="00051142">
          <w:rPr>
            <w:rStyle w:val="Hyperlink"/>
            <w:lang w:val="ru-RU" w:bidi="ru-RU"/>
          </w:rPr>
          <w:t>Саммита по трансформации образования (TES)</w:t>
        </w:r>
      </w:hyperlink>
      <w:r w:rsidRPr="00051142">
        <w:rPr>
          <w:lang w:val="ru-RU" w:bidi="ru-RU"/>
        </w:rPr>
        <w:t xml:space="preserve"> в сентябре 2022 года в Нью-Йорке, целью которого является повышение осведомленности о глобальном кризисе в сфере образования, выдвижение образования на первое место в глобальной политической повестке дня и мобилизация действий, устремлений, солидарности и решений для возмещения потерь в обучении, связанных с пандемией, и формирования основы для трансформации образования в быстро меняющемся мире. МСЭ играл активную роль в подготовке TES, внося свой вклад в работу Консультативного комитета TES и Целевой группы Организации Объединенных Наций, предлагая разработку стандартов для содействия выработке взаимозаменяемых учебных программ и систем обмена образовательными данными, а также призывая страны взять на себя обязательства по предоставлению возможностей в области высококачественного цифрового обучения для всех. МСЭ также командировал сотрудника в Организацию Объединенных Наций по вопросам образования, науки и культуры (ЮНЕСКО) для оказания поддержки в ходе подготовительного процесса и во время самого саммита. В рамках последующих мер в отношении TES МСЭ вошел в состав основной межучрежденческой группы, созванной Канцелярией Генерального секретаря Организации Объединенных Наций (КГС) для поддержки составления </w:t>
      </w:r>
      <w:r w:rsidR="007702CE" w:rsidRPr="00051142">
        <w:rPr>
          <w:lang w:val="ru-RU" w:bidi="ru-RU"/>
        </w:rPr>
        <w:t>концептуальной</w:t>
      </w:r>
      <w:r w:rsidRPr="00051142">
        <w:rPr>
          <w:lang w:val="ru-RU" w:bidi="ru-RU"/>
        </w:rPr>
        <w:t xml:space="preserve"> записки. В настоящее время МСЭ продолжает взаимодействовать с группой TES, возглавляемой заместителем Генерального секретаря Организации Объединенных Наций и ЮНЕСКО, используя инициативу Giga для подключения всех школ к интернету и предоставления учащимся доступа к информации, возможностям и выбору.</w:t>
      </w:r>
    </w:p>
    <w:p w14:paraId="7E3C0F42" w14:textId="6AC4FDF8" w:rsidR="00AC2500" w:rsidRPr="00051142" w:rsidRDefault="00AC2500" w:rsidP="00AC2500">
      <w:pPr>
        <w:rPr>
          <w:lang w:val="ru-RU"/>
        </w:rPr>
      </w:pPr>
      <w:r w:rsidRPr="00051142">
        <w:rPr>
          <w:lang w:val="ru-RU" w:bidi="ru-RU"/>
        </w:rPr>
        <w:t>2.8</w:t>
      </w:r>
      <w:r w:rsidRPr="00051142">
        <w:rPr>
          <w:lang w:val="ru-RU" w:bidi="ru-RU"/>
        </w:rPr>
        <w:tab/>
      </w:r>
      <w:r w:rsidRPr="00051142">
        <w:rPr>
          <w:b/>
          <w:lang w:val="ru-RU" w:bidi="ru-RU"/>
        </w:rPr>
        <w:t>Саммит будущего</w:t>
      </w:r>
      <w:r w:rsidRPr="00051142">
        <w:rPr>
          <w:bCs/>
          <w:lang w:val="ru-RU" w:bidi="ru-RU"/>
        </w:rPr>
        <w:t xml:space="preserve">: </w:t>
      </w:r>
      <w:r w:rsidRPr="00051142">
        <w:rPr>
          <w:lang w:val="ru-RU" w:bidi="ru-RU"/>
        </w:rPr>
        <w:t xml:space="preserve">наряду с предложениями в докладе "Наша общая повестка дня", посвященными связанным с цифровыми технологиями вопросам, существуют и другие предложения, затрагивающие аналогичные вопросы, в том числе предложения в отношении молодежи, будущих поколений, показателей за рамками ВВП, гендерной проблематики, рабочих мест и социальной защиты, а также новой повестки дня для мира, в рамках которых МСЭ также вносит активный вклад путем повышения осведомленности о проделываемой работе, чтобы избежать дублирования. Кроме того, Группа Организации Объединенных Наций по устойчивому развитию, возглавляемая заместителем Генерального секретаря Организации Объединенных Наций, создала рабочую группу по докладу "Наша общая повестка дня", в работе которой принимает участие заместитель Генерального секретаря МСЭ. </w:t>
      </w:r>
      <w:r w:rsidR="007702CE" w:rsidRPr="00051142">
        <w:rPr>
          <w:lang w:val="ru-RU" w:bidi="ru-RU"/>
        </w:rPr>
        <w:t>Концептуальные</w:t>
      </w:r>
      <w:r w:rsidRPr="00051142">
        <w:rPr>
          <w:lang w:val="ru-RU" w:bidi="ru-RU"/>
        </w:rPr>
        <w:t xml:space="preserve"> записки по докладу "Наша общая повестка дня" также обсуждаются в Комитете заместителей Генерального секретаря Организации Объединенных Наций и Исполнительном комитете, куда Генеральный секретарь МСЭ и его заместитель были приглашены в качестве приглашенных участников для обсуждения соответствующих пунктов повестки дня. Организация Объединенных Наций публикует эти </w:t>
      </w:r>
      <w:r w:rsidR="007702CE" w:rsidRPr="00051142">
        <w:rPr>
          <w:lang w:val="ru-RU" w:bidi="ru-RU"/>
        </w:rPr>
        <w:t xml:space="preserve">концептуальные </w:t>
      </w:r>
      <w:r w:rsidRPr="00051142">
        <w:rPr>
          <w:lang w:val="ru-RU" w:bidi="ru-RU"/>
        </w:rPr>
        <w:t>записки</w:t>
      </w:r>
      <w:r w:rsidR="006C742E" w:rsidRPr="00051142">
        <w:rPr>
          <w:lang w:val="ru-RU" w:bidi="ru-RU"/>
        </w:rPr>
        <w:t xml:space="preserve"> </w:t>
      </w:r>
      <w:hyperlink r:id="rId26">
        <w:r w:rsidRPr="00051142">
          <w:rPr>
            <w:rStyle w:val="Hyperlink"/>
            <w:lang w:val="ru-RU" w:bidi="ru-RU"/>
          </w:rPr>
          <w:t>здесь</w:t>
        </w:r>
      </w:hyperlink>
      <w:r w:rsidRPr="00051142">
        <w:rPr>
          <w:lang w:val="ru-RU" w:bidi="ru-RU"/>
        </w:rPr>
        <w:t>.</w:t>
      </w:r>
    </w:p>
    <w:p w14:paraId="61224D83" w14:textId="3BAB7131" w:rsidR="00AC2500" w:rsidRPr="00051142" w:rsidRDefault="00AC2500" w:rsidP="00AC2500">
      <w:pPr>
        <w:rPr>
          <w:lang w:val="ru-RU"/>
        </w:rPr>
      </w:pPr>
      <w:r w:rsidRPr="00051142">
        <w:rPr>
          <w:lang w:val="ru-RU" w:bidi="ru-RU"/>
        </w:rPr>
        <w:t>2.9</w:t>
      </w:r>
      <w:r w:rsidRPr="00051142">
        <w:rPr>
          <w:b/>
          <w:lang w:val="ru-RU" w:bidi="ru-RU"/>
        </w:rPr>
        <w:tab/>
        <w:t>Консультативный совет высокого уровня по эффективной многосторонн</w:t>
      </w:r>
      <w:r w:rsidR="005F067C" w:rsidRPr="00051142">
        <w:rPr>
          <w:b/>
          <w:lang w:val="ru-RU" w:bidi="ru-RU"/>
        </w:rPr>
        <w:t>ости:</w:t>
      </w:r>
      <w:r w:rsidRPr="00051142">
        <w:rPr>
          <w:lang w:val="ru-RU" w:bidi="ru-RU"/>
        </w:rPr>
        <w:t xml:space="preserve"> </w:t>
      </w:r>
      <w:r w:rsidR="005F067C" w:rsidRPr="00051142">
        <w:rPr>
          <w:lang w:val="ru-RU" w:bidi="ru-RU"/>
        </w:rPr>
        <w:t xml:space="preserve">еще </w:t>
      </w:r>
      <w:r w:rsidRPr="00051142">
        <w:rPr>
          <w:lang w:val="ru-RU" w:bidi="ru-RU"/>
        </w:rPr>
        <w:t xml:space="preserve">одно важное предложение, указанное в докладе "Наша общая повестка дня", касается </w:t>
      </w:r>
      <w:hyperlink r:id="rId27" w:history="1">
        <w:r w:rsidRPr="00051142">
          <w:rPr>
            <w:rStyle w:val="Hyperlink"/>
            <w:lang w:val="ru-RU" w:bidi="ru-RU"/>
          </w:rPr>
          <w:t>Консультативного совета высокого уровня Генерального секретаря Организации Объединенных Наций по эффективной многосторонн</w:t>
        </w:r>
        <w:r w:rsidR="004375AB" w:rsidRPr="00051142">
          <w:rPr>
            <w:rStyle w:val="Hyperlink"/>
            <w:lang w:val="ru-RU" w:bidi="ru-RU"/>
          </w:rPr>
          <w:t>ости</w:t>
        </w:r>
        <w:r w:rsidRPr="00051142">
          <w:rPr>
            <w:rStyle w:val="Hyperlink"/>
            <w:lang w:val="ru-RU" w:bidi="ru-RU"/>
          </w:rPr>
          <w:t xml:space="preserve"> (HLAB)</w:t>
        </w:r>
      </w:hyperlink>
      <w:r w:rsidRPr="00051142">
        <w:rPr>
          <w:lang w:val="ru-RU" w:bidi="ru-RU"/>
        </w:rPr>
        <w:t xml:space="preserve">, по </w:t>
      </w:r>
      <w:r w:rsidR="00E75FDB" w:rsidRPr="00051142">
        <w:rPr>
          <w:lang w:val="ru-RU" w:bidi="ru-RU"/>
        </w:rPr>
        <w:t xml:space="preserve">результатам работы </w:t>
      </w:r>
      <w:r w:rsidRPr="00051142">
        <w:rPr>
          <w:lang w:val="ru-RU" w:bidi="ru-RU"/>
        </w:rPr>
        <w:t xml:space="preserve">которого МСЭ также активно проводит контрольные мероприятия. В апреле 2023 года HLAB опубликовал свой доклад </w:t>
      </w:r>
      <w:hyperlink r:id="rId28" w:history="1">
        <w:r w:rsidRPr="00051142">
          <w:rPr>
            <w:rStyle w:val="Hyperlink"/>
            <w:lang w:val="ru-RU" w:bidi="ru-RU"/>
          </w:rPr>
          <w:t xml:space="preserve">"Прорыв </w:t>
        </w:r>
        <w:r w:rsidR="005F067C" w:rsidRPr="00051142">
          <w:rPr>
            <w:rStyle w:val="Hyperlink"/>
            <w:lang w:val="ru-RU" w:bidi="ru-RU"/>
          </w:rPr>
          <w:t>во имя</w:t>
        </w:r>
        <w:r w:rsidRPr="00051142">
          <w:rPr>
            <w:rStyle w:val="Hyperlink"/>
            <w:lang w:val="ru-RU" w:bidi="ru-RU"/>
          </w:rPr>
          <w:t xml:space="preserve"> людей и планеты: эффективное и</w:t>
        </w:r>
        <w:r w:rsidR="001C5E40" w:rsidRPr="00051142">
          <w:rPr>
            <w:rStyle w:val="Hyperlink"/>
            <w:lang w:val="ru-RU" w:bidi="ru-RU"/>
          </w:rPr>
          <w:t xml:space="preserve"> инклюзивное г</w:t>
        </w:r>
        <w:r w:rsidRPr="00051142">
          <w:rPr>
            <w:rStyle w:val="Hyperlink"/>
            <w:lang w:val="ru-RU" w:bidi="ru-RU"/>
          </w:rPr>
          <w:t>лобальное управление для сегодняшнего дня и будущего"</w:t>
        </w:r>
      </w:hyperlink>
      <w:r w:rsidRPr="00051142">
        <w:rPr>
          <w:lang w:val="ru-RU" w:bidi="ru-RU"/>
        </w:rPr>
        <w:t>, в котором приведен план укрепления глобальной архитектуры для мира, безопасности и финансов, обеспечения справедливого перехода для климата и цифровизации, а также обеспечения большего равенства и справедливости в рамках глобального процесса принятия решений. Примечательно, что в нем есть глава, посвященная управлению цифровыми технологиями и данными, в которой поощряется справедливый цифровой переход, обеспечивающий максимальную ценность данных при защите от цифрового вреда.</w:t>
      </w:r>
    </w:p>
    <w:p w14:paraId="7C048236" w14:textId="6AE3C3BB" w:rsidR="00AC2500" w:rsidRPr="00051142" w:rsidRDefault="00AC2500" w:rsidP="00AC2500">
      <w:pPr>
        <w:rPr>
          <w:lang w:val="ru-RU"/>
        </w:rPr>
      </w:pPr>
      <w:r w:rsidRPr="00051142">
        <w:rPr>
          <w:lang w:val="ru-RU" w:bidi="ru-RU"/>
        </w:rPr>
        <w:lastRenderedPageBreak/>
        <w:t>2.10</w:t>
      </w:r>
      <w:r w:rsidRPr="00051142">
        <w:rPr>
          <w:lang w:val="ru-RU" w:bidi="ru-RU"/>
        </w:rPr>
        <w:tab/>
        <w:t>Как настоятельно предлагали Государства-Члены в ходе заседания Рабочей группы Совета по разработке Стратегического и Финансового планов, МСЭ работает и будет продолжать работать в очень тесном сотрудничестве с КГС, OSET и другими учреждениями Организации Объединенных Наций над ускорением цифрового сотрудничества и решения связанных с цифровыми технологиями вопросов, указанных в докладе "Наша общая повестка дня" и в поддержку Государств-Членов в преддверии Саммита будущего в сентябре 2024 года.</w:t>
      </w:r>
    </w:p>
    <w:p w14:paraId="540459D6" w14:textId="17B7C3B0" w:rsidR="00AC2500" w:rsidRPr="00051142" w:rsidRDefault="00AC2500" w:rsidP="00AC2500">
      <w:pPr>
        <w:pStyle w:val="Heading1"/>
        <w:rPr>
          <w:lang w:val="ru-RU"/>
        </w:rPr>
      </w:pPr>
      <w:r w:rsidRPr="00051142">
        <w:rPr>
          <w:lang w:val="ru-RU" w:bidi="ru-RU"/>
        </w:rPr>
        <w:t>3</w:t>
      </w:r>
      <w:r w:rsidRPr="00051142">
        <w:rPr>
          <w:lang w:val="ru-RU" w:bidi="ru-RU"/>
        </w:rPr>
        <w:tab/>
        <w:t>Конференция НРС-5 и процессы, связанные с ЛЛДС и СИДС</w:t>
      </w:r>
    </w:p>
    <w:p w14:paraId="45F74946" w14:textId="5D66AA9C" w:rsidR="00AC2500" w:rsidRPr="00051142" w:rsidRDefault="00AC2500" w:rsidP="00AC2500">
      <w:pPr>
        <w:rPr>
          <w:lang w:val="ru-RU"/>
        </w:rPr>
      </w:pPr>
      <w:r w:rsidRPr="00051142">
        <w:rPr>
          <w:lang w:val="ru-RU" w:bidi="ru-RU"/>
        </w:rPr>
        <w:t>3.1</w:t>
      </w:r>
      <w:r w:rsidRPr="00051142">
        <w:rPr>
          <w:lang w:val="ru-RU" w:bidi="ru-RU"/>
        </w:rPr>
        <w:tab/>
      </w:r>
      <w:hyperlink r:id="rId29" w:history="1">
        <w:r w:rsidRPr="00051142">
          <w:rPr>
            <w:rStyle w:val="Hyperlink"/>
            <w:lang w:val="ru-RU" w:bidi="ru-RU"/>
          </w:rPr>
          <w:t>5-я конференция Организации Объединенных Наций по наименее развитым странам (НРС-5)</w:t>
        </w:r>
      </w:hyperlink>
      <w:r w:rsidRPr="00051142">
        <w:rPr>
          <w:lang w:val="ru-RU" w:bidi="ru-RU"/>
        </w:rPr>
        <w:t xml:space="preserve"> проходила в двух частях. Первая часть состоялась в Нью-Йорке 17 марта 2022 года, на которой была принята </w:t>
      </w:r>
      <w:hyperlink r:id="rId30" w:history="1">
        <w:r w:rsidRPr="00051142">
          <w:rPr>
            <w:rStyle w:val="Hyperlink"/>
            <w:lang w:val="ru-RU" w:bidi="ru-RU"/>
          </w:rPr>
          <w:t>Дохинская программа действий</w:t>
        </w:r>
      </w:hyperlink>
      <w:r w:rsidRPr="00051142">
        <w:rPr>
          <w:lang w:val="ru-RU" w:bidi="ru-RU"/>
        </w:rPr>
        <w:t>, а затем в Дохе, Катар, 5–9 марта 2023</w:t>
      </w:r>
      <w:r w:rsidR="00051142">
        <w:rPr>
          <w:lang w:val="ru-RU" w:bidi="ru-RU"/>
        </w:rPr>
        <w:t> </w:t>
      </w:r>
      <w:r w:rsidRPr="00051142">
        <w:rPr>
          <w:lang w:val="ru-RU" w:bidi="ru-RU"/>
        </w:rPr>
        <w:t>года прошла вторая часть. НРС-5 была посвящена теме "От потенциала к процветанию" и направлена на осуществление трансформационных изменений для улучшения жизни 1,2</w:t>
      </w:r>
      <w:r w:rsidR="00051142">
        <w:rPr>
          <w:lang w:val="ru-RU" w:bidi="ru-RU"/>
        </w:rPr>
        <w:t> </w:t>
      </w:r>
      <w:r w:rsidRPr="00051142">
        <w:rPr>
          <w:lang w:val="ru-RU" w:bidi="ru-RU"/>
        </w:rPr>
        <w:t xml:space="preserve">миллиарда человек, проживающих в 46 наименее развитых странах (НРС). Вклад МСЭ в обеспечение универсальной и реальной возможности установления соединений и устойчивой цифровой трансформации для НРС стал одной из ключевых тем конференции, включая основные программные мероприятия, такие как </w:t>
      </w:r>
      <w:r w:rsidR="00E75FDB" w:rsidRPr="00051142">
        <w:rPr>
          <w:lang w:val="ru-RU" w:bidi="ru-RU"/>
        </w:rPr>
        <w:t>Второй</w:t>
      </w:r>
      <w:r w:rsidRPr="00051142">
        <w:rPr>
          <w:lang w:val="ru-RU" w:bidi="ru-RU"/>
        </w:rPr>
        <w:t xml:space="preserve"> тематический круглый стол высокого уровня, посвященный использованию возможностей науки, техники и инноваций для устойчивого развития НРС, и сегмент Форума по вопросам частного сектора, посвященный возможности установления соединений, в котором Генеральный секретарь принял активное участие в качестве докладчика.</w:t>
      </w:r>
    </w:p>
    <w:p w14:paraId="3AC2D6CD" w14:textId="6F598E9D" w:rsidR="00AC2500" w:rsidRPr="00051142" w:rsidRDefault="00AC2500" w:rsidP="00AC2500">
      <w:pPr>
        <w:rPr>
          <w:lang w:val="ru-RU"/>
        </w:rPr>
      </w:pPr>
      <w:r w:rsidRPr="00051142">
        <w:rPr>
          <w:lang w:val="ru-RU" w:bidi="ru-RU"/>
        </w:rPr>
        <w:t>3.2</w:t>
      </w:r>
      <w:r w:rsidRPr="00051142">
        <w:rPr>
          <w:lang w:val="ru-RU" w:bidi="ru-RU"/>
        </w:rPr>
        <w:tab/>
        <w:t xml:space="preserve">Общие прения на НРС-5, в ходе которых МСЭ выступил с заявлением, содержали следующие ключевые идеи: инвестиции в инфраструктуру широкополосной связи являются ключевыми для НРС для получения экономических выгод, и устранение цифрового разрыва по мере того, как мир все больше перемещается в онлайновую среду, имеет решающее значение. МСЭ стал организатором/соорганизатором </w:t>
      </w:r>
      <w:r w:rsidR="005F067C" w:rsidRPr="00051142">
        <w:rPr>
          <w:lang w:val="ru-RU" w:bidi="ru-RU"/>
        </w:rPr>
        <w:t>сопутствующих</w:t>
      </w:r>
      <w:r w:rsidRPr="00051142">
        <w:rPr>
          <w:lang w:val="ru-RU" w:bidi="ru-RU"/>
        </w:rPr>
        <w:t xml:space="preserve"> мероприятий по цифровой трансформации для НРС, Генеральный секретарь также выступил на </w:t>
      </w:r>
      <w:r w:rsidR="005F067C" w:rsidRPr="00051142">
        <w:rPr>
          <w:lang w:val="ru-RU" w:bidi="ru-RU"/>
        </w:rPr>
        <w:t>сопутствующих</w:t>
      </w:r>
      <w:r w:rsidRPr="00051142">
        <w:rPr>
          <w:lang w:val="ru-RU" w:bidi="ru-RU"/>
        </w:rPr>
        <w:t xml:space="preserve"> мероприятиях по другим вопросам, связанным с цифровыми технологиями, и принял участие в молодежных мероприятиях, а директор БРЭ участвовал во встрече на уровне министров по сотрудничеству Юг–Юг и выступил на многочисленных </w:t>
      </w:r>
      <w:r w:rsidR="005F067C" w:rsidRPr="00051142">
        <w:rPr>
          <w:lang w:val="ru-RU" w:bidi="ru-RU"/>
        </w:rPr>
        <w:t>сопутствующих</w:t>
      </w:r>
      <w:r w:rsidRPr="00051142">
        <w:rPr>
          <w:lang w:val="ru-RU" w:bidi="ru-RU"/>
        </w:rPr>
        <w:t xml:space="preserve"> мероприятиях. Кроме того, была выпущена </w:t>
      </w:r>
      <w:hyperlink r:id="rId31">
        <w:r w:rsidRPr="00051142">
          <w:rPr>
            <w:rStyle w:val="Hyperlink"/>
            <w:lang w:val="ru-RU" w:bidi="ru-RU"/>
          </w:rPr>
          <w:t>публикация</w:t>
        </w:r>
      </w:hyperlink>
      <w:r w:rsidRPr="00051142">
        <w:rPr>
          <w:lang w:val="ru-RU" w:bidi="ru-RU"/>
        </w:rPr>
        <w:t xml:space="preserve"> МСЭ "Факты и цифры: в центре внимания – наименее развитые страны", что обеспечило дополнительную поддержку в реализации целей и </w:t>
      </w:r>
      <w:hyperlink r:id="rId32">
        <w:r w:rsidRPr="00051142">
          <w:rPr>
            <w:rStyle w:val="Hyperlink"/>
            <w:lang w:val="ru-RU" w:bidi="ru-RU"/>
          </w:rPr>
          <w:t>результаты</w:t>
        </w:r>
      </w:hyperlink>
      <w:r w:rsidRPr="00051142">
        <w:rPr>
          <w:lang w:val="ru-RU" w:bidi="ru-RU"/>
        </w:rPr>
        <w:t xml:space="preserve"> НРС-5.</w:t>
      </w:r>
    </w:p>
    <w:p w14:paraId="5FB73E2D" w14:textId="28777698" w:rsidR="00AC2500" w:rsidRPr="00051142" w:rsidRDefault="00AC2500" w:rsidP="00AC2500">
      <w:pPr>
        <w:rPr>
          <w:lang w:val="ru-RU"/>
        </w:rPr>
      </w:pPr>
      <w:r w:rsidRPr="00051142">
        <w:rPr>
          <w:lang w:val="ru-RU" w:bidi="ru-RU"/>
        </w:rPr>
        <w:t>3.3</w:t>
      </w:r>
      <w:r w:rsidRPr="00051142">
        <w:rPr>
          <w:lang w:val="ru-RU" w:bidi="ru-RU"/>
        </w:rPr>
        <w:tab/>
        <w:t xml:space="preserve">Было проведено </w:t>
      </w:r>
      <w:r w:rsidR="005F067C" w:rsidRPr="00051142">
        <w:rPr>
          <w:lang w:val="ru-RU" w:bidi="ru-RU"/>
        </w:rPr>
        <w:t>сопутствующее</w:t>
      </w:r>
      <w:r w:rsidRPr="00051142">
        <w:rPr>
          <w:lang w:val="ru-RU" w:bidi="ru-RU"/>
        </w:rPr>
        <w:t xml:space="preserve"> мероприятие, посвященное инициативе "Партнерства для подключения" (P2C), сопредседателями которого выступили МСЭ и Канцелярия Высокого представителя Организации Объединенных Наций по наименее развитым странам, развивающимся странам, не имеющим выхода к морю, и малым островным развивающимся государствам </w:t>
      </w:r>
      <w:r w:rsidR="00153D1A" w:rsidRPr="00051142">
        <w:rPr>
          <w:lang w:val="ru-RU" w:bidi="ru-RU"/>
        </w:rPr>
        <w:t>(</w:t>
      </w:r>
      <w:r w:rsidRPr="00051142">
        <w:rPr>
          <w:lang w:val="ru-RU" w:bidi="ru-RU"/>
        </w:rPr>
        <w:t>КВПНРМ ООН), с тем чтобы осветить обязательства P2C, принятые в отношении НРС, и предоставления возможности объявить о новых обязательствах, связанных с НРС.</w:t>
      </w:r>
    </w:p>
    <w:p w14:paraId="13D93E09" w14:textId="77777777" w:rsidR="00AC2500" w:rsidRPr="00051142" w:rsidRDefault="00AC2500" w:rsidP="00AC2500">
      <w:pPr>
        <w:rPr>
          <w:lang w:val="ru-RU"/>
        </w:rPr>
      </w:pPr>
      <w:r w:rsidRPr="00051142">
        <w:rPr>
          <w:lang w:val="ru-RU" w:bidi="ru-RU"/>
        </w:rPr>
        <w:t>3.4</w:t>
      </w:r>
      <w:r w:rsidRPr="00051142">
        <w:rPr>
          <w:lang w:val="ru-RU" w:bidi="ru-RU"/>
        </w:rPr>
        <w:tab/>
        <w:t>КВПНРМ ООН уже обратилась к МСЭ с предложением внести аналогичный тематический вклад в третью Конференцию Организации Объединенных Наций по развивающимся странам, не имеющим выхода к морю, и четвертую Международную конференцию по малым островным развивающимся государствам, учитывая важность универсальной и реальной возможности установления соединений и устойчивой цифровой трансформации для этих групп стран.</w:t>
      </w:r>
    </w:p>
    <w:p w14:paraId="102D9226" w14:textId="59C17183" w:rsidR="00AC2500" w:rsidRPr="00051142" w:rsidRDefault="00AC2500" w:rsidP="00AC2500">
      <w:pPr>
        <w:pStyle w:val="Heading1"/>
        <w:rPr>
          <w:lang w:val="ru-RU"/>
        </w:rPr>
      </w:pPr>
      <w:r w:rsidRPr="00051142">
        <w:rPr>
          <w:lang w:val="ru-RU" w:bidi="ru-RU"/>
        </w:rPr>
        <w:lastRenderedPageBreak/>
        <w:t>4</w:t>
      </w:r>
      <w:r w:rsidRPr="00051142">
        <w:rPr>
          <w:lang w:val="ru-RU" w:bidi="ru-RU"/>
        </w:rPr>
        <w:tab/>
        <w:t>Комиссия по положению женщин</w:t>
      </w:r>
    </w:p>
    <w:p w14:paraId="3F4C7C18" w14:textId="65303F6F" w:rsidR="00AC2500" w:rsidRPr="00051142" w:rsidRDefault="00AC2500" w:rsidP="00AC2500">
      <w:pPr>
        <w:rPr>
          <w:lang w:val="ru-RU"/>
        </w:rPr>
      </w:pPr>
      <w:r w:rsidRPr="00051142">
        <w:rPr>
          <w:lang w:val="ru-RU" w:bidi="ru-RU"/>
        </w:rPr>
        <w:t>4.1</w:t>
      </w:r>
      <w:r w:rsidRPr="00051142">
        <w:rPr>
          <w:lang w:val="ru-RU" w:bidi="ru-RU"/>
        </w:rPr>
        <w:tab/>
        <w:t>В Нью-Йорке 6–17 марта 2023 года состоялась</w:t>
      </w:r>
      <w:r w:rsidR="00073AD3" w:rsidRPr="00051142">
        <w:rPr>
          <w:lang w:val="ru-RU" w:bidi="ru-RU"/>
        </w:rPr>
        <w:t xml:space="preserve"> </w:t>
      </w:r>
      <w:r w:rsidR="00073AD3" w:rsidRPr="00051142">
        <w:rPr>
          <w:rStyle w:val="Hyperlink"/>
          <w:lang w:val="ru-RU"/>
        </w:rPr>
        <w:t>67-я</w:t>
      </w:r>
      <w:r w:rsidRPr="00051142">
        <w:rPr>
          <w:rStyle w:val="Hyperlink"/>
          <w:lang w:val="ru-RU"/>
        </w:rPr>
        <w:t xml:space="preserve"> </w:t>
      </w:r>
      <w:hyperlink r:id="rId33" w:history="1">
        <w:r w:rsidR="00073AD3" w:rsidRPr="00051142">
          <w:rPr>
            <w:rStyle w:val="Hyperlink"/>
            <w:lang w:val="ru-RU" w:bidi="ru-RU"/>
          </w:rPr>
          <w:t>сессия Комиссии по положению женщин (КПЖ-67)</w:t>
        </w:r>
      </w:hyperlink>
      <w:r w:rsidRPr="00051142">
        <w:rPr>
          <w:lang w:val="ru-RU" w:bidi="ru-RU"/>
        </w:rPr>
        <w:t xml:space="preserve">. Примечательно, что на ней Комиссия впервые уделила внимание теме инноваций, технологических изменений и образования в цифровую эпоху. Итоговые документы Комиссии содержат </w:t>
      </w:r>
      <w:hyperlink r:id="rId34" w:history="1">
        <w:r w:rsidRPr="00051142">
          <w:rPr>
            <w:rStyle w:val="Hyperlink"/>
            <w:lang w:val="ru-RU" w:bidi="ru-RU"/>
          </w:rPr>
          <w:t>согласованные выводы</w:t>
        </w:r>
      </w:hyperlink>
      <w:r w:rsidRPr="00051142">
        <w:rPr>
          <w:lang w:val="ru-RU" w:bidi="ru-RU"/>
        </w:rPr>
        <w:t xml:space="preserve"> с концепцией более равного и соединенного мира, в рамках которой признается, что равенство и реальное участие молодежи требуют доступа к цифровым технологиям, цифровой грамотности и цифровой безопасности для всех.</w:t>
      </w:r>
    </w:p>
    <w:p w14:paraId="744178B6" w14:textId="07BD6C61" w:rsidR="00AC2500" w:rsidRPr="00051142" w:rsidRDefault="00AC2500" w:rsidP="00AC2500">
      <w:pPr>
        <w:rPr>
          <w:lang w:val="ru-RU"/>
        </w:rPr>
      </w:pPr>
      <w:r w:rsidRPr="00051142">
        <w:rPr>
          <w:lang w:val="ru-RU" w:bidi="ru-RU"/>
        </w:rPr>
        <w:t>4.2</w:t>
      </w:r>
      <w:r w:rsidRPr="00051142">
        <w:rPr>
          <w:lang w:val="ru-RU" w:bidi="ru-RU"/>
        </w:rPr>
        <w:tab/>
        <w:t xml:space="preserve">В ходе КПЖ-67 МСЭ принимал активное участие в многочисленных мероприятиях, а Генеральный секретарь выступил с речью на сессии на уровне министров и на официальном мероприятии Организации Объединенных Наций, посвященном Международному женскому дню, а также на нескольких </w:t>
      </w:r>
      <w:r w:rsidR="005F067C" w:rsidRPr="00051142">
        <w:rPr>
          <w:lang w:val="ru-RU" w:bidi="ru-RU"/>
        </w:rPr>
        <w:t>сопутствующих</w:t>
      </w:r>
      <w:r w:rsidRPr="00051142">
        <w:rPr>
          <w:lang w:val="ru-RU" w:bidi="ru-RU"/>
        </w:rPr>
        <w:t xml:space="preserve"> мероприятиях высокого уровня. Кроме того, МСЭ и его региональные отделения внесли ценный вклад и предоставили материалы в ходе подготовки к КПЖ-67 как на глобальном, так и на региональном уровнях, включая Африканский и Азиатско-Тихоокеанский регионы. </w:t>
      </w:r>
    </w:p>
    <w:p w14:paraId="0EC0CFB6" w14:textId="0FDE78C9" w:rsidR="00AC2500" w:rsidRPr="00051142" w:rsidRDefault="00AC2500" w:rsidP="00AC2500">
      <w:pPr>
        <w:pStyle w:val="Heading1"/>
        <w:rPr>
          <w:lang w:val="ru-RU"/>
        </w:rPr>
      </w:pPr>
      <w:r w:rsidRPr="00051142">
        <w:rPr>
          <w:lang w:val="ru-RU" w:bidi="ru-RU"/>
        </w:rPr>
        <w:t>5</w:t>
      </w:r>
      <w:r w:rsidRPr="00051142">
        <w:rPr>
          <w:lang w:val="ru-RU" w:bidi="ru-RU"/>
        </w:rPr>
        <w:tab/>
        <w:t>Сотрудничество с УВКПЧ</w:t>
      </w:r>
    </w:p>
    <w:p w14:paraId="15ED3AAF" w14:textId="68871510" w:rsidR="00AC2500" w:rsidRPr="00051142" w:rsidRDefault="00AC2500" w:rsidP="00AC2500">
      <w:pPr>
        <w:rPr>
          <w:lang w:val="ru-RU"/>
        </w:rPr>
      </w:pPr>
      <w:r w:rsidRPr="00051142">
        <w:rPr>
          <w:lang w:val="ru-RU" w:bidi="ru-RU"/>
        </w:rPr>
        <w:t>5.1</w:t>
      </w:r>
      <w:r w:rsidRPr="00051142">
        <w:rPr>
          <w:lang w:val="ru-RU" w:bidi="ru-RU"/>
        </w:rPr>
        <w:tab/>
        <w:t xml:space="preserve">В июле 2021 года Совет Организации Объединенных Наций по правам человека в </w:t>
      </w:r>
      <w:hyperlink r:id="rId35" w:history="1">
        <w:r w:rsidRPr="00051142">
          <w:rPr>
            <w:rStyle w:val="Hyperlink"/>
            <w:lang w:val="ru-RU" w:bidi="ru-RU"/>
          </w:rPr>
          <w:t>резолюции 47/23</w:t>
        </w:r>
      </w:hyperlink>
      <w:r w:rsidRPr="00051142">
        <w:rPr>
          <w:lang w:val="ru-RU" w:bidi="ru-RU"/>
        </w:rPr>
        <w:t xml:space="preserve"> поручил Управлению Верховного комиссара по правам человека (УВКПЧ) "созвать два консультативных совещания экспертов для обсуждения взаимосвязи между правами человека и процессами установления технических стандартов для новых и появляющихся</w:t>
      </w:r>
      <w:r w:rsidR="006917CA" w:rsidRPr="00051142">
        <w:rPr>
          <w:lang w:val="ru-RU" w:bidi="ru-RU"/>
        </w:rPr>
        <w:t xml:space="preserve"> </w:t>
      </w:r>
      <w:r w:rsidRPr="00051142">
        <w:rPr>
          <w:lang w:val="ru-RU" w:bidi="ru-RU"/>
        </w:rPr>
        <w:t>цифровых технологий и практического применения Руководящих принципов предпринимательской деятельности в аспекте прав человека к деятельности технологических компаний и представить Совету по правам человека на его пятидесятой и пятьдесят третьей сессиях доклады по этому вопросу, отражающие обсуждения, проведенные инклюзивным и всеобъемлющим образом". В резолюции также содержится просьба к УВКПЧ запрашивать материалы и учитывать соответствующую работу, уже проделанную заинтересованными сторонами, включая МСЭ.</w:t>
      </w:r>
    </w:p>
    <w:p w14:paraId="48F0FC94" w14:textId="36A7F822" w:rsidR="00AC2500" w:rsidRPr="00051142" w:rsidRDefault="00AC2500" w:rsidP="00AC2500">
      <w:pPr>
        <w:rPr>
          <w:lang w:val="ru-RU"/>
        </w:rPr>
      </w:pPr>
      <w:r w:rsidRPr="00051142">
        <w:rPr>
          <w:lang w:val="ru-RU" w:bidi="ru-RU"/>
        </w:rPr>
        <w:t>5.2</w:t>
      </w:r>
      <w:r w:rsidRPr="00051142">
        <w:rPr>
          <w:lang w:val="ru-RU" w:bidi="ru-RU"/>
        </w:rPr>
        <w:tab/>
        <w:t xml:space="preserve">В связи с этим международные организации по разработке стандартов (ОРС), включая МСЭ, Международную электротехническую комиссию (МЭК) и Международную организацию по стандартизации (ИСО), тесно сотрудничают с УВКПЧ. На недавнем собрании в рамках Всемирного сотрудничества по стандартам (ВСС), организованном МСЭ в феврале 2023 года, ключевым итоговым документом стало соглашение между тремя международными ОРС, МЭК, ИСО и МСЭ, в присутствии Верховного комиссара Организации Объединенных Наций по правам человека, о содействии расширению сотрудничества между сообществами по стандартизации и защите прав человека. </w:t>
      </w:r>
    </w:p>
    <w:p w14:paraId="60168BA9" w14:textId="339ABAFF" w:rsidR="00AC2500" w:rsidRPr="00051142" w:rsidRDefault="00AC2500" w:rsidP="00AC2500">
      <w:pPr>
        <w:rPr>
          <w:lang w:val="ru-RU"/>
        </w:rPr>
      </w:pPr>
      <w:r w:rsidRPr="00051142">
        <w:rPr>
          <w:lang w:val="ru-RU" w:bidi="ru-RU"/>
        </w:rPr>
        <w:t>5.3</w:t>
      </w:r>
      <w:r w:rsidRPr="00051142">
        <w:rPr>
          <w:lang w:val="ru-RU" w:bidi="ru-RU"/>
        </w:rPr>
        <w:tab/>
        <w:t xml:space="preserve">Кроме того, МСЭ принял участие в открытой консультации, организованной УВКПЧ на Форуме по управлению использованием интернета 2022 года, а также во второй консультации экспертов УВКПЧ в феврале 2023 года. МСЭ и УВКПЧ также совместно организовали </w:t>
      </w:r>
      <w:hyperlink r:id="rId36" w:history="1">
        <w:r w:rsidRPr="00051142">
          <w:rPr>
            <w:rStyle w:val="Hyperlink"/>
            <w:lang w:val="ru-RU" w:bidi="ru-RU"/>
          </w:rPr>
          <w:t>сессию</w:t>
        </w:r>
      </w:hyperlink>
      <w:r w:rsidRPr="00051142">
        <w:rPr>
          <w:lang w:val="ru-RU" w:bidi="ru-RU"/>
        </w:rPr>
        <w:t xml:space="preserve"> по техническим стандартам и правам человека на Форуме ВВУИО 2023 года, а Верховный комиссар по правам человека г-н Волкер Тюрк был приглашен выступить на собрании ВСС, проводимом МСЭ в феврале 2023 года.</w:t>
      </w:r>
    </w:p>
    <w:p w14:paraId="5BF8C0B0" w14:textId="52049656" w:rsidR="00AC2500" w:rsidRPr="00051142" w:rsidRDefault="00AC2500" w:rsidP="00AC2500">
      <w:pPr>
        <w:pStyle w:val="Heading1"/>
        <w:rPr>
          <w:lang w:val="ru-RU"/>
        </w:rPr>
      </w:pPr>
      <w:r w:rsidRPr="00051142">
        <w:rPr>
          <w:lang w:val="ru-RU" w:bidi="ru-RU"/>
        </w:rPr>
        <w:t>6</w:t>
      </w:r>
      <w:r w:rsidRPr="00051142">
        <w:rPr>
          <w:lang w:val="ru-RU" w:bidi="ru-RU"/>
        </w:rPr>
        <w:tab/>
        <w:t>Саммит по ЦУР и День цифровых технологий для ЦУР</w:t>
      </w:r>
    </w:p>
    <w:p w14:paraId="71050829" w14:textId="77777777" w:rsidR="00AC2500" w:rsidRPr="00051142" w:rsidRDefault="00AC2500" w:rsidP="00AC2500">
      <w:pPr>
        <w:rPr>
          <w:lang w:val="ru-RU"/>
        </w:rPr>
      </w:pPr>
      <w:r w:rsidRPr="00051142">
        <w:rPr>
          <w:lang w:val="ru-RU" w:bidi="ru-RU"/>
        </w:rPr>
        <w:t>6.1</w:t>
      </w:r>
      <w:r w:rsidRPr="00051142">
        <w:rPr>
          <w:lang w:val="ru-RU" w:bidi="ru-RU"/>
        </w:rPr>
        <w:tab/>
        <w:t xml:space="preserve">На 18–19 сентября запланировано проведение Организацией Объединенных Наций Саммита по ЦУР, который ознаменует серединный рубеж на пути реализации Повестки дня в области устойчивого развития на период до 2030 года. Ожидается, что цифровые технологии </w:t>
      </w:r>
      <w:r w:rsidRPr="00051142">
        <w:rPr>
          <w:lang w:val="ru-RU" w:bidi="ru-RU"/>
        </w:rPr>
        <w:lastRenderedPageBreak/>
        <w:t xml:space="preserve">станут ключевой темой в содействии достижению целей в области устойчивого развития (ЦУР). 17 сентября МСЭ и Программа развития Организации Объединенных наций в сотрудничестве с системой Организации Объединенных Наций проведут в Нью-Йорке День цифровых технологий для ЦУР. День цифровых технологий для ЦУР позволит подвести итоги в части достижений и пробелов в выполнении Повестки дня на период до 2030 года и станет катализатором более активных действий по достижению ЦУР, выдвигая на первый план потенциал данных и цифровых технологий. </w:t>
      </w:r>
    </w:p>
    <w:p w14:paraId="69170022" w14:textId="77777777" w:rsidR="00AC2500" w:rsidRPr="00051142" w:rsidRDefault="00AC2500" w:rsidP="00441115">
      <w:pPr>
        <w:keepNext/>
        <w:keepLines/>
        <w:rPr>
          <w:lang w:val="ru-RU"/>
        </w:rPr>
      </w:pPr>
      <w:r w:rsidRPr="00051142">
        <w:rPr>
          <w:lang w:val="ru-RU" w:bidi="ru-RU"/>
        </w:rPr>
        <w:t>6.2</w:t>
      </w:r>
      <w:r w:rsidRPr="00051142">
        <w:rPr>
          <w:lang w:val="ru-RU" w:bidi="ru-RU"/>
        </w:rPr>
        <w:tab/>
        <w:t xml:space="preserve">День цифровых технологий для ЦУР будет способствовать достижению целей Саммита по ЦУР путем: </w:t>
      </w:r>
    </w:p>
    <w:p w14:paraId="326D0047" w14:textId="30263874" w:rsidR="00AC2500" w:rsidRPr="00051142" w:rsidRDefault="00325289" w:rsidP="00325289">
      <w:pPr>
        <w:pStyle w:val="enumlev1"/>
        <w:rPr>
          <w:lang w:val="ru-RU"/>
        </w:rPr>
      </w:pPr>
      <w:r w:rsidRPr="00051142">
        <w:rPr>
          <w:lang w:val="ru-RU" w:bidi="ru-RU"/>
        </w:rPr>
        <w:t>•</w:t>
      </w:r>
      <w:r w:rsidRPr="00051142">
        <w:rPr>
          <w:lang w:val="ru-RU" w:bidi="ru-RU"/>
        </w:rPr>
        <w:tab/>
      </w:r>
      <w:r w:rsidRPr="00051142">
        <w:rPr>
          <w:b/>
          <w:lang w:val="ru-RU" w:bidi="ru-RU"/>
        </w:rPr>
        <w:t xml:space="preserve">демонстрации </w:t>
      </w:r>
      <w:r w:rsidRPr="00051142">
        <w:rPr>
          <w:lang w:val="ru-RU" w:bidi="ru-RU"/>
        </w:rPr>
        <w:t>того, как можно использовать данные и цифровые технологии для ускорения прогресса в деле достижения ЦУР и их задач, в том числе путем анализа текущей ситуации, проблем и возможностей. Результаты этого анализа будут обобщены в "План помощи в деле реализации ЦУР с помощью цифровых технологий"</w:t>
      </w:r>
      <w:r w:rsidR="00AC2500" w:rsidRPr="00051142">
        <w:rPr>
          <w:rStyle w:val="FootnoteReference"/>
          <w:lang w:val="ru-RU" w:bidi="ru-RU"/>
        </w:rPr>
        <w:footnoteReference w:id="1"/>
      </w:r>
      <w:r w:rsidRPr="00051142">
        <w:rPr>
          <w:lang w:val="ru-RU" w:bidi="ru-RU"/>
        </w:rPr>
        <w:t>, который будет представлен в этот день</w:t>
      </w:r>
      <w:r w:rsidR="006917CA" w:rsidRPr="00051142">
        <w:rPr>
          <w:lang w:val="ru-RU" w:bidi="ru-RU"/>
        </w:rPr>
        <w:t>;</w:t>
      </w:r>
    </w:p>
    <w:p w14:paraId="1AB07B29" w14:textId="0B7535B9" w:rsidR="00AC2500" w:rsidRPr="00051142" w:rsidRDefault="00325289" w:rsidP="00325289">
      <w:pPr>
        <w:pStyle w:val="enumlev1"/>
        <w:rPr>
          <w:lang w:val="ru-RU"/>
        </w:rPr>
      </w:pPr>
      <w:r w:rsidRPr="00051142">
        <w:rPr>
          <w:lang w:val="ru-RU" w:bidi="ru-RU"/>
        </w:rPr>
        <w:t>•</w:t>
      </w:r>
      <w:r w:rsidRPr="00051142">
        <w:rPr>
          <w:lang w:val="ru-RU" w:bidi="ru-RU"/>
        </w:rPr>
        <w:tab/>
      </w:r>
      <w:r w:rsidRPr="00051142">
        <w:rPr>
          <w:b/>
          <w:lang w:val="ru-RU" w:bidi="ru-RU"/>
        </w:rPr>
        <w:t>демонстрации</w:t>
      </w:r>
      <w:r w:rsidRPr="00051142">
        <w:rPr>
          <w:lang w:val="ru-RU" w:bidi="ru-RU"/>
        </w:rPr>
        <w:t xml:space="preserve"> высокоэффективных, устойчивых и основанных на цифровых технологиях решений, которые могут содействовать ускорению прогресса в достижении ЦУР посредством применения общей основы для цифровой трансформации, которая может быть использована на национальном уровне; </w:t>
      </w:r>
    </w:p>
    <w:p w14:paraId="7F71A5CA" w14:textId="2A9ABE9E" w:rsidR="00AC2500" w:rsidRPr="00051142" w:rsidRDefault="00325289" w:rsidP="00325289">
      <w:pPr>
        <w:pStyle w:val="enumlev1"/>
        <w:rPr>
          <w:lang w:val="ru-RU"/>
        </w:rPr>
      </w:pPr>
      <w:r w:rsidRPr="00051142">
        <w:rPr>
          <w:lang w:val="ru-RU" w:bidi="ru-RU"/>
        </w:rPr>
        <w:t>•</w:t>
      </w:r>
      <w:r w:rsidRPr="00051142">
        <w:rPr>
          <w:lang w:val="ru-RU" w:bidi="ru-RU"/>
        </w:rPr>
        <w:tab/>
      </w:r>
      <w:r w:rsidRPr="00051142">
        <w:rPr>
          <w:b/>
          <w:lang w:val="ru-RU" w:bidi="ru-RU"/>
        </w:rPr>
        <w:t>мобилизации</w:t>
      </w:r>
      <w:r w:rsidRPr="00051142">
        <w:rPr>
          <w:lang w:val="ru-RU" w:bidi="ru-RU"/>
        </w:rPr>
        <w:t xml:space="preserve"> новых обязательств по ЦУР при поддержке данных и цифровых технологий со стороны правительств, бизнеса, гражданского общества, научных кругов и других секторов с использованием онлайновой платформы </w:t>
      </w:r>
      <w:hyperlink r:id="rId37" w:history="1">
        <w:r w:rsidR="00AC2500" w:rsidRPr="00051142">
          <w:rPr>
            <w:rStyle w:val="Hyperlink"/>
            <w:lang w:val="ru-RU" w:bidi="ru-RU"/>
          </w:rPr>
          <w:t>P2C</w:t>
        </w:r>
      </w:hyperlink>
      <w:r w:rsidRPr="00051142">
        <w:rPr>
          <w:lang w:val="ru-RU" w:bidi="ru-RU"/>
        </w:rPr>
        <w:t xml:space="preserve"> для представления обязательств;</w:t>
      </w:r>
    </w:p>
    <w:p w14:paraId="45F224AD" w14:textId="0D8F8706" w:rsidR="00AC2500" w:rsidRPr="00051142" w:rsidRDefault="00325289" w:rsidP="00325289">
      <w:pPr>
        <w:pStyle w:val="enumlev1"/>
        <w:rPr>
          <w:lang w:val="ru-RU"/>
        </w:rPr>
      </w:pPr>
      <w:r w:rsidRPr="00051142">
        <w:rPr>
          <w:lang w:val="ru-RU" w:bidi="ru-RU"/>
        </w:rPr>
        <w:t>•</w:t>
      </w:r>
      <w:r w:rsidRPr="00051142">
        <w:rPr>
          <w:lang w:val="ru-RU" w:bidi="ru-RU"/>
        </w:rPr>
        <w:tab/>
      </w:r>
      <w:r w:rsidRPr="00051142">
        <w:rPr>
          <w:b/>
          <w:lang w:val="ru-RU" w:bidi="ru-RU"/>
        </w:rPr>
        <w:t>обеспечения четких путей</w:t>
      </w:r>
      <w:r w:rsidRPr="00051142">
        <w:rPr>
          <w:lang w:val="ru-RU" w:bidi="ru-RU"/>
        </w:rPr>
        <w:t xml:space="preserve"> для расширения сотрудничества и преобразующих действий посредством активизации дополнительных партнерских отношений и лучшей координации ресурсов;</w:t>
      </w:r>
    </w:p>
    <w:p w14:paraId="7575E912" w14:textId="563B9991" w:rsidR="00AC2500" w:rsidRPr="00051142" w:rsidRDefault="00325289" w:rsidP="00325289">
      <w:pPr>
        <w:pStyle w:val="enumlev1"/>
        <w:rPr>
          <w:lang w:val="ru-RU"/>
        </w:rPr>
      </w:pPr>
      <w:r w:rsidRPr="00051142">
        <w:rPr>
          <w:lang w:val="ru-RU" w:bidi="ru-RU"/>
        </w:rPr>
        <w:t>•</w:t>
      </w:r>
      <w:r w:rsidRPr="00051142">
        <w:rPr>
          <w:lang w:val="ru-RU" w:bidi="ru-RU"/>
        </w:rPr>
        <w:tab/>
      </w:r>
      <w:r w:rsidRPr="00051142">
        <w:rPr>
          <w:b/>
          <w:lang w:val="ru-RU" w:bidi="ru-RU"/>
        </w:rPr>
        <w:t>привлечения молодежи</w:t>
      </w:r>
      <w:r w:rsidRPr="00051142">
        <w:rPr>
          <w:lang w:val="ru-RU" w:bidi="ru-RU"/>
        </w:rPr>
        <w:t xml:space="preserve"> в качестве поставщиков решений и партнеров по решению проблем для победы в гонке по достижению ЦУР.</w:t>
      </w:r>
    </w:p>
    <w:p w14:paraId="4A8F4DEC" w14:textId="2BF5656D" w:rsidR="003B7491" w:rsidRPr="00051142" w:rsidRDefault="00AC2500" w:rsidP="00AC2500">
      <w:pPr>
        <w:rPr>
          <w:lang w:val="ru-RU" w:bidi="ru-RU"/>
        </w:rPr>
      </w:pPr>
      <w:r w:rsidRPr="00051142">
        <w:rPr>
          <w:lang w:val="ru-RU" w:bidi="ru-RU"/>
        </w:rPr>
        <w:t>6.3</w:t>
      </w:r>
      <w:r w:rsidRPr="00051142">
        <w:rPr>
          <w:lang w:val="ru-RU" w:bidi="ru-RU"/>
        </w:rPr>
        <w:tab/>
      </w:r>
      <w:r w:rsidR="003B7491" w:rsidRPr="00051142">
        <w:rPr>
          <w:lang w:val="ru-RU" w:bidi="ru-RU"/>
        </w:rPr>
        <w:t>День цифровых технологий для ЦУР будет совместно проводиться государствами</w:t>
      </w:r>
      <w:r w:rsidR="00051142">
        <w:rPr>
          <w:lang w:val="ru-RU" w:bidi="ru-RU"/>
        </w:rPr>
        <w:t> </w:t>
      </w:r>
      <w:r w:rsidR="003B7491" w:rsidRPr="00051142">
        <w:rPr>
          <w:lang w:val="ru-RU" w:bidi="ru-RU"/>
        </w:rPr>
        <w:t xml:space="preserve">– членами, сторонниками ЦУР и активными участниками коалиции "Партнерства для подключения" (P2C) при содействии Бостонской консалтинговой группы (BCG) в качестве нашего информационного партнера Дня цифровых технологий для ЦУР. </w:t>
      </w:r>
    </w:p>
    <w:p w14:paraId="5FF09C38" w14:textId="455090FC" w:rsidR="00AC2500" w:rsidRPr="00051142" w:rsidRDefault="00AC2500" w:rsidP="00AC2500">
      <w:pPr>
        <w:rPr>
          <w:lang w:val="ru-RU"/>
        </w:rPr>
      </w:pPr>
      <w:r w:rsidRPr="00051142">
        <w:rPr>
          <w:lang w:val="ru-RU" w:bidi="ru-RU"/>
        </w:rPr>
        <w:t>6.4</w:t>
      </w:r>
      <w:r w:rsidRPr="00051142">
        <w:rPr>
          <w:lang w:val="ru-RU" w:bidi="ru-RU"/>
        </w:rPr>
        <w:tab/>
        <w:t>День цифровых технологий для ЦУР будет ориентирован на участников ГА ООН, но также будет открыт для внешних участников, включая другие международные организации и учреждения Организации Объединенных Наций, участников Цифровой коалиции P2C, членов Комиссии МСЭ-ЮНЕСКО по широкополосной связи для устойчивого развития, членов ВВУИО, сообщества "Поколение подключений", организаций по разработке и заинтересованных сторон частного сектора, а также лидеров гражданского общества, молодежи и ученых. Ожидается, что в мероприятии примет участие около 300 очных участников и такое же количество онлайновых участников.</w:t>
      </w:r>
    </w:p>
    <w:p w14:paraId="2CA5E7B6" w14:textId="2D0238FD" w:rsidR="00AC2500" w:rsidRPr="00051142" w:rsidRDefault="00AC2500" w:rsidP="00AC2500">
      <w:pPr>
        <w:rPr>
          <w:lang w:val="ru-RU"/>
        </w:rPr>
      </w:pPr>
      <w:r w:rsidRPr="00051142">
        <w:rPr>
          <w:lang w:val="ru-RU" w:bidi="ru-RU"/>
        </w:rPr>
        <w:t>6.5</w:t>
      </w:r>
      <w:r w:rsidRPr="00051142">
        <w:rPr>
          <w:lang w:val="ru-RU" w:bidi="ru-RU"/>
        </w:rPr>
        <w:tab/>
        <w:t xml:space="preserve">Ожидается, что сессия </w:t>
      </w:r>
      <w:hyperlink r:id="rId38" w:history="1">
        <w:r w:rsidRPr="00051142">
          <w:rPr>
            <w:rStyle w:val="Hyperlink"/>
            <w:lang w:val="ru-RU" w:bidi="ru-RU"/>
          </w:rPr>
          <w:t>Политического форума высокого уровня по устойчивому развитию</w:t>
        </w:r>
      </w:hyperlink>
      <w:r w:rsidRPr="00051142">
        <w:rPr>
          <w:lang w:val="ru-RU" w:bidi="ru-RU"/>
        </w:rPr>
        <w:t xml:space="preserve"> в июле 2023</w:t>
      </w:r>
      <w:r w:rsidR="00051142">
        <w:rPr>
          <w:lang w:val="ru-RU" w:bidi="ru-RU"/>
        </w:rPr>
        <w:t> </w:t>
      </w:r>
      <w:r w:rsidRPr="00051142">
        <w:rPr>
          <w:lang w:val="ru-RU" w:bidi="ru-RU"/>
        </w:rPr>
        <w:t>года будет способствовать проведению среднесрочного обзора реализации ЦУР и подготовке к Саммиту по ЦУР 2023 года. На этой сессии также будет проведен глубокий анализ прогресса достижения Цели 6 "Чистая вода и санитария", Цели</w:t>
      </w:r>
      <w:r w:rsidR="00051142">
        <w:rPr>
          <w:lang w:val="ru-RU" w:bidi="ru-RU"/>
        </w:rPr>
        <w:t> </w:t>
      </w:r>
      <w:r w:rsidRPr="00051142">
        <w:rPr>
          <w:lang w:val="ru-RU" w:bidi="ru-RU"/>
        </w:rPr>
        <w:t>7 "Недорогостоящая и чистая энергия", Цели</w:t>
      </w:r>
      <w:r w:rsidR="00051142">
        <w:rPr>
          <w:lang w:val="ru-RU" w:bidi="ru-RU"/>
        </w:rPr>
        <w:t> </w:t>
      </w:r>
      <w:r w:rsidRPr="00051142">
        <w:rPr>
          <w:lang w:val="ru-RU" w:bidi="ru-RU"/>
        </w:rPr>
        <w:t>9 "Устойчивое будущее инфраструктуры", Цели</w:t>
      </w:r>
      <w:r w:rsidR="00051142">
        <w:rPr>
          <w:lang w:val="ru-RU" w:bidi="ru-RU"/>
        </w:rPr>
        <w:t> </w:t>
      </w:r>
      <w:r w:rsidRPr="00051142">
        <w:rPr>
          <w:lang w:val="ru-RU" w:bidi="ru-RU"/>
        </w:rPr>
        <w:t>11 "Устойчивости городов и населенные пункты" и Цели</w:t>
      </w:r>
      <w:r w:rsidR="00051142">
        <w:rPr>
          <w:lang w:val="ru-RU" w:bidi="ru-RU"/>
        </w:rPr>
        <w:t> </w:t>
      </w:r>
      <w:r w:rsidRPr="00051142">
        <w:rPr>
          <w:lang w:val="ru-RU" w:bidi="ru-RU"/>
        </w:rPr>
        <w:t>17 "Партнерство в интересах достижения целей".</w:t>
      </w:r>
    </w:p>
    <w:p w14:paraId="73B70303" w14:textId="5706E92F" w:rsidR="00AC2500" w:rsidRPr="00051142" w:rsidRDefault="00AC2500" w:rsidP="00AC2500">
      <w:pPr>
        <w:pStyle w:val="Heading1"/>
        <w:rPr>
          <w:lang w:val="ru-RU"/>
        </w:rPr>
      </w:pPr>
      <w:r w:rsidRPr="00051142">
        <w:rPr>
          <w:lang w:val="ru-RU" w:bidi="ru-RU"/>
        </w:rPr>
        <w:lastRenderedPageBreak/>
        <w:t>7</w:t>
      </w:r>
      <w:r w:rsidRPr="00051142">
        <w:rPr>
          <w:lang w:val="ru-RU" w:bidi="ru-RU"/>
        </w:rPr>
        <w:tab/>
        <w:t>Процесс РКИК ООН и КС-28</w:t>
      </w:r>
    </w:p>
    <w:p w14:paraId="4EFB7862" w14:textId="7269CA63" w:rsidR="00AC2500" w:rsidRPr="00051142" w:rsidRDefault="00325289" w:rsidP="00325289">
      <w:pPr>
        <w:rPr>
          <w:lang w:val="ru-RU"/>
        </w:rPr>
      </w:pPr>
      <w:r w:rsidRPr="00051142">
        <w:rPr>
          <w:lang w:val="ru-RU" w:bidi="ru-RU"/>
        </w:rPr>
        <w:t>7.1</w:t>
      </w:r>
      <w:r w:rsidRPr="00051142">
        <w:rPr>
          <w:lang w:val="ru-RU" w:bidi="ru-RU"/>
        </w:rPr>
        <w:tab/>
        <w:t>МСЭ совместно с партнерами из системы Организации Объединенных Наций, правительствами, деловыми кругами и гражданским обществом организует сегмент "Зеленая цифровая кампания" в поддержку 28-й сессии Конференции сторон (КС-28) Рамочной конвенции ООН об изменении климата (РКИК ООН), которая пройдет в Дубае 30</w:t>
      </w:r>
      <w:r w:rsidR="00051142">
        <w:rPr>
          <w:lang w:val="ru-RU" w:bidi="ru-RU"/>
        </w:rPr>
        <w:t> </w:t>
      </w:r>
      <w:r w:rsidRPr="00051142">
        <w:rPr>
          <w:lang w:val="ru-RU" w:bidi="ru-RU"/>
        </w:rPr>
        <w:t>ноября по 12</w:t>
      </w:r>
      <w:r w:rsidR="00051142">
        <w:rPr>
          <w:lang w:val="ru-RU" w:bidi="ru-RU"/>
        </w:rPr>
        <w:t> </w:t>
      </w:r>
      <w:r w:rsidRPr="00051142">
        <w:rPr>
          <w:lang w:val="ru-RU" w:bidi="ru-RU"/>
        </w:rPr>
        <w:t>декабря 2023</w:t>
      </w:r>
      <w:r w:rsidR="00051142">
        <w:rPr>
          <w:lang w:val="ru-RU" w:bidi="ru-RU"/>
        </w:rPr>
        <w:t> </w:t>
      </w:r>
      <w:r w:rsidRPr="00051142">
        <w:rPr>
          <w:lang w:val="ru-RU" w:bidi="ru-RU"/>
        </w:rPr>
        <w:t>года. "Зеленая цифровая кампания" является частью более широкой инициативы, объединяющей сообщество ИКТ в преддверии КС-28 для мобилизации и запуска новых обязательств и смелых действий по ускорению двойного "зеленого" и перехода со стороны правительств, бизнеса, гражданского общества и других, а также для активизации возможностей для партнерства и более широкой координации ресурсов в сотрудничестве с ключевыми существующими механизмами, такими как СМО, инициатива Организации Объединенных Наций "Заблаговременные предупреждения для всех" и Цифровая коалиция "Партнерство для подключения".</w:t>
      </w:r>
    </w:p>
    <w:p w14:paraId="20462FD4" w14:textId="07D5C703" w:rsidR="00AC2500" w:rsidRPr="00051142" w:rsidRDefault="00AC2500" w:rsidP="00AC2500">
      <w:pPr>
        <w:pStyle w:val="Heading1"/>
        <w:rPr>
          <w:lang w:val="ru-RU"/>
        </w:rPr>
      </w:pPr>
      <w:r w:rsidRPr="00051142">
        <w:rPr>
          <w:lang w:val="ru-RU" w:bidi="ru-RU"/>
        </w:rPr>
        <w:t>8</w:t>
      </w:r>
      <w:r w:rsidRPr="00051142">
        <w:rPr>
          <w:lang w:val="ru-RU" w:bidi="ru-RU"/>
        </w:rPr>
        <w:tab/>
        <w:t>Заключение</w:t>
      </w:r>
    </w:p>
    <w:p w14:paraId="3FA5A4E4" w14:textId="287B6840" w:rsidR="00AC2500" w:rsidRPr="00051142" w:rsidRDefault="00AC2500" w:rsidP="00AC2500">
      <w:pPr>
        <w:rPr>
          <w:lang w:val="ru-RU"/>
        </w:rPr>
      </w:pPr>
      <w:r w:rsidRPr="00051142">
        <w:rPr>
          <w:lang w:val="ru-RU" w:bidi="ru-RU"/>
        </w:rPr>
        <w:t>8.1</w:t>
      </w:r>
      <w:r w:rsidRPr="00051142">
        <w:rPr>
          <w:lang w:val="ru-RU" w:bidi="ru-RU"/>
        </w:rPr>
        <w:tab/>
        <w:t>Цифровая повестка дня продолжает расширяться в штаб-квартире Организации Объединенных Наций в Нью-Йорке и во всей системе в целом. Исследование, проведенное Департамента по экономическим и социальным вопросам Организации Объединенных Наций и OSET в начале 2022 года, выявило более 500 цифровых инициатив в Организации Объединенных Наций. Вероятно, с тех пор это число еще больше увеличилось. Более того, цифровая тематика все чаще присутствует на крупных конференциях Организации Объединенных Наций и появляется в большем количестве докладов, резолюций и итоговых документов Генерального секретаря ООН. В настоящем отчете представлены некоторые основные аспекты, связанные с недавним вкладом МСЭ и его участием в конференциях, процессах и областях работы Организации Объединенных Наций. Более подробную информацию можно найти в информационном документе о сотрудничестве с системой Организации Объединенных Наций. Ожидается, что спрос на вклад и сотрудничество МСЭ, а также возможности для их реализации будут продолжать расти.</w:t>
      </w:r>
    </w:p>
    <w:p w14:paraId="09385406" w14:textId="77777777" w:rsidR="00AC2500" w:rsidRPr="00051142" w:rsidRDefault="00AC2500" w:rsidP="00AC2500">
      <w:pPr>
        <w:spacing w:before="720"/>
        <w:jc w:val="center"/>
        <w:rPr>
          <w:lang w:val="ru-RU"/>
        </w:rPr>
      </w:pPr>
      <w:r w:rsidRPr="00051142">
        <w:rPr>
          <w:lang w:val="ru-RU" w:bidi="ru-RU"/>
        </w:rPr>
        <w:t>______________</w:t>
      </w:r>
    </w:p>
    <w:sectPr w:rsidR="00AC2500" w:rsidRPr="00051142" w:rsidSect="00796BD3">
      <w:footerReference w:type="default" r:id="rId39"/>
      <w:headerReference w:type="first" r:id="rId40"/>
      <w:footerReference w:type="first" r:id="rId4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1C49" w14:textId="77777777" w:rsidR="00E11392" w:rsidRDefault="00E11392">
      <w:r>
        <w:separator/>
      </w:r>
    </w:p>
  </w:endnote>
  <w:endnote w:type="continuationSeparator" w:id="0">
    <w:p w14:paraId="599CCDB7" w14:textId="77777777" w:rsidR="00E11392" w:rsidRDefault="00E1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49E05EA" w14:textId="77777777" w:rsidTr="00E31DCE">
      <w:trPr>
        <w:jc w:val="center"/>
      </w:trPr>
      <w:tc>
        <w:tcPr>
          <w:tcW w:w="1803" w:type="dxa"/>
          <w:vAlign w:val="center"/>
        </w:tcPr>
        <w:p w14:paraId="199AE875" w14:textId="5E9F13DC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  <w:lang w:val="ru-RU" w:bidi="ru-RU"/>
            </w:rPr>
            <w:t>DPS 521083</w:t>
          </w:r>
        </w:p>
      </w:tc>
      <w:tc>
        <w:tcPr>
          <w:tcW w:w="8261" w:type="dxa"/>
        </w:tcPr>
        <w:p w14:paraId="66D4967C" w14:textId="1BC1943F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23AE3">
            <w:rPr>
              <w:lang w:val="ru-RU" w:bidi="ru-RU"/>
            </w:rPr>
            <w:tab/>
            <w:t>C23/49-R</w:t>
          </w:r>
          <w:r w:rsidRPr="00623AE3">
            <w:rPr>
              <w:lang w:val="ru-RU" w:bidi="ru-RU"/>
            </w:rPr>
            <w:tab/>
          </w:r>
          <w:r>
            <w:rPr>
              <w:lang w:val="ru-RU" w:bidi="ru-RU"/>
            </w:rPr>
            <w:fldChar w:fldCharType="begin"/>
          </w:r>
          <w:r>
            <w:rPr>
              <w:lang w:val="ru-RU" w:bidi="ru-RU"/>
            </w:rPr>
            <w:instrText>PAGE</w:instrText>
          </w:r>
          <w:r>
            <w:rPr>
              <w:lang w:val="ru-RU" w:bidi="ru-RU"/>
            </w:rPr>
            <w:fldChar w:fldCharType="separate"/>
          </w:r>
          <w:r>
            <w:rPr>
              <w:lang w:val="ru-RU" w:bidi="ru-RU"/>
            </w:rPr>
            <w:t>1</w:t>
          </w:r>
          <w:r>
            <w:rPr>
              <w:noProof/>
              <w:lang w:val="ru-RU" w:bidi="ru-RU"/>
            </w:rPr>
            <w:fldChar w:fldCharType="end"/>
          </w:r>
        </w:p>
      </w:tc>
    </w:tr>
  </w:tbl>
  <w:p w14:paraId="3D55A6F1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9F9247" w14:textId="77777777" w:rsidTr="00E31DCE">
      <w:trPr>
        <w:jc w:val="center"/>
      </w:trPr>
      <w:tc>
        <w:tcPr>
          <w:tcW w:w="1803" w:type="dxa"/>
          <w:vAlign w:val="center"/>
        </w:tcPr>
        <w:p w14:paraId="09122746" w14:textId="77777777" w:rsidR="00672F8A" w:rsidRDefault="004B7BE9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lang w:val="ru-RU" w:bidi="ru-RU"/>
              </w:rPr>
              <w:t>www.itu.int/council</w:t>
            </w:r>
          </w:hyperlink>
        </w:p>
      </w:tc>
      <w:tc>
        <w:tcPr>
          <w:tcW w:w="8261" w:type="dxa"/>
        </w:tcPr>
        <w:p w14:paraId="18795431" w14:textId="6B6D2136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23AE3">
            <w:rPr>
              <w:lang w:val="ru-RU" w:bidi="ru-RU"/>
            </w:rPr>
            <w:tab/>
            <w:t>C23/49-R</w:t>
          </w:r>
          <w:r w:rsidRPr="00623AE3">
            <w:rPr>
              <w:lang w:val="ru-RU" w:bidi="ru-RU"/>
            </w:rPr>
            <w:tab/>
          </w:r>
          <w:r>
            <w:rPr>
              <w:lang w:val="ru-RU" w:bidi="ru-RU"/>
            </w:rPr>
            <w:fldChar w:fldCharType="begin"/>
          </w:r>
          <w:r>
            <w:rPr>
              <w:lang w:val="ru-RU" w:bidi="ru-RU"/>
            </w:rPr>
            <w:instrText>PAGE</w:instrText>
          </w:r>
          <w:r>
            <w:rPr>
              <w:lang w:val="ru-RU" w:bidi="ru-RU"/>
            </w:rPr>
            <w:fldChar w:fldCharType="separate"/>
          </w:r>
          <w:r>
            <w:rPr>
              <w:lang w:val="ru-RU" w:bidi="ru-RU"/>
            </w:rPr>
            <w:t>1</w:t>
          </w:r>
          <w:r>
            <w:rPr>
              <w:noProof/>
              <w:lang w:val="ru-RU" w:bidi="ru-RU"/>
            </w:rPr>
            <w:fldChar w:fldCharType="end"/>
          </w:r>
        </w:p>
      </w:tc>
    </w:tr>
  </w:tbl>
  <w:p w14:paraId="61BB634A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6B0FC" w14:textId="77777777" w:rsidR="00E11392" w:rsidRDefault="00E11392">
      <w:r>
        <w:t>____________________</w:t>
      </w:r>
    </w:p>
  </w:footnote>
  <w:footnote w:type="continuationSeparator" w:id="0">
    <w:p w14:paraId="02D9B427" w14:textId="77777777" w:rsidR="00E11392" w:rsidRDefault="00E11392">
      <w:r>
        <w:continuationSeparator/>
      </w:r>
    </w:p>
  </w:footnote>
  <w:footnote w:id="1">
    <w:p w14:paraId="50B3A69A" w14:textId="537BFF88" w:rsidR="00AC2500" w:rsidRPr="00073AD3" w:rsidRDefault="00AC2500" w:rsidP="00AC2500">
      <w:pPr>
        <w:pStyle w:val="FootnoteText"/>
        <w:rPr>
          <w:lang w:val="ru-RU"/>
        </w:rPr>
      </w:pPr>
      <w:r w:rsidRPr="00AC2500">
        <w:rPr>
          <w:rStyle w:val="FootnoteReference"/>
          <w:lang w:val="ru-RU" w:bidi="ru-RU"/>
        </w:rPr>
        <w:footnoteRef/>
      </w:r>
      <w:r w:rsidRPr="00AC2500">
        <w:rPr>
          <w:lang w:val="ru-RU" w:bidi="ru-RU"/>
        </w:rPr>
        <w:tab/>
        <w:t>Это только рабочее название; окончательное название еще не определено</w:t>
      </w:r>
      <w:r w:rsidR="00051142">
        <w:rPr>
          <w:lang w:val="ru-RU" w:bidi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203B8F1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EFDD7C1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6" w:name="_Hlk133422111"/>
          <w:r>
            <w:rPr>
              <w:noProof/>
              <w:lang w:val="ru-RU" w:bidi="ru-RU"/>
            </w:rPr>
            <w:drawing>
              <wp:inline distT="0" distB="0" distL="0" distR="0" wp14:anchorId="65774BB5" wp14:editId="2CA05B36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B4B064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83C41FC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ABC2DF2" w14:textId="02C6EE92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16"/>
  <w:p w14:paraId="27EDD1C2" w14:textId="77777777" w:rsidR="00796BD3" w:rsidRDefault="00796BD3">
    <w:pPr>
      <w:pStyle w:val="Header"/>
    </w:pPr>
    <w:r w:rsidRPr="00802C2C">
      <w:rPr>
        <w:noProof/>
        <w:lang w:val="ru-RU" w:bidi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7F525" wp14:editId="5DE44DB4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EF00E9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A2F19"/>
    <w:multiLevelType w:val="multilevel"/>
    <w:tmpl w:val="05DAEF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E1039CB"/>
    <w:multiLevelType w:val="multilevel"/>
    <w:tmpl w:val="CD9A28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sz w:val="24"/>
      </w:rPr>
    </w:lvl>
  </w:abstractNum>
  <w:abstractNum w:abstractNumId="3" w15:restartNumberingAfterBreak="0">
    <w:nsid w:val="2D153F47"/>
    <w:multiLevelType w:val="hybridMultilevel"/>
    <w:tmpl w:val="7D78E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D5EE7"/>
    <w:multiLevelType w:val="hybridMultilevel"/>
    <w:tmpl w:val="FE9669AC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5A997B80"/>
    <w:multiLevelType w:val="hybridMultilevel"/>
    <w:tmpl w:val="B3D69926"/>
    <w:lvl w:ilvl="0" w:tplc="AF2A8BC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C638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DE4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49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E4F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9E9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ED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CAD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B69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83300"/>
    <w:multiLevelType w:val="hybridMultilevel"/>
    <w:tmpl w:val="67383494"/>
    <w:lvl w:ilvl="0" w:tplc="59AEF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56B52E" w:tentative="1">
      <w:start w:val="1"/>
      <w:numFmt w:val="lowerLetter"/>
      <w:lvlText w:val="%2."/>
      <w:lvlJc w:val="left"/>
      <w:pPr>
        <w:ind w:left="1080" w:hanging="360"/>
      </w:pPr>
    </w:lvl>
    <w:lvl w:ilvl="2" w:tplc="53D0BF02" w:tentative="1">
      <w:start w:val="1"/>
      <w:numFmt w:val="lowerRoman"/>
      <w:lvlText w:val="%3."/>
      <w:lvlJc w:val="right"/>
      <w:pPr>
        <w:ind w:left="1800" w:hanging="180"/>
      </w:pPr>
    </w:lvl>
    <w:lvl w:ilvl="3" w:tplc="43FA3B46" w:tentative="1">
      <w:start w:val="1"/>
      <w:numFmt w:val="decimal"/>
      <w:lvlText w:val="%4."/>
      <w:lvlJc w:val="left"/>
      <w:pPr>
        <w:ind w:left="2520" w:hanging="360"/>
      </w:pPr>
    </w:lvl>
    <w:lvl w:ilvl="4" w:tplc="377CE9CA" w:tentative="1">
      <w:start w:val="1"/>
      <w:numFmt w:val="lowerLetter"/>
      <w:lvlText w:val="%5."/>
      <w:lvlJc w:val="left"/>
      <w:pPr>
        <w:ind w:left="3240" w:hanging="360"/>
      </w:pPr>
    </w:lvl>
    <w:lvl w:ilvl="5" w:tplc="857C708A" w:tentative="1">
      <w:start w:val="1"/>
      <w:numFmt w:val="lowerRoman"/>
      <w:lvlText w:val="%6."/>
      <w:lvlJc w:val="right"/>
      <w:pPr>
        <w:ind w:left="3960" w:hanging="180"/>
      </w:pPr>
    </w:lvl>
    <w:lvl w:ilvl="6" w:tplc="0152FFFA" w:tentative="1">
      <w:start w:val="1"/>
      <w:numFmt w:val="decimal"/>
      <w:lvlText w:val="%7."/>
      <w:lvlJc w:val="left"/>
      <w:pPr>
        <w:ind w:left="4680" w:hanging="360"/>
      </w:pPr>
    </w:lvl>
    <w:lvl w:ilvl="7" w:tplc="DFD458B0" w:tentative="1">
      <w:start w:val="1"/>
      <w:numFmt w:val="lowerLetter"/>
      <w:lvlText w:val="%8."/>
      <w:lvlJc w:val="left"/>
      <w:pPr>
        <w:ind w:left="5400" w:hanging="360"/>
      </w:pPr>
    </w:lvl>
    <w:lvl w:ilvl="8" w:tplc="C0CE0F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4E6DF5"/>
    <w:multiLevelType w:val="multilevel"/>
    <w:tmpl w:val="B5E45F4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4"/>
      </w:rPr>
    </w:lvl>
  </w:abstractNum>
  <w:abstractNum w:abstractNumId="8" w15:restartNumberingAfterBreak="0">
    <w:nsid w:val="7713720C"/>
    <w:multiLevelType w:val="multilevel"/>
    <w:tmpl w:val="80F83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1376157418">
    <w:abstractNumId w:val="0"/>
  </w:num>
  <w:num w:numId="2" w16cid:durableId="681201840">
    <w:abstractNumId w:val="6"/>
  </w:num>
  <w:num w:numId="3" w16cid:durableId="96871424">
    <w:abstractNumId w:val="5"/>
  </w:num>
  <w:num w:numId="4" w16cid:durableId="528764532">
    <w:abstractNumId w:val="8"/>
  </w:num>
  <w:num w:numId="5" w16cid:durableId="1456098573">
    <w:abstractNumId w:val="7"/>
  </w:num>
  <w:num w:numId="6" w16cid:durableId="1410692980">
    <w:abstractNumId w:val="4"/>
  </w:num>
  <w:num w:numId="7" w16cid:durableId="1080953205">
    <w:abstractNumId w:val="3"/>
  </w:num>
  <w:num w:numId="8" w16cid:durableId="1200974454">
    <w:abstractNumId w:val="2"/>
  </w:num>
  <w:num w:numId="9" w16cid:durableId="1347632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1E"/>
    <w:rsid w:val="00005BE0"/>
    <w:rsid w:val="0002183E"/>
    <w:rsid w:val="0002479E"/>
    <w:rsid w:val="00046B40"/>
    <w:rsid w:val="00051142"/>
    <w:rsid w:val="000569B4"/>
    <w:rsid w:val="000579E3"/>
    <w:rsid w:val="00073AD3"/>
    <w:rsid w:val="00080E82"/>
    <w:rsid w:val="000A0DD4"/>
    <w:rsid w:val="000A63DE"/>
    <w:rsid w:val="000B2DE7"/>
    <w:rsid w:val="000C75EB"/>
    <w:rsid w:val="000D2148"/>
    <w:rsid w:val="000E568E"/>
    <w:rsid w:val="000E6E6F"/>
    <w:rsid w:val="00101A37"/>
    <w:rsid w:val="0014734F"/>
    <w:rsid w:val="00153D1A"/>
    <w:rsid w:val="00156FF3"/>
    <w:rsid w:val="0015710D"/>
    <w:rsid w:val="00163A32"/>
    <w:rsid w:val="001648B6"/>
    <w:rsid w:val="00165D06"/>
    <w:rsid w:val="00192B41"/>
    <w:rsid w:val="001A6130"/>
    <w:rsid w:val="001B7B09"/>
    <w:rsid w:val="001C5E40"/>
    <w:rsid w:val="001E1DF0"/>
    <w:rsid w:val="001E6719"/>
    <w:rsid w:val="001E7F50"/>
    <w:rsid w:val="00206A6D"/>
    <w:rsid w:val="00225368"/>
    <w:rsid w:val="00227FF0"/>
    <w:rsid w:val="00291EB6"/>
    <w:rsid w:val="002C525C"/>
    <w:rsid w:val="002D2F57"/>
    <w:rsid w:val="002D48C5"/>
    <w:rsid w:val="002E5B64"/>
    <w:rsid w:val="0030351A"/>
    <w:rsid w:val="00325289"/>
    <w:rsid w:val="0033025A"/>
    <w:rsid w:val="00364EF8"/>
    <w:rsid w:val="00371F31"/>
    <w:rsid w:val="0037378C"/>
    <w:rsid w:val="00375C6C"/>
    <w:rsid w:val="00377DC1"/>
    <w:rsid w:val="003B7491"/>
    <w:rsid w:val="003E198F"/>
    <w:rsid w:val="003F099E"/>
    <w:rsid w:val="003F235E"/>
    <w:rsid w:val="003F59E7"/>
    <w:rsid w:val="004023E0"/>
    <w:rsid w:val="00403DD8"/>
    <w:rsid w:val="00434B1D"/>
    <w:rsid w:val="004375AB"/>
    <w:rsid w:val="00441115"/>
    <w:rsid w:val="00442515"/>
    <w:rsid w:val="0045686C"/>
    <w:rsid w:val="004918C4"/>
    <w:rsid w:val="00497703"/>
    <w:rsid w:val="004A0374"/>
    <w:rsid w:val="004A45B5"/>
    <w:rsid w:val="004B7BE9"/>
    <w:rsid w:val="004D0129"/>
    <w:rsid w:val="00502BEB"/>
    <w:rsid w:val="005039F9"/>
    <w:rsid w:val="00535D60"/>
    <w:rsid w:val="00540B41"/>
    <w:rsid w:val="00542FF5"/>
    <w:rsid w:val="00547419"/>
    <w:rsid w:val="00566BEE"/>
    <w:rsid w:val="00594285"/>
    <w:rsid w:val="005951AB"/>
    <w:rsid w:val="005A64D5"/>
    <w:rsid w:val="005B00E0"/>
    <w:rsid w:val="005B3DEC"/>
    <w:rsid w:val="005F067C"/>
    <w:rsid w:val="00601994"/>
    <w:rsid w:val="00645C08"/>
    <w:rsid w:val="006664A6"/>
    <w:rsid w:val="00672F8A"/>
    <w:rsid w:val="006917CA"/>
    <w:rsid w:val="006C742E"/>
    <w:rsid w:val="006E2D42"/>
    <w:rsid w:val="00703676"/>
    <w:rsid w:val="00707304"/>
    <w:rsid w:val="00732269"/>
    <w:rsid w:val="00752824"/>
    <w:rsid w:val="00756DEC"/>
    <w:rsid w:val="00760596"/>
    <w:rsid w:val="00762151"/>
    <w:rsid w:val="00763CEA"/>
    <w:rsid w:val="007702CE"/>
    <w:rsid w:val="00785ABD"/>
    <w:rsid w:val="00796BD3"/>
    <w:rsid w:val="007A2DD4"/>
    <w:rsid w:val="007D0A87"/>
    <w:rsid w:val="007D38B5"/>
    <w:rsid w:val="007E7EA0"/>
    <w:rsid w:val="00807255"/>
    <w:rsid w:val="0081023E"/>
    <w:rsid w:val="008173AA"/>
    <w:rsid w:val="008305DD"/>
    <w:rsid w:val="00840A14"/>
    <w:rsid w:val="0087664B"/>
    <w:rsid w:val="008B258B"/>
    <w:rsid w:val="008B62B4"/>
    <w:rsid w:val="008C4D9C"/>
    <w:rsid w:val="008D2D7B"/>
    <w:rsid w:val="008E0737"/>
    <w:rsid w:val="008F78AA"/>
    <w:rsid w:val="008F7C2C"/>
    <w:rsid w:val="009038B1"/>
    <w:rsid w:val="00940E96"/>
    <w:rsid w:val="009446E0"/>
    <w:rsid w:val="0099131E"/>
    <w:rsid w:val="009B0BAE"/>
    <w:rsid w:val="009C1C89"/>
    <w:rsid w:val="009F3448"/>
    <w:rsid w:val="009F5ACE"/>
    <w:rsid w:val="00A01CF9"/>
    <w:rsid w:val="00A71773"/>
    <w:rsid w:val="00AC2500"/>
    <w:rsid w:val="00AE2C85"/>
    <w:rsid w:val="00B12A37"/>
    <w:rsid w:val="00B41837"/>
    <w:rsid w:val="00B63EF2"/>
    <w:rsid w:val="00BA7D89"/>
    <w:rsid w:val="00BB504F"/>
    <w:rsid w:val="00BC0D39"/>
    <w:rsid w:val="00BC7BC0"/>
    <w:rsid w:val="00BD57B7"/>
    <w:rsid w:val="00BE63E2"/>
    <w:rsid w:val="00BF2001"/>
    <w:rsid w:val="00C030FD"/>
    <w:rsid w:val="00C07779"/>
    <w:rsid w:val="00C6384C"/>
    <w:rsid w:val="00C71B8F"/>
    <w:rsid w:val="00C73621"/>
    <w:rsid w:val="00CD2009"/>
    <w:rsid w:val="00CD7E86"/>
    <w:rsid w:val="00CE2FB9"/>
    <w:rsid w:val="00CF629C"/>
    <w:rsid w:val="00D30C03"/>
    <w:rsid w:val="00D62A47"/>
    <w:rsid w:val="00D67150"/>
    <w:rsid w:val="00D9146E"/>
    <w:rsid w:val="00D92EEA"/>
    <w:rsid w:val="00D93B6E"/>
    <w:rsid w:val="00DA35E1"/>
    <w:rsid w:val="00DA5D4E"/>
    <w:rsid w:val="00DC600B"/>
    <w:rsid w:val="00DE2467"/>
    <w:rsid w:val="00E11392"/>
    <w:rsid w:val="00E176BA"/>
    <w:rsid w:val="00E34F84"/>
    <w:rsid w:val="00E40E38"/>
    <w:rsid w:val="00E423EC"/>
    <w:rsid w:val="00E55121"/>
    <w:rsid w:val="00E75FDB"/>
    <w:rsid w:val="00E95125"/>
    <w:rsid w:val="00EB4FCB"/>
    <w:rsid w:val="00EB5E41"/>
    <w:rsid w:val="00EC6BC5"/>
    <w:rsid w:val="00F35898"/>
    <w:rsid w:val="00F5225B"/>
    <w:rsid w:val="00F76BB2"/>
    <w:rsid w:val="00FE4D99"/>
    <w:rsid w:val="00FE5701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C5745"/>
  <w15:docId w15:val="{4107792A-B0B2-4987-8E37-99A1D3A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DC600B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600B"/>
    <w:rPr>
      <w:rFonts w:ascii="Calibri" w:hAnsi="Calibri"/>
      <w:lang w:val="en-GB" w:eastAsia="en-US"/>
    </w:rPr>
  </w:style>
  <w:style w:type="paragraph" w:styleId="ListParagraph">
    <w:name w:val="List Paragraph"/>
    <w:aliases w:val="Bullet 1,Bullets,Citation List,Colorful List - Accent 11,List Paragraph Char Char,List Paragraph1,List Paragraph11,List Paragraph2,ListPar1,Normal Sentence,Number_1,O5,Pl,Recommendation,SGLText List Paragraph,b1,b1 + Justified,list1,new"/>
    <w:basedOn w:val="Normal"/>
    <w:link w:val="ListParagraphChar"/>
    <w:uiPriority w:val="34"/>
    <w:qFormat/>
    <w:rsid w:val="00371F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HAnsi" w:cs="Calibri"/>
      <w:szCs w:val="22"/>
      <w:lang w:eastAsia="en-GB"/>
    </w:rPr>
  </w:style>
  <w:style w:type="character" w:customStyle="1" w:styleId="ListParagraphChar">
    <w:name w:val="List Paragraph Char"/>
    <w:aliases w:val="Bullet 1 Char,Bullets Char,Citation List Char,Colorful List - Accent 11 Char,List Paragraph Char Char Char,List Paragraph1 Char,List Paragraph11 Char,List Paragraph2 Char,ListPar1 Char,Normal Sentence Char,Number_1 Char,O5 Char"/>
    <w:basedOn w:val="DefaultParagraphFont"/>
    <w:link w:val="ListParagraph"/>
    <w:uiPriority w:val="34"/>
    <w:locked/>
    <w:rsid w:val="00371F31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normaltextrun">
    <w:name w:val="normaltextrun"/>
    <w:basedOn w:val="DefaultParagraphFont"/>
    <w:rsid w:val="00371F31"/>
  </w:style>
  <w:style w:type="character" w:customStyle="1" w:styleId="ui-provider">
    <w:name w:val="ui-provider"/>
    <w:basedOn w:val="DefaultParagraphFont"/>
    <w:rsid w:val="00371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16-CL-C-0057/en" TargetMode="External"/><Relationship Id="rId18" Type="http://schemas.openxmlformats.org/officeDocument/2006/relationships/hyperlink" Target="https://www.itu.int/md/S23-CL-INF-0009/en" TargetMode="External"/><Relationship Id="rId26" Type="http://schemas.openxmlformats.org/officeDocument/2006/relationships/hyperlink" Target="https://www.un.org/en/common-agenda/policy-briefs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un.org/techenvoy/sites/www.un.org.techenvoy/files/GDC-submission_ITU.pdf" TargetMode="External"/><Relationship Id="rId34" Type="http://schemas.openxmlformats.org/officeDocument/2006/relationships/hyperlink" Target="https://www.undocs.org/Home/Mobile?FinalSymbol=E%2FCN.6%2F2023%2FL.3&amp;Language=E&amp;DeviceType=Desktop&amp;LangRequested=False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itu.int/md/S08-CL-INF-0008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19-CL-INF-0008/en" TargetMode="External"/><Relationship Id="rId20" Type="http://schemas.openxmlformats.org/officeDocument/2006/relationships/hyperlink" Target="https://daccess-ods.un.org/access.nsf/Get?OpenAgent&amp;DS=A/77/CRP.1/ADD.4&amp;Lang=E" TargetMode="External"/><Relationship Id="rId29" Type="http://schemas.openxmlformats.org/officeDocument/2006/relationships/hyperlink" Target="https://www.un.org/ldc5/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4-CL-INF-0007/en" TargetMode="External"/><Relationship Id="rId24" Type="http://schemas.openxmlformats.org/officeDocument/2006/relationships/hyperlink" Target="https://www.un.org/sites/un2.un.org/files/our-common-agenda-policy-brief-outer-space-en.pdf" TargetMode="External"/><Relationship Id="rId32" Type="http://schemas.openxmlformats.org/officeDocument/2006/relationships/hyperlink" Target="https://www.un.org/ldc5/sites/www.un.org.ldc5/files/doha_booklet-web.pdf" TargetMode="External"/><Relationship Id="rId37" Type="http://schemas.openxmlformats.org/officeDocument/2006/relationships/hyperlink" Target="https://www.itu.int/partner2connect-pledges/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CL-INF-0004/en" TargetMode="External"/><Relationship Id="rId23" Type="http://schemas.openxmlformats.org/officeDocument/2006/relationships/hyperlink" Target="https://www.un.org/techenvoy/global-digital-compact" TargetMode="External"/><Relationship Id="rId28" Type="http://schemas.openxmlformats.org/officeDocument/2006/relationships/hyperlink" Target="https://www.highleveladvisoryboard.org/breakthrough/pdf/56892_UNU_HLAB_report_Final_LOWRES.pdf" TargetMode="External"/><Relationship Id="rId36" Type="http://schemas.openxmlformats.org/officeDocument/2006/relationships/hyperlink" Target="https://www.itu.int/net4/wsis/forum/2023/en/Agenda/Session/368" TargetMode="External"/><Relationship Id="rId10" Type="http://schemas.openxmlformats.org/officeDocument/2006/relationships/hyperlink" Target="http://www.itu.int/md/S13-CL-INF-0010/en" TargetMode="External"/><Relationship Id="rId19" Type="http://schemas.openxmlformats.org/officeDocument/2006/relationships/hyperlink" Target="https://www.un.org/en/content/common-agenda-report/assets/pdf/Common_Agenda_Report_English.pdf" TargetMode="External"/><Relationship Id="rId31" Type="http://schemas.openxmlformats.org/officeDocument/2006/relationships/hyperlink" Target="https://www.itu.int/itu-d/reports/statistics/facts-figures-for-ld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2-CL-INF-0001/en" TargetMode="External"/><Relationship Id="rId14" Type="http://schemas.openxmlformats.org/officeDocument/2006/relationships/hyperlink" Target="https://www.itu.int/md/S17-CL-INF-0010/en" TargetMode="External"/><Relationship Id="rId22" Type="http://schemas.openxmlformats.org/officeDocument/2006/relationships/hyperlink" Target="https://www.un.org/techenvoy/global-digital-compact/submissions" TargetMode="External"/><Relationship Id="rId27" Type="http://schemas.openxmlformats.org/officeDocument/2006/relationships/hyperlink" Target="https://highleveladvisoryboard.org/breakthrough/" TargetMode="External"/><Relationship Id="rId30" Type="http://schemas.openxmlformats.org/officeDocument/2006/relationships/hyperlink" Target="https://www.un.org/ldc5/sites/www.un.org.ldc5/files/doha_booklet-web.pdf" TargetMode="External"/><Relationship Id="rId35" Type="http://schemas.openxmlformats.org/officeDocument/2006/relationships/hyperlink" Target="https://documents-dds-ny.un.org/doc/UNDOC/GEN/G21/192/18/PDF/G2119218.pdf?OpenElement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itu.int/md/S11-CL-INF-0006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md/S15-CL-INF-0004/en" TargetMode="External"/><Relationship Id="rId17" Type="http://schemas.openxmlformats.org/officeDocument/2006/relationships/hyperlink" Target="https://www.itu.int/md/S20-CL-INF-0003/en" TargetMode="External"/><Relationship Id="rId25" Type="http://schemas.openxmlformats.org/officeDocument/2006/relationships/hyperlink" Target="https://www.un.org/en/transforming-education-summit" TargetMode="External"/><Relationship Id="rId33" Type="http://schemas.openxmlformats.org/officeDocument/2006/relationships/hyperlink" Target="https://www.unwomen.org/en/csw/csw67-2023" TargetMode="External"/><Relationship Id="rId38" Type="http://schemas.openxmlformats.org/officeDocument/2006/relationships/hyperlink" Target="https://hlpf.un.org/202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4102</Words>
  <Characters>23388</Characters>
  <Application>Microsoft Office Word</Application>
  <DocSecurity>4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27436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Collaboration with the United Nations system and other international intergovernmental processes including on standard-development</dc:title>
  <dc:subject>Council 2023</dc:subject>
  <dc:creator>Antipina, Nadezda</dc:creator>
  <cp:keywords>C2023, C23, Council-23</cp:keywords>
  <dc:description/>
  <cp:lastModifiedBy>Xue, Kun</cp:lastModifiedBy>
  <cp:revision>2</cp:revision>
  <cp:lastPrinted>2006-03-28T16:12:00Z</cp:lastPrinted>
  <dcterms:created xsi:type="dcterms:W3CDTF">2023-07-05T19:04:00Z</dcterms:created>
  <dcterms:modified xsi:type="dcterms:W3CDTF">2023-07-05T19:04:00Z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