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E6901" w14:paraId="1DC87AD6" w14:textId="77777777" w:rsidTr="00C538FC">
        <w:trPr>
          <w:cantSplit/>
          <w:trHeight w:val="23"/>
        </w:trPr>
        <w:tc>
          <w:tcPr>
            <w:tcW w:w="3969" w:type="dxa"/>
            <w:vMerge w:val="restart"/>
            <w:tcMar>
              <w:left w:w="0" w:type="dxa"/>
            </w:tcMar>
          </w:tcPr>
          <w:p w14:paraId="3DEE5966" w14:textId="0950425A" w:rsidR="00FE57F6" w:rsidRPr="00DE6901" w:rsidRDefault="00F40C4E" w:rsidP="00C538FC">
            <w:pPr>
              <w:tabs>
                <w:tab w:val="left" w:pos="851"/>
              </w:tabs>
              <w:spacing w:before="0" w:line="240" w:lineRule="atLeast"/>
              <w:rPr>
                <w:b/>
              </w:rPr>
            </w:pPr>
            <w:bookmarkStart w:id="0" w:name="_Hlk133421839"/>
            <w:r w:rsidRPr="00DE6901">
              <w:rPr>
                <w:b/>
              </w:rPr>
              <w:t>Punto del orden del día: ADM 2</w:t>
            </w:r>
          </w:p>
        </w:tc>
        <w:tc>
          <w:tcPr>
            <w:tcW w:w="5245" w:type="dxa"/>
          </w:tcPr>
          <w:p w14:paraId="7BE8671B" w14:textId="25B7F061" w:rsidR="00FE57F6" w:rsidRPr="00DE6901" w:rsidRDefault="00FE57F6" w:rsidP="00C538FC">
            <w:pPr>
              <w:tabs>
                <w:tab w:val="left" w:pos="851"/>
              </w:tabs>
              <w:spacing w:before="0" w:line="240" w:lineRule="atLeast"/>
              <w:jc w:val="right"/>
              <w:rPr>
                <w:b/>
              </w:rPr>
            </w:pPr>
            <w:r w:rsidRPr="00DE6901">
              <w:rPr>
                <w:b/>
              </w:rPr>
              <w:t>Document</w:t>
            </w:r>
            <w:r w:rsidR="00F24B71" w:rsidRPr="00DE6901">
              <w:rPr>
                <w:b/>
              </w:rPr>
              <w:t>o</w:t>
            </w:r>
            <w:r w:rsidRPr="00DE6901">
              <w:rPr>
                <w:b/>
              </w:rPr>
              <w:t xml:space="preserve"> C23/</w:t>
            </w:r>
            <w:r w:rsidR="00F40C4E" w:rsidRPr="00DE6901">
              <w:rPr>
                <w:b/>
              </w:rPr>
              <w:t>45</w:t>
            </w:r>
            <w:r w:rsidRPr="00DE6901">
              <w:rPr>
                <w:b/>
              </w:rPr>
              <w:t>-</w:t>
            </w:r>
            <w:r w:rsidR="00F24B71" w:rsidRPr="00DE6901">
              <w:rPr>
                <w:b/>
              </w:rPr>
              <w:t>S</w:t>
            </w:r>
          </w:p>
        </w:tc>
      </w:tr>
      <w:tr w:rsidR="00F40C4E" w:rsidRPr="00DE6901" w14:paraId="484BB4C8" w14:textId="77777777" w:rsidTr="00C538FC">
        <w:trPr>
          <w:cantSplit/>
        </w:trPr>
        <w:tc>
          <w:tcPr>
            <w:tcW w:w="3969" w:type="dxa"/>
            <w:vMerge/>
          </w:tcPr>
          <w:p w14:paraId="2F1D1951" w14:textId="77777777" w:rsidR="00F40C4E" w:rsidRPr="00DE6901" w:rsidRDefault="00F40C4E" w:rsidP="00F40C4E">
            <w:pPr>
              <w:tabs>
                <w:tab w:val="left" w:pos="851"/>
              </w:tabs>
              <w:spacing w:line="240" w:lineRule="atLeast"/>
              <w:rPr>
                <w:b/>
              </w:rPr>
            </w:pPr>
          </w:p>
        </w:tc>
        <w:tc>
          <w:tcPr>
            <w:tcW w:w="5245" w:type="dxa"/>
          </w:tcPr>
          <w:p w14:paraId="0A610D66" w14:textId="34871290" w:rsidR="00F40C4E" w:rsidRPr="00DE6901" w:rsidRDefault="00F40C4E" w:rsidP="00F40C4E">
            <w:pPr>
              <w:tabs>
                <w:tab w:val="left" w:pos="851"/>
              </w:tabs>
              <w:spacing w:before="0"/>
              <w:jc w:val="right"/>
              <w:rPr>
                <w:b/>
              </w:rPr>
            </w:pPr>
            <w:r w:rsidRPr="00DE6901">
              <w:rPr>
                <w:b/>
              </w:rPr>
              <w:t>12 de junio de 2023</w:t>
            </w:r>
          </w:p>
        </w:tc>
      </w:tr>
      <w:tr w:rsidR="00F40C4E" w:rsidRPr="00DE6901" w14:paraId="4396E53B" w14:textId="77777777" w:rsidTr="00C538FC">
        <w:trPr>
          <w:cantSplit/>
          <w:trHeight w:val="23"/>
        </w:trPr>
        <w:tc>
          <w:tcPr>
            <w:tcW w:w="3969" w:type="dxa"/>
            <w:vMerge/>
          </w:tcPr>
          <w:p w14:paraId="1B633560" w14:textId="77777777" w:rsidR="00F40C4E" w:rsidRPr="00DE6901" w:rsidRDefault="00F40C4E" w:rsidP="00F40C4E">
            <w:pPr>
              <w:tabs>
                <w:tab w:val="left" w:pos="851"/>
              </w:tabs>
              <w:spacing w:line="240" w:lineRule="atLeast"/>
              <w:rPr>
                <w:b/>
              </w:rPr>
            </w:pPr>
          </w:p>
        </w:tc>
        <w:tc>
          <w:tcPr>
            <w:tcW w:w="5245" w:type="dxa"/>
          </w:tcPr>
          <w:p w14:paraId="480359C0" w14:textId="77777777" w:rsidR="00F40C4E" w:rsidRPr="00DE6901" w:rsidRDefault="00F40C4E" w:rsidP="00F40C4E">
            <w:pPr>
              <w:tabs>
                <w:tab w:val="left" w:pos="851"/>
              </w:tabs>
              <w:spacing w:before="0" w:line="240" w:lineRule="atLeast"/>
              <w:jc w:val="right"/>
              <w:rPr>
                <w:b/>
                <w:bCs/>
              </w:rPr>
            </w:pPr>
            <w:r w:rsidRPr="00DE6901">
              <w:rPr>
                <w:rFonts w:cstheme="minorHAnsi"/>
                <w:b/>
                <w:bCs/>
              </w:rPr>
              <w:t>Original: inglés</w:t>
            </w:r>
          </w:p>
        </w:tc>
      </w:tr>
      <w:tr w:rsidR="00F40C4E" w:rsidRPr="00DE6901" w14:paraId="1F8EC0FC" w14:textId="77777777" w:rsidTr="00C538FC">
        <w:trPr>
          <w:cantSplit/>
          <w:trHeight w:val="23"/>
        </w:trPr>
        <w:tc>
          <w:tcPr>
            <w:tcW w:w="3969" w:type="dxa"/>
          </w:tcPr>
          <w:p w14:paraId="0EE4D10B" w14:textId="77777777" w:rsidR="00F40C4E" w:rsidRPr="00DE6901" w:rsidRDefault="00F40C4E" w:rsidP="00F40C4E">
            <w:pPr>
              <w:tabs>
                <w:tab w:val="left" w:pos="851"/>
              </w:tabs>
              <w:spacing w:line="240" w:lineRule="atLeast"/>
              <w:rPr>
                <w:b/>
              </w:rPr>
            </w:pPr>
          </w:p>
        </w:tc>
        <w:tc>
          <w:tcPr>
            <w:tcW w:w="5245" w:type="dxa"/>
          </w:tcPr>
          <w:p w14:paraId="7B3446D8" w14:textId="77777777" w:rsidR="00F40C4E" w:rsidRPr="00DE6901" w:rsidRDefault="00F40C4E" w:rsidP="00F40C4E">
            <w:pPr>
              <w:tabs>
                <w:tab w:val="left" w:pos="851"/>
              </w:tabs>
              <w:spacing w:before="0" w:line="240" w:lineRule="atLeast"/>
              <w:jc w:val="right"/>
              <w:rPr>
                <w:b/>
              </w:rPr>
            </w:pPr>
          </w:p>
        </w:tc>
      </w:tr>
      <w:tr w:rsidR="00F40C4E" w:rsidRPr="00DE6901" w14:paraId="677C94D9" w14:textId="77777777" w:rsidTr="00C538FC">
        <w:trPr>
          <w:cantSplit/>
        </w:trPr>
        <w:tc>
          <w:tcPr>
            <w:tcW w:w="9214" w:type="dxa"/>
            <w:gridSpan w:val="2"/>
            <w:tcMar>
              <w:left w:w="0" w:type="dxa"/>
            </w:tcMar>
          </w:tcPr>
          <w:p w14:paraId="428E4868" w14:textId="77777777" w:rsidR="00F40C4E" w:rsidRPr="00DE6901" w:rsidRDefault="00F40C4E" w:rsidP="00F40C4E">
            <w:pPr>
              <w:pStyle w:val="Source"/>
              <w:jc w:val="left"/>
              <w:rPr>
                <w:sz w:val="34"/>
                <w:szCs w:val="34"/>
              </w:rPr>
            </w:pPr>
            <w:r w:rsidRPr="00DE6901">
              <w:rPr>
                <w:rFonts w:cstheme="minorHAnsi"/>
                <w:sz w:val="34"/>
                <w:szCs w:val="34"/>
              </w:rPr>
              <w:t>Informe de la Secretaria General</w:t>
            </w:r>
          </w:p>
        </w:tc>
      </w:tr>
      <w:tr w:rsidR="00F40C4E" w:rsidRPr="00DE6901" w14:paraId="5D0BADC2" w14:textId="77777777" w:rsidTr="00C538FC">
        <w:trPr>
          <w:cantSplit/>
        </w:trPr>
        <w:tc>
          <w:tcPr>
            <w:tcW w:w="9214" w:type="dxa"/>
            <w:gridSpan w:val="2"/>
            <w:tcMar>
              <w:left w:w="0" w:type="dxa"/>
            </w:tcMar>
          </w:tcPr>
          <w:p w14:paraId="31672538" w14:textId="44AAA795" w:rsidR="00F40C4E" w:rsidRPr="00DE6901" w:rsidRDefault="00F40C4E" w:rsidP="00F40C4E">
            <w:pPr>
              <w:pStyle w:val="Subtitle"/>
              <w:framePr w:hSpace="0" w:wrap="auto" w:hAnchor="text" w:xAlign="left" w:yAlign="inline"/>
              <w:rPr>
                <w:lang w:val="es-ES_tradnl"/>
              </w:rPr>
            </w:pPr>
            <w:r w:rsidRPr="00DE6901">
              <w:rPr>
                <w:lang w:val="es-ES_tradnl"/>
              </w:rPr>
              <w:t>PARTICIPACIÓN DE LA UIT EN MEMORANDOS DE ENTENDIMIENTO CON REPERCUSIONES FINANCIERAS Y/O ESTRATÉGICAS</w:t>
            </w:r>
          </w:p>
        </w:tc>
      </w:tr>
      <w:tr w:rsidR="00F40C4E" w:rsidRPr="00DE6901" w14:paraId="0484960B" w14:textId="77777777" w:rsidTr="00C538FC">
        <w:trPr>
          <w:cantSplit/>
        </w:trPr>
        <w:tc>
          <w:tcPr>
            <w:tcW w:w="9214" w:type="dxa"/>
            <w:gridSpan w:val="2"/>
            <w:tcBorders>
              <w:top w:val="single" w:sz="4" w:space="0" w:color="auto"/>
              <w:bottom w:val="single" w:sz="4" w:space="0" w:color="auto"/>
            </w:tcBorders>
            <w:tcMar>
              <w:left w:w="0" w:type="dxa"/>
            </w:tcMar>
          </w:tcPr>
          <w:p w14:paraId="2415D235" w14:textId="01F52894" w:rsidR="00F40C4E" w:rsidRPr="00DE6901" w:rsidRDefault="00F40C4E" w:rsidP="00F40C4E">
            <w:pPr>
              <w:spacing w:before="160"/>
              <w:rPr>
                <w:b/>
                <w:bCs/>
                <w:sz w:val="26"/>
                <w:szCs w:val="26"/>
              </w:rPr>
            </w:pPr>
            <w:r w:rsidRPr="00DE6901">
              <w:rPr>
                <w:b/>
                <w:bCs/>
                <w:sz w:val="26"/>
                <w:szCs w:val="26"/>
              </w:rPr>
              <w:t>Finalidad</w:t>
            </w:r>
          </w:p>
          <w:p w14:paraId="742DEFDA" w14:textId="6ABAF5A6" w:rsidR="00F40C4E" w:rsidRPr="00DE6901" w:rsidRDefault="00F40C4E" w:rsidP="00F40C4E">
            <w:bookmarkStart w:id="1" w:name="_Hlk133827859"/>
            <w:r w:rsidRPr="00DE6901">
              <w:t xml:space="preserve">El presente documento facilita información sobre los </w:t>
            </w:r>
            <w:r w:rsidR="00DE6901" w:rsidRPr="00DE6901">
              <w:t xml:space="preserve">Memorandos </w:t>
            </w:r>
            <w:r w:rsidRPr="00DE6901">
              <w:t xml:space="preserve">de </w:t>
            </w:r>
            <w:r w:rsidR="00DE6901" w:rsidRPr="00DE6901">
              <w:t>Entendimiento</w:t>
            </w:r>
            <w:r w:rsidRPr="00DE6901">
              <w:t xml:space="preserve">/acuerdos (en adelante </w:t>
            </w:r>
            <w:r w:rsidR="00DE6901" w:rsidRPr="00DE6901">
              <w:t>"</w:t>
            </w:r>
            <w:r w:rsidRPr="00DE6901">
              <w:t>MdE</w:t>
            </w:r>
            <w:r w:rsidR="00DE6901" w:rsidRPr="00DE6901">
              <w:t>"</w:t>
            </w:r>
            <w:r w:rsidRPr="00DE6901">
              <w:t xml:space="preserve">) que acarrearon importantes repercusiones financieras y/o estratégicas para la Unión en el año 2022. Además, incluye una lista con los MdE que la Secretaria General ha considerado oportuno señalar a la atención del Consejo a título informativo. Por último, presenta </w:t>
            </w:r>
            <w:hyperlink r:id="rId7" w:history="1">
              <w:r w:rsidRPr="00DE6901">
                <w:rPr>
                  <w:rStyle w:val="Hyperlink"/>
                </w:rPr>
                <w:t>un nuevo cuadro</w:t>
              </w:r>
            </w:hyperlink>
            <w:r w:rsidRPr="00DE6901">
              <w:t xml:space="preserve"> informativo sobre la aplicación de los MdE señalados a la atención del Consejo durante el per</w:t>
            </w:r>
            <w:r w:rsidR="00DE6901" w:rsidRPr="00DE6901">
              <w:t>i</w:t>
            </w:r>
            <w:r w:rsidRPr="00DE6901">
              <w:t>odo comprendido entre 2008 y</w:t>
            </w:r>
            <w:r w:rsidR="00DE6901" w:rsidRPr="00DE6901">
              <w:t> </w:t>
            </w:r>
            <w:r w:rsidRPr="00DE6901">
              <w:t>2021.</w:t>
            </w:r>
            <w:bookmarkEnd w:id="1"/>
          </w:p>
          <w:p w14:paraId="21576BAB" w14:textId="77777777" w:rsidR="00F40C4E" w:rsidRPr="00DE6901" w:rsidRDefault="00F40C4E" w:rsidP="00F40C4E">
            <w:pPr>
              <w:spacing w:before="160"/>
              <w:rPr>
                <w:b/>
                <w:bCs/>
                <w:sz w:val="26"/>
                <w:szCs w:val="26"/>
              </w:rPr>
            </w:pPr>
            <w:r w:rsidRPr="00DE6901">
              <w:rPr>
                <w:b/>
                <w:bCs/>
                <w:sz w:val="26"/>
                <w:szCs w:val="26"/>
              </w:rPr>
              <w:t>Acción solicitada al Consejo</w:t>
            </w:r>
          </w:p>
          <w:p w14:paraId="31CA4122" w14:textId="2E0DDDA3" w:rsidR="00F40C4E" w:rsidRPr="00DE6901" w:rsidRDefault="00F40C4E" w:rsidP="00F40C4E">
            <w:r w:rsidRPr="00DE6901">
              <w:t xml:space="preserve">Se invita al Consejo a </w:t>
            </w:r>
            <w:r w:rsidRPr="00DE6901">
              <w:rPr>
                <w:b/>
                <w:bCs/>
              </w:rPr>
              <w:t xml:space="preserve">tomar nota </w:t>
            </w:r>
            <w:r w:rsidRPr="00DE6901">
              <w:t>del presente informe.</w:t>
            </w:r>
          </w:p>
          <w:p w14:paraId="3731902A" w14:textId="77777777" w:rsidR="00F40C4E" w:rsidRPr="00DE6901" w:rsidRDefault="00F40C4E" w:rsidP="00F40C4E">
            <w:pPr>
              <w:spacing w:before="160"/>
              <w:rPr>
                <w:b/>
                <w:bCs/>
                <w:sz w:val="26"/>
                <w:szCs w:val="26"/>
              </w:rPr>
            </w:pPr>
            <w:r w:rsidRPr="00DE6901">
              <w:rPr>
                <w:b/>
                <w:bCs/>
                <w:sz w:val="26"/>
                <w:szCs w:val="26"/>
              </w:rPr>
              <w:t>Vínculos pertinentes con el Plan Estratégico</w:t>
            </w:r>
          </w:p>
          <w:p w14:paraId="03747ACC" w14:textId="35045D14" w:rsidR="00F40C4E" w:rsidRPr="00DE6901" w:rsidRDefault="00F40C4E" w:rsidP="00F40C4E">
            <w:r w:rsidRPr="00DE6901">
              <w:rPr>
                <w:szCs w:val="24"/>
              </w:rPr>
              <w:t>N/A</w:t>
            </w:r>
          </w:p>
          <w:p w14:paraId="269787ED" w14:textId="69B3D35E" w:rsidR="00F40C4E" w:rsidRPr="00DE6901" w:rsidRDefault="00F40C4E" w:rsidP="00F40C4E">
            <w:pPr>
              <w:spacing w:before="160"/>
              <w:rPr>
                <w:b/>
                <w:bCs/>
                <w:sz w:val="26"/>
                <w:szCs w:val="26"/>
              </w:rPr>
            </w:pPr>
            <w:r w:rsidRPr="00DE6901">
              <w:rPr>
                <w:b/>
                <w:bCs/>
                <w:sz w:val="26"/>
                <w:szCs w:val="26"/>
              </w:rPr>
              <w:t>Repercusiones financieras</w:t>
            </w:r>
          </w:p>
          <w:p w14:paraId="6D9A7CE7" w14:textId="588D8015" w:rsidR="00F40C4E" w:rsidRPr="00DE6901" w:rsidRDefault="00F40C4E" w:rsidP="00F40C4E">
            <w:pPr>
              <w:spacing w:before="160"/>
              <w:rPr>
                <w:sz w:val="22"/>
              </w:rPr>
            </w:pPr>
            <w:r w:rsidRPr="00DE6901">
              <w:rPr>
                <w:szCs w:val="24"/>
              </w:rPr>
              <w:t>Ninguna.</w:t>
            </w:r>
          </w:p>
          <w:p w14:paraId="1E466232" w14:textId="6B8BCF3E" w:rsidR="00F40C4E" w:rsidRPr="00DE6901" w:rsidRDefault="00F40C4E" w:rsidP="00F40C4E">
            <w:pPr>
              <w:spacing w:before="160"/>
              <w:rPr>
                <w:caps/>
                <w:sz w:val="22"/>
              </w:rPr>
            </w:pPr>
            <w:r w:rsidRPr="00DE6901">
              <w:rPr>
                <w:sz w:val="22"/>
              </w:rPr>
              <w:t>__________________</w:t>
            </w:r>
          </w:p>
          <w:p w14:paraId="0D31DC81" w14:textId="062651DE" w:rsidR="00F40C4E" w:rsidRPr="00DE6901" w:rsidRDefault="00F40C4E" w:rsidP="00F40C4E">
            <w:pPr>
              <w:spacing w:before="160"/>
              <w:rPr>
                <w:b/>
                <w:bCs/>
                <w:sz w:val="26"/>
                <w:szCs w:val="26"/>
              </w:rPr>
            </w:pPr>
            <w:r w:rsidRPr="00DE6901">
              <w:rPr>
                <w:b/>
                <w:bCs/>
                <w:sz w:val="26"/>
                <w:szCs w:val="26"/>
              </w:rPr>
              <w:t>Referencia</w:t>
            </w:r>
            <w:r w:rsidR="00DE6901" w:rsidRPr="00DE6901">
              <w:rPr>
                <w:b/>
                <w:bCs/>
                <w:sz w:val="26"/>
                <w:szCs w:val="26"/>
              </w:rPr>
              <w:t>s</w:t>
            </w:r>
          </w:p>
          <w:p w14:paraId="4CE4E727" w14:textId="54B484E7" w:rsidR="00F40C4E" w:rsidRPr="00DE6901" w:rsidRDefault="00F40C4E" w:rsidP="00F40C4E">
            <w:pPr>
              <w:spacing w:after="160"/>
            </w:pPr>
            <w:r w:rsidRPr="00DE6901">
              <w:t xml:space="preserve">Actas de la decimosexta </w:t>
            </w:r>
            <w:r w:rsidR="00DE6901" w:rsidRPr="00DE6901">
              <w:t xml:space="preserve">Sesión Plenaria </w:t>
            </w:r>
            <w:r w:rsidRPr="00DE6901">
              <w:t>de la PP-18 (</w:t>
            </w:r>
            <w:r w:rsidR="00DE6901" w:rsidRPr="00DE6901">
              <w:t xml:space="preserve">Documento </w:t>
            </w:r>
            <w:hyperlink r:id="rId8" w:history="1">
              <w:r w:rsidRPr="00DE6901">
                <w:rPr>
                  <w:rStyle w:val="Hyperlink"/>
                </w:rPr>
                <w:t>PP-18/173</w:t>
              </w:r>
            </w:hyperlink>
            <w:r w:rsidRPr="00DE6901">
              <w:t xml:space="preserve">) y de la decimosexta </w:t>
            </w:r>
            <w:r w:rsidR="00DE6901" w:rsidRPr="00DE6901">
              <w:t xml:space="preserve">Sesión Plenaria </w:t>
            </w:r>
            <w:r w:rsidRPr="00DE6901">
              <w:t>de la PP-22 (</w:t>
            </w:r>
            <w:r w:rsidR="00DE6901" w:rsidRPr="00DE6901">
              <w:t xml:space="preserve">Documento </w:t>
            </w:r>
            <w:hyperlink r:id="rId9" w:history="1">
              <w:r w:rsidRPr="00DE6901">
                <w:rPr>
                  <w:rStyle w:val="Hyperlink"/>
                </w:rPr>
                <w:t>PP-22/206</w:t>
              </w:r>
            </w:hyperlink>
            <w:r w:rsidRPr="00DE6901">
              <w:t>)</w:t>
            </w:r>
          </w:p>
        </w:tc>
      </w:tr>
      <w:bookmarkEnd w:id="0"/>
    </w:tbl>
    <w:p w14:paraId="6D7CD36C" w14:textId="77777777" w:rsidR="00093EEB" w:rsidRPr="00DE6901" w:rsidRDefault="00093EEB"/>
    <w:p w14:paraId="68C7D59C" w14:textId="77777777" w:rsidR="001559F5" w:rsidRPr="00DE6901" w:rsidRDefault="001559F5">
      <w:pPr>
        <w:tabs>
          <w:tab w:val="clear" w:pos="567"/>
          <w:tab w:val="clear" w:pos="1134"/>
          <w:tab w:val="clear" w:pos="1701"/>
          <w:tab w:val="clear" w:pos="2268"/>
          <w:tab w:val="clear" w:pos="2835"/>
        </w:tabs>
        <w:overflowPunct/>
        <w:autoSpaceDE/>
        <w:autoSpaceDN/>
        <w:adjustRightInd/>
        <w:spacing w:before="0"/>
        <w:textAlignment w:val="auto"/>
      </w:pPr>
      <w:r w:rsidRPr="00DE6901">
        <w:br w:type="page"/>
      </w:r>
    </w:p>
    <w:p w14:paraId="34650B6A" w14:textId="2D72C0D8" w:rsidR="00F40C4E" w:rsidRPr="00DE6901" w:rsidRDefault="00B8739F" w:rsidP="00B8739F">
      <w:pPr>
        <w:pStyle w:val="Heading1"/>
      </w:pPr>
      <w:r w:rsidRPr="00DE6901">
        <w:rPr>
          <w:rStyle w:val="normaltextrun"/>
          <w:rFonts w:cs="Calibri"/>
          <w:bCs/>
        </w:rPr>
        <w:lastRenderedPageBreak/>
        <w:t>1</w:t>
      </w:r>
      <w:r w:rsidRPr="00DE6901">
        <w:rPr>
          <w:rStyle w:val="normaltextrun"/>
          <w:rFonts w:cs="Calibri"/>
          <w:bCs/>
        </w:rPr>
        <w:tab/>
      </w:r>
      <w:r w:rsidR="00F40C4E" w:rsidRPr="00DE6901">
        <w:rPr>
          <w:rStyle w:val="normaltextrun"/>
          <w:rFonts w:cs="Calibri"/>
          <w:bCs/>
        </w:rPr>
        <w:t>Antecedentes</w:t>
      </w:r>
    </w:p>
    <w:p w14:paraId="2373AD30" w14:textId="0FDA9754" w:rsidR="00F40C4E" w:rsidRPr="00DE6901" w:rsidRDefault="00F40C4E" w:rsidP="00B8739F">
      <w:r w:rsidRPr="00DE6901">
        <w:rPr>
          <w:rStyle w:val="normaltextrun"/>
          <w:rFonts w:asciiTheme="minorHAnsi" w:hAnsiTheme="minorHAnsi" w:cstheme="minorHAnsi"/>
        </w:rPr>
        <w:t xml:space="preserve">En su decimosexta </w:t>
      </w:r>
      <w:r w:rsidR="00DE6901" w:rsidRPr="00DE6901">
        <w:rPr>
          <w:rStyle w:val="normaltextrun"/>
          <w:rFonts w:asciiTheme="minorHAnsi" w:hAnsiTheme="minorHAnsi" w:cstheme="minorHAnsi"/>
        </w:rPr>
        <w:t>Sesión P</w:t>
      </w:r>
      <w:r w:rsidRPr="00DE6901">
        <w:rPr>
          <w:rStyle w:val="normaltextrun"/>
          <w:rFonts w:asciiTheme="minorHAnsi" w:hAnsiTheme="minorHAnsi" w:cstheme="minorHAnsi"/>
        </w:rPr>
        <w:t>lenaria, la Conferencia de Plenipotenciarios (Bucarest, 2022) decidió mantener la decisión de la Conferencia de Plenipotenciarios (Dubái, 2018) y encargar al Secretario General que siguiera sometiendo a la reunión ordinaria del Consejo, para su aprobación previa, los Memorandos de Entendimiento que tuvieran repercusiones financieras o estratégicas sustanciales. La Conferencia de Plenipotenciarios decidió además que se siguiera presentando un informe sobre los demás Memorandos de Entendimiento concertados por la UIT durante el periodo pertinente. Véase la Recomendación 3 del Informe del Presidente de la Comisión 5 a la Plenaria de la PP-22 (</w:t>
      </w:r>
      <w:hyperlink r:id="rId10" w:history="1">
        <w:r w:rsidRPr="00DE6901">
          <w:rPr>
            <w:rStyle w:val="Hyperlink"/>
            <w:rFonts w:asciiTheme="minorHAnsi" w:hAnsiTheme="minorHAnsi" w:cstheme="minorHAnsi"/>
          </w:rPr>
          <w:t>PP/22-189</w:t>
        </w:r>
      </w:hyperlink>
      <w:r w:rsidRPr="00DE6901">
        <w:rPr>
          <w:rStyle w:val="normaltextrun"/>
          <w:rFonts w:asciiTheme="minorHAnsi" w:hAnsiTheme="minorHAnsi" w:cstheme="minorHAnsi"/>
        </w:rPr>
        <w:t xml:space="preserve">), que se aprobó en la decimosexta </w:t>
      </w:r>
      <w:r w:rsidR="00DE6901" w:rsidRPr="00DE6901">
        <w:rPr>
          <w:rStyle w:val="normaltextrun"/>
          <w:rFonts w:asciiTheme="minorHAnsi" w:hAnsiTheme="minorHAnsi" w:cstheme="minorHAnsi"/>
        </w:rPr>
        <w:t xml:space="preserve">Sesión Plenaria </w:t>
      </w:r>
      <w:r w:rsidRPr="00DE6901">
        <w:rPr>
          <w:rStyle w:val="normaltextrun"/>
          <w:rFonts w:asciiTheme="minorHAnsi" w:hAnsiTheme="minorHAnsi" w:cstheme="minorHAnsi"/>
        </w:rPr>
        <w:t>de la PP-22 (</w:t>
      </w:r>
      <w:hyperlink r:id="rId11" w:history="1">
        <w:r w:rsidRPr="00DE6901">
          <w:rPr>
            <w:rStyle w:val="Hyperlink"/>
            <w:rFonts w:asciiTheme="minorHAnsi" w:hAnsiTheme="minorHAnsi" w:cstheme="minorHAnsi"/>
          </w:rPr>
          <w:t>PP-22/206</w:t>
        </w:r>
      </w:hyperlink>
      <w:r w:rsidRPr="00DE6901">
        <w:rPr>
          <w:rStyle w:val="normaltextrun"/>
          <w:rFonts w:asciiTheme="minorHAnsi" w:hAnsiTheme="minorHAnsi" w:cstheme="minorHAnsi"/>
        </w:rPr>
        <w:t xml:space="preserve">) y hace referencia a la decisión de la PP-18 contenida en las actas de su decimosexta </w:t>
      </w:r>
      <w:r w:rsidR="00DE6901" w:rsidRPr="00DE6901">
        <w:rPr>
          <w:rStyle w:val="normaltextrun"/>
          <w:rFonts w:asciiTheme="minorHAnsi" w:hAnsiTheme="minorHAnsi" w:cstheme="minorHAnsi"/>
        </w:rPr>
        <w:t xml:space="preserve">Sesión Plenaria </w:t>
      </w:r>
      <w:r w:rsidRPr="00DE6901">
        <w:rPr>
          <w:rStyle w:val="normaltextrun"/>
          <w:rFonts w:asciiTheme="minorHAnsi" w:hAnsiTheme="minorHAnsi" w:cstheme="minorHAnsi"/>
        </w:rPr>
        <w:t>(</w:t>
      </w:r>
      <w:hyperlink r:id="rId12" w:history="1">
        <w:r w:rsidRPr="00DE6901">
          <w:rPr>
            <w:rStyle w:val="Hyperlink"/>
            <w:rFonts w:asciiTheme="minorHAnsi" w:hAnsiTheme="minorHAnsi" w:cstheme="minorHAnsi"/>
          </w:rPr>
          <w:t>PP-18/173</w:t>
        </w:r>
      </w:hyperlink>
      <w:r w:rsidRPr="00DE6901">
        <w:rPr>
          <w:rStyle w:val="normaltextrun"/>
          <w:rFonts w:asciiTheme="minorHAnsi" w:hAnsiTheme="minorHAnsi" w:cstheme="minorHAnsi"/>
        </w:rPr>
        <w:t>, párrafo 2.13).</w:t>
      </w:r>
    </w:p>
    <w:p w14:paraId="27C7CF73" w14:textId="33BCB51C" w:rsidR="00F40C4E" w:rsidRPr="00DE6901" w:rsidRDefault="00B8739F" w:rsidP="00B8739F">
      <w:pPr>
        <w:pStyle w:val="Heading1"/>
        <w:rPr>
          <w:rStyle w:val="eop"/>
          <w:rFonts w:cs="Calibri"/>
          <w:b w:val="0"/>
          <w:bCs/>
          <w:szCs w:val="24"/>
        </w:rPr>
      </w:pPr>
      <w:bookmarkStart w:id="2" w:name="_Hlk133828143"/>
      <w:r w:rsidRPr="00DE6901">
        <w:rPr>
          <w:rStyle w:val="eop"/>
          <w:rFonts w:cs="Calibri"/>
          <w:bCs/>
          <w:szCs w:val="24"/>
        </w:rPr>
        <w:t>2</w:t>
      </w:r>
      <w:r w:rsidRPr="00DE6901">
        <w:rPr>
          <w:rStyle w:val="eop"/>
          <w:rFonts w:cs="Calibri"/>
          <w:bCs/>
          <w:szCs w:val="24"/>
        </w:rPr>
        <w:tab/>
      </w:r>
      <w:r w:rsidR="00F40C4E" w:rsidRPr="00DE6901">
        <w:rPr>
          <w:rStyle w:val="eop"/>
          <w:rFonts w:cs="Calibri"/>
          <w:bCs/>
          <w:szCs w:val="24"/>
        </w:rPr>
        <w:t>MdE con repercusiones financieras y/o estratégicas importantes</w:t>
      </w:r>
    </w:p>
    <w:p w14:paraId="376E2D6B" w14:textId="77777777" w:rsidR="00F40C4E" w:rsidRPr="00DE6901" w:rsidRDefault="00F40C4E" w:rsidP="00B8739F">
      <w:pPr>
        <w:rPr>
          <w:rStyle w:val="eop"/>
          <w:rFonts w:cs="Calibri"/>
          <w:szCs w:val="24"/>
        </w:rPr>
      </w:pPr>
      <w:r w:rsidRPr="00DE6901">
        <w:rPr>
          <w:rStyle w:val="eop"/>
          <w:rFonts w:cs="Calibri"/>
          <w:szCs w:val="24"/>
        </w:rPr>
        <w:t xml:space="preserve">No se han registrado MdE en esta categoría para el año 2022. </w:t>
      </w:r>
      <w:bookmarkStart w:id="3" w:name="_Hlk133828059"/>
    </w:p>
    <w:p w14:paraId="18D13605" w14:textId="71C0D58E" w:rsidR="00F40C4E" w:rsidRPr="00DE6901" w:rsidRDefault="00B8739F" w:rsidP="00B8739F">
      <w:pPr>
        <w:pStyle w:val="Heading1"/>
        <w:rPr>
          <w:rStyle w:val="eop"/>
          <w:rFonts w:cs="Calibri"/>
          <w:b w:val="0"/>
          <w:bCs/>
          <w:szCs w:val="24"/>
        </w:rPr>
      </w:pPr>
      <w:r w:rsidRPr="00DE6901">
        <w:rPr>
          <w:rStyle w:val="eop"/>
          <w:rFonts w:cs="Calibri"/>
          <w:bCs/>
          <w:szCs w:val="24"/>
        </w:rPr>
        <w:t>3</w:t>
      </w:r>
      <w:r w:rsidRPr="00DE6901">
        <w:rPr>
          <w:rStyle w:val="eop"/>
          <w:rFonts w:cs="Calibri"/>
          <w:bCs/>
          <w:szCs w:val="24"/>
        </w:rPr>
        <w:tab/>
      </w:r>
      <w:r w:rsidR="00F40C4E" w:rsidRPr="00DE6901">
        <w:rPr>
          <w:rStyle w:val="eop"/>
          <w:rFonts w:cs="Calibri"/>
          <w:bCs/>
          <w:szCs w:val="24"/>
        </w:rPr>
        <w:t>Otros MdE</w:t>
      </w:r>
    </w:p>
    <w:p w14:paraId="2D12109F" w14:textId="64A8A176" w:rsidR="00F40C4E" w:rsidRPr="00DE6901" w:rsidRDefault="00F40C4E" w:rsidP="00B8739F">
      <w:pPr>
        <w:rPr>
          <w:rStyle w:val="eop"/>
          <w:rFonts w:cs="Calibri"/>
        </w:rPr>
      </w:pPr>
      <w:r w:rsidRPr="00DE6901">
        <w:rPr>
          <w:rStyle w:val="eop"/>
          <w:rFonts w:cs="Calibri"/>
        </w:rPr>
        <w:t xml:space="preserve">Los Sectores y la Secretaría General elaboran informes específicos sobre los acuerdos celebrados por la Unión, véanse, por ejemplo, la </w:t>
      </w:r>
      <w:hyperlink r:id="rId13" w:history="1">
        <w:r w:rsidRPr="00DE6901">
          <w:rPr>
            <w:rStyle w:val="Hyperlink"/>
            <w:rFonts w:cs="Calibri"/>
          </w:rPr>
          <w:t>página web dedicada a los proyectos del UIT-D</w:t>
        </w:r>
      </w:hyperlink>
      <w:r w:rsidRPr="00DE6901">
        <w:rPr>
          <w:rStyle w:val="eop"/>
          <w:rFonts w:cs="Calibri"/>
        </w:rPr>
        <w:t xml:space="preserve">, el </w:t>
      </w:r>
      <w:r w:rsidR="00DE6901" w:rsidRPr="00DE6901">
        <w:rPr>
          <w:rStyle w:val="eop"/>
          <w:rFonts w:cs="Calibri"/>
        </w:rPr>
        <w:t xml:space="preserve">Documento </w:t>
      </w:r>
      <w:hyperlink r:id="rId14" w:history="1">
        <w:r w:rsidRPr="00DE6901">
          <w:rPr>
            <w:rStyle w:val="Hyperlink"/>
            <w:rFonts w:cs="Calibri"/>
          </w:rPr>
          <w:t>TDAG-23/7</w:t>
        </w:r>
      </w:hyperlink>
      <w:r w:rsidRPr="00DE6901">
        <w:rPr>
          <w:rStyle w:val="eop"/>
          <w:rFonts w:cs="Calibri"/>
        </w:rPr>
        <w:t xml:space="preserve"> sobre los proyectos del UIT-D, la </w:t>
      </w:r>
      <w:hyperlink r:id="rId15" w:history="1">
        <w:r w:rsidRPr="00DE6901">
          <w:rPr>
            <w:rStyle w:val="Hyperlink"/>
            <w:rFonts w:cs="Calibri"/>
          </w:rPr>
          <w:t>página web dedicada a los socios del UIT-D</w:t>
        </w:r>
      </w:hyperlink>
      <w:r w:rsidRPr="00DE6901">
        <w:rPr>
          <w:rStyle w:val="eop"/>
          <w:rFonts w:cs="Calibri"/>
        </w:rPr>
        <w:t xml:space="preserve"> y el informe sobre la aplicación del Plan Estratégico y las actividades de la Unión (Documento </w:t>
      </w:r>
      <w:hyperlink r:id="rId16" w:history="1">
        <w:r w:rsidRPr="00DE6901">
          <w:rPr>
            <w:rStyle w:val="Hyperlink"/>
            <w:rFonts w:cs="Calibri"/>
          </w:rPr>
          <w:t>C23/54</w:t>
        </w:r>
      </w:hyperlink>
      <w:r w:rsidRPr="00DE6901">
        <w:rPr>
          <w:rStyle w:val="eop"/>
          <w:rFonts w:cs="Calibri"/>
        </w:rPr>
        <w:t xml:space="preserve">). Aunque ya se han elaborado informes previos sobre los MdE mencionados </w:t>
      </w:r>
      <w:r w:rsidRPr="00DE6901">
        <w:rPr>
          <w:rStyle w:val="eop"/>
          <w:rFonts w:cs="Calibri"/>
          <w:i/>
          <w:iCs/>
        </w:rPr>
        <w:t>infra</w:t>
      </w:r>
      <w:r w:rsidRPr="00DE6901">
        <w:rPr>
          <w:rStyle w:val="eop"/>
          <w:rFonts w:cs="Calibri"/>
        </w:rPr>
        <w:t xml:space="preserve"> (véanse el </w:t>
      </w:r>
      <w:r w:rsidR="00DE6901" w:rsidRPr="00DE6901">
        <w:rPr>
          <w:rStyle w:val="eop"/>
          <w:rFonts w:cs="Calibri"/>
        </w:rPr>
        <w:t xml:space="preserve">Documento </w:t>
      </w:r>
      <w:hyperlink r:id="rId17">
        <w:r w:rsidRPr="00DE6901">
          <w:rPr>
            <w:rStyle w:val="Hyperlink"/>
            <w:rFonts w:cs="Calibri"/>
          </w:rPr>
          <w:t>TDAG-23/14</w:t>
        </w:r>
      </w:hyperlink>
      <w:r w:rsidRPr="00DE6901">
        <w:rPr>
          <w:rStyle w:val="eop"/>
          <w:rFonts w:cs="Calibri"/>
        </w:rPr>
        <w:t xml:space="preserve"> sobre las iniciativas especiales del UIT-D, el </w:t>
      </w:r>
      <w:r w:rsidR="00DE6901" w:rsidRPr="00DE6901">
        <w:rPr>
          <w:rStyle w:val="eop"/>
          <w:rFonts w:cs="Calibri"/>
        </w:rPr>
        <w:t xml:space="preserve">Documento </w:t>
      </w:r>
      <w:hyperlink r:id="rId18">
        <w:r w:rsidRPr="00DE6901">
          <w:rPr>
            <w:rStyle w:val="Hyperlink"/>
          </w:rPr>
          <w:t>TDAG-23/INF/1</w:t>
        </w:r>
      </w:hyperlink>
      <w:r w:rsidRPr="00DE6901">
        <w:rPr>
          <w:rStyle w:val="eop"/>
          <w:rFonts w:cs="Calibri"/>
        </w:rPr>
        <w:t xml:space="preserve"> sobre las asociaciones y la página dedicada a los </w:t>
      </w:r>
      <w:hyperlink r:id="rId19" w:history="1">
        <w:r w:rsidRPr="00DE6901">
          <w:rPr>
            <w:rStyle w:val="Hyperlink"/>
            <w:rFonts w:cs="Calibri"/>
          </w:rPr>
          <w:t>MdE y Acuerdos de Cooperación del UIT-T</w:t>
        </w:r>
      </w:hyperlink>
      <w:r w:rsidRPr="00DE6901">
        <w:rPr>
          <w:rStyle w:val="eop"/>
          <w:rFonts w:cs="Calibri"/>
        </w:rPr>
        <w:t xml:space="preserve">), la Secretaria General considera que revisten un valor estratégico para la Unión. En consecuencia, se ha estimado oportuno señalarlos a la atención del Consejo a título informativo. </w:t>
      </w:r>
    </w:p>
    <w:bookmarkEnd w:id="2"/>
    <w:bookmarkEnd w:id="3"/>
    <w:p w14:paraId="29145D15" w14:textId="77777777" w:rsidR="00F40C4E" w:rsidRPr="00DE6901" w:rsidRDefault="00F40C4E" w:rsidP="00F40C4E">
      <w:pPr>
        <w:rPr>
          <w:rStyle w:val="eop"/>
          <w:rFonts w:cs="Calibri"/>
        </w:rPr>
      </w:pPr>
    </w:p>
    <w:tbl>
      <w:tblPr>
        <w:tblStyle w:val="TableGrid"/>
        <w:tblW w:w="9351" w:type="dxa"/>
        <w:tblLook w:val="04A0" w:firstRow="1" w:lastRow="0" w:firstColumn="1" w:lastColumn="0" w:noHBand="0" w:noVBand="1"/>
      </w:tblPr>
      <w:tblGrid>
        <w:gridCol w:w="2263"/>
        <w:gridCol w:w="1134"/>
        <w:gridCol w:w="3679"/>
        <w:gridCol w:w="2275"/>
      </w:tblGrid>
      <w:tr w:rsidR="00F40C4E" w:rsidRPr="00DE6901" w14:paraId="2CE5A6EC" w14:textId="77777777" w:rsidTr="00B8739F">
        <w:trPr>
          <w:trHeight w:val="300"/>
        </w:trPr>
        <w:tc>
          <w:tcPr>
            <w:tcW w:w="2263" w:type="dxa"/>
            <w:noWrap/>
          </w:tcPr>
          <w:p w14:paraId="0D43C6BF" w14:textId="77777777" w:rsidR="00F40C4E" w:rsidRPr="00DE6901" w:rsidRDefault="00F40C4E" w:rsidP="00B8739F">
            <w:pPr>
              <w:pStyle w:val="Tablehead"/>
            </w:pPr>
            <w:r w:rsidRPr="00DE6901">
              <w:t>Contraparte</w:t>
            </w:r>
          </w:p>
        </w:tc>
        <w:tc>
          <w:tcPr>
            <w:tcW w:w="1134" w:type="dxa"/>
          </w:tcPr>
          <w:p w14:paraId="7C2C583D" w14:textId="77777777" w:rsidR="00F40C4E" w:rsidRPr="00DE6901" w:rsidRDefault="00F40C4E" w:rsidP="00B8739F">
            <w:pPr>
              <w:pStyle w:val="Tablehead"/>
              <w:rPr>
                <w:color w:val="000000"/>
                <w:szCs w:val="24"/>
              </w:rPr>
            </w:pPr>
            <w:r w:rsidRPr="00DE6901">
              <w:rPr>
                <w:color w:val="000000"/>
                <w:szCs w:val="24"/>
              </w:rPr>
              <w:t>País</w:t>
            </w:r>
          </w:p>
        </w:tc>
        <w:tc>
          <w:tcPr>
            <w:tcW w:w="3679" w:type="dxa"/>
          </w:tcPr>
          <w:p w14:paraId="4C42079B" w14:textId="77777777" w:rsidR="00F40C4E" w:rsidRPr="00DE6901" w:rsidRDefault="00F40C4E" w:rsidP="00B8739F">
            <w:pPr>
              <w:pStyle w:val="Tablehead"/>
              <w:rPr>
                <w:color w:val="000000"/>
                <w:szCs w:val="24"/>
              </w:rPr>
            </w:pPr>
            <w:r w:rsidRPr="00DE6901">
              <w:rPr>
                <w:color w:val="000000"/>
                <w:szCs w:val="24"/>
              </w:rPr>
              <w:t xml:space="preserve">Asunto/título del acuerdo </w:t>
            </w:r>
          </w:p>
        </w:tc>
        <w:tc>
          <w:tcPr>
            <w:tcW w:w="2275" w:type="dxa"/>
          </w:tcPr>
          <w:p w14:paraId="1C2AB16F" w14:textId="77777777" w:rsidR="00F40C4E" w:rsidRPr="00DE6901" w:rsidRDefault="00F40C4E" w:rsidP="00B8739F">
            <w:pPr>
              <w:pStyle w:val="Tablehead"/>
              <w:rPr>
                <w:color w:val="000000"/>
                <w:szCs w:val="24"/>
              </w:rPr>
            </w:pPr>
            <w:r w:rsidRPr="00DE6901">
              <w:rPr>
                <w:color w:val="000000"/>
                <w:szCs w:val="24"/>
              </w:rPr>
              <w:t>Sector/departamento</w:t>
            </w:r>
          </w:p>
        </w:tc>
      </w:tr>
      <w:tr w:rsidR="00F40C4E" w:rsidRPr="00DE6901" w14:paraId="558864DB" w14:textId="77777777" w:rsidTr="00B8739F">
        <w:trPr>
          <w:trHeight w:val="300"/>
        </w:trPr>
        <w:tc>
          <w:tcPr>
            <w:tcW w:w="2263" w:type="dxa"/>
            <w:noWrap/>
            <w:hideMark/>
          </w:tcPr>
          <w:p w14:paraId="01417D09" w14:textId="77777777" w:rsidR="00F40C4E" w:rsidRPr="00DE6901" w:rsidRDefault="00F40C4E" w:rsidP="00B8739F">
            <w:pPr>
              <w:pStyle w:val="Tabletext"/>
            </w:pPr>
            <w:r w:rsidRPr="00DE6901">
              <w:t>Departamento Federal de Asuntos Exteriores</w:t>
            </w:r>
          </w:p>
        </w:tc>
        <w:tc>
          <w:tcPr>
            <w:tcW w:w="1134" w:type="dxa"/>
          </w:tcPr>
          <w:p w14:paraId="486678D1" w14:textId="77777777" w:rsidR="00F40C4E" w:rsidRPr="00DE6901" w:rsidRDefault="00F40C4E" w:rsidP="00052526">
            <w:pPr>
              <w:tabs>
                <w:tab w:val="clear" w:pos="567"/>
                <w:tab w:val="clear" w:pos="1134"/>
                <w:tab w:val="clear" w:pos="1701"/>
                <w:tab w:val="clear" w:pos="2268"/>
                <w:tab w:val="clear" w:pos="2835"/>
              </w:tabs>
              <w:overflowPunct/>
              <w:autoSpaceDE/>
              <w:autoSpaceDN/>
              <w:adjustRightInd/>
              <w:spacing w:before="40" w:after="40"/>
              <w:textAlignment w:val="auto"/>
              <w:rPr>
                <w:sz w:val="22"/>
              </w:rPr>
            </w:pPr>
            <w:r w:rsidRPr="00DE6901">
              <w:rPr>
                <w:sz w:val="22"/>
              </w:rPr>
              <w:t>Suiza</w:t>
            </w:r>
          </w:p>
        </w:tc>
        <w:tc>
          <w:tcPr>
            <w:tcW w:w="3679" w:type="dxa"/>
          </w:tcPr>
          <w:p w14:paraId="1E35CCC2" w14:textId="41797D9A" w:rsidR="00F40C4E" w:rsidRPr="00DE6901" w:rsidRDefault="00902DE8" w:rsidP="00B8739F">
            <w:pPr>
              <w:pStyle w:val="Tabletext"/>
              <w:rPr>
                <w:rFonts w:asciiTheme="minorHAnsi" w:hAnsiTheme="minorHAnsi" w:cstheme="minorHAnsi"/>
                <w:szCs w:val="24"/>
                <w:lang w:eastAsia="en-AU"/>
              </w:rPr>
            </w:pPr>
            <w:hyperlink r:id="rId20" w:history="1">
              <w:r w:rsidR="00F40C4E" w:rsidRPr="00DE6901">
                <w:rPr>
                  <w:rStyle w:val="Hyperlink"/>
                  <w:rFonts w:asciiTheme="minorHAnsi" w:hAnsiTheme="minorHAnsi" w:cstheme="minorHAnsi"/>
                  <w:szCs w:val="24"/>
                </w:rPr>
                <w:t xml:space="preserve">Iniciativa Giga </w:t>
              </w:r>
              <w:r w:rsidR="00B8739F" w:rsidRPr="00DE6901">
                <w:rPr>
                  <w:rStyle w:val="Hyperlink"/>
                  <w:rFonts w:asciiTheme="minorHAnsi" w:hAnsiTheme="minorHAnsi" w:cstheme="minorHAnsi"/>
                  <w:szCs w:val="24"/>
                </w:rPr>
                <w:t>–</w:t>
              </w:r>
              <w:r w:rsidR="00F40C4E" w:rsidRPr="00DE6901">
                <w:rPr>
                  <w:rStyle w:val="Hyperlink"/>
                  <w:rFonts w:asciiTheme="minorHAnsi" w:hAnsiTheme="minorHAnsi" w:cstheme="minorHAnsi"/>
                  <w:szCs w:val="24"/>
                </w:rPr>
                <w:t xml:space="preserve"> Establecimiento de la Secretaría mundial en Ginebra</w:t>
              </w:r>
            </w:hyperlink>
          </w:p>
        </w:tc>
        <w:tc>
          <w:tcPr>
            <w:tcW w:w="2275" w:type="dxa"/>
          </w:tcPr>
          <w:p w14:paraId="10FD03D3" w14:textId="77777777" w:rsidR="00F40C4E" w:rsidRPr="00DE6901" w:rsidRDefault="00F40C4E" w:rsidP="00B8739F">
            <w:pPr>
              <w:pStyle w:val="Tabletext"/>
            </w:pPr>
            <w:r w:rsidRPr="00DE6901">
              <w:t>GS/BDT</w:t>
            </w:r>
          </w:p>
        </w:tc>
      </w:tr>
      <w:tr w:rsidR="00F40C4E" w:rsidRPr="00DE6901" w14:paraId="70829EE3" w14:textId="77777777" w:rsidTr="00B8739F">
        <w:trPr>
          <w:trHeight w:val="300"/>
        </w:trPr>
        <w:tc>
          <w:tcPr>
            <w:tcW w:w="2263" w:type="dxa"/>
            <w:noWrap/>
            <w:hideMark/>
          </w:tcPr>
          <w:p w14:paraId="6C921008" w14:textId="77777777" w:rsidR="00F40C4E" w:rsidRPr="00DE6901" w:rsidRDefault="00F40C4E" w:rsidP="00B8739F">
            <w:pPr>
              <w:pStyle w:val="Tabletext"/>
            </w:pPr>
            <w:r w:rsidRPr="00DE6901">
              <w:t>ETSI</w:t>
            </w:r>
          </w:p>
        </w:tc>
        <w:tc>
          <w:tcPr>
            <w:tcW w:w="1134" w:type="dxa"/>
          </w:tcPr>
          <w:p w14:paraId="3A7DE104" w14:textId="77777777" w:rsidR="00F40C4E" w:rsidRPr="00DE6901" w:rsidRDefault="00F40C4E" w:rsidP="00B8739F">
            <w:pPr>
              <w:pStyle w:val="Tabletext"/>
            </w:pPr>
            <w:r w:rsidRPr="00DE6901">
              <w:t>Francia</w:t>
            </w:r>
          </w:p>
        </w:tc>
        <w:tc>
          <w:tcPr>
            <w:tcW w:w="3679" w:type="dxa"/>
          </w:tcPr>
          <w:p w14:paraId="0A2E35B1" w14:textId="2A59DFF3" w:rsidR="00F40C4E" w:rsidRPr="00DE6901" w:rsidRDefault="00902DE8" w:rsidP="00B8739F">
            <w:pPr>
              <w:pStyle w:val="Tabletext"/>
              <w:rPr>
                <w:rFonts w:asciiTheme="minorHAnsi" w:hAnsiTheme="minorHAnsi" w:cstheme="minorHAnsi"/>
                <w:szCs w:val="24"/>
                <w:lang w:eastAsia="en-AU"/>
              </w:rPr>
            </w:pPr>
            <w:hyperlink r:id="rId21" w:history="1">
              <w:r w:rsidR="00F40C4E" w:rsidRPr="00DE6901">
                <w:rPr>
                  <w:rStyle w:val="Hyperlink"/>
                  <w:rFonts w:asciiTheme="minorHAnsi" w:hAnsiTheme="minorHAnsi" w:cstheme="minorHAnsi"/>
                  <w:szCs w:val="24"/>
                </w:rPr>
                <w:t xml:space="preserve">MdE ETSI </w:t>
              </w:r>
              <w:r w:rsidR="00B8739F" w:rsidRPr="00DE6901">
                <w:rPr>
                  <w:rStyle w:val="Hyperlink"/>
                  <w:rFonts w:asciiTheme="minorHAnsi" w:hAnsiTheme="minorHAnsi" w:cstheme="minorHAnsi"/>
                  <w:szCs w:val="24"/>
                </w:rPr>
                <w:t>–</w:t>
              </w:r>
              <w:r w:rsidR="00F40C4E" w:rsidRPr="00DE6901">
                <w:rPr>
                  <w:rStyle w:val="Hyperlink"/>
                  <w:rFonts w:asciiTheme="minorHAnsi" w:hAnsiTheme="minorHAnsi" w:cstheme="minorHAnsi"/>
                  <w:szCs w:val="24"/>
                </w:rPr>
                <w:t xml:space="preserve"> Refuerzo del intercambio de información y de la cooperación en actividades técnicas de normalización</w:t>
              </w:r>
            </w:hyperlink>
          </w:p>
        </w:tc>
        <w:tc>
          <w:tcPr>
            <w:tcW w:w="2275" w:type="dxa"/>
          </w:tcPr>
          <w:p w14:paraId="29CE759C" w14:textId="77777777" w:rsidR="00F40C4E" w:rsidRPr="00DE6901" w:rsidRDefault="00F40C4E" w:rsidP="00B8739F">
            <w:pPr>
              <w:pStyle w:val="Tabletext"/>
            </w:pPr>
            <w:r w:rsidRPr="00DE6901">
              <w:t>TSB/BR</w:t>
            </w:r>
          </w:p>
        </w:tc>
      </w:tr>
    </w:tbl>
    <w:p w14:paraId="5E1653AA" w14:textId="1A6E9470" w:rsidR="00F40C4E" w:rsidRPr="00DE6901" w:rsidRDefault="00B8739F" w:rsidP="00B8739F">
      <w:pPr>
        <w:pStyle w:val="Heading1"/>
        <w:rPr>
          <w:rStyle w:val="normaltextrun"/>
          <w:rFonts w:asciiTheme="minorHAnsi" w:hAnsiTheme="minorHAnsi" w:cstheme="minorBidi"/>
        </w:rPr>
      </w:pPr>
      <w:r w:rsidRPr="00DE6901">
        <w:rPr>
          <w:rStyle w:val="normaltextrun"/>
          <w:rFonts w:cs="Calibri"/>
          <w:bCs/>
        </w:rPr>
        <w:t>4</w:t>
      </w:r>
      <w:r w:rsidRPr="00DE6901">
        <w:rPr>
          <w:rStyle w:val="normaltextrun"/>
          <w:rFonts w:cs="Calibri"/>
          <w:bCs/>
        </w:rPr>
        <w:tab/>
      </w:r>
      <w:r w:rsidR="00F40C4E" w:rsidRPr="00DE6901">
        <w:rPr>
          <w:rStyle w:val="normaltextrun"/>
          <w:rFonts w:cs="Calibri"/>
          <w:bCs/>
        </w:rPr>
        <w:t>Cuadro informativo sobre anteriores MdE</w:t>
      </w:r>
    </w:p>
    <w:p w14:paraId="19947B80" w14:textId="77777777" w:rsidR="00F40C4E" w:rsidRPr="00DE6901" w:rsidRDefault="00F40C4E" w:rsidP="00B8739F">
      <w:pPr>
        <w:rPr>
          <w:rStyle w:val="eop"/>
          <w:rFonts w:cs="Calibri"/>
        </w:rPr>
      </w:pPr>
      <w:r w:rsidRPr="00DE6901">
        <w:rPr>
          <w:rStyle w:val="eop"/>
          <w:rFonts w:cs="Calibri"/>
        </w:rPr>
        <w:t>El siguiente enlace facilita acceso a un nuevo cuadro informativo sobre la aplicación de los MdE que se señalaron a la atención del Consejo entre 2008 y 2021:</w:t>
      </w:r>
    </w:p>
    <w:p w14:paraId="555AB9C8" w14:textId="3ED81D37" w:rsidR="00927F93" w:rsidRPr="00DE6901" w:rsidRDefault="00902DE8" w:rsidP="00B8739F">
      <w:pPr>
        <w:pStyle w:val="paragraph"/>
        <w:spacing w:before="0" w:beforeAutospacing="0" w:after="0" w:afterAutospacing="0"/>
        <w:jc w:val="both"/>
        <w:textAlignment w:val="baseline"/>
        <w:rPr>
          <w:rStyle w:val="eop"/>
          <w:rFonts w:ascii="Calibri" w:hAnsi="Calibri" w:cs="Calibri"/>
          <w:szCs w:val="20"/>
          <w:lang w:val="es-ES_tradnl" w:eastAsia="en-US"/>
        </w:rPr>
      </w:pPr>
      <w:hyperlink r:id="rId22" w:history="1">
        <w:r w:rsidR="00F40C4E" w:rsidRPr="00DE6901">
          <w:rPr>
            <w:rStyle w:val="Hyperlink"/>
            <w:rFonts w:ascii="Calibri" w:hAnsi="Calibri" w:cs="Calibri"/>
            <w:szCs w:val="20"/>
            <w:lang w:val="es-ES_tradnl" w:eastAsia="en-US"/>
          </w:rPr>
          <w:t>https://www.itu.int/en/council/ties/Documents/2023/MoUs/dashboard-MoUs-2008-2021.docx</w:t>
        </w:r>
      </w:hyperlink>
      <w:r w:rsidR="00F40C4E" w:rsidRPr="00DE6901">
        <w:rPr>
          <w:rStyle w:val="eop"/>
          <w:rFonts w:ascii="Calibri" w:hAnsi="Calibri" w:cs="Calibri"/>
          <w:szCs w:val="20"/>
          <w:lang w:val="es-ES_tradnl" w:eastAsia="en-US"/>
        </w:rPr>
        <w:t>.</w:t>
      </w:r>
    </w:p>
    <w:p w14:paraId="11865799" w14:textId="77777777" w:rsidR="00B8739F" w:rsidRPr="00DE6901" w:rsidRDefault="00B8739F" w:rsidP="00411C49">
      <w:pPr>
        <w:pStyle w:val="Reasons"/>
      </w:pPr>
    </w:p>
    <w:p w14:paraId="412A5EDF" w14:textId="14D70AD8" w:rsidR="00B8739F" w:rsidRPr="00DE6901" w:rsidRDefault="00B8739F" w:rsidP="00B8739F">
      <w:pPr>
        <w:jc w:val="center"/>
      </w:pPr>
      <w:r w:rsidRPr="00DE6901">
        <w:t>______________</w:t>
      </w:r>
    </w:p>
    <w:sectPr w:rsidR="00B8739F" w:rsidRPr="00DE6901" w:rsidSect="00C538FC">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B77C" w14:textId="77777777" w:rsidR="00453565" w:rsidRDefault="00453565">
      <w:r>
        <w:separator/>
      </w:r>
    </w:p>
  </w:endnote>
  <w:endnote w:type="continuationSeparator" w:id="0">
    <w:p w14:paraId="01994117" w14:textId="77777777" w:rsidR="00453565" w:rsidRDefault="0045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7DFD68B" w14:textId="77777777" w:rsidTr="00E31DCE">
      <w:trPr>
        <w:jc w:val="center"/>
      </w:trPr>
      <w:tc>
        <w:tcPr>
          <w:tcW w:w="1803" w:type="dxa"/>
          <w:vAlign w:val="center"/>
        </w:tcPr>
        <w:p w14:paraId="3A71BBB5" w14:textId="1376B5FE" w:rsidR="003273A4" w:rsidRDefault="003273A4" w:rsidP="003273A4">
          <w:pPr>
            <w:pStyle w:val="Header"/>
            <w:jc w:val="left"/>
            <w:rPr>
              <w:noProof/>
            </w:rPr>
          </w:pPr>
          <w:r>
            <w:rPr>
              <w:noProof/>
            </w:rPr>
            <w:t xml:space="preserve">DPS </w:t>
          </w:r>
          <w:r w:rsidR="00B8739F">
            <w:rPr>
              <w:noProof/>
            </w:rPr>
            <w:t>521079</w:t>
          </w:r>
        </w:p>
      </w:tc>
      <w:tc>
        <w:tcPr>
          <w:tcW w:w="8261" w:type="dxa"/>
        </w:tcPr>
        <w:p w14:paraId="383AEE97" w14:textId="6AA7B50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8739F">
            <w:rPr>
              <w:bCs/>
            </w:rPr>
            <w:t>45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1367B7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7D884C7" w14:textId="77777777" w:rsidTr="00E31DCE">
      <w:trPr>
        <w:jc w:val="center"/>
      </w:trPr>
      <w:tc>
        <w:tcPr>
          <w:tcW w:w="1803" w:type="dxa"/>
          <w:vAlign w:val="center"/>
        </w:tcPr>
        <w:p w14:paraId="3A5F5016" w14:textId="77777777" w:rsidR="00F24B71" w:rsidRDefault="00902DE8" w:rsidP="00F24B71">
          <w:pPr>
            <w:pStyle w:val="Header"/>
            <w:jc w:val="left"/>
            <w:rPr>
              <w:noProof/>
            </w:rPr>
          </w:pPr>
          <w:hyperlink r:id="rId1" w:history="1">
            <w:r w:rsidR="00F24B71" w:rsidRPr="00A514A4">
              <w:rPr>
                <w:rStyle w:val="Hyperlink"/>
                <w:szCs w:val="14"/>
              </w:rPr>
              <w:t>www.itu.int/council</w:t>
            </w:r>
          </w:hyperlink>
        </w:p>
      </w:tc>
      <w:tc>
        <w:tcPr>
          <w:tcW w:w="8261" w:type="dxa"/>
        </w:tcPr>
        <w:p w14:paraId="759031EF" w14:textId="395150F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8739F">
            <w:rPr>
              <w:bCs/>
            </w:rPr>
            <w:t>45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86A8FF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0E04" w14:textId="77777777" w:rsidR="00453565" w:rsidRDefault="00453565">
      <w:r>
        <w:t>____________________</w:t>
      </w:r>
    </w:p>
  </w:footnote>
  <w:footnote w:type="continuationSeparator" w:id="0">
    <w:p w14:paraId="4FD82F13" w14:textId="77777777" w:rsidR="00453565" w:rsidRDefault="0045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3DC6CF92" w14:textId="77777777" w:rsidTr="00E31DCE">
      <w:trPr>
        <w:trHeight w:val="1104"/>
        <w:jc w:val="center"/>
      </w:trPr>
      <w:tc>
        <w:tcPr>
          <w:tcW w:w="4390" w:type="dxa"/>
          <w:vAlign w:val="center"/>
        </w:tcPr>
        <w:p w14:paraId="6D44A84F" w14:textId="77777777"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18FF408B" wp14:editId="135BE0A0">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DF9D23C" w14:textId="77777777" w:rsidR="001559F5" w:rsidRDefault="001559F5" w:rsidP="001559F5">
          <w:pPr>
            <w:pStyle w:val="Header"/>
            <w:jc w:val="right"/>
            <w:rPr>
              <w:rFonts w:ascii="Arial" w:hAnsi="Arial" w:cs="Arial"/>
              <w:b/>
              <w:bCs/>
              <w:color w:val="009CD6"/>
              <w:szCs w:val="18"/>
            </w:rPr>
          </w:pPr>
        </w:p>
        <w:p w14:paraId="74034B98" w14:textId="77777777" w:rsidR="001559F5" w:rsidRDefault="001559F5" w:rsidP="001559F5">
          <w:pPr>
            <w:pStyle w:val="Header"/>
            <w:jc w:val="right"/>
            <w:rPr>
              <w:rFonts w:ascii="Arial" w:hAnsi="Arial" w:cs="Arial"/>
              <w:b/>
              <w:bCs/>
              <w:color w:val="009CD6"/>
              <w:szCs w:val="18"/>
            </w:rPr>
          </w:pPr>
        </w:p>
        <w:p w14:paraId="3D77F38A"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0F15F71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6C52295" wp14:editId="13CC7A6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864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F6974"/>
    <w:multiLevelType w:val="hybridMultilevel"/>
    <w:tmpl w:val="1212C15E"/>
    <w:lvl w:ilvl="0" w:tplc="15AE35E6">
      <w:start w:val="1"/>
      <w:numFmt w:val="decimal"/>
      <w:lvlText w:val="%1."/>
      <w:lvlJc w:val="left"/>
      <w:pPr>
        <w:ind w:left="720" w:hanging="360"/>
      </w:pPr>
      <w:rPr>
        <w:rFonts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88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65"/>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53565"/>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02DE8"/>
    <w:rsid w:val="00913B9C"/>
    <w:rsid w:val="00927F93"/>
    <w:rsid w:val="00956E77"/>
    <w:rsid w:val="009F4811"/>
    <w:rsid w:val="00AA390C"/>
    <w:rsid w:val="00B0200A"/>
    <w:rsid w:val="00B574DB"/>
    <w:rsid w:val="00B826C2"/>
    <w:rsid w:val="00B8298E"/>
    <w:rsid w:val="00B8739F"/>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DE6901"/>
    <w:rsid w:val="00E06947"/>
    <w:rsid w:val="00E34072"/>
    <w:rsid w:val="00E3592D"/>
    <w:rsid w:val="00E50D76"/>
    <w:rsid w:val="00E92DE8"/>
    <w:rsid w:val="00EB1212"/>
    <w:rsid w:val="00ED65AB"/>
    <w:rsid w:val="00F12850"/>
    <w:rsid w:val="00F24B71"/>
    <w:rsid w:val="00F33BF4"/>
    <w:rsid w:val="00F40C4E"/>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C8862"/>
  <w15:docId w15:val="{6EB939EB-957D-4070-920A-2826EB5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40C4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AU" w:eastAsia="en-AU"/>
    </w:rPr>
  </w:style>
  <w:style w:type="character" w:customStyle="1" w:styleId="normaltextrun">
    <w:name w:val="normaltextrun"/>
    <w:basedOn w:val="DefaultParagraphFont"/>
    <w:rsid w:val="00F40C4E"/>
  </w:style>
  <w:style w:type="character" w:customStyle="1" w:styleId="eop">
    <w:name w:val="eop"/>
    <w:basedOn w:val="DefaultParagraphFont"/>
    <w:rsid w:val="00F40C4E"/>
  </w:style>
  <w:style w:type="paragraph" w:styleId="ListParagraph">
    <w:name w:val="List Paragraph"/>
    <w:basedOn w:val="Normal"/>
    <w:uiPriority w:val="34"/>
    <w:qFormat/>
    <w:rsid w:val="00F40C4E"/>
    <w:pPr>
      <w:ind w:left="720"/>
      <w:contextualSpacing/>
    </w:pPr>
    <w:rPr>
      <w:lang w:val="en-GB"/>
    </w:rPr>
  </w:style>
  <w:style w:type="character" w:styleId="UnresolvedMention">
    <w:name w:val="Unresolved Mention"/>
    <w:basedOn w:val="DefaultParagraphFont"/>
    <w:uiPriority w:val="99"/>
    <w:semiHidden/>
    <w:unhideWhenUsed/>
    <w:rsid w:val="00DE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73/es" TargetMode="External"/><Relationship Id="rId13" Type="http://schemas.openxmlformats.org/officeDocument/2006/relationships/hyperlink" Target="https://www.itu.int/es/ITU-D/Projects/Pages/default.aspx" TargetMode="External"/><Relationship Id="rId18" Type="http://schemas.openxmlformats.org/officeDocument/2006/relationships/hyperlink" Target="https://view.officeapps.live.com/op/view.aspx?src=https%3A%2F%2Fwww.itu.int%2Fdms_pub%2Fitu-d%2Fmd%2F22%2Ftdag30%2Finf%2FD22-TDAG30-INF-0001!!MSW-E.docx&amp;wdOrigin=BROWSELI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en/council/ties/Documents/2023/MoUs/MoU-ETSI.pdf" TargetMode="External"/><Relationship Id="rId7" Type="http://schemas.openxmlformats.org/officeDocument/2006/relationships/hyperlink" Target="https://www.itu.int/en/council/ties/Documents/2023/MoUs/dashboard-MoUs-2008-2021.docx" TargetMode="External"/><Relationship Id="rId12" Type="http://schemas.openxmlformats.org/officeDocument/2006/relationships/hyperlink" Target="https://www.itu.int/md/S18-PP-C-0173/es" TargetMode="External"/><Relationship Id="rId17" Type="http://schemas.openxmlformats.org/officeDocument/2006/relationships/hyperlink" Target="https://www.itu.int/md/D22-TDAG30-C-0014/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3-CL-C-0054/es" TargetMode="External"/><Relationship Id="rId20" Type="http://schemas.openxmlformats.org/officeDocument/2006/relationships/hyperlink" Target="https://www.itu.int/en/council/ties/Documents/2023/MoUs/CH-GIGA-Secretaria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PP-C-0206/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ITU-D/MembersPartners/Pages/Partners/List-of-Partners.aspx" TargetMode="External"/><Relationship Id="rId23" Type="http://schemas.openxmlformats.org/officeDocument/2006/relationships/footer" Target="footer1.xml"/><Relationship Id="rId10" Type="http://schemas.openxmlformats.org/officeDocument/2006/relationships/hyperlink" Target="https://www.itu.int/md/S22-PP-C-0189/es" TargetMode="External"/><Relationship Id="rId19" Type="http://schemas.openxmlformats.org/officeDocument/2006/relationships/hyperlink" Target="https://www.itu.int/es/ITU-T/extcoop/Pages/mou.aspx" TargetMode="External"/><Relationship Id="rId4" Type="http://schemas.openxmlformats.org/officeDocument/2006/relationships/webSettings" Target="webSettings.xml"/><Relationship Id="rId9" Type="http://schemas.openxmlformats.org/officeDocument/2006/relationships/hyperlink" Target="https://www.itu.int/md/S22-PP-C-0206/es" TargetMode="External"/><Relationship Id="rId14" Type="http://schemas.openxmlformats.org/officeDocument/2006/relationships/hyperlink" Target="https://www.itu.int/md/D22-TDAG30-C-0007/es" TargetMode="External"/><Relationship Id="rId22" Type="http://schemas.openxmlformats.org/officeDocument/2006/relationships/hyperlink" Target="https://www.itu.int/en/council/ties/Documents/2023/MoUs/dashboard-MoUs-2008-2021.doc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2</Pages>
  <Words>521</Words>
  <Characters>4357</Characters>
  <Application>Microsoft Office Word</Application>
  <DocSecurity>4</DocSecurity>
  <Lines>36</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4869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de la UIT en Memorandos de Entendimiento con repercusiones financieras y/o estratégicas</dc:title>
  <dc:subject>Council 2023</dc:subject>
  <dc:creator>Spanish</dc:creator>
  <cp:keywords>C2023, C23, Council-23</cp:keywords>
  <dc:description/>
  <cp:lastModifiedBy>Xue, Kun</cp:lastModifiedBy>
  <cp:revision>2</cp:revision>
  <cp:lastPrinted>2006-03-24T09:51:00Z</cp:lastPrinted>
  <dcterms:created xsi:type="dcterms:W3CDTF">2023-06-22T15:25:00Z</dcterms:created>
  <dcterms:modified xsi:type="dcterms:W3CDTF">2023-06-22T15:25:00Z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