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0118E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0263AB33" w:rsidR="00796BD3" w:rsidRPr="0060118E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60118E">
              <w:rPr>
                <w:b/>
                <w:lang w:val="ru-RU"/>
              </w:rPr>
              <w:t>Пункт повестки дня</w:t>
            </w:r>
            <w:r w:rsidRPr="0060118E">
              <w:rPr>
                <w:bCs/>
                <w:lang w:val="ru-RU"/>
              </w:rPr>
              <w:t>:</w:t>
            </w:r>
            <w:r w:rsidR="000D2148" w:rsidRPr="0060118E">
              <w:rPr>
                <w:b/>
                <w:lang w:val="ru-RU"/>
              </w:rPr>
              <w:t xml:space="preserve"> </w:t>
            </w:r>
            <w:r w:rsidR="00BA006F" w:rsidRPr="0060118E">
              <w:rPr>
                <w:b/>
                <w:lang w:val="ru-RU"/>
              </w:rPr>
              <w:t>ADM</w:t>
            </w:r>
            <w:r w:rsidR="000D2148" w:rsidRPr="0060118E">
              <w:rPr>
                <w:b/>
                <w:lang w:val="ru-RU"/>
              </w:rPr>
              <w:t xml:space="preserve"> </w:t>
            </w:r>
            <w:r w:rsidR="00371F31" w:rsidRPr="0060118E">
              <w:rPr>
                <w:b/>
                <w:lang w:val="ru-RU"/>
              </w:rPr>
              <w:t>2</w:t>
            </w:r>
          </w:p>
        </w:tc>
        <w:tc>
          <w:tcPr>
            <w:tcW w:w="5245" w:type="dxa"/>
          </w:tcPr>
          <w:p w14:paraId="7E14BEB2" w14:textId="560CB2E0" w:rsidR="00796BD3" w:rsidRPr="0060118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0118E">
              <w:rPr>
                <w:b/>
                <w:lang w:val="ru-RU"/>
              </w:rPr>
              <w:t xml:space="preserve">Документ </w:t>
            </w:r>
            <w:r w:rsidR="00796BD3" w:rsidRPr="0060118E">
              <w:rPr>
                <w:b/>
                <w:lang w:val="ru-RU"/>
              </w:rPr>
              <w:t>C23/</w:t>
            </w:r>
            <w:r w:rsidR="00371F31" w:rsidRPr="0060118E">
              <w:rPr>
                <w:b/>
                <w:lang w:val="ru-RU"/>
              </w:rPr>
              <w:t>4</w:t>
            </w:r>
            <w:r w:rsidR="00BA006F" w:rsidRPr="0060118E">
              <w:rPr>
                <w:b/>
                <w:lang w:val="ru-RU"/>
              </w:rPr>
              <w:t>5</w:t>
            </w:r>
            <w:r w:rsidR="00796BD3" w:rsidRPr="0060118E">
              <w:rPr>
                <w:b/>
                <w:lang w:val="ru-RU"/>
              </w:rPr>
              <w:t>-R</w:t>
            </w:r>
          </w:p>
        </w:tc>
      </w:tr>
      <w:tr w:rsidR="00796BD3" w:rsidRPr="0060118E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60118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1F2CFBEB" w:rsidR="00796BD3" w:rsidRPr="0060118E" w:rsidRDefault="00BA006F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0118E">
              <w:rPr>
                <w:b/>
                <w:lang w:val="ru-RU"/>
              </w:rPr>
              <w:t xml:space="preserve">12 июня </w:t>
            </w:r>
            <w:r w:rsidR="00796BD3" w:rsidRPr="0060118E">
              <w:rPr>
                <w:b/>
                <w:lang w:val="ru-RU"/>
              </w:rPr>
              <w:t>2023</w:t>
            </w:r>
            <w:r w:rsidR="005039F9" w:rsidRPr="0060118E">
              <w:rPr>
                <w:b/>
                <w:lang w:val="ru-RU"/>
              </w:rPr>
              <w:t> года</w:t>
            </w:r>
          </w:p>
        </w:tc>
      </w:tr>
      <w:tr w:rsidR="00796BD3" w:rsidRPr="0060118E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60118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60118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0118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60118E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60118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60118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60118E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60118E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0118E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60118E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589552C2" w:rsidR="00796BD3" w:rsidRPr="0060118E" w:rsidRDefault="0020542F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60118E">
              <w:rPr>
                <w:sz w:val="32"/>
                <w:szCs w:val="32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</w:tr>
      <w:tr w:rsidR="00796BD3" w:rsidRPr="007D3745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5AE64F5F" w:rsidR="00796BD3" w:rsidRPr="0060118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0118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D2E7F1B" w14:textId="50244C02" w:rsidR="005F5AD7" w:rsidRPr="0060118E" w:rsidRDefault="00063BA9" w:rsidP="0099131E">
            <w:pPr>
              <w:rPr>
                <w:lang w:val="ru-RU"/>
              </w:rPr>
            </w:pPr>
            <w:bookmarkStart w:id="7" w:name="_Hlk133827859"/>
            <w:bookmarkStart w:id="8" w:name="lt_pId012"/>
            <w:r w:rsidRPr="0060118E">
              <w:rPr>
                <w:lang w:val="ru-RU"/>
              </w:rPr>
              <w:t>В настоящем документе содержится информация о меморандумах о взаимопонимании/соглашениях (далее "МоВ"), имеющих существенные финансовые и/или стратегические последствия для Союза</w:t>
            </w:r>
            <w:r w:rsidR="00AE6F81" w:rsidRPr="0060118E">
              <w:rPr>
                <w:lang w:val="ru-RU"/>
              </w:rPr>
              <w:t>,</w:t>
            </w:r>
            <w:r w:rsidRPr="0060118E">
              <w:rPr>
                <w:lang w:val="ru-RU"/>
              </w:rPr>
              <w:t xml:space="preserve"> за 2022 год. В нем также приводится </w:t>
            </w:r>
            <w:r w:rsidR="005F5AD7" w:rsidRPr="0060118E">
              <w:rPr>
                <w:lang w:val="ru-RU"/>
              </w:rPr>
              <w:t>перечень</w:t>
            </w:r>
            <w:r w:rsidRPr="0060118E">
              <w:rPr>
                <w:lang w:val="ru-RU"/>
              </w:rPr>
              <w:t xml:space="preserve"> МоВ, </w:t>
            </w:r>
            <w:r w:rsidR="00AE6F81" w:rsidRPr="0060118E">
              <w:rPr>
                <w:lang w:val="ru-RU"/>
              </w:rPr>
              <w:t xml:space="preserve">информацию о </w:t>
            </w:r>
            <w:r w:rsidRPr="0060118E">
              <w:rPr>
                <w:lang w:val="ru-RU"/>
              </w:rPr>
              <w:t>которы</w:t>
            </w:r>
            <w:r w:rsidR="00AE6F81" w:rsidRPr="0060118E">
              <w:rPr>
                <w:lang w:val="ru-RU"/>
              </w:rPr>
              <w:t>х</w:t>
            </w:r>
            <w:r w:rsidRPr="0060118E">
              <w:rPr>
                <w:lang w:val="ru-RU"/>
              </w:rPr>
              <w:t xml:space="preserve"> Генеральный секретарь счел целесообразным довести до сведения Совета. В </w:t>
            </w:r>
            <w:r w:rsidR="005F5AD7" w:rsidRPr="0060118E">
              <w:rPr>
                <w:lang w:val="ru-RU"/>
              </w:rPr>
              <w:t>настоящем</w:t>
            </w:r>
            <w:r w:rsidRPr="0060118E">
              <w:rPr>
                <w:lang w:val="ru-RU"/>
              </w:rPr>
              <w:t xml:space="preserve"> отчете также </w:t>
            </w:r>
            <w:r w:rsidR="005F5AD7" w:rsidRPr="0060118E">
              <w:rPr>
                <w:lang w:val="ru-RU"/>
              </w:rPr>
              <w:t xml:space="preserve">содержится информация о </w:t>
            </w:r>
            <w:hyperlink r:id="rId7" w:history="1">
              <w:r w:rsidR="005F5AD7" w:rsidRPr="0060118E">
                <w:rPr>
                  <w:rStyle w:val="Hyperlink"/>
                  <w:lang w:val="ru-RU"/>
                </w:rPr>
                <w:t>новой информационной панели</w:t>
              </w:r>
            </w:hyperlink>
            <w:r w:rsidRPr="0060118E">
              <w:rPr>
                <w:lang w:val="ru-RU"/>
              </w:rPr>
              <w:t xml:space="preserve">, </w:t>
            </w:r>
            <w:r w:rsidR="005F5AD7" w:rsidRPr="0060118E">
              <w:rPr>
                <w:lang w:val="ru-RU"/>
              </w:rPr>
              <w:t>в которой представлены данные о реализации МоВ, уже доведенных до све</w:t>
            </w:r>
            <w:r w:rsidR="00AE6F81" w:rsidRPr="0060118E">
              <w:rPr>
                <w:lang w:val="ru-RU"/>
              </w:rPr>
              <w:t>дения Совета в</w:t>
            </w:r>
            <w:r w:rsidR="005F5AD7" w:rsidRPr="0060118E">
              <w:rPr>
                <w:lang w:val="ru-RU"/>
              </w:rPr>
              <w:t xml:space="preserve"> период 2008-2021 гг.</w:t>
            </w:r>
          </w:p>
          <w:bookmarkEnd w:id="7"/>
          <w:bookmarkEnd w:id="8"/>
          <w:p w14:paraId="05813D22" w14:textId="77777777" w:rsidR="00796BD3" w:rsidRPr="0060118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0118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592145C" w14:textId="50C2852F" w:rsidR="00DC600B" w:rsidRPr="0060118E" w:rsidRDefault="000D2148" w:rsidP="00DC600B">
            <w:pPr>
              <w:rPr>
                <w:lang w:val="ru-RU"/>
              </w:rPr>
            </w:pPr>
            <w:r w:rsidRPr="0060118E">
              <w:rPr>
                <w:lang w:val="ru-RU"/>
              </w:rPr>
              <w:t xml:space="preserve">Совету предлагается </w:t>
            </w:r>
            <w:r w:rsidR="00371F31" w:rsidRPr="0060118E">
              <w:rPr>
                <w:b/>
                <w:bCs/>
                <w:lang w:val="ru-RU"/>
              </w:rPr>
              <w:t>принять к сведению</w:t>
            </w:r>
            <w:r w:rsidR="00DC600B" w:rsidRPr="0060118E">
              <w:rPr>
                <w:lang w:val="ru-RU"/>
              </w:rPr>
              <w:t xml:space="preserve"> </w:t>
            </w:r>
            <w:r w:rsidR="00371F31" w:rsidRPr="0060118E">
              <w:rPr>
                <w:lang w:val="ru-RU"/>
              </w:rPr>
              <w:t>настоящий отчет</w:t>
            </w:r>
            <w:r w:rsidR="00DC600B" w:rsidRPr="0060118E">
              <w:rPr>
                <w:lang w:val="ru-RU"/>
              </w:rPr>
              <w:t>.</w:t>
            </w:r>
          </w:p>
          <w:p w14:paraId="57077B00" w14:textId="77777777" w:rsidR="00796BD3" w:rsidRPr="0060118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0118E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506A28A" w14:textId="7D99C27B" w:rsidR="00796BD3" w:rsidRPr="00883502" w:rsidRDefault="005F5AD7" w:rsidP="0099131E">
            <w:pPr>
              <w:rPr>
                <w:lang w:val="en-US"/>
              </w:rPr>
            </w:pPr>
            <w:r w:rsidRPr="0060118E">
              <w:rPr>
                <w:lang w:val="ru-RU"/>
              </w:rPr>
              <w:t>Отсутствует</w:t>
            </w:r>
          </w:p>
          <w:p w14:paraId="7A96656A" w14:textId="2CF476F0" w:rsidR="00796BD3" w:rsidRPr="0060118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0118E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F441306" w14:textId="2FB2CAC8" w:rsidR="00DC600B" w:rsidRPr="0060118E" w:rsidRDefault="00DC600B" w:rsidP="005039F9">
            <w:pPr>
              <w:rPr>
                <w:lang w:val="ru-RU"/>
              </w:rPr>
            </w:pPr>
            <w:r w:rsidRPr="0060118E">
              <w:rPr>
                <w:lang w:val="ru-RU"/>
              </w:rPr>
              <w:t>Отсутствуют.</w:t>
            </w:r>
          </w:p>
          <w:p w14:paraId="76BD992D" w14:textId="06DF4AC5" w:rsidR="00796BD3" w:rsidRPr="0060118E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60118E">
              <w:rPr>
                <w:szCs w:val="22"/>
                <w:lang w:val="ru-RU"/>
              </w:rPr>
              <w:t>__________________</w:t>
            </w:r>
          </w:p>
          <w:p w14:paraId="62AA5559" w14:textId="0AB86AA7" w:rsidR="00796BD3" w:rsidRPr="0060118E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60118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B9916DE" w14:textId="3961917B" w:rsidR="00796BD3" w:rsidRPr="0060118E" w:rsidRDefault="00BA006F" w:rsidP="0099131E">
            <w:pPr>
              <w:spacing w:after="120"/>
              <w:rPr>
                <w:i/>
                <w:iCs/>
                <w:lang w:val="ru-RU"/>
              </w:rPr>
            </w:pPr>
            <w:bookmarkStart w:id="9" w:name="lt_pId023"/>
            <w:r w:rsidRPr="0060118E">
              <w:rPr>
                <w:i/>
                <w:iCs/>
                <w:lang w:val="ru-RU"/>
              </w:rPr>
              <w:t>Протокол шестнадцатого пленарного заседания ПК-18 (Документ </w:t>
            </w:r>
            <w:hyperlink r:id="rId8" w:history="1">
              <w:r w:rsidRPr="0060118E">
                <w:rPr>
                  <w:rStyle w:val="Hyperlink"/>
                  <w:i/>
                  <w:iCs/>
                  <w:lang w:val="ru-RU"/>
                </w:rPr>
                <w:t>PP-18/173</w:t>
              </w:r>
            </w:hyperlink>
            <w:r w:rsidRPr="0060118E">
              <w:rPr>
                <w:i/>
                <w:iCs/>
                <w:lang w:val="ru-RU"/>
              </w:rPr>
              <w:t xml:space="preserve">) и Протокол шестнадцатого пленарного заседания ПК-22 (Документ </w:t>
            </w:r>
            <w:hyperlink r:id="rId9" w:history="1">
              <w:r w:rsidRPr="0060118E">
                <w:rPr>
                  <w:rStyle w:val="Hyperlink"/>
                  <w:i/>
                  <w:iCs/>
                  <w:lang w:val="ru-RU"/>
                </w:rPr>
                <w:t>PP-22/206</w:t>
              </w:r>
            </w:hyperlink>
            <w:r w:rsidRPr="0060118E">
              <w:rPr>
                <w:i/>
                <w:iCs/>
                <w:lang w:val="ru-RU"/>
              </w:rPr>
              <w:t>)</w:t>
            </w:r>
            <w:bookmarkEnd w:id="9"/>
          </w:p>
        </w:tc>
      </w:tr>
      <w:bookmarkEnd w:id="2"/>
      <w:bookmarkEnd w:id="6"/>
    </w:tbl>
    <w:p w14:paraId="193EB44F" w14:textId="1597F778" w:rsidR="00BA006F" w:rsidRPr="0060118E" w:rsidRDefault="00BA006F" w:rsidP="00BA006F">
      <w:pPr>
        <w:rPr>
          <w:lang w:val="ru-RU"/>
        </w:rPr>
      </w:pPr>
      <w:r w:rsidRPr="0060118E">
        <w:rPr>
          <w:lang w:val="ru-RU"/>
        </w:rPr>
        <w:br w:type="page"/>
      </w:r>
    </w:p>
    <w:p w14:paraId="4E00333C" w14:textId="7F1F6A66" w:rsidR="00BA006F" w:rsidRPr="0060118E" w:rsidRDefault="00BA006F" w:rsidP="00BA006F">
      <w:pPr>
        <w:pStyle w:val="Heading1"/>
        <w:rPr>
          <w:lang w:val="ru-RU"/>
        </w:rPr>
      </w:pPr>
      <w:r w:rsidRPr="0060118E">
        <w:rPr>
          <w:lang w:val="ru-RU"/>
        </w:rPr>
        <w:lastRenderedPageBreak/>
        <w:t>1</w:t>
      </w:r>
      <w:r w:rsidRPr="0060118E">
        <w:rPr>
          <w:lang w:val="ru-RU"/>
        </w:rPr>
        <w:tab/>
      </w:r>
      <w:r w:rsidR="005F5AD7" w:rsidRPr="0060118E">
        <w:rPr>
          <w:lang w:val="ru-RU"/>
        </w:rPr>
        <w:t>Базовая информация</w:t>
      </w:r>
    </w:p>
    <w:p w14:paraId="0A6606A7" w14:textId="2FA8FFC3" w:rsidR="005F5AD7" w:rsidRPr="0060118E" w:rsidRDefault="000A4A41" w:rsidP="00BA006F">
      <w:pPr>
        <w:rPr>
          <w:lang w:val="ru-RU"/>
        </w:rPr>
      </w:pPr>
      <w:r w:rsidRPr="0060118E">
        <w:rPr>
          <w:lang w:val="ru-RU"/>
        </w:rPr>
        <w:t xml:space="preserve">Полномочная конференция (Бухарест, 2022 г.) на </w:t>
      </w:r>
      <w:r w:rsidR="005F5AD7" w:rsidRPr="0060118E">
        <w:rPr>
          <w:lang w:val="ru-RU"/>
        </w:rPr>
        <w:t xml:space="preserve">своем шестнадцатом пленарном заседании </w:t>
      </w:r>
      <w:r w:rsidR="00CD5957" w:rsidRPr="0060118E">
        <w:rPr>
          <w:lang w:val="ru-RU"/>
        </w:rPr>
        <w:t xml:space="preserve">постановила оставить в силе </w:t>
      </w:r>
      <w:r w:rsidR="005F5AD7" w:rsidRPr="0060118E">
        <w:rPr>
          <w:lang w:val="ru-RU"/>
        </w:rPr>
        <w:t>решение Полномочной конференции (Дубай, 2018 г.), в соответствии с которым Генеральному секретарю поручается продолжать "</w:t>
      </w:r>
      <w:r w:rsidR="005F5AD7" w:rsidRPr="0060118E">
        <w:rPr>
          <w:i/>
          <w:iCs/>
          <w:lang w:val="ru-RU"/>
        </w:rPr>
        <w:t>представлять очередной сессии Совета для предварительного утверждения МоВ, которые имеют значительные финансовые и/или стратегические последствия</w:t>
      </w:r>
      <w:r w:rsidR="005F5AD7" w:rsidRPr="0060118E">
        <w:rPr>
          <w:lang w:val="ru-RU"/>
        </w:rPr>
        <w:t xml:space="preserve">". Полномочная конференция далее постановила, что </w:t>
      </w:r>
      <w:r w:rsidR="00FB3365" w:rsidRPr="0060118E">
        <w:rPr>
          <w:lang w:val="ru-RU"/>
        </w:rPr>
        <w:t>по-прежнему "</w:t>
      </w:r>
      <w:r w:rsidR="00FB3365" w:rsidRPr="0060118E">
        <w:rPr>
          <w:i/>
          <w:iCs/>
          <w:lang w:val="ru-RU"/>
        </w:rPr>
        <w:t>будет представляться отчет о других МоВ, заключенных МСЭ за соответствующий период</w:t>
      </w:r>
      <w:r w:rsidR="00FB3365" w:rsidRPr="0060118E">
        <w:rPr>
          <w:lang w:val="ru-RU"/>
        </w:rPr>
        <w:t>". См. Рекомендацию </w:t>
      </w:r>
      <w:r w:rsidR="005F5AD7" w:rsidRPr="0060118E">
        <w:rPr>
          <w:lang w:val="ru-RU"/>
        </w:rPr>
        <w:t>3</w:t>
      </w:r>
      <w:r w:rsidR="00FB3365" w:rsidRPr="0060118E">
        <w:rPr>
          <w:lang w:val="ru-RU"/>
        </w:rPr>
        <w:t xml:space="preserve"> в отчете Председателя Комитета 5 пленарному</w:t>
      </w:r>
      <w:r w:rsidR="005F5AD7" w:rsidRPr="0060118E">
        <w:rPr>
          <w:lang w:val="ru-RU"/>
        </w:rPr>
        <w:t xml:space="preserve"> заседани</w:t>
      </w:r>
      <w:r w:rsidR="00FB3365" w:rsidRPr="0060118E">
        <w:rPr>
          <w:lang w:val="ru-RU"/>
        </w:rPr>
        <w:t>ю</w:t>
      </w:r>
      <w:r w:rsidR="005F5AD7" w:rsidRPr="0060118E">
        <w:rPr>
          <w:lang w:val="ru-RU"/>
        </w:rPr>
        <w:t xml:space="preserve"> </w:t>
      </w:r>
      <w:r w:rsidR="00FB3365" w:rsidRPr="0060118E">
        <w:rPr>
          <w:lang w:val="ru-RU"/>
        </w:rPr>
        <w:t>ПК-22 (</w:t>
      </w:r>
      <w:hyperlink r:id="rId10" w:history="1">
        <w:r w:rsidR="00FB3365" w:rsidRPr="0060118E">
          <w:rPr>
            <w:rStyle w:val="Hyperlink"/>
            <w:lang w:val="ru-RU"/>
          </w:rPr>
          <w:t>PP/22-189</w:t>
        </w:r>
      </w:hyperlink>
      <w:r w:rsidR="00FB3365" w:rsidRPr="0060118E">
        <w:rPr>
          <w:lang w:val="ru-RU"/>
        </w:rPr>
        <w:t>), который был утвержден на ш</w:t>
      </w:r>
      <w:r w:rsidR="005F5AD7" w:rsidRPr="0060118E">
        <w:rPr>
          <w:lang w:val="ru-RU"/>
        </w:rPr>
        <w:t xml:space="preserve">естнадцатом пленарном заседании </w:t>
      </w:r>
      <w:r w:rsidR="00FB3365" w:rsidRPr="0060118E">
        <w:rPr>
          <w:lang w:val="ru-RU"/>
        </w:rPr>
        <w:t>ПК-22 (</w:t>
      </w:r>
      <w:hyperlink r:id="rId11" w:history="1">
        <w:r w:rsidR="00FB3365" w:rsidRPr="0060118E">
          <w:rPr>
            <w:rStyle w:val="Hyperlink"/>
            <w:lang w:val="ru-RU"/>
          </w:rPr>
          <w:t>PP-22/206</w:t>
        </w:r>
      </w:hyperlink>
      <w:r w:rsidR="00FB3365" w:rsidRPr="0060118E">
        <w:rPr>
          <w:lang w:val="ru-RU"/>
        </w:rPr>
        <w:t xml:space="preserve">) </w:t>
      </w:r>
      <w:r w:rsidR="005F5AD7" w:rsidRPr="0060118E">
        <w:rPr>
          <w:lang w:val="ru-RU"/>
        </w:rPr>
        <w:t xml:space="preserve">и </w:t>
      </w:r>
      <w:r w:rsidRPr="0060118E">
        <w:rPr>
          <w:lang w:val="ru-RU"/>
        </w:rPr>
        <w:t xml:space="preserve">в </w:t>
      </w:r>
      <w:r w:rsidR="005F5AD7" w:rsidRPr="0060118E">
        <w:rPr>
          <w:lang w:val="ru-RU"/>
        </w:rPr>
        <w:t>котор</w:t>
      </w:r>
      <w:r w:rsidRPr="0060118E">
        <w:rPr>
          <w:lang w:val="ru-RU"/>
        </w:rPr>
        <w:t>ом</w:t>
      </w:r>
      <w:r w:rsidR="005F5AD7" w:rsidRPr="0060118E">
        <w:rPr>
          <w:lang w:val="ru-RU"/>
        </w:rPr>
        <w:t xml:space="preserve"> </w:t>
      </w:r>
      <w:r w:rsidRPr="0060118E">
        <w:rPr>
          <w:lang w:val="ru-RU"/>
        </w:rPr>
        <w:t xml:space="preserve">упоминается </w:t>
      </w:r>
      <w:r w:rsidR="005F5AD7" w:rsidRPr="0060118E">
        <w:rPr>
          <w:lang w:val="ru-RU"/>
        </w:rPr>
        <w:t xml:space="preserve">решение </w:t>
      </w:r>
      <w:r w:rsidR="00FB3365" w:rsidRPr="0060118E">
        <w:rPr>
          <w:lang w:val="ru-RU"/>
        </w:rPr>
        <w:t>ПК</w:t>
      </w:r>
      <w:r w:rsidR="00883502">
        <w:rPr>
          <w:lang w:val="ru-RU"/>
        </w:rPr>
        <w:noBreakHyphen/>
      </w:r>
      <w:r w:rsidR="00FB3365" w:rsidRPr="0060118E">
        <w:rPr>
          <w:lang w:val="ru-RU"/>
        </w:rPr>
        <w:t>18, содержащееся в Протоколе ш</w:t>
      </w:r>
      <w:r w:rsidR="005F5AD7" w:rsidRPr="0060118E">
        <w:rPr>
          <w:lang w:val="ru-RU"/>
        </w:rPr>
        <w:t xml:space="preserve">естнадцатого пленарного заседания </w:t>
      </w:r>
      <w:r w:rsidR="00FB3365" w:rsidRPr="0060118E">
        <w:rPr>
          <w:lang w:val="ru-RU"/>
        </w:rPr>
        <w:t>(</w:t>
      </w:r>
      <w:hyperlink r:id="rId12" w:history="1">
        <w:r w:rsidR="00FB3365" w:rsidRPr="0060118E">
          <w:rPr>
            <w:rStyle w:val="Hyperlink"/>
            <w:lang w:val="ru-RU"/>
          </w:rPr>
          <w:t>PP-18/173</w:t>
        </w:r>
      </w:hyperlink>
      <w:r w:rsidR="00FB3365" w:rsidRPr="0060118E">
        <w:rPr>
          <w:lang w:val="ru-RU"/>
        </w:rPr>
        <w:t>, пункт </w:t>
      </w:r>
      <w:r w:rsidR="005F5AD7" w:rsidRPr="0060118E">
        <w:rPr>
          <w:lang w:val="ru-RU"/>
        </w:rPr>
        <w:t>2.13).</w:t>
      </w:r>
    </w:p>
    <w:p w14:paraId="01E32901" w14:textId="0168B53C" w:rsidR="00FB3365" w:rsidRPr="0060118E" w:rsidRDefault="00BA006F" w:rsidP="00BA006F">
      <w:pPr>
        <w:pStyle w:val="Heading1"/>
        <w:rPr>
          <w:lang w:val="ru-RU"/>
        </w:rPr>
      </w:pPr>
      <w:bookmarkStart w:id="10" w:name="_Hlk133828143"/>
      <w:r w:rsidRPr="0060118E">
        <w:rPr>
          <w:lang w:val="ru-RU"/>
        </w:rPr>
        <w:t>2</w:t>
      </w:r>
      <w:r w:rsidRPr="0060118E">
        <w:rPr>
          <w:lang w:val="ru-RU"/>
        </w:rPr>
        <w:tab/>
      </w:r>
      <w:r w:rsidR="00FB3365" w:rsidRPr="0060118E">
        <w:rPr>
          <w:lang w:val="ru-RU"/>
        </w:rPr>
        <w:t>МоВ, имеющие существенные финансовые и/или стратегические последствия</w:t>
      </w:r>
    </w:p>
    <w:p w14:paraId="727428A3" w14:textId="28FD66A9" w:rsidR="00BA006F" w:rsidRPr="0060118E" w:rsidRDefault="00FB3365" w:rsidP="00BA006F">
      <w:pPr>
        <w:rPr>
          <w:lang w:val="ru-RU"/>
        </w:rPr>
      </w:pPr>
      <w:r w:rsidRPr="0060118E">
        <w:rPr>
          <w:lang w:val="ru-RU"/>
        </w:rPr>
        <w:t>МоВ</w:t>
      </w:r>
      <w:r w:rsidR="00F72DC2" w:rsidRPr="0060118E">
        <w:rPr>
          <w:lang w:val="ru-RU"/>
        </w:rPr>
        <w:t>, в отношении которых необходимо</w:t>
      </w:r>
      <w:r w:rsidRPr="0060118E">
        <w:rPr>
          <w:lang w:val="ru-RU"/>
        </w:rPr>
        <w:t xml:space="preserve"> представл</w:t>
      </w:r>
      <w:r w:rsidR="00F72DC2" w:rsidRPr="0060118E">
        <w:rPr>
          <w:lang w:val="ru-RU"/>
        </w:rPr>
        <w:t xml:space="preserve">ять </w:t>
      </w:r>
      <w:r w:rsidRPr="0060118E">
        <w:rPr>
          <w:lang w:val="ru-RU"/>
        </w:rPr>
        <w:t>отчет</w:t>
      </w:r>
      <w:r w:rsidR="00F72DC2" w:rsidRPr="0060118E">
        <w:rPr>
          <w:lang w:val="ru-RU"/>
        </w:rPr>
        <w:t xml:space="preserve"> </w:t>
      </w:r>
      <w:r w:rsidRPr="0060118E">
        <w:rPr>
          <w:lang w:val="ru-RU"/>
        </w:rPr>
        <w:t>по данной категории</w:t>
      </w:r>
      <w:r w:rsidR="00F72DC2" w:rsidRPr="0060118E">
        <w:rPr>
          <w:lang w:val="ru-RU"/>
        </w:rPr>
        <w:t>,</w:t>
      </w:r>
      <w:r w:rsidRPr="0060118E">
        <w:rPr>
          <w:lang w:val="ru-RU"/>
        </w:rPr>
        <w:t xml:space="preserve"> за 2022 год отсутствуют.</w:t>
      </w:r>
      <w:bookmarkStart w:id="11" w:name="_Hlk133828059"/>
    </w:p>
    <w:p w14:paraId="6D47DB91" w14:textId="6E444AB7" w:rsidR="00BA006F" w:rsidRPr="0060118E" w:rsidRDefault="00BA006F" w:rsidP="00BA006F">
      <w:pPr>
        <w:pStyle w:val="Heading1"/>
        <w:rPr>
          <w:lang w:val="ru-RU"/>
        </w:rPr>
      </w:pPr>
      <w:r w:rsidRPr="0060118E">
        <w:rPr>
          <w:lang w:val="ru-RU"/>
        </w:rPr>
        <w:t>3</w:t>
      </w:r>
      <w:r w:rsidRPr="0060118E">
        <w:rPr>
          <w:lang w:val="ru-RU"/>
        </w:rPr>
        <w:tab/>
      </w:r>
      <w:r w:rsidR="00FB3365" w:rsidRPr="0060118E">
        <w:rPr>
          <w:lang w:val="ru-RU"/>
        </w:rPr>
        <w:t xml:space="preserve">Прочие </w:t>
      </w:r>
      <w:r w:rsidR="0020542F" w:rsidRPr="0060118E">
        <w:rPr>
          <w:lang w:val="ru-RU"/>
        </w:rPr>
        <w:t>МоВ</w:t>
      </w:r>
    </w:p>
    <w:p w14:paraId="7BF90A1D" w14:textId="0D57C4A1" w:rsidR="00FB3365" w:rsidRPr="0060118E" w:rsidRDefault="00FB3365" w:rsidP="00883502">
      <w:pPr>
        <w:spacing w:after="120"/>
        <w:rPr>
          <w:lang w:val="ru-RU"/>
        </w:rPr>
      </w:pPr>
      <w:r w:rsidRPr="0060118E">
        <w:rPr>
          <w:lang w:val="ru-RU"/>
        </w:rPr>
        <w:t xml:space="preserve">Соглашения, заключенные Союзом, являются предметом специальных отчетов либо Секторов, либо Генерального секретариата. См., например, </w:t>
      </w:r>
      <w:hyperlink r:id="rId13">
        <w:r w:rsidR="003123F3" w:rsidRPr="0060118E">
          <w:rPr>
            <w:rStyle w:val="Hyperlink"/>
            <w:lang w:val="ru-RU"/>
          </w:rPr>
          <w:t xml:space="preserve">веб-страницу </w:t>
        </w:r>
        <w:r w:rsidR="000A4A41" w:rsidRPr="0060118E">
          <w:rPr>
            <w:rStyle w:val="Hyperlink"/>
            <w:lang w:val="ru-RU"/>
          </w:rPr>
          <w:t xml:space="preserve">по проектам </w:t>
        </w:r>
        <w:r w:rsidR="00B61D8B" w:rsidRPr="0060118E">
          <w:rPr>
            <w:rStyle w:val="Hyperlink"/>
            <w:lang w:val="ru-RU"/>
          </w:rPr>
          <w:t>МСЭ-</w:t>
        </w:r>
      </w:hyperlink>
      <w:r w:rsidR="00B61D8B" w:rsidRPr="0060118E">
        <w:rPr>
          <w:rStyle w:val="Hyperlink"/>
          <w:lang w:val="ru-RU"/>
        </w:rPr>
        <w:t>D</w:t>
      </w:r>
      <w:r w:rsidR="00F72DC2" w:rsidRPr="0060118E">
        <w:rPr>
          <w:lang w:val="ru-RU"/>
        </w:rPr>
        <w:t>, Д</w:t>
      </w:r>
      <w:r w:rsidRPr="0060118E">
        <w:rPr>
          <w:lang w:val="ru-RU"/>
        </w:rPr>
        <w:t>окумент</w:t>
      </w:r>
      <w:r w:rsidR="00F72DC2" w:rsidRPr="0060118E">
        <w:rPr>
          <w:lang w:val="ru-RU"/>
        </w:rPr>
        <w:t> </w:t>
      </w:r>
      <w:hyperlink r:id="rId14" w:history="1">
        <w:r w:rsidR="00B61D8B" w:rsidRPr="0060118E">
          <w:rPr>
            <w:rStyle w:val="Hyperlink"/>
            <w:lang w:val="ru-RU"/>
          </w:rPr>
          <w:t>TDAG-23/7</w:t>
        </w:r>
      </w:hyperlink>
      <w:r w:rsidR="00B61D8B" w:rsidRPr="0060118E">
        <w:rPr>
          <w:lang w:val="ru-RU"/>
        </w:rPr>
        <w:t xml:space="preserve"> о </w:t>
      </w:r>
      <w:r w:rsidRPr="0060118E">
        <w:rPr>
          <w:lang w:val="ru-RU"/>
        </w:rPr>
        <w:t xml:space="preserve">проектах МСЭ-D, </w:t>
      </w:r>
      <w:hyperlink r:id="rId15">
        <w:r w:rsidR="003123F3" w:rsidRPr="0060118E">
          <w:rPr>
            <w:rStyle w:val="Hyperlink"/>
            <w:lang w:val="ru-RU"/>
          </w:rPr>
          <w:t xml:space="preserve">веб-страницу </w:t>
        </w:r>
        <w:r w:rsidR="000A4A41" w:rsidRPr="0060118E">
          <w:rPr>
            <w:rStyle w:val="Hyperlink"/>
            <w:lang w:val="ru-RU"/>
          </w:rPr>
          <w:t>по п</w:t>
        </w:r>
        <w:r w:rsidR="003123F3" w:rsidRPr="0060118E">
          <w:rPr>
            <w:rStyle w:val="Hyperlink"/>
            <w:lang w:val="ru-RU"/>
          </w:rPr>
          <w:t>артнер</w:t>
        </w:r>
        <w:r w:rsidR="000A4A41" w:rsidRPr="0060118E">
          <w:rPr>
            <w:rStyle w:val="Hyperlink"/>
            <w:lang w:val="ru-RU"/>
          </w:rPr>
          <w:t>ам</w:t>
        </w:r>
        <w:r w:rsidR="003123F3" w:rsidRPr="0060118E">
          <w:rPr>
            <w:rStyle w:val="Hyperlink"/>
            <w:lang w:val="ru-RU"/>
          </w:rPr>
          <w:t xml:space="preserve"> МСЭ-D</w:t>
        </w:r>
      </w:hyperlink>
      <w:r w:rsidR="003123F3" w:rsidRPr="0060118E">
        <w:rPr>
          <w:lang w:val="ru-RU"/>
        </w:rPr>
        <w:t xml:space="preserve"> </w:t>
      </w:r>
      <w:r w:rsidRPr="0060118E">
        <w:rPr>
          <w:lang w:val="ru-RU"/>
        </w:rPr>
        <w:t xml:space="preserve">и </w:t>
      </w:r>
      <w:r w:rsidR="003123F3" w:rsidRPr="0060118E">
        <w:rPr>
          <w:lang w:val="ru-RU"/>
        </w:rPr>
        <w:t xml:space="preserve">Отчет о выполнении Стратегического плана и о деятельности Союза </w:t>
      </w:r>
      <w:r w:rsidRPr="0060118E">
        <w:rPr>
          <w:lang w:val="ru-RU"/>
        </w:rPr>
        <w:t xml:space="preserve">(Документ </w:t>
      </w:r>
      <w:hyperlink r:id="rId16" w:history="1">
        <w:r w:rsidR="003123F3" w:rsidRPr="0060118E">
          <w:rPr>
            <w:rStyle w:val="Hyperlink"/>
            <w:lang w:val="ru-RU"/>
          </w:rPr>
          <w:t>C23/54</w:t>
        </w:r>
      </w:hyperlink>
      <w:r w:rsidRPr="0060118E">
        <w:rPr>
          <w:lang w:val="ru-RU"/>
        </w:rPr>
        <w:t>). Хотя об упомянутых ниже МоВ уже сообщалось ранее (см.</w:t>
      </w:r>
      <w:r w:rsidR="003123F3" w:rsidRPr="0060118E">
        <w:rPr>
          <w:lang w:val="ru-RU"/>
        </w:rPr>
        <w:t xml:space="preserve"> Документ </w:t>
      </w:r>
      <w:hyperlink r:id="rId17">
        <w:r w:rsidR="003123F3" w:rsidRPr="0060118E">
          <w:rPr>
            <w:rStyle w:val="Hyperlink"/>
            <w:lang w:val="ru-RU"/>
          </w:rPr>
          <w:t>TDAG-23/14</w:t>
        </w:r>
      </w:hyperlink>
      <w:r w:rsidR="003123F3" w:rsidRPr="0060118E">
        <w:rPr>
          <w:lang w:val="ru-RU"/>
        </w:rPr>
        <w:t xml:space="preserve"> о</w:t>
      </w:r>
      <w:r w:rsidRPr="0060118E">
        <w:rPr>
          <w:lang w:val="ru-RU"/>
        </w:rPr>
        <w:t xml:space="preserve"> специальных инициативах МСЭ-D, </w:t>
      </w:r>
      <w:r w:rsidR="003123F3" w:rsidRPr="0060118E">
        <w:rPr>
          <w:lang w:val="ru-RU"/>
        </w:rPr>
        <w:t>Документ </w:t>
      </w:r>
      <w:hyperlink r:id="rId18">
        <w:r w:rsidR="003123F3" w:rsidRPr="0060118E">
          <w:rPr>
            <w:rStyle w:val="Hyperlink"/>
            <w:lang w:val="ru-RU"/>
          </w:rPr>
          <w:t>TDAG-23/INF/1</w:t>
        </w:r>
      </w:hyperlink>
      <w:r w:rsidR="003123F3" w:rsidRPr="0060118E">
        <w:rPr>
          <w:lang w:val="ru-RU"/>
        </w:rPr>
        <w:t xml:space="preserve"> о</w:t>
      </w:r>
      <w:r w:rsidR="00D57142" w:rsidRPr="0060118E">
        <w:rPr>
          <w:lang w:val="ru-RU"/>
        </w:rPr>
        <w:t xml:space="preserve"> партнерских отношениях</w:t>
      </w:r>
      <w:r w:rsidRPr="0060118E">
        <w:rPr>
          <w:lang w:val="ru-RU"/>
        </w:rPr>
        <w:t xml:space="preserve"> и </w:t>
      </w:r>
      <w:r w:rsidR="00D57142" w:rsidRPr="0060118E">
        <w:rPr>
          <w:lang w:val="ru-RU"/>
        </w:rPr>
        <w:t xml:space="preserve">веб-страницу </w:t>
      </w:r>
      <w:hyperlink r:id="rId19">
        <w:r w:rsidR="00D57142" w:rsidRPr="0060118E">
          <w:rPr>
            <w:rStyle w:val="Hyperlink"/>
            <w:lang w:val="ru-RU"/>
          </w:rPr>
          <w:t>Меморандумы о взаимопонимании и соглашения о сотрудничестве МСЭ-T</w:t>
        </w:r>
      </w:hyperlink>
      <w:r w:rsidR="00D57142" w:rsidRPr="0060118E">
        <w:rPr>
          <w:lang w:val="ru-RU"/>
        </w:rPr>
        <w:t>)</w:t>
      </w:r>
      <w:r w:rsidRPr="0060118E">
        <w:rPr>
          <w:lang w:val="ru-RU"/>
        </w:rPr>
        <w:t xml:space="preserve">, Генеральный секретарь считает, что они имеют стратегическое значение для Союза. Следовательно, было сочтено целесообразным </w:t>
      </w:r>
      <w:r w:rsidR="00F72DC2" w:rsidRPr="0060118E">
        <w:rPr>
          <w:lang w:val="ru-RU"/>
        </w:rPr>
        <w:t>донести</w:t>
      </w:r>
      <w:r w:rsidRPr="0060118E">
        <w:rPr>
          <w:lang w:val="ru-RU"/>
        </w:rPr>
        <w:t xml:space="preserve"> </w:t>
      </w:r>
      <w:r w:rsidR="00F72DC2" w:rsidRPr="0060118E">
        <w:rPr>
          <w:lang w:val="ru-RU"/>
        </w:rPr>
        <w:t>информацию об этих МоВ до сведения</w:t>
      </w:r>
      <w:r w:rsidRPr="0060118E">
        <w:rPr>
          <w:lang w:val="ru-RU"/>
        </w:rPr>
        <w:t xml:space="preserve"> </w:t>
      </w:r>
      <w:r w:rsidR="00F72DC2" w:rsidRPr="0060118E">
        <w:rPr>
          <w:lang w:val="ru-RU"/>
        </w:rPr>
        <w:t>Совета</w:t>
      </w:r>
      <w:r w:rsidRPr="0060118E">
        <w:rPr>
          <w:lang w:val="ru-RU"/>
        </w:rPr>
        <w:t>.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263"/>
        <w:gridCol w:w="1372"/>
        <w:gridCol w:w="3464"/>
        <w:gridCol w:w="1973"/>
      </w:tblGrid>
      <w:tr w:rsidR="00BA006F" w:rsidRPr="0060118E" w14:paraId="7B23E44B" w14:textId="77777777" w:rsidTr="003941A2">
        <w:trPr>
          <w:trHeight w:val="60"/>
        </w:trPr>
        <w:tc>
          <w:tcPr>
            <w:tcW w:w="2263" w:type="dxa"/>
            <w:noWrap/>
          </w:tcPr>
          <w:bookmarkEnd w:id="10"/>
          <w:bookmarkEnd w:id="11"/>
          <w:p w14:paraId="66393C76" w14:textId="3BD0A079" w:rsidR="00BA006F" w:rsidRPr="0060118E" w:rsidRDefault="00D57142" w:rsidP="00D57142">
            <w:pPr>
              <w:pStyle w:val="Tablehead"/>
              <w:rPr>
                <w:lang w:val="ru-RU"/>
              </w:rPr>
            </w:pPr>
            <w:r w:rsidRPr="0060118E">
              <w:rPr>
                <w:lang w:val="ru-RU"/>
              </w:rPr>
              <w:t>Сторона соглашения</w:t>
            </w:r>
          </w:p>
        </w:tc>
        <w:tc>
          <w:tcPr>
            <w:tcW w:w="1389" w:type="dxa"/>
          </w:tcPr>
          <w:p w14:paraId="3CD163EB" w14:textId="7F9F93E1" w:rsidR="00BA006F" w:rsidRPr="0060118E" w:rsidRDefault="00BA006F" w:rsidP="00BA006F">
            <w:pPr>
              <w:pStyle w:val="Tablehead"/>
              <w:rPr>
                <w:lang w:val="ru-RU"/>
              </w:rPr>
            </w:pPr>
            <w:r w:rsidRPr="0060118E">
              <w:rPr>
                <w:lang w:val="ru-RU"/>
              </w:rPr>
              <w:t>Страна</w:t>
            </w:r>
          </w:p>
        </w:tc>
        <w:tc>
          <w:tcPr>
            <w:tcW w:w="3661" w:type="dxa"/>
          </w:tcPr>
          <w:p w14:paraId="47F2FB2C" w14:textId="52F3A2B8" w:rsidR="00BA006F" w:rsidRPr="0060118E" w:rsidRDefault="00D57142" w:rsidP="00D57142">
            <w:pPr>
              <w:pStyle w:val="Tablehead"/>
              <w:rPr>
                <w:lang w:val="ru-RU"/>
              </w:rPr>
            </w:pPr>
            <w:r w:rsidRPr="0060118E">
              <w:rPr>
                <w:lang w:val="ru-RU"/>
              </w:rPr>
              <w:t>Предмет</w:t>
            </w:r>
            <w:r w:rsidR="00BA006F" w:rsidRPr="0060118E">
              <w:rPr>
                <w:lang w:val="ru-RU"/>
              </w:rPr>
              <w:t>/</w:t>
            </w:r>
            <w:r w:rsidR="003941A2">
              <w:rPr>
                <w:lang w:val="ru-RU"/>
              </w:rPr>
              <w:br/>
            </w:r>
            <w:r w:rsidRPr="0060118E">
              <w:rPr>
                <w:lang w:val="ru-RU"/>
              </w:rPr>
              <w:t>наименование соглашения</w:t>
            </w:r>
          </w:p>
        </w:tc>
        <w:tc>
          <w:tcPr>
            <w:tcW w:w="2038" w:type="dxa"/>
          </w:tcPr>
          <w:p w14:paraId="4F9AA7CB" w14:textId="67B66015" w:rsidR="00BA006F" w:rsidRPr="0060118E" w:rsidRDefault="00BA006F" w:rsidP="00BA006F">
            <w:pPr>
              <w:pStyle w:val="Tablehead"/>
              <w:rPr>
                <w:lang w:val="ru-RU"/>
              </w:rPr>
            </w:pPr>
            <w:r w:rsidRPr="0060118E">
              <w:rPr>
                <w:lang w:val="ru-RU"/>
              </w:rPr>
              <w:t>Сектор/</w:t>
            </w:r>
            <w:r w:rsidR="003941A2">
              <w:rPr>
                <w:lang w:val="ru-RU"/>
              </w:rPr>
              <w:br/>
            </w:r>
            <w:r w:rsidRPr="0060118E">
              <w:rPr>
                <w:lang w:val="ru-RU"/>
              </w:rPr>
              <w:t>департамент</w:t>
            </w:r>
          </w:p>
        </w:tc>
      </w:tr>
      <w:tr w:rsidR="00BA006F" w:rsidRPr="0060118E" w14:paraId="03599BA0" w14:textId="77777777" w:rsidTr="003941A2">
        <w:trPr>
          <w:trHeight w:val="73"/>
        </w:trPr>
        <w:tc>
          <w:tcPr>
            <w:tcW w:w="2263" w:type="dxa"/>
            <w:noWrap/>
            <w:hideMark/>
          </w:tcPr>
          <w:p w14:paraId="2AFA1160" w14:textId="16A1136E" w:rsidR="00BA006F" w:rsidRPr="0060118E" w:rsidRDefault="00D57142" w:rsidP="00883502">
            <w:pPr>
              <w:pStyle w:val="Tabletext"/>
              <w:rPr>
                <w:lang w:val="ru-RU"/>
              </w:rPr>
            </w:pPr>
            <w:r w:rsidRPr="0060118E">
              <w:rPr>
                <w:lang w:val="ru-RU"/>
              </w:rPr>
              <w:t>Федеральный департамент иностранных дел</w:t>
            </w:r>
          </w:p>
        </w:tc>
        <w:tc>
          <w:tcPr>
            <w:tcW w:w="1389" w:type="dxa"/>
          </w:tcPr>
          <w:p w14:paraId="56795ABA" w14:textId="4CCBEC39" w:rsidR="00BA006F" w:rsidRPr="0060118E" w:rsidRDefault="00BA006F" w:rsidP="00883502">
            <w:pPr>
              <w:pStyle w:val="Tabletext"/>
              <w:rPr>
                <w:lang w:val="ru-RU"/>
              </w:rPr>
            </w:pPr>
            <w:r w:rsidRPr="0060118E">
              <w:rPr>
                <w:lang w:val="ru-RU"/>
              </w:rPr>
              <w:t>Швейцария</w:t>
            </w:r>
          </w:p>
        </w:tc>
        <w:tc>
          <w:tcPr>
            <w:tcW w:w="3661" w:type="dxa"/>
          </w:tcPr>
          <w:p w14:paraId="089A7D05" w14:textId="15618AF5" w:rsidR="00BA006F" w:rsidRPr="0060118E" w:rsidRDefault="007D3745" w:rsidP="00883502">
            <w:pPr>
              <w:pStyle w:val="Tabletext"/>
              <w:rPr>
                <w:lang w:val="ru-RU"/>
              </w:rPr>
            </w:pPr>
            <w:hyperlink r:id="rId20" w:history="1">
              <w:r w:rsidR="00B16277" w:rsidRPr="0060118E">
                <w:rPr>
                  <w:rStyle w:val="Hyperlink"/>
                  <w:lang w:val="ru-RU"/>
                </w:rPr>
                <w:t xml:space="preserve">Инициатива Giga </w:t>
              </w:r>
              <w:r w:rsidR="00BA006F" w:rsidRPr="0060118E">
                <w:rPr>
                  <w:rStyle w:val="Hyperlink"/>
                  <w:lang w:val="ru-RU"/>
                </w:rPr>
                <w:t xml:space="preserve">− </w:t>
              </w:r>
              <w:r w:rsidR="00B16277" w:rsidRPr="0060118E">
                <w:rPr>
                  <w:rStyle w:val="Hyperlink"/>
                  <w:lang w:val="ru-RU"/>
                </w:rPr>
                <w:t>Создание глобального секретариата в Женеве</w:t>
              </w:r>
            </w:hyperlink>
          </w:p>
        </w:tc>
        <w:tc>
          <w:tcPr>
            <w:tcW w:w="2038" w:type="dxa"/>
          </w:tcPr>
          <w:p w14:paraId="29BAEE6D" w14:textId="1A190F6A" w:rsidR="00BA006F" w:rsidRPr="0060118E" w:rsidRDefault="00BA006F" w:rsidP="00883502">
            <w:pPr>
              <w:pStyle w:val="Tabletext"/>
              <w:rPr>
                <w:lang w:val="ru-RU"/>
              </w:rPr>
            </w:pPr>
            <w:r w:rsidRPr="0060118E">
              <w:rPr>
                <w:lang w:val="ru-RU"/>
              </w:rPr>
              <w:t>ГС/БРЭ</w:t>
            </w:r>
          </w:p>
        </w:tc>
      </w:tr>
      <w:tr w:rsidR="00BA006F" w:rsidRPr="0060118E" w14:paraId="22A420F3" w14:textId="77777777" w:rsidTr="003941A2">
        <w:trPr>
          <w:trHeight w:val="300"/>
        </w:trPr>
        <w:tc>
          <w:tcPr>
            <w:tcW w:w="2263" w:type="dxa"/>
            <w:noWrap/>
            <w:hideMark/>
          </w:tcPr>
          <w:p w14:paraId="1FB3FC4E" w14:textId="13683B25" w:rsidR="00BA006F" w:rsidRPr="0060118E" w:rsidRDefault="00B16277" w:rsidP="00883502">
            <w:pPr>
              <w:pStyle w:val="Tabletext"/>
              <w:rPr>
                <w:lang w:val="ru-RU"/>
              </w:rPr>
            </w:pPr>
            <w:r w:rsidRPr="0060118E">
              <w:rPr>
                <w:lang w:val="ru-RU"/>
              </w:rPr>
              <w:t>ЕТСИ</w:t>
            </w:r>
          </w:p>
        </w:tc>
        <w:tc>
          <w:tcPr>
            <w:tcW w:w="1389" w:type="dxa"/>
          </w:tcPr>
          <w:p w14:paraId="56E2F222" w14:textId="61D8F45D" w:rsidR="00B16277" w:rsidRPr="0060118E" w:rsidRDefault="00BA006F" w:rsidP="00883502">
            <w:pPr>
              <w:pStyle w:val="Tabletext"/>
              <w:rPr>
                <w:lang w:val="ru-RU"/>
              </w:rPr>
            </w:pPr>
            <w:r w:rsidRPr="0060118E">
              <w:rPr>
                <w:lang w:val="ru-RU"/>
              </w:rPr>
              <w:t>Франция</w:t>
            </w:r>
          </w:p>
        </w:tc>
        <w:tc>
          <w:tcPr>
            <w:tcW w:w="3661" w:type="dxa"/>
          </w:tcPr>
          <w:p w14:paraId="5B6FEC39" w14:textId="377E1C89" w:rsidR="00BA006F" w:rsidRPr="0060118E" w:rsidRDefault="007D3745" w:rsidP="00883502">
            <w:pPr>
              <w:pStyle w:val="Tabletext"/>
              <w:rPr>
                <w:lang w:val="ru-RU"/>
              </w:rPr>
            </w:pPr>
            <w:hyperlink r:id="rId21" w:history="1">
              <w:r w:rsidR="00B16277" w:rsidRPr="0060118E">
                <w:rPr>
                  <w:rStyle w:val="Hyperlink"/>
                  <w:lang w:val="ru-RU"/>
                </w:rPr>
                <w:t>МоВ с ЕТСИ − Расширение сотрудничества и обмена информацией в области деятельности по технической стандартизации</w:t>
              </w:r>
            </w:hyperlink>
          </w:p>
        </w:tc>
        <w:tc>
          <w:tcPr>
            <w:tcW w:w="2038" w:type="dxa"/>
          </w:tcPr>
          <w:p w14:paraId="6FC639CB" w14:textId="3F5B5C09" w:rsidR="00BA006F" w:rsidRPr="0060118E" w:rsidRDefault="00BA006F" w:rsidP="00883502">
            <w:pPr>
              <w:pStyle w:val="Tabletext"/>
              <w:rPr>
                <w:lang w:val="ru-RU"/>
              </w:rPr>
            </w:pPr>
            <w:r w:rsidRPr="0060118E">
              <w:rPr>
                <w:lang w:val="ru-RU"/>
              </w:rPr>
              <w:t>БСЭ/БР</w:t>
            </w:r>
          </w:p>
        </w:tc>
      </w:tr>
    </w:tbl>
    <w:p w14:paraId="3AB3B2B9" w14:textId="56EE43B4" w:rsidR="00AE6F81" w:rsidRPr="0060118E" w:rsidRDefault="00BA006F" w:rsidP="00BA006F">
      <w:pPr>
        <w:pStyle w:val="Heading1"/>
        <w:rPr>
          <w:lang w:val="ru-RU"/>
        </w:rPr>
      </w:pPr>
      <w:r w:rsidRPr="0060118E">
        <w:rPr>
          <w:lang w:val="ru-RU"/>
        </w:rPr>
        <w:t>4</w:t>
      </w:r>
      <w:r w:rsidRPr="0060118E">
        <w:rPr>
          <w:lang w:val="ru-RU"/>
        </w:rPr>
        <w:tab/>
      </w:r>
      <w:r w:rsidR="00AE6F81" w:rsidRPr="0060118E">
        <w:rPr>
          <w:lang w:val="ru-RU"/>
        </w:rPr>
        <w:t>Информационная панель с информацией о ранее заключенных МоВ</w:t>
      </w:r>
    </w:p>
    <w:p w14:paraId="37AF223D" w14:textId="6603A9FF" w:rsidR="00BA006F" w:rsidRPr="0060118E" w:rsidRDefault="00AE6F81" w:rsidP="00BA006F">
      <w:pPr>
        <w:rPr>
          <w:lang w:val="ru-RU"/>
        </w:rPr>
      </w:pPr>
      <w:r w:rsidRPr="0060118E">
        <w:rPr>
          <w:lang w:val="ru-RU"/>
        </w:rPr>
        <w:t>С новой информационной панелью, содержащей</w:t>
      </w:r>
      <w:r w:rsidR="0091162A" w:rsidRPr="0060118E">
        <w:rPr>
          <w:lang w:val="ru-RU"/>
        </w:rPr>
        <w:t xml:space="preserve"> подробные данные </w:t>
      </w:r>
      <w:r w:rsidRPr="0060118E">
        <w:rPr>
          <w:lang w:val="ru-RU"/>
        </w:rPr>
        <w:t xml:space="preserve">о </w:t>
      </w:r>
      <w:r w:rsidR="0091162A" w:rsidRPr="0060118E">
        <w:rPr>
          <w:lang w:val="ru-RU"/>
        </w:rPr>
        <w:t>реализации</w:t>
      </w:r>
      <w:r w:rsidRPr="0060118E">
        <w:rPr>
          <w:lang w:val="ru-RU"/>
        </w:rPr>
        <w:t xml:space="preserve"> МоВ, </w:t>
      </w:r>
      <w:r w:rsidR="00F72DC2" w:rsidRPr="0060118E">
        <w:rPr>
          <w:lang w:val="ru-RU"/>
        </w:rPr>
        <w:t>информация о которых была</w:t>
      </w:r>
      <w:r w:rsidRPr="0060118E">
        <w:rPr>
          <w:lang w:val="ru-RU"/>
        </w:rPr>
        <w:t xml:space="preserve"> дов</w:t>
      </w:r>
      <w:r w:rsidR="00F72DC2" w:rsidRPr="0060118E">
        <w:rPr>
          <w:lang w:val="ru-RU"/>
        </w:rPr>
        <w:t>едена</w:t>
      </w:r>
      <w:r w:rsidRPr="0060118E">
        <w:rPr>
          <w:lang w:val="ru-RU"/>
        </w:rPr>
        <w:t xml:space="preserve"> до сведения Совета в период 2008</w:t>
      </w:r>
      <w:r w:rsidR="000A4A41" w:rsidRPr="0060118E">
        <w:rPr>
          <w:lang w:val="ru-RU"/>
        </w:rPr>
        <w:t>–</w:t>
      </w:r>
      <w:r w:rsidRPr="0060118E">
        <w:rPr>
          <w:lang w:val="ru-RU"/>
        </w:rPr>
        <w:t>2021 г</w:t>
      </w:r>
      <w:r w:rsidR="000A4A41" w:rsidRPr="0060118E">
        <w:rPr>
          <w:lang w:val="ru-RU"/>
        </w:rPr>
        <w:t>одов</w:t>
      </w:r>
      <w:r w:rsidRPr="0060118E">
        <w:rPr>
          <w:lang w:val="ru-RU"/>
        </w:rPr>
        <w:t>, можно ознакомиться по нижеследующей ссылке:</w:t>
      </w:r>
      <w:r w:rsidR="0020542F" w:rsidRPr="0060118E">
        <w:rPr>
          <w:lang w:val="ru-RU"/>
        </w:rPr>
        <w:br/>
      </w:r>
      <w:hyperlink r:id="rId22" w:history="1">
        <w:r w:rsidR="00BA006F" w:rsidRPr="0060118E">
          <w:rPr>
            <w:rStyle w:val="Hyperlink"/>
            <w:lang w:val="ru-RU"/>
          </w:rPr>
          <w:t>https://www.itu.int/en/council/ties/Documents/2023/MoUs/dashboard-MoUs-2008-2021.docx</w:t>
        </w:r>
      </w:hyperlink>
      <w:r w:rsidR="00BA006F" w:rsidRPr="0060118E">
        <w:rPr>
          <w:lang w:val="ru-RU"/>
        </w:rPr>
        <w:t>.</w:t>
      </w:r>
    </w:p>
    <w:p w14:paraId="15D9DD96" w14:textId="77777777" w:rsidR="00BA006F" w:rsidRPr="0060118E" w:rsidRDefault="00BA006F" w:rsidP="004F6D3D">
      <w:pPr>
        <w:spacing w:before="240"/>
        <w:jc w:val="center"/>
        <w:rPr>
          <w:lang w:val="ru-RU"/>
        </w:rPr>
      </w:pPr>
      <w:r w:rsidRPr="0060118E">
        <w:rPr>
          <w:lang w:val="ru-RU"/>
        </w:rPr>
        <w:t>______________</w:t>
      </w:r>
    </w:p>
    <w:sectPr w:rsidR="00BA006F" w:rsidRPr="0060118E" w:rsidSect="00796BD3">
      <w:footerReference w:type="default" r:id="rId23"/>
      <w:headerReference w:type="first" r:id="rId24"/>
      <w:footerReference w:type="first" r:id="rId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D6BD" w14:textId="77777777" w:rsidR="0026242B" w:rsidRDefault="0026242B">
      <w:r>
        <w:separator/>
      </w:r>
    </w:p>
  </w:endnote>
  <w:endnote w:type="continuationSeparator" w:id="0">
    <w:p w14:paraId="4A012ED9" w14:textId="77777777" w:rsidR="0026242B" w:rsidRDefault="0026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7DB48FFA" w:rsidR="00672F8A" w:rsidRPr="00BA006F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1648B6">
            <w:rPr>
              <w:noProof/>
            </w:rPr>
            <w:t>52</w:t>
          </w:r>
          <w:r w:rsidR="005039F9">
            <w:rPr>
              <w:noProof/>
            </w:rPr>
            <w:t>1</w:t>
          </w:r>
          <w:r w:rsidR="00BA006F">
            <w:rPr>
              <w:noProof/>
              <w:lang w:val="ru-RU"/>
            </w:rPr>
            <w:t>079</w:t>
          </w:r>
        </w:p>
      </w:tc>
      <w:tc>
        <w:tcPr>
          <w:tcW w:w="8261" w:type="dxa"/>
        </w:tcPr>
        <w:p w14:paraId="66D4967C" w14:textId="4F750698" w:rsidR="00672F8A" w:rsidRPr="00E06FD5" w:rsidRDefault="00672F8A" w:rsidP="0060118E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039F9">
            <w:rPr>
              <w:bCs/>
            </w:rPr>
            <w:t>4</w:t>
          </w:r>
          <w:r w:rsidR="00BA006F">
            <w:rPr>
              <w:bCs/>
              <w:lang w:val="ru-RU"/>
            </w:rPr>
            <w:t>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1162A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7D3745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4B657C94" w:rsidR="00672F8A" w:rsidRPr="00E06FD5" w:rsidRDefault="00672F8A" w:rsidP="0060118E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039F9">
            <w:rPr>
              <w:bCs/>
              <w:lang w:val="en-US"/>
            </w:rPr>
            <w:t>4</w:t>
          </w:r>
          <w:r w:rsidR="00BA006F">
            <w:rPr>
              <w:bCs/>
              <w:lang w:val="ru-RU"/>
            </w:rPr>
            <w:t>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1162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5DE1" w14:textId="77777777" w:rsidR="0026242B" w:rsidRDefault="0026242B">
      <w:r>
        <w:t>____________________</w:t>
      </w:r>
    </w:p>
  </w:footnote>
  <w:footnote w:type="continuationSeparator" w:id="0">
    <w:p w14:paraId="108FA1DD" w14:textId="77777777" w:rsidR="0026242B" w:rsidRDefault="0026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  <w:lang w:val="ru-RU" w:eastAsia="ru-RU"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2"/>
  <w:p w14:paraId="27EDD1C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35AF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997B80"/>
    <w:multiLevelType w:val="hybridMultilevel"/>
    <w:tmpl w:val="B3D69926"/>
    <w:lvl w:ilvl="0" w:tplc="AF2A8B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C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E4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49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4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E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ED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CA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69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3300"/>
    <w:multiLevelType w:val="hybridMultilevel"/>
    <w:tmpl w:val="67383494"/>
    <w:lvl w:ilvl="0" w:tplc="59AEF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6B52E" w:tentative="1">
      <w:start w:val="1"/>
      <w:numFmt w:val="lowerLetter"/>
      <w:lvlText w:val="%2."/>
      <w:lvlJc w:val="left"/>
      <w:pPr>
        <w:ind w:left="1080" w:hanging="360"/>
      </w:pPr>
    </w:lvl>
    <w:lvl w:ilvl="2" w:tplc="53D0BF02" w:tentative="1">
      <w:start w:val="1"/>
      <w:numFmt w:val="lowerRoman"/>
      <w:lvlText w:val="%3."/>
      <w:lvlJc w:val="right"/>
      <w:pPr>
        <w:ind w:left="1800" w:hanging="180"/>
      </w:pPr>
    </w:lvl>
    <w:lvl w:ilvl="3" w:tplc="43FA3B46" w:tentative="1">
      <w:start w:val="1"/>
      <w:numFmt w:val="decimal"/>
      <w:lvlText w:val="%4."/>
      <w:lvlJc w:val="left"/>
      <w:pPr>
        <w:ind w:left="2520" w:hanging="360"/>
      </w:pPr>
    </w:lvl>
    <w:lvl w:ilvl="4" w:tplc="377CE9CA" w:tentative="1">
      <w:start w:val="1"/>
      <w:numFmt w:val="lowerLetter"/>
      <w:lvlText w:val="%5."/>
      <w:lvlJc w:val="left"/>
      <w:pPr>
        <w:ind w:left="3240" w:hanging="360"/>
      </w:pPr>
    </w:lvl>
    <w:lvl w:ilvl="5" w:tplc="857C708A" w:tentative="1">
      <w:start w:val="1"/>
      <w:numFmt w:val="lowerRoman"/>
      <w:lvlText w:val="%6."/>
      <w:lvlJc w:val="right"/>
      <w:pPr>
        <w:ind w:left="3960" w:hanging="180"/>
      </w:pPr>
    </w:lvl>
    <w:lvl w:ilvl="6" w:tplc="0152FFFA" w:tentative="1">
      <w:start w:val="1"/>
      <w:numFmt w:val="decimal"/>
      <w:lvlText w:val="%7."/>
      <w:lvlJc w:val="left"/>
      <w:pPr>
        <w:ind w:left="4680" w:hanging="360"/>
      </w:pPr>
    </w:lvl>
    <w:lvl w:ilvl="7" w:tplc="DFD458B0" w:tentative="1">
      <w:start w:val="1"/>
      <w:numFmt w:val="lowerLetter"/>
      <w:lvlText w:val="%8."/>
      <w:lvlJc w:val="left"/>
      <w:pPr>
        <w:ind w:left="5400" w:hanging="360"/>
      </w:pPr>
    </w:lvl>
    <w:lvl w:ilvl="8" w:tplc="C0CE0F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2F6974"/>
    <w:multiLevelType w:val="hybridMultilevel"/>
    <w:tmpl w:val="1212C15E"/>
    <w:lvl w:ilvl="0" w:tplc="15AE35E6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853584">
    <w:abstractNumId w:val="0"/>
  </w:num>
  <w:num w:numId="2" w16cid:durableId="1819803973">
    <w:abstractNumId w:val="2"/>
  </w:num>
  <w:num w:numId="3" w16cid:durableId="1442610883">
    <w:abstractNumId w:val="1"/>
  </w:num>
  <w:num w:numId="4" w16cid:durableId="1726639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2183E"/>
    <w:rsid w:val="00046B40"/>
    <w:rsid w:val="000569B4"/>
    <w:rsid w:val="000579E3"/>
    <w:rsid w:val="00063BA9"/>
    <w:rsid w:val="00080E82"/>
    <w:rsid w:val="000A0DD4"/>
    <w:rsid w:val="000A4A41"/>
    <w:rsid w:val="000A63DE"/>
    <w:rsid w:val="000B0247"/>
    <w:rsid w:val="000B2DE7"/>
    <w:rsid w:val="000C75EB"/>
    <w:rsid w:val="000D2148"/>
    <w:rsid w:val="000E568E"/>
    <w:rsid w:val="000E6E6F"/>
    <w:rsid w:val="0014734F"/>
    <w:rsid w:val="00156FF3"/>
    <w:rsid w:val="0015710D"/>
    <w:rsid w:val="00163A32"/>
    <w:rsid w:val="001648B6"/>
    <w:rsid w:val="00165D06"/>
    <w:rsid w:val="00192B41"/>
    <w:rsid w:val="001A6130"/>
    <w:rsid w:val="001B7B09"/>
    <w:rsid w:val="001E1DF0"/>
    <w:rsid w:val="001E6719"/>
    <w:rsid w:val="001E7F50"/>
    <w:rsid w:val="0020542F"/>
    <w:rsid w:val="00225368"/>
    <w:rsid w:val="00227FF0"/>
    <w:rsid w:val="0026242B"/>
    <w:rsid w:val="00291EB6"/>
    <w:rsid w:val="002C525C"/>
    <w:rsid w:val="002D2F57"/>
    <w:rsid w:val="002D48C5"/>
    <w:rsid w:val="002E5B64"/>
    <w:rsid w:val="0030351A"/>
    <w:rsid w:val="003123F3"/>
    <w:rsid w:val="0033025A"/>
    <w:rsid w:val="00364EF8"/>
    <w:rsid w:val="00371F31"/>
    <w:rsid w:val="0037378C"/>
    <w:rsid w:val="00375C6C"/>
    <w:rsid w:val="003941A2"/>
    <w:rsid w:val="003E198F"/>
    <w:rsid w:val="003F099E"/>
    <w:rsid w:val="003F235E"/>
    <w:rsid w:val="004023E0"/>
    <w:rsid w:val="00403DD8"/>
    <w:rsid w:val="00434B1D"/>
    <w:rsid w:val="00442515"/>
    <w:rsid w:val="0045686C"/>
    <w:rsid w:val="004918C4"/>
    <w:rsid w:val="00497703"/>
    <w:rsid w:val="004A0374"/>
    <w:rsid w:val="004A45B5"/>
    <w:rsid w:val="004D0129"/>
    <w:rsid w:val="004F6D3D"/>
    <w:rsid w:val="00502BEB"/>
    <w:rsid w:val="005039F9"/>
    <w:rsid w:val="00535D60"/>
    <w:rsid w:val="00540B41"/>
    <w:rsid w:val="00542FF5"/>
    <w:rsid w:val="00547419"/>
    <w:rsid w:val="00566BEE"/>
    <w:rsid w:val="00594285"/>
    <w:rsid w:val="005951AB"/>
    <w:rsid w:val="005A64D5"/>
    <w:rsid w:val="005B00E0"/>
    <w:rsid w:val="005B3DEC"/>
    <w:rsid w:val="005F08EC"/>
    <w:rsid w:val="005F5AD7"/>
    <w:rsid w:val="0060118E"/>
    <w:rsid w:val="00601994"/>
    <w:rsid w:val="00645C08"/>
    <w:rsid w:val="006664A6"/>
    <w:rsid w:val="00672F8A"/>
    <w:rsid w:val="006E2D42"/>
    <w:rsid w:val="00703676"/>
    <w:rsid w:val="00707304"/>
    <w:rsid w:val="00732269"/>
    <w:rsid w:val="00752824"/>
    <w:rsid w:val="00756DEC"/>
    <w:rsid w:val="00760596"/>
    <w:rsid w:val="00762151"/>
    <w:rsid w:val="00763CEA"/>
    <w:rsid w:val="00785ABD"/>
    <w:rsid w:val="00796BD3"/>
    <w:rsid w:val="007A2DD4"/>
    <w:rsid w:val="007D0A87"/>
    <w:rsid w:val="007D3745"/>
    <w:rsid w:val="007D38B5"/>
    <w:rsid w:val="007E7EA0"/>
    <w:rsid w:val="00807255"/>
    <w:rsid w:val="0081023E"/>
    <w:rsid w:val="008173AA"/>
    <w:rsid w:val="008305DD"/>
    <w:rsid w:val="00840A14"/>
    <w:rsid w:val="00846567"/>
    <w:rsid w:val="0087664B"/>
    <w:rsid w:val="00883502"/>
    <w:rsid w:val="008B258B"/>
    <w:rsid w:val="008B62B4"/>
    <w:rsid w:val="008C4D9C"/>
    <w:rsid w:val="008D2D7B"/>
    <w:rsid w:val="008E0737"/>
    <w:rsid w:val="008F78AA"/>
    <w:rsid w:val="008F7C2C"/>
    <w:rsid w:val="009038B1"/>
    <w:rsid w:val="0091162A"/>
    <w:rsid w:val="00940E96"/>
    <w:rsid w:val="0099131E"/>
    <w:rsid w:val="009B0BAE"/>
    <w:rsid w:val="009C1C89"/>
    <w:rsid w:val="009F3448"/>
    <w:rsid w:val="009F5ACE"/>
    <w:rsid w:val="00A01CF9"/>
    <w:rsid w:val="00A71773"/>
    <w:rsid w:val="00AE2C85"/>
    <w:rsid w:val="00AE6F81"/>
    <w:rsid w:val="00B12A37"/>
    <w:rsid w:val="00B16277"/>
    <w:rsid w:val="00B41837"/>
    <w:rsid w:val="00B61D8B"/>
    <w:rsid w:val="00B63EF2"/>
    <w:rsid w:val="00BA006F"/>
    <w:rsid w:val="00BA7D89"/>
    <w:rsid w:val="00BB504F"/>
    <w:rsid w:val="00BC0D39"/>
    <w:rsid w:val="00BC7BC0"/>
    <w:rsid w:val="00BD57B7"/>
    <w:rsid w:val="00BE63E2"/>
    <w:rsid w:val="00BF2001"/>
    <w:rsid w:val="00C07779"/>
    <w:rsid w:val="00C6384C"/>
    <w:rsid w:val="00C71B8F"/>
    <w:rsid w:val="00C73621"/>
    <w:rsid w:val="00CD2009"/>
    <w:rsid w:val="00CD5957"/>
    <w:rsid w:val="00CF629C"/>
    <w:rsid w:val="00D30C03"/>
    <w:rsid w:val="00D57142"/>
    <w:rsid w:val="00D62A47"/>
    <w:rsid w:val="00D67150"/>
    <w:rsid w:val="00D9146E"/>
    <w:rsid w:val="00D92EEA"/>
    <w:rsid w:val="00D93B6E"/>
    <w:rsid w:val="00DA35E1"/>
    <w:rsid w:val="00DA5D4E"/>
    <w:rsid w:val="00DC600B"/>
    <w:rsid w:val="00DE2467"/>
    <w:rsid w:val="00E176BA"/>
    <w:rsid w:val="00E34F84"/>
    <w:rsid w:val="00E40E38"/>
    <w:rsid w:val="00E423EC"/>
    <w:rsid w:val="00E55121"/>
    <w:rsid w:val="00E95125"/>
    <w:rsid w:val="00EB4FCB"/>
    <w:rsid w:val="00EC6BC5"/>
    <w:rsid w:val="00F35898"/>
    <w:rsid w:val="00F5225B"/>
    <w:rsid w:val="00F72DC2"/>
    <w:rsid w:val="00FB3365"/>
    <w:rsid w:val="00FE4D99"/>
    <w:rsid w:val="00FE5701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2C5745"/>
  <w15:docId w15:val="{BC7FF482-2DC0-4C85-80E0-6A4154BF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600B"/>
    <w:rPr>
      <w:rFonts w:ascii="Calibri" w:hAnsi="Calibri"/>
      <w:lang w:val="en-GB" w:eastAsia="en-US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Pl,Recommendation,SGLText List Paragraph,b1,b1 + Justified,list1,new"/>
    <w:basedOn w:val="Normal"/>
    <w:link w:val="ListParagraphChar"/>
    <w:uiPriority w:val="34"/>
    <w:qFormat/>
    <w:rsid w:val="00371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Cs w:val="22"/>
      <w:lang w:eastAsia="en-GB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371F31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371F31"/>
  </w:style>
  <w:style w:type="character" w:customStyle="1" w:styleId="ui-provider">
    <w:name w:val="ui-provider"/>
    <w:basedOn w:val="DefaultParagraphFont"/>
    <w:rsid w:val="00371F31"/>
  </w:style>
  <w:style w:type="paragraph" w:styleId="BalloonText">
    <w:name w:val="Balloon Text"/>
    <w:basedOn w:val="Normal"/>
    <w:link w:val="BalloonTextChar"/>
    <w:semiHidden/>
    <w:unhideWhenUsed/>
    <w:rsid w:val="00063BA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3BA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73/en" TargetMode="External"/><Relationship Id="rId13" Type="http://schemas.openxmlformats.org/officeDocument/2006/relationships/hyperlink" Target="https://www.itu.int/en/ITU-D/Projects/Pages/default.aspx" TargetMode="External"/><Relationship Id="rId18" Type="http://schemas.openxmlformats.org/officeDocument/2006/relationships/hyperlink" Target="https://view.officeapps.live.com/op/view.aspx?src=https%3A%2F%2Fwww.itu.int%2Fdms_pub%2Fitu-d%2Fmd%2F22%2Ftdag30%2Finf%2FD22-TDAG30-INF-0001!!MSW-E.docx&amp;wdOrigin=BROWSELIN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tu.int/en/council/ties/Documents/2023/MoUs/MoU-ETSI.pdf" TargetMode="External"/><Relationship Id="rId7" Type="http://schemas.openxmlformats.org/officeDocument/2006/relationships/hyperlink" Target="https://www.itu.int/en/council/ties/Documents/2023/MoUs/dashboard-MoUs-2008-2021.docx" TargetMode="External"/><Relationship Id="rId12" Type="http://schemas.openxmlformats.org/officeDocument/2006/relationships/hyperlink" Target="https://www.itu.int/md/S18-PP-C-0173/en" TargetMode="External"/><Relationship Id="rId17" Type="http://schemas.openxmlformats.org/officeDocument/2006/relationships/hyperlink" Target="https://www.itu.int/md/D22-TDAG30-C-0014/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md/S23-CL-C-0054/en" TargetMode="External"/><Relationship Id="rId20" Type="http://schemas.openxmlformats.org/officeDocument/2006/relationships/hyperlink" Target="https://www.itu.int/en/council/ties/Documents/2023/MoUs/CH-GIGA-Secretaria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206/e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D/MembersPartners/Pages/Partners/List-of-Partners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22-PP-C-0189/en" TargetMode="External"/><Relationship Id="rId19" Type="http://schemas.openxmlformats.org/officeDocument/2006/relationships/hyperlink" Target="https://www.itu.int/en/ITU-T/extcoop/Pages/mou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PP-C-0206/en" TargetMode="External"/><Relationship Id="rId14" Type="http://schemas.openxmlformats.org/officeDocument/2006/relationships/hyperlink" Target="https://www.itu.int/md/D22-TDAG30-C-0007/en" TargetMode="External"/><Relationship Id="rId22" Type="http://schemas.openxmlformats.org/officeDocument/2006/relationships/hyperlink" Target="https://www.itu.int/en/council/ties/Documents/2023/MoUs/dashboard-MoUs-2008-2021.docx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4107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4818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participation in memoranda of understanding with financial and/or strategic implications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2023-07-06T18:47:00Z</dcterms:created>
  <dcterms:modified xsi:type="dcterms:W3CDTF">2023-07-06T18:47:00Z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