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6C6CAF" w:rsidRPr="00E24D59" w14:paraId="488C5416" w14:textId="77777777" w:rsidTr="00E31DCE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311AB7FB" w14:textId="4851090C" w:rsidR="006C6CAF" w:rsidRPr="00E24D59" w:rsidRDefault="006C6CAF" w:rsidP="00E31DCE">
            <w:pPr>
              <w:tabs>
                <w:tab w:val="left" w:pos="851"/>
              </w:tabs>
              <w:spacing w:before="0" w:line="240" w:lineRule="atLeast"/>
              <w:rPr>
                <w:b/>
                <w:bCs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proofErr w:type="spellStart"/>
            <w:r w:rsidRPr="00E24D59">
              <w:rPr>
                <w:rFonts w:cstheme="minorHAnsi" w:hint="eastAsia"/>
                <w:b/>
                <w:bCs/>
                <w:lang w:val="ru-RU"/>
              </w:rPr>
              <w:t>议项</w:t>
            </w:r>
            <w:proofErr w:type="spellEnd"/>
            <w:r w:rsidRPr="00E24D59">
              <w:rPr>
                <w:rFonts w:cstheme="minorHAnsi" w:hint="eastAsia"/>
                <w:b/>
                <w:bCs/>
                <w:lang w:val="ru-RU"/>
              </w:rPr>
              <w:t>：</w:t>
            </w:r>
            <w:r w:rsidR="00A31A79" w:rsidRPr="000803A3">
              <w:rPr>
                <w:b/>
              </w:rPr>
              <w:t>ADM 2</w:t>
            </w:r>
          </w:p>
        </w:tc>
        <w:tc>
          <w:tcPr>
            <w:tcW w:w="5245" w:type="dxa"/>
          </w:tcPr>
          <w:p w14:paraId="6910E775" w14:textId="5AA1CCC0" w:rsidR="006C6CAF" w:rsidRPr="00E24D59" w:rsidRDefault="006C6CAF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文件</w:t>
            </w:r>
            <w:proofErr w:type="spellEnd"/>
            <w:r>
              <w:rPr>
                <w:rFonts w:cstheme="minorHAnsi" w:hint="eastAsia"/>
                <w:b/>
                <w:bCs/>
                <w:lang w:val="ru-RU"/>
              </w:rPr>
              <w:t xml:space="preserve"> </w:t>
            </w:r>
            <w:r w:rsidRPr="00E24D59">
              <w:rPr>
                <w:b/>
                <w:lang w:val="fr-CH"/>
              </w:rPr>
              <w:t>C23/</w:t>
            </w:r>
            <w:r w:rsidR="00A31A79">
              <w:rPr>
                <w:b/>
                <w:lang w:val="fr-CH"/>
              </w:rPr>
              <w:t>4</w:t>
            </w:r>
            <w:r>
              <w:rPr>
                <w:b/>
                <w:lang w:val="fr-CH"/>
              </w:rPr>
              <w:t>5</w:t>
            </w:r>
            <w:r w:rsidRPr="00E24D59">
              <w:rPr>
                <w:b/>
                <w:lang w:val="fr-CH"/>
              </w:rPr>
              <w:t>-C</w:t>
            </w:r>
          </w:p>
        </w:tc>
      </w:tr>
      <w:tr w:rsidR="006C6CAF" w:rsidRPr="00813E5E" w14:paraId="65B3B091" w14:textId="77777777" w:rsidTr="00E31DCE">
        <w:trPr>
          <w:cantSplit/>
        </w:trPr>
        <w:tc>
          <w:tcPr>
            <w:tcW w:w="3969" w:type="dxa"/>
            <w:vMerge/>
          </w:tcPr>
          <w:p w14:paraId="4A82AF00" w14:textId="77777777" w:rsidR="006C6CAF" w:rsidRPr="00E24D59" w:rsidRDefault="006C6CAF" w:rsidP="00E31DCE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12807921" w14:textId="6B19CD87" w:rsidR="006C6CAF" w:rsidRPr="00E85629" w:rsidRDefault="006C6CAF" w:rsidP="00E31DCE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2023</w:t>
            </w:r>
            <w:r>
              <w:rPr>
                <w:rFonts w:hint="eastAsia"/>
                <w:b/>
                <w:lang w:eastAsia="zh-CN"/>
              </w:rPr>
              <w:t>年</w:t>
            </w:r>
            <w:r w:rsidR="00E83AE2">
              <w:rPr>
                <w:b/>
                <w:lang w:eastAsia="zh-CN"/>
              </w:rPr>
              <w:t>6</w:t>
            </w:r>
            <w:r>
              <w:rPr>
                <w:rFonts w:hint="eastAsia"/>
                <w:b/>
                <w:lang w:eastAsia="zh-CN"/>
              </w:rPr>
              <w:t>月</w:t>
            </w:r>
            <w:r>
              <w:rPr>
                <w:rFonts w:hint="eastAsia"/>
                <w:b/>
                <w:lang w:eastAsia="zh-CN"/>
              </w:rPr>
              <w:t>1</w:t>
            </w:r>
            <w:r w:rsidR="00E83AE2">
              <w:rPr>
                <w:b/>
                <w:lang w:eastAsia="zh-CN"/>
              </w:rPr>
              <w:t>2</w:t>
            </w:r>
            <w:r>
              <w:rPr>
                <w:rFonts w:hint="eastAsia"/>
                <w:b/>
                <w:lang w:eastAsia="zh-CN"/>
              </w:rPr>
              <w:t>日</w:t>
            </w:r>
          </w:p>
        </w:tc>
      </w:tr>
      <w:tr w:rsidR="006C6CAF" w:rsidRPr="00813E5E" w14:paraId="5461A3BD" w14:textId="77777777" w:rsidTr="00E31DCE">
        <w:trPr>
          <w:cantSplit/>
          <w:trHeight w:val="23"/>
        </w:trPr>
        <w:tc>
          <w:tcPr>
            <w:tcW w:w="3969" w:type="dxa"/>
            <w:vMerge/>
          </w:tcPr>
          <w:p w14:paraId="398992C0" w14:textId="77777777" w:rsidR="006C6CAF" w:rsidRPr="00813E5E" w:rsidRDefault="006C6CAF" w:rsidP="00E31DCE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6DCFB50D" w14:textId="77777777" w:rsidR="006C6CAF" w:rsidRPr="00E85629" w:rsidRDefault="006C6CAF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原文：英</w:t>
            </w:r>
            <w:r w:rsidRPr="00E24D59">
              <w:rPr>
                <w:rFonts w:cstheme="minorHAnsi" w:hint="eastAsia"/>
                <w:b/>
                <w:bCs/>
                <w:lang w:val="ru-RU"/>
              </w:rPr>
              <w:t>文</w:t>
            </w:r>
            <w:proofErr w:type="spellEnd"/>
          </w:p>
        </w:tc>
      </w:tr>
      <w:tr w:rsidR="006C6CAF" w:rsidRPr="00813E5E" w14:paraId="5EE0A552" w14:textId="77777777" w:rsidTr="00E31DCE">
        <w:trPr>
          <w:cantSplit/>
          <w:trHeight w:val="23"/>
        </w:trPr>
        <w:tc>
          <w:tcPr>
            <w:tcW w:w="3969" w:type="dxa"/>
          </w:tcPr>
          <w:p w14:paraId="40D378C7" w14:textId="77777777" w:rsidR="006C6CAF" w:rsidRPr="00813E5E" w:rsidRDefault="006C6CAF" w:rsidP="00E31DCE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0BCD5272" w14:textId="77777777" w:rsidR="006C6CAF" w:rsidRDefault="006C6CAF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6C6CAF" w:rsidRPr="00813E5E" w14:paraId="245FF6FF" w14:textId="77777777" w:rsidTr="00E31DCE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B3326AF" w14:textId="77777777" w:rsidR="006C6CAF" w:rsidRPr="00E24D59" w:rsidRDefault="006C6CAF" w:rsidP="00E24D59">
            <w:pPr>
              <w:pStyle w:val="Source"/>
              <w:jc w:val="left"/>
              <w:rPr>
                <w:sz w:val="34"/>
                <w:szCs w:val="34"/>
              </w:rPr>
            </w:pPr>
            <w:bookmarkStart w:id="5" w:name="dsource" w:colFirst="0" w:colLast="0"/>
            <w:bookmarkEnd w:id="4"/>
            <w:proofErr w:type="spellStart"/>
            <w:r w:rsidRPr="00E24D59">
              <w:rPr>
                <w:rFonts w:cstheme="minorHAnsi" w:hint="eastAsia"/>
                <w:sz w:val="34"/>
                <w:szCs w:val="34"/>
                <w:lang w:val="ru-RU"/>
              </w:rPr>
              <w:t>秘书长的报告</w:t>
            </w:r>
            <w:proofErr w:type="spellEnd"/>
          </w:p>
        </w:tc>
      </w:tr>
      <w:tr w:rsidR="006C6CAF" w:rsidRPr="00813E5E" w14:paraId="7DD7CB7B" w14:textId="77777777" w:rsidTr="00E31DCE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0934C03" w14:textId="5D86EC37" w:rsidR="006C6CAF" w:rsidRPr="00E24D59" w:rsidRDefault="00A31A79" w:rsidP="00E31DCE">
            <w:pPr>
              <w:pStyle w:val="Subtitle"/>
              <w:framePr w:hSpace="0" w:wrap="auto" w:hAnchor="text" w:xAlign="left" w:yAlign="inline"/>
              <w:rPr>
                <w:rFonts w:ascii="SimSun" w:eastAsia="SimSun" w:hAnsi="SimSun"/>
                <w:lang w:eastAsia="zh-CN"/>
              </w:rPr>
            </w:pPr>
            <w:bookmarkStart w:id="6" w:name="dtitle1" w:colFirst="0" w:colLast="0"/>
            <w:bookmarkEnd w:id="5"/>
            <w:r w:rsidRPr="00A31A79">
              <w:rPr>
                <w:rFonts w:ascii="SimSun" w:eastAsia="SimSun" w:hAnsi="SimSun" w:hint="eastAsia"/>
                <w:lang w:eastAsia="zh-CN"/>
              </w:rPr>
              <w:t>国际电联加入具有财务和/或战略影响的谅解备忘录</w:t>
            </w:r>
          </w:p>
        </w:tc>
      </w:tr>
      <w:tr w:rsidR="006C6CAF" w:rsidRPr="00813E5E" w14:paraId="0F87144A" w14:textId="77777777" w:rsidTr="00E31DCE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5AA616F5" w14:textId="77777777" w:rsidR="006C6CAF" w:rsidRPr="00E24D59" w:rsidRDefault="006C6CAF" w:rsidP="00E24D59">
            <w:pPr>
              <w:pStyle w:val="Subtitle"/>
              <w:framePr w:hSpace="0" w:wrap="auto" w:hAnchor="text" w:xAlign="left" w:yAlign="inline"/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</w:pPr>
            <w:r w:rsidRPr="00E24D59"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  <w:t>目的</w:t>
            </w:r>
          </w:p>
          <w:p w14:paraId="30CB96C9" w14:textId="35BC0A31" w:rsidR="006C6CAF" w:rsidRPr="00813E5E" w:rsidRDefault="001655EF" w:rsidP="006C6CAF">
            <w:pPr>
              <w:spacing w:before="160"/>
              <w:ind w:firstLineChars="200" w:firstLine="480"/>
              <w:jc w:val="both"/>
              <w:rPr>
                <w:lang w:eastAsia="zh-CN"/>
              </w:rPr>
            </w:pPr>
            <w:r w:rsidRPr="001655EF">
              <w:rPr>
                <w:rFonts w:hint="eastAsia"/>
                <w:lang w:eastAsia="zh-CN"/>
              </w:rPr>
              <w:t>本文件报告了</w:t>
            </w:r>
            <w:r w:rsidR="00DE27B9" w:rsidRPr="001655EF">
              <w:rPr>
                <w:rFonts w:hint="eastAsia"/>
                <w:lang w:eastAsia="zh-CN"/>
              </w:rPr>
              <w:t>2022</w:t>
            </w:r>
            <w:r w:rsidR="00DE27B9" w:rsidRPr="001655EF">
              <w:rPr>
                <w:rFonts w:hint="eastAsia"/>
                <w:lang w:eastAsia="zh-CN"/>
              </w:rPr>
              <w:t>年</w:t>
            </w:r>
            <w:r w:rsidRPr="001655EF">
              <w:rPr>
                <w:rFonts w:hint="eastAsia"/>
                <w:lang w:eastAsia="zh-CN"/>
              </w:rPr>
              <w:t>对国际电联具有重大财务和</w:t>
            </w:r>
            <w:r w:rsidRPr="001655EF">
              <w:rPr>
                <w:rFonts w:hint="eastAsia"/>
                <w:lang w:eastAsia="zh-CN"/>
              </w:rPr>
              <w:t>/</w:t>
            </w:r>
            <w:r w:rsidRPr="001655EF">
              <w:rPr>
                <w:rFonts w:hint="eastAsia"/>
                <w:lang w:eastAsia="zh-CN"/>
              </w:rPr>
              <w:t>或战略影响的谅解备忘录</w:t>
            </w:r>
            <w:r w:rsidRPr="001655EF">
              <w:rPr>
                <w:rFonts w:hint="eastAsia"/>
                <w:lang w:eastAsia="zh-CN"/>
              </w:rPr>
              <w:t>/</w:t>
            </w:r>
            <w:r w:rsidRPr="001655EF">
              <w:rPr>
                <w:rFonts w:hint="eastAsia"/>
                <w:lang w:eastAsia="zh-CN"/>
              </w:rPr>
              <w:t>协议（以下简称“</w:t>
            </w:r>
            <w:r w:rsidRPr="001655EF">
              <w:rPr>
                <w:rFonts w:hint="eastAsia"/>
                <w:lang w:eastAsia="zh-CN"/>
              </w:rPr>
              <w:t>MoU</w:t>
            </w:r>
            <w:r w:rsidRPr="001655EF">
              <w:rPr>
                <w:rFonts w:hint="eastAsia"/>
                <w:lang w:eastAsia="zh-CN"/>
              </w:rPr>
              <w:t>”）。它还包括秘书长认为</w:t>
            </w:r>
            <w:r w:rsidR="00DE27B9">
              <w:rPr>
                <w:rFonts w:hint="eastAsia"/>
                <w:lang w:eastAsia="zh-CN"/>
              </w:rPr>
              <w:t>应提请理事会注意</w:t>
            </w:r>
            <w:r w:rsidRPr="001655EF">
              <w:rPr>
                <w:rFonts w:hint="eastAsia"/>
                <w:lang w:eastAsia="zh-CN"/>
              </w:rPr>
              <w:t>的谅解备忘录清单</w:t>
            </w:r>
            <w:r w:rsidR="00DE27B9">
              <w:rPr>
                <w:rFonts w:hint="eastAsia"/>
                <w:lang w:eastAsia="zh-CN"/>
              </w:rPr>
              <w:t>，以通报相关情况</w:t>
            </w:r>
            <w:r w:rsidRPr="001655EF">
              <w:rPr>
                <w:rFonts w:hint="eastAsia"/>
                <w:lang w:eastAsia="zh-CN"/>
              </w:rPr>
              <w:t>。本报告还介绍了</w:t>
            </w:r>
            <w:hyperlink r:id="rId8" w:history="1">
              <w:r w:rsidRPr="00DE27B9">
                <w:rPr>
                  <w:rStyle w:val="Hyperlink"/>
                  <w:rFonts w:hint="eastAsia"/>
                  <w:lang w:eastAsia="zh-CN"/>
                </w:rPr>
                <w:t>一个新的</w:t>
              </w:r>
              <w:r w:rsidR="00DE27B9" w:rsidRPr="00DE27B9">
                <w:rPr>
                  <w:rStyle w:val="Hyperlink"/>
                  <w:rFonts w:hint="eastAsia"/>
                  <w:lang w:eastAsia="zh-CN"/>
                </w:rPr>
                <w:t>信息概览</w:t>
              </w:r>
            </w:hyperlink>
            <w:r w:rsidRPr="001655EF">
              <w:rPr>
                <w:rFonts w:hint="eastAsia"/>
                <w:lang w:eastAsia="zh-CN"/>
              </w:rPr>
              <w:t>，其中包含有关</w:t>
            </w:r>
            <w:r w:rsidRPr="001655EF">
              <w:rPr>
                <w:rFonts w:hint="eastAsia"/>
                <w:lang w:eastAsia="zh-CN"/>
              </w:rPr>
              <w:t>2008</w:t>
            </w:r>
            <w:r w:rsidRPr="001655EF">
              <w:rPr>
                <w:rFonts w:hint="eastAsia"/>
                <w:lang w:eastAsia="zh-CN"/>
              </w:rPr>
              <w:t>年至</w:t>
            </w:r>
            <w:r w:rsidRPr="001655EF">
              <w:rPr>
                <w:rFonts w:hint="eastAsia"/>
                <w:lang w:eastAsia="zh-CN"/>
              </w:rPr>
              <w:t>2021</w:t>
            </w:r>
            <w:r w:rsidRPr="001655EF">
              <w:rPr>
                <w:rFonts w:hint="eastAsia"/>
                <w:lang w:eastAsia="zh-CN"/>
              </w:rPr>
              <w:t>年期间已提请理事会注意的谅解备忘录</w:t>
            </w:r>
            <w:r w:rsidR="00DE27B9">
              <w:rPr>
                <w:rFonts w:hint="eastAsia"/>
                <w:lang w:eastAsia="zh-CN"/>
              </w:rPr>
              <w:t>的</w:t>
            </w:r>
            <w:r w:rsidRPr="001655EF">
              <w:rPr>
                <w:rFonts w:hint="eastAsia"/>
                <w:lang w:eastAsia="zh-CN"/>
              </w:rPr>
              <w:t>实施情况。</w:t>
            </w:r>
          </w:p>
          <w:p w14:paraId="0D64786F" w14:textId="77777777" w:rsidR="006C6CAF" w:rsidRPr="00E24D59" w:rsidRDefault="006C6CAF" w:rsidP="00E24D59">
            <w:pPr>
              <w:pStyle w:val="Subtitle"/>
              <w:framePr w:hSpace="0" w:wrap="auto" w:hAnchor="text" w:xAlign="left" w:yAlign="inline"/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</w:pPr>
            <w:r w:rsidRPr="00E24D59"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  <w:t>理事会需采取的行动</w:t>
            </w:r>
          </w:p>
          <w:p w14:paraId="626D04E0" w14:textId="77777777" w:rsidR="006C6CAF" w:rsidRPr="00484009" w:rsidRDefault="006C6CAF" w:rsidP="00901FF0">
            <w:pPr>
              <w:spacing w:before="160"/>
              <w:ind w:firstLineChars="200" w:firstLine="4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请理事会将本报告</w:t>
            </w:r>
            <w:r w:rsidRPr="00D674C6">
              <w:rPr>
                <w:rFonts w:hint="eastAsia"/>
                <w:b/>
                <w:bCs/>
                <w:lang w:eastAsia="zh-CN"/>
              </w:rPr>
              <w:t>记录在案</w:t>
            </w:r>
            <w:r>
              <w:rPr>
                <w:rFonts w:hint="eastAsia"/>
                <w:lang w:eastAsia="zh-CN"/>
              </w:rPr>
              <w:t>。</w:t>
            </w:r>
          </w:p>
          <w:p w14:paraId="0B60FB51" w14:textId="1C636FCB" w:rsidR="006C6CAF" w:rsidRDefault="006C6CAF" w:rsidP="00E24D59">
            <w:pPr>
              <w:pStyle w:val="Subtitle"/>
              <w:framePr w:hSpace="0" w:wrap="auto" w:hAnchor="text" w:xAlign="left" w:yAlign="inline"/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ascii="SimSun" w:eastAsia="SimSun" w:hAnsi="SimSun" w:cstheme="minorHAnsi" w:hint="eastAsia"/>
                <w:b/>
                <w:bCs/>
                <w:sz w:val="26"/>
                <w:szCs w:val="26"/>
                <w:lang w:eastAsia="zh-CN"/>
              </w:rPr>
              <w:t>与</w:t>
            </w:r>
            <w:r w:rsidRPr="00E24D59"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  <w:t>《战略规划》</w:t>
            </w:r>
            <w:r>
              <w:rPr>
                <w:rFonts w:ascii="SimSun" w:eastAsia="SimSun" w:hAnsi="SimSun" w:cstheme="minorHAnsi" w:hint="eastAsia"/>
                <w:b/>
                <w:bCs/>
                <w:sz w:val="26"/>
                <w:szCs w:val="26"/>
                <w:lang w:eastAsia="zh-CN"/>
              </w:rPr>
              <w:t>的</w:t>
            </w:r>
            <w:r w:rsidRPr="00E24D59"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  <w:t>关</w:t>
            </w:r>
            <w:r>
              <w:rPr>
                <w:rFonts w:ascii="SimSun" w:eastAsia="SimSun" w:hAnsi="SimSun" w:cstheme="minorHAnsi" w:hint="eastAsia"/>
                <w:b/>
                <w:bCs/>
                <w:sz w:val="26"/>
                <w:szCs w:val="26"/>
                <w:lang w:eastAsia="zh-CN"/>
              </w:rPr>
              <w:t>联</w:t>
            </w:r>
          </w:p>
          <w:p w14:paraId="22960228" w14:textId="7B6E826B" w:rsidR="006C6CAF" w:rsidRPr="00F16BAB" w:rsidRDefault="006E6571" w:rsidP="00322D94">
            <w:pPr>
              <w:spacing w:before="160"/>
              <w:ind w:firstLineChars="200" w:firstLine="480"/>
              <w:rPr>
                <w:lang w:eastAsia="zh-CN"/>
              </w:rPr>
            </w:pPr>
            <w:bookmarkStart w:id="7" w:name="lt_pId018"/>
            <w:r>
              <w:rPr>
                <w:rFonts w:hint="eastAsia"/>
                <w:szCs w:val="24"/>
                <w:lang w:eastAsia="zh-CN"/>
              </w:rPr>
              <w:t>不适用</w:t>
            </w:r>
            <w:bookmarkEnd w:id="7"/>
          </w:p>
          <w:p w14:paraId="6FDD870E" w14:textId="77777777" w:rsidR="006C6CAF" w:rsidRDefault="006C6CAF" w:rsidP="00E24D59">
            <w:pPr>
              <w:pStyle w:val="Subtitle"/>
              <w:framePr w:hSpace="0" w:wrap="auto" w:hAnchor="text" w:xAlign="left" w:yAlign="inline"/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</w:pPr>
            <w:r w:rsidRPr="00E24D59"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  <w:t>财务影响：</w:t>
            </w:r>
          </w:p>
          <w:p w14:paraId="20930BB7" w14:textId="77777777" w:rsidR="006C6CAF" w:rsidRPr="007E519D" w:rsidRDefault="006C6CAF" w:rsidP="00C847C9">
            <w:pPr>
              <w:spacing w:before="160"/>
              <w:ind w:firstLineChars="200" w:firstLine="480"/>
              <w:rPr>
                <w:b/>
                <w:bCs/>
                <w:sz w:val="26"/>
                <w:szCs w:val="26"/>
                <w:lang w:eastAsia="zh-CN"/>
              </w:rPr>
            </w:pPr>
            <w:r>
              <w:rPr>
                <w:rFonts w:hint="eastAsia"/>
                <w:szCs w:val="24"/>
                <w:lang w:eastAsia="zh-CN"/>
              </w:rPr>
              <w:t>无。</w:t>
            </w:r>
          </w:p>
          <w:p w14:paraId="4435270C" w14:textId="77777777" w:rsidR="006C6CAF" w:rsidRPr="00E24D59" w:rsidRDefault="006C6CAF" w:rsidP="00E24D59">
            <w:pPr>
              <w:pStyle w:val="Subtitle"/>
              <w:framePr w:hSpace="0" w:wrap="auto" w:hAnchor="text" w:xAlign="left" w:yAlign="inline"/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</w:pPr>
            <w:r w:rsidRPr="00E24D59"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  <w:t>__________________</w:t>
            </w:r>
          </w:p>
          <w:p w14:paraId="4627E0B5" w14:textId="77777777" w:rsidR="006C6CAF" w:rsidRPr="00E24D59" w:rsidRDefault="006C6CAF" w:rsidP="00E24D59">
            <w:pPr>
              <w:pStyle w:val="Subtitle"/>
              <w:framePr w:hSpace="0" w:wrap="auto" w:hAnchor="text" w:xAlign="left" w:yAlign="inline"/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</w:pPr>
            <w:r w:rsidRPr="00E24D59">
              <w:rPr>
                <w:rFonts w:ascii="SimSun" w:eastAsia="SimSun" w:hAnsi="SimSun" w:cstheme="minorHAnsi" w:hint="eastAsia"/>
                <w:b/>
                <w:bCs/>
                <w:sz w:val="26"/>
                <w:szCs w:val="26"/>
                <w:lang w:eastAsia="zh-CN"/>
              </w:rPr>
              <w:t>参考文件</w:t>
            </w:r>
          </w:p>
          <w:p w14:paraId="02E4686F" w14:textId="2CBCF312" w:rsidR="006C6CAF" w:rsidRDefault="001655EF" w:rsidP="00E31DCE">
            <w:pPr>
              <w:spacing w:after="160"/>
              <w:rPr>
                <w:lang w:eastAsia="zh-CN"/>
              </w:rPr>
            </w:pPr>
            <w:r w:rsidRPr="001655EF">
              <w:rPr>
                <w:rFonts w:hint="eastAsia"/>
                <w:lang w:eastAsia="zh-CN"/>
              </w:rPr>
              <w:t>PP-18</w:t>
            </w:r>
            <w:r w:rsidRPr="001655EF">
              <w:rPr>
                <w:rFonts w:hint="eastAsia"/>
                <w:lang w:eastAsia="zh-CN"/>
              </w:rPr>
              <w:t>第十六次全体会议</w:t>
            </w:r>
            <w:r w:rsidR="006E6571">
              <w:rPr>
                <w:rFonts w:hint="eastAsia"/>
                <w:lang w:eastAsia="zh-CN"/>
              </w:rPr>
              <w:t>的会议记录</w:t>
            </w:r>
            <w:r w:rsidRPr="001655EF">
              <w:rPr>
                <w:rFonts w:hint="eastAsia"/>
                <w:lang w:eastAsia="zh-CN"/>
              </w:rPr>
              <w:t>（</w:t>
            </w:r>
            <w:hyperlink r:id="rId9" w:history="1">
              <w:r w:rsidR="006E6571" w:rsidRPr="0007084F">
                <w:rPr>
                  <w:rStyle w:val="Hyperlink"/>
                  <w:lang w:eastAsia="zh-CN"/>
                </w:rPr>
                <w:t>PP-18/173</w:t>
              </w:r>
            </w:hyperlink>
            <w:r w:rsidR="006E6571">
              <w:rPr>
                <w:rFonts w:hint="eastAsia"/>
                <w:lang w:eastAsia="zh-CN"/>
              </w:rPr>
              <w:t>号</w:t>
            </w:r>
            <w:r w:rsidRPr="001655EF">
              <w:rPr>
                <w:rFonts w:hint="eastAsia"/>
                <w:lang w:eastAsia="zh-CN"/>
              </w:rPr>
              <w:t>文件）和</w:t>
            </w:r>
            <w:r w:rsidRPr="001655EF">
              <w:rPr>
                <w:rFonts w:hint="eastAsia"/>
                <w:lang w:eastAsia="zh-CN"/>
              </w:rPr>
              <w:t>PP-22</w:t>
            </w:r>
            <w:r w:rsidRPr="001655EF">
              <w:rPr>
                <w:rFonts w:hint="eastAsia"/>
                <w:lang w:eastAsia="zh-CN"/>
              </w:rPr>
              <w:t>第十六次全体会议</w:t>
            </w:r>
            <w:r w:rsidR="006E6571">
              <w:rPr>
                <w:rFonts w:hint="eastAsia"/>
                <w:lang w:eastAsia="zh-CN"/>
              </w:rPr>
              <w:t>的会议记录</w:t>
            </w:r>
            <w:r w:rsidRPr="001655EF">
              <w:rPr>
                <w:rFonts w:hint="eastAsia"/>
                <w:lang w:eastAsia="zh-CN"/>
              </w:rPr>
              <w:t>（</w:t>
            </w:r>
            <w:hyperlink r:id="rId10" w:history="1">
              <w:r w:rsidR="006E6571" w:rsidRPr="00B055C2">
                <w:rPr>
                  <w:rStyle w:val="Hyperlink"/>
                  <w:lang w:eastAsia="zh-CN"/>
                </w:rPr>
                <w:t>PP-22/206</w:t>
              </w:r>
            </w:hyperlink>
            <w:r w:rsidR="006E6571">
              <w:rPr>
                <w:rFonts w:hint="eastAsia"/>
                <w:lang w:eastAsia="zh-CN"/>
              </w:rPr>
              <w:t>号</w:t>
            </w:r>
            <w:r w:rsidRPr="001655EF">
              <w:rPr>
                <w:rFonts w:hint="eastAsia"/>
                <w:lang w:eastAsia="zh-CN"/>
              </w:rPr>
              <w:t>文件）</w:t>
            </w:r>
          </w:p>
        </w:tc>
      </w:tr>
      <w:bookmarkEnd w:id="2"/>
      <w:bookmarkEnd w:id="6"/>
    </w:tbl>
    <w:p w14:paraId="6DB295E6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p w14:paraId="62A1B99D" w14:textId="2BC1E4AB" w:rsidR="00A31A79" w:rsidRPr="00A961C6" w:rsidRDefault="00E24D59" w:rsidP="00A961C6">
      <w:pPr>
        <w:pStyle w:val="Heading1"/>
        <w:rPr>
          <w:lang w:eastAsia="zh-CN"/>
        </w:rPr>
      </w:pPr>
      <w:r>
        <w:rPr>
          <w:lang w:eastAsia="zh-CN"/>
        </w:rPr>
        <w:br w:type="page"/>
      </w:r>
      <w:r w:rsidR="00A961C6" w:rsidRPr="00A961C6">
        <w:rPr>
          <w:lang w:eastAsia="zh-CN"/>
        </w:rPr>
        <w:lastRenderedPageBreak/>
        <w:t>1</w:t>
      </w:r>
      <w:r w:rsidR="00A961C6" w:rsidRPr="00A961C6">
        <w:rPr>
          <w:lang w:eastAsia="zh-CN"/>
        </w:rPr>
        <w:tab/>
      </w:r>
      <w:r w:rsidR="002A62D0" w:rsidRPr="00A961C6">
        <w:rPr>
          <w:rStyle w:val="normaltextrun"/>
          <w:rFonts w:hint="eastAsia"/>
          <w:lang w:eastAsia="zh-CN"/>
        </w:rPr>
        <w:t>背景情况</w:t>
      </w:r>
    </w:p>
    <w:p w14:paraId="715AA2D6" w14:textId="2157A98A" w:rsidR="00A31A79" w:rsidRPr="001655EF" w:rsidRDefault="001655EF" w:rsidP="00A961C6">
      <w:pPr>
        <w:pStyle w:val="paragraph"/>
        <w:spacing w:before="120" w:beforeAutospacing="0" w:after="120" w:afterAutospacing="0"/>
        <w:ind w:firstLineChars="200" w:firstLine="480"/>
        <w:jc w:val="both"/>
        <w:textAlignment w:val="baseline"/>
        <w:rPr>
          <w:rFonts w:asciiTheme="minorHAnsi" w:eastAsiaTheme="minorEastAsia" w:hAnsiTheme="minorHAnsi" w:cstheme="minorHAnsi"/>
          <w:lang w:eastAsia="zh-CN"/>
        </w:rPr>
      </w:pPr>
      <w:r w:rsidRPr="00D500EC">
        <w:rPr>
          <w:rFonts w:ascii="Calibri" w:eastAsia="SimSun" w:hAnsi="Calibri" w:cs="Calibri" w:hint="eastAsia"/>
          <w:lang w:eastAsia="zh-CN"/>
        </w:rPr>
        <w:t>全权代表</w:t>
      </w:r>
      <w:r w:rsidR="002A62D0" w:rsidRPr="00D500EC">
        <w:rPr>
          <w:rFonts w:ascii="Calibri" w:eastAsia="SimSun" w:hAnsi="Calibri" w:cs="Calibri" w:hint="eastAsia"/>
          <w:lang w:eastAsia="zh-CN"/>
        </w:rPr>
        <w:t>大会</w:t>
      </w:r>
      <w:r w:rsidRPr="00D500EC">
        <w:rPr>
          <w:rFonts w:ascii="Calibri" w:eastAsia="SimSun" w:hAnsi="Calibri" w:cs="Calibri" w:hint="eastAsia"/>
          <w:lang w:eastAsia="zh-CN"/>
        </w:rPr>
        <w:t>（</w:t>
      </w:r>
      <w:r w:rsidR="002A62D0" w:rsidRPr="00D500EC">
        <w:rPr>
          <w:rFonts w:ascii="Calibri" w:eastAsia="SimSun" w:hAnsi="Calibri" w:cs="Calibri" w:hint="eastAsia"/>
          <w:lang w:eastAsia="zh-CN"/>
        </w:rPr>
        <w:t>2022</w:t>
      </w:r>
      <w:r w:rsidR="002A62D0" w:rsidRPr="00D500EC">
        <w:rPr>
          <w:rFonts w:ascii="Calibri" w:eastAsia="SimSun" w:hAnsi="Calibri" w:cs="Calibri" w:hint="eastAsia"/>
          <w:lang w:eastAsia="zh-CN"/>
        </w:rPr>
        <w:t>年，</w:t>
      </w:r>
      <w:r w:rsidRPr="00D500EC">
        <w:rPr>
          <w:rFonts w:ascii="Calibri" w:eastAsia="SimSun" w:hAnsi="Calibri" w:cs="Calibri" w:hint="eastAsia"/>
          <w:lang w:eastAsia="zh-CN"/>
        </w:rPr>
        <w:t>布加勒斯特）第十六次全体会议决定维持全权代表</w:t>
      </w:r>
      <w:r w:rsidR="002A62D0" w:rsidRPr="00D500EC">
        <w:rPr>
          <w:rFonts w:ascii="Calibri" w:eastAsia="SimSun" w:hAnsi="Calibri" w:cs="Calibri" w:hint="eastAsia"/>
          <w:lang w:eastAsia="zh-CN"/>
        </w:rPr>
        <w:t>大会</w:t>
      </w:r>
      <w:r w:rsidRPr="00D500EC">
        <w:rPr>
          <w:rFonts w:ascii="Calibri" w:eastAsia="SimSun" w:hAnsi="Calibri" w:cs="Calibri" w:hint="eastAsia"/>
          <w:lang w:eastAsia="zh-CN"/>
        </w:rPr>
        <w:t>（</w:t>
      </w:r>
      <w:r w:rsidRPr="00D500EC">
        <w:rPr>
          <w:rFonts w:ascii="Calibri" w:eastAsia="SimSun" w:hAnsi="Calibri" w:cs="Calibri" w:hint="eastAsia"/>
          <w:lang w:eastAsia="zh-CN"/>
        </w:rPr>
        <w:t>2018</w:t>
      </w:r>
      <w:r w:rsidRPr="00D500EC">
        <w:rPr>
          <w:rFonts w:ascii="Calibri" w:eastAsia="SimSun" w:hAnsi="Calibri" w:cs="Calibri" w:hint="eastAsia"/>
          <w:lang w:eastAsia="zh-CN"/>
        </w:rPr>
        <w:t>年</w:t>
      </w:r>
      <w:r w:rsidR="002A62D0" w:rsidRPr="00D500EC">
        <w:rPr>
          <w:rFonts w:ascii="Calibri" w:eastAsia="SimSun" w:hAnsi="Calibri" w:cs="Calibri" w:hint="eastAsia"/>
          <w:lang w:eastAsia="zh-CN"/>
        </w:rPr>
        <w:t>，迪拜</w:t>
      </w:r>
      <w:r w:rsidRPr="00D500EC">
        <w:rPr>
          <w:rFonts w:ascii="Calibri" w:eastAsia="SimSun" w:hAnsi="Calibri" w:cs="Calibri" w:hint="eastAsia"/>
          <w:lang w:eastAsia="zh-CN"/>
        </w:rPr>
        <w:t>）的决定</w:t>
      </w:r>
      <w:r w:rsidRPr="001655EF">
        <w:rPr>
          <w:rFonts w:asciiTheme="minorHAnsi" w:eastAsiaTheme="minorEastAsia" w:hAnsiTheme="minorHAnsi" w:cstheme="minorHAnsi" w:hint="eastAsia"/>
          <w:lang w:eastAsia="zh-CN"/>
        </w:rPr>
        <w:t>，</w:t>
      </w:r>
      <w:r w:rsidR="002A62D0">
        <w:rPr>
          <w:rFonts w:asciiTheme="minorHAnsi" w:eastAsiaTheme="minorEastAsia" w:hAnsiTheme="minorHAnsi" w:cstheme="minorHAnsi" w:hint="eastAsia"/>
          <w:lang w:eastAsia="zh-CN"/>
        </w:rPr>
        <w:t>责成</w:t>
      </w:r>
      <w:r w:rsidRPr="001655EF">
        <w:rPr>
          <w:rFonts w:asciiTheme="minorHAnsi" w:eastAsiaTheme="minorEastAsia" w:hAnsiTheme="minorHAnsi" w:cstheme="minorHAnsi" w:hint="eastAsia"/>
          <w:lang w:eastAsia="zh-CN"/>
        </w:rPr>
        <w:t>秘书长继续“</w:t>
      </w:r>
      <w:r w:rsidR="002A62D0" w:rsidRPr="002A62D0">
        <w:rPr>
          <w:rFonts w:ascii="Calibri" w:eastAsia="STKaiti" w:hAnsi="Calibri" w:cs="Calibri"/>
          <w:lang w:eastAsia="zh-CN"/>
        </w:rPr>
        <w:t>向理事会例会提交具有重大财务和</w:t>
      </w:r>
      <w:r w:rsidR="002A62D0" w:rsidRPr="002A62D0">
        <w:rPr>
          <w:rFonts w:ascii="Calibri" w:eastAsia="STKaiti" w:hAnsi="Calibri" w:cs="Calibri"/>
          <w:lang w:eastAsia="zh-CN"/>
        </w:rPr>
        <w:t>/</w:t>
      </w:r>
      <w:r w:rsidR="002A62D0" w:rsidRPr="002A62D0">
        <w:rPr>
          <w:rFonts w:ascii="Calibri" w:eastAsia="STKaiti" w:hAnsi="Calibri" w:cs="Calibri"/>
          <w:lang w:eastAsia="zh-CN"/>
        </w:rPr>
        <w:t>或战略影响的</w:t>
      </w:r>
      <w:r w:rsidR="002A62D0" w:rsidRPr="002A62D0">
        <w:rPr>
          <w:rFonts w:ascii="Calibri" w:eastAsia="STKaiti" w:hAnsi="Calibri" w:cs="Calibri"/>
          <w:lang w:eastAsia="zh-CN"/>
        </w:rPr>
        <w:t>MoU</w:t>
      </w:r>
      <w:r w:rsidR="002A62D0" w:rsidRPr="002A62D0">
        <w:rPr>
          <w:rFonts w:ascii="Calibri" w:eastAsia="STKaiti" w:hAnsi="Calibri" w:cs="Calibri"/>
          <w:lang w:eastAsia="zh-CN"/>
        </w:rPr>
        <w:t>，由理事会事先批准</w:t>
      </w:r>
      <w:r w:rsidRPr="001655EF">
        <w:rPr>
          <w:rFonts w:asciiTheme="minorHAnsi" w:eastAsiaTheme="minorEastAsia" w:hAnsiTheme="minorHAnsi" w:cstheme="minorHAnsi" w:hint="eastAsia"/>
          <w:lang w:eastAsia="zh-CN"/>
        </w:rPr>
        <w:t>”</w:t>
      </w:r>
      <w:r w:rsidR="002A62D0" w:rsidRPr="001655EF">
        <w:rPr>
          <w:rFonts w:asciiTheme="minorHAnsi" w:eastAsiaTheme="minorEastAsia" w:hAnsiTheme="minorHAnsi" w:cstheme="minorHAnsi" w:hint="eastAsia"/>
          <w:lang w:eastAsia="zh-CN"/>
        </w:rPr>
        <w:t>。</w:t>
      </w:r>
      <w:r w:rsidRPr="001655EF">
        <w:rPr>
          <w:rFonts w:asciiTheme="minorHAnsi" w:eastAsiaTheme="minorEastAsia" w:hAnsiTheme="minorHAnsi" w:cstheme="minorHAnsi" w:hint="eastAsia"/>
          <w:lang w:eastAsia="zh-CN"/>
        </w:rPr>
        <w:t>全权代表大会进一步决定</w:t>
      </w:r>
      <w:r w:rsidR="002A62D0">
        <w:rPr>
          <w:rFonts w:asciiTheme="minorHAnsi" w:eastAsiaTheme="minorEastAsia" w:hAnsiTheme="minorHAnsi" w:cstheme="minorHAnsi" w:hint="eastAsia"/>
          <w:lang w:eastAsia="zh-CN"/>
        </w:rPr>
        <w:t>：</w:t>
      </w:r>
      <w:r w:rsidRPr="001655EF">
        <w:rPr>
          <w:rFonts w:asciiTheme="minorHAnsi" w:eastAsiaTheme="minorEastAsia" w:hAnsiTheme="minorHAnsi" w:cstheme="minorHAnsi" w:hint="eastAsia"/>
          <w:lang w:eastAsia="zh-CN"/>
        </w:rPr>
        <w:t>“</w:t>
      </w:r>
      <w:r w:rsidR="002A62D0" w:rsidRPr="00A6395B">
        <w:rPr>
          <w:rFonts w:ascii="Calibri" w:eastAsia="STKaiti" w:hAnsi="Calibri" w:cs="Calibri"/>
          <w:lang w:eastAsia="zh-CN"/>
        </w:rPr>
        <w:t>关于相关周期国际电联所签订的其它</w:t>
      </w:r>
      <w:r w:rsidR="002A62D0" w:rsidRPr="00A6395B">
        <w:rPr>
          <w:rFonts w:ascii="Calibri" w:eastAsia="STKaiti" w:hAnsi="Calibri" w:cs="Calibri"/>
          <w:lang w:eastAsia="zh-CN"/>
        </w:rPr>
        <w:t>MoU</w:t>
      </w:r>
      <w:r w:rsidR="002A62D0" w:rsidRPr="00A6395B">
        <w:rPr>
          <w:rFonts w:ascii="Calibri" w:eastAsia="STKaiti" w:hAnsi="Calibri" w:cs="Calibri"/>
          <w:lang w:eastAsia="zh-CN"/>
        </w:rPr>
        <w:t>的报告将继续提交</w:t>
      </w:r>
      <w:r w:rsidR="002A62D0" w:rsidRPr="00A6395B">
        <w:rPr>
          <w:rFonts w:ascii="STKaiti" w:eastAsia="STKaiti" w:hAnsi="STKaiti" w:cstheme="minorHAnsi"/>
          <w:lang w:eastAsia="zh-CN"/>
        </w:rPr>
        <w:t>理事会</w:t>
      </w:r>
      <w:r w:rsidRPr="001655EF">
        <w:rPr>
          <w:rFonts w:asciiTheme="minorHAnsi" w:eastAsiaTheme="minorEastAsia" w:hAnsiTheme="minorHAnsi" w:cstheme="minorHAnsi" w:hint="eastAsia"/>
          <w:lang w:eastAsia="zh-CN"/>
        </w:rPr>
        <w:t>”。</w:t>
      </w:r>
      <w:r w:rsidR="002A62D0" w:rsidRPr="00D500EC">
        <w:rPr>
          <w:rFonts w:ascii="Calibri" w:eastAsia="SimSun" w:hAnsi="Calibri" w:cs="Calibri" w:hint="eastAsia"/>
          <w:lang w:eastAsia="zh-CN"/>
        </w:rPr>
        <w:t>请参见</w:t>
      </w:r>
      <w:r w:rsidRPr="00D500EC">
        <w:rPr>
          <w:rFonts w:ascii="Calibri" w:eastAsia="SimSun" w:hAnsi="Calibri" w:cs="Calibri" w:hint="eastAsia"/>
          <w:lang w:eastAsia="zh-CN"/>
        </w:rPr>
        <w:t>第</w:t>
      </w:r>
      <w:r w:rsidRPr="00D500EC">
        <w:rPr>
          <w:rFonts w:ascii="Calibri" w:eastAsia="SimSun" w:hAnsi="Calibri" w:cs="Calibri" w:hint="eastAsia"/>
          <w:lang w:eastAsia="zh-CN"/>
        </w:rPr>
        <w:t>5</w:t>
      </w:r>
      <w:r w:rsidRPr="00D500EC">
        <w:rPr>
          <w:rFonts w:ascii="Calibri" w:eastAsia="SimSun" w:hAnsi="Calibri" w:cs="Calibri" w:hint="eastAsia"/>
          <w:lang w:eastAsia="zh-CN"/>
        </w:rPr>
        <w:t>委员会主席向</w:t>
      </w:r>
      <w:r w:rsidRPr="00D500EC">
        <w:rPr>
          <w:rFonts w:ascii="Calibri" w:eastAsia="SimSun" w:hAnsi="Calibri" w:cs="Calibri" w:hint="eastAsia"/>
          <w:lang w:eastAsia="zh-CN"/>
        </w:rPr>
        <w:t>PP-22</w:t>
      </w:r>
      <w:r w:rsidRPr="00D500EC">
        <w:rPr>
          <w:rFonts w:ascii="Calibri" w:eastAsia="SimSun" w:hAnsi="Calibri" w:cs="Calibri" w:hint="eastAsia"/>
          <w:lang w:eastAsia="zh-CN"/>
        </w:rPr>
        <w:t>全体会议提交的报告（</w:t>
      </w:r>
      <w:hyperlink r:id="rId11" w:history="1">
        <w:r w:rsidR="002A62D0" w:rsidRPr="00D500EC">
          <w:rPr>
            <w:rStyle w:val="Hyperlink"/>
            <w:rFonts w:eastAsia="SimSun" w:cs="Calibri"/>
            <w:lang w:val="en-CA" w:eastAsia="zh-CN"/>
          </w:rPr>
          <w:t>PP/22-189</w:t>
        </w:r>
      </w:hyperlink>
      <w:r w:rsidR="002A62D0" w:rsidRPr="00D500EC">
        <w:rPr>
          <w:rFonts w:ascii="Calibri" w:eastAsia="SimSun" w:hAnsi="Calibri" w:cs="Calibri" w:hint="eastAsia"/>
          <w:lang w:eastAsia="zh-CN"/>
        </w:rPr>
        <w:t>号文件</w:t>
      </w:r>
      <w:r w:rsidRPr="00D500EC">
        <w:rPr>
          <w:rFonts w:ascii="Calibri" w:eastAsia="SimSun" w:hAnsi="Calibri" w:cs="Calibri" w:hint="eastAsia"/>
          <w:lang w:eastAsia="zh-CN"/>
        </w:rPr>
        <w:t>）中的建议</w:t>
      </w:r>
      <w:r w:rsidRPr="00D500EC">
        <w:rPr>
          <w:rFonts w:ascii="Calibri" w:eastAsia="SimSun" w:hAnsi="Calibri" w:cs="Calibri" w:hint="eastAsia"/>
          <w:lang w:eastAsia="zh-CN"/>
        </w:rPr>
        <w:t>3</w:t>
      </w:r>
      <w:r w:rsidRPr="00D500EC">
        <w:rPr>
          <w:rFonts w:ascii="Calibri" w:eastAsia="SimSun" w:hAnsi="Calibri" w:cs="Calibri" w:hint="eastAsia"/>
          <w:lang w:eastAsia="zh-CN"/>
        </w:rPr>
        <w:t>，该报告已在</w:t>
      </w:r>
      <w:r w:rsidRPr="00D500EC">
        <w:rPr>
          <w:rFonts w:ascii="Calibri" w:eastAsia="SimSun" w:hAnsi="Calibri" w:cs="Calibri" w:hint="eastAsia"/>
          <w:lang w:eastAsia="zh-CN"/>
        </w:rPr>
        <w:t>PP-22</w:t>
      </w:r>
      <w:r w:rsidRPr="00D500EC">
        <w:rPr>
          <w:rFonts w:ascii="Calibri" w:eastAsia="SimSun" w:hAnsi="Calibri" w:cs="Calibri" w:hint="eastAsia"/>
          <w:lang w:eastAsia="zh-CN"/>
        </w:rPr>
        <w:t>第十六次全体会议</w:t>
      </w:r>
      <w:r w:rsidR="00360395" w:rsidRPr="00D500EC">
        <w:rPr>
          <w:rFonts w:ascii="Calibri" w:eastAsia="SimSun" w:hAnsi="Calibri" w:cs="Calibri" w:hint="eastAsia"/>
          <w:lang w:eastAsia="zh-CN"/>
        </w:rPr>
        <w:t>上获得批准</w:t>
      </w:r>
      <w:r w:rsidRPr="00D500EC">
        <w:rPr>
          <w:rFonts w:ascii="Calibri" w:eastAsia="SimSun" w:hAnsi="Calibri" w:cs="Calibri" w:hint="eastAsia"/>
          <w:lang w:eastAsia="zh-CN"/>
        </w:rPr>
        <w:t>（</w:t>
      </w:r>
      <w:hyperlink r:id="rId12" w:history="1">
        <w:r w:rsidR="00360395" w:rsidRPr="00D500EC">
          <w:rPr>
            <w:rStyle w:val="Hyperlink"/>
            <w:rFonts w:eastAsia="SimSun" w:cs="Calibri"/>
            <w:lang w:eastAsia="zh-CN"/>
          </w:rPr>
          <w:t>PP-22/206</w:t>
        </w:r>
      </w:hyperlink>
      <w:r w:rsidR="00360395" w:rsidRPr="00D500EC">
        <w:rPr>
          <w:rFonts w:ascii="Calibri" w:eastAsia="SimSun" w:hAnsi="Calibri" w:cs="Calibri" w:hint="eastAsia"/>
          <w:lang w:eastAsia="zh-CN"/>
        </w:rPr>
        <w:t>号文件</w:t>
      </w:r>
      <w:r w:rsidRPr="00D500EC">
        <w:rPr>
          <w:rFonts w:ascii="Calibri" w:eastAsia="SimSun" w:hAnsi="Calibri" w:cs="Calibri" w:hint="eastAsia"/>
          <w:lang w:eastAsia="zh-CN"/>
        </w:rPr>
        <w:t>），其中</w:t>
      </w:r>
      <w:r w:rsidR="00464960" w:rsidRPr="00D500EC">
        <w:rPr>
          <w:rFonts w:ascii="Calibri" w:eastAsia="SimSun" w:hAnsi="Calibri" w:cs="Calibri" w:hint="eastAsia"/>
          <w:lang w:eastAsia="zh-CN"/>
        </w:rPr>
        <w:t>前者</w:t>
      </w:r>
      <w:r w:rsidRPr="00D500EC">
        <w:rPr>
          <w:rFonts w:ascii="Calibri" w:eastAsia="SimSun" w:hAnsi="Calibri" w:cs="Calibri" w:hint="eastAsia"/>
          <w:lang w:eastAsia="zh-CN"/>
        </w:rPr>
        <w:t>提到了</w:t>
      </w:r>
      <w:r w:rsidR="00360395" w:rsidRPr="00D500EC">
        <w:rPr>
          <w:rFonts w:ascii="Calibri" w:eastAsia="SimSun" w:hAnsi="Calibri" w:cs="Calibri" w:hint="eastAsia"/>
          <w:lang w:eastAsia="zh-CN"/>
        </w:rPr>
        <w:t>PP-18</w:t>
      </w:r>
      <w:r w:rsidR="00360395" w:rsidRPr="00D500EC">
        <w:rPr>
          <w:rFonts w:ascii="Calibri" w:eastAsia="SimSun" w:hAnsi="Calibri" w:cs="Calibri" w:hint="eastAsia"/>
          <w:lang w:eastAsia="zh-CN"/>
        </w:rPr>
        <w:t>做出的、</w:t>
      </w:r>
      <w:r w:rsidRPr="00D500EC">
        <w:rPr>
          <w:rFonts w:ascii="Calibri" w:eastAsia="SimSun" w:hAnsi="Calibri" w:cs="Calibri" w:hint="eastAsia"/>
          <w:lang w:eastAsia="zh-CN"/>
        </w:rPr>
        <w:t>载于第十六次全体会议</w:t>
      </w:r>
      <w:r w:rsidR="00360395" w:rsidRPr="00D500EC">
        <w:rPr>
          <w:rFonts w:ascii="Calibri" w:eastAsia="SimSun" w:hAnsi="Calibri" w:cs="Calibri" w:hint="eastAsia"/>
          <w:lang w:eastAsia="zh-CN"/>
        </w:rPr>
        <w:t>的会议记录</w:t>
      </w:r>
      <w:r w:rsidRPr="00D500EC">
        <w:rPr>
          <w:rFonts w:ascii="Calibri" w:eastAsia="SimSun" w:hAnsi="Calibri" w:cs="Calibri" w:hint="eastAsia"/>
          <w:lang w:eastAsia="zh-CN"/>
        </w:rPr>
        <w:t>（</w:t>
      </w:r>
      <w:hyperlink r:id="rId13" w:history="1">
        <w:r w:rsidR="00360395" w:rsidRPr="00D500EC">
          <w:rPr>
            <w:rStyle w:val="Hyperlink"/>
            <w:rFonts w:eastAsia="SimSun" w:cs="Calibri"/>
            <w:lang w:eastAsia="zh-CN"/>
          </w:rPr>
          <w:t>PP-18/173</w:t>
        </w:r>
      </w:hyperlink>
      <w:r w:rsidR="00360395" w:rsidRPr="00D500EC">
        <w:rPr>
          <w:rFonts w:ascii="Calibri" w:eastAsia="SimSun" w:hAnsi="Calibri" w:cs="Calibri" w:hint="eastAsia"/>
          <w:lang w:eastAsia="zh-CN"/>
        </w:rPr>
        <w:t>号文件</w:t>
      </w:r>
      <w:r w:rsidRPr="00D500EC">
        <w:rPr>
          <w:rFonts w:ascii="Calibri" w:eastAsia="SimSun" w:hAnsi="Calibri" w:cs="Calibri" w:hint="eastAsia"/>
          <w:lang w:eastAsia="zh-CN"/>
        </w:rPr>
        <w:t>第</w:t>
      </w:r>
      <w:r w:rsidRPr="00D500EC">
        <w:rPr>
          <w:rFonts w:ascii="Calibri" w:eastAsia="SimSun" w:hAnsi="Calibri" w:cs="Calibri" w:hint="eastAsia"/>
          <w:lang w:eastAsia="zh-CN"/>
        </w:rPr>
        <w:t>2.13</w:t>
      </w:r>
      <w:r w:rsidRPr="00D500EC">
        <w:rPr>
          <w:rFonts w:ascii="Calibri" w:eastAsia="SimSun" w:hAnsi="Calibri" w:cs="Calibri" w:hint="eastAsia"/>
          <w:lang w:eastAsia="zh-CN"/>
        </w:rPr>
        <w:t>段）</w:t>
      </w:r>
      <w:r w:rsidR="00360395" w:rsidRPr="00D500EC">
        <w:rPr>
          <w:rFonts w:ascii="Calibri" w:eastAsia="SimSun" w:hAnsi="Calibri" w:cs="Calibri" w:hint="eastAsia"/>
          <w:lang w:eastAsia="zh-CN"/>
        </w:rPr>
        <w:t>中的决定</w:t>
      </w:r>
      <w:r w:rsidRPr="00D500EC">
        <w:rPr>
          <w:rFonts w:ascii="Calibri" w:eastAsia="SimSun" w:hAnsi="Calibri" w:cs="Calibri" w:hint="eastAsia"/>
          <w:lang w:eastAsia="zh-CN"/>
        </w:rPr>
        <w:t>。</w:t>
      </w:r>
    </w:p>
    <w:p w14:paraId="3D25CDAD" w14:textId="03CD01CB" w:rsidR="00A31A79" w:rsidRPr="00A961C6" w:rsidRDefault="00A961C6" w:rsidP="00A961C6">
      <w:pPr>
        <w:pStyle w:val="Heading1"/>
        <w:rPr>
          <w:rStyle w:val="eop"/>
          <w:lang w:eastAsia="zh-CN"/>
        </w:rPr>
      </w:pPr>
      <w:bookmarkStart w:id="8" w:name="_Hlk133828143"/>
      <w:r w:rsidRPr="00A961C6">
        <w:rPr>
          <w:rStyle w:val="eop"/>
          <w:rFonts w:hint="eastAsia"/>
          <w:lang w:eastAsia="zh-CN"/>
        </w:rPr>
        <w:t>2</w:t>
      </w:r>
      <w:r w:rsidRPr="00A961C6">
        <w:rPr>
          <w:rStyle w:val="eop"/>
          <w:lang w:eastAsia="zh-CN"/>
        </w:rPr>
        <w:tab/>
      </w:r>
      <w:r w:rsidR="00360395" w:rsidRPr="00A961C6">
        <w:rPr>
          <w:rStyle w:val="eop"/>
          <w:rFonts w:hint="eastAsia"/>
          <w:lang w:eastAsia="zh-CN"/>
        </w:rPr>
        <w:t>具有重大财务和</w:t>
      </w:r>
      <w:r w:rsidR="00360395" w:rsidRPr="00A961C6">
        <w:rPr>
          <w:rStyle w:val="eop"/>
          <w:rFonts w:hint="eastAsia"/>
          <w:lang w:eastAsia="zh-CN"/>
        </w:rPr>
        <w:t>/</w:t>
      </w:r>
      <w:r w:rsidR="00360395" w:rsidRPr="00A961C6">
        <w:rPr>
          <w:rStyle w:val="eop"/>
          <w:rFonts w:hint="eastAsia"/>
          <w:lang w:eastAsia="zh-CN"/>
        </w:rPr>
        <w:t>或战略影响的</w:t>
      </w:r>
      <w:r w:rsidR="00360395" w:rsidRPr="00A961C6">
        <w:rPr>
          <w:rStyle w:val="eop"/>
          <w:rFonts w:hint="eastAsia"/>
          <w:lang w:eastAsia="zh-CN"/>
        </w:rPr>
        <w:t>MoU</w:t>
      </w:r>
    </w:p>
    <w:p w14:paraId="6E5028E8" w14:textId="2171DF74" w:rsidR="00A31A79" w:rsidRPr="00780461" w:rsidRDefault="001655EF" w:rsidP="00A961C6">
      <w:pPr>
        <w:spacing w:after="120"/>
        <w:ind w:firstLineChars="200" w:firstLine="480"/>
        <w:rPr>
          <w:rStyle w:val="eop"/>
          <w:rFonts w:cs="Calibri"/>
          <w:szCs w:val="24"/>
          <w:lang w:eastAsia="zh-CN"/>
        </w:rPr>
      </w:pPr>
      <w:bookmarkStart w:id="9" w:name="_Hlk133828059"/>
      <w:r w:rsidRPr="001655EF">
        <w:rPr>
          <w:rStyle w:val="eop"/>
          <w:rFonts w:cs="Calibri" w:hint="eastAsia"/>
          <w:szCs w:val="24"/>
          <w:lang w:eastAsia="zh-CN"/>
        </w:rPr>
        <w:t>2022</w:t>
      </w:r>
      <w:r w:rsidRPr="001655EF">
        <w:rPr>
          <w:rStyle w:val="eop"/>
          <w:rFonts w:cs="Calibri" w:hint="eastAsia"/>
          <w:szCs w:val="24"/>
          <w:lang w:eastAsia="zh-CN"/>
        </w:rPr>
        <w:t>年</w:t>
      </w:r>
      <w:r w:rsidR="00360395">
        <w:rPr>
          <w:rStyle w:val="eop"/>
          <w:rFonts w:cs="Calibri" w:hint="eastAsia"/>
          <w:szCs w:val="24"/>
          <w:lang w:eastAsia="zh-CN"/>
        </w:rPr>
        <w:t>没有</w:t>
      </w:r>
      <w:r w:rsidRPr="001655EF">
        <w:rPr>
          <w:rStyle w:val="eop"/>
          <w:rFonts w:cs="Calibri" w:hint="eastAsia"/>
          <w:szCs w:val="24"/>
          <w:lang w:eastAsia="zh-CN"/>
        </w:rPr>
        <w:t>此类需要报告的谅解备忘录。</w:t>
      </w:r>
    </w:p>
    <w:p w14:paraId="143E3BED" w14:textId="2A418627" w:rsidR="00A31A79" w:rsidRPr="00A961C6" w:rsidRDefault="00A961C6" w:rsidP="00A961C6">
      <w:pPr>
        <w:pStyle w:val="Heading1"/>
        <w:rPr>
          <w:rStyle w:val="eop"/>
          <w:lang w:eastAsia="zh-CN"/>
        </w:rPr>
      </w:pPr>
      <w:r w:rsidRPr="00A961C6">
        <w:rPr>
          <w:rStyle w:val="eop"/>
          <w:lang w:eastAsia="zh-CN"/>
        </w:rPr>
        <w:t>3</w:t>
      </w:r>
      <w:r w:rsidRPr="00A961C6">
        <w:rPr>
          <w:rStyle w:val="eop"/>
          <w:lang w:eastAsia="zh-CN"/>
        </w:rPr>
        <w:tab/>
      </w:r>
      <w:r w:rsidR="006541E5" w:rsidRPr="00A961C6">
        <w:rPr>
          <w:rStyle w:val="eop"/>
          <w:rFonts w:hint="eastAsia"/>
          <w:lang w:eastAsia="zh-CN"/>
        </w:rPr>
        <w:t>其他</w:t>
      </w:r>
      <w:r w:rsidR="00A31A79" w:rsidRPr="00A961C6">
        <w:rPr>
          <w:rStyle w:val="eop"/>
          <w:lang w:eastAsia="zh-CN"/>
        </w:rPr>
        <w:t>MoU</w:t>
      </w:r>
    </w:p>
    <w:p w14:paraId="328DBF73" w14:textId="3B0FE3D5" w:rsidR="00A31A79" w:rsidRPr="00780461" w:rsidRDefault="003566D2" w:rsidP="00A961C6">
      <w:pPr>
        <w:spacing w:after="120"/>
        <w:ind w:firstLineChars="200" w:firstLine="480"/>
        <w:jc w:val="both"/>
        <w:rPr>
          <w:rStyle w:val="eop"/>
          <w:rFonts w:cs="Calibri"/>
          <w:lang w:eastAsia="zh-CN"/>
        </w:rPr>
      </w:pPr>
      <w:r>
        <w:rPr>
          <w:rFonts w:hint="eastAsia"/>
          <w:lang w:eastAsia="zh-CN"/>
        </w:rPr>
        <w:t>国际电联</w:t>
      </w:r>
      <w:r w:rsidR="00DE27B9" w:rsidRPr="00DE27B9">
        <w:rPr>
          <w:rStyle w:val="eop"/>
          <w:rFonts w:cs="Calibri" w:hint="eastAsia"/>
          <w:lang w:eastAsia="zh-CN"/>
        </w:rPr>
        <w:t>缔结的</w:t>
      </w:r>
      <w:r>
        <w:rPr>
          <w:rStyle w:val="eop"/>
          <w:rFonts w:cs="Calibri" w:hint="eastAsia"/>
          <w:lang w:eastAsia="zh-CN"/>
        </w:rPr>
        <w:t>各种</w:t>
      </w:r>
      <w:r w:rsidR="00DE27B9" w:rsidRPr="00DE27B9">
        <w:rPr>
          <w:rStyle w:val="eop"/>
          <w:rFonts w:cs="Calibri" w:hint="eastAsia"/>
          <w:lang w:eastAsia="zh-CN"/>
        </w:rPr>
        <w:t>协议是各部门或总秘书处</w:t>
      </w:r>
      <w:r>
        <w:rPr>
          <w:rStyle w:val="eop"/>
          <w:rFonts w:cs="Calibri" w:hint="eastAsia"/>
          <w:lang w:eastAsia="zh-CN"/>
        </w:rPr>
        <w:t>应</w:t>
      </w:r>
      <w:r w:rsidR="00DE27B9" w:rsidRPr="00DE27B9">
        <w:rPr>
          <w:rStyle w:val="eop"/>
          <w:rFonts w:cs="Calibri" w:hint="eastAsia"/>
          <w:lang w:eastAsia="zh-CN"/>
        </w:rPr>
        <w:t>具体报告的</w:t>
      </w:r>
      <w:r>
        <w:rPr>
          <w:rStyle w:val="eop"/>
          <w:rFonts w:cs="Calibri" w:hint="eastAsia"/>
          <w:lang w:eastAsia="zh-CN"/>
        </w:rPr>
        <w:t>对象</w:t>
      </w:r>
      <w:r w:rsidR="00DE27B9" w:rsidRPr="00DE27B9">
        <w:rPr>
          <w:rStyle w:val="eop"/>
          <w:rFonts w:cs="Calibri" w:hint="eastAsia"/>
          <w:lang w:eastAsia="zh-CN"/>
        </w:rPr>
        <w:t>。例如，</w:t>
      </w:r>
      <w:hyperlink r:id="rId14" w:history="1">
        <w:r w:rsidR="00DE27B9" w:rsidRPr="003566D2">
          <w:rPr>
            <w:rStyle w:val="Hyperlink"/>
            <w:rFonts w:cs="Calibri" w:hint="eastAsia"/>
            <w:lang w:eastAsia="zh-CN"/>
          </w:rPr>
          <w:t>ITU-D</w:t>
        </w:r>
        <w:r w:rsidR="00DE27B9" w:rsidRPr="003566D2">
          <w:rPr>
            <w:rStyle w:val="Hyperlink"/>
            <w:rFonts w:cs="Calibri" w:hint="eastAsia"/>
            <w:lang w:eastAsia="zh-CN"/>
          </w:rPr>
          <w:t>项目网页</w:t>
        </w:r>
      </w:hyperlink>
      <w:r w:rsidR="00DE27B9" w:rsidRPr="00DE27B9">
        <w:rPr>
          <w:rStyle w:val="eop"/>
          <w:rFonts w:cs="Calibri" w:hint="eastAsia"/>
          <w:lang w:eastAsia="zh-CN"/>
        </w:rPr>
        <w:t>、关于</w:t>
      </w:r>
      <w:r w:rsidR="00DE27B9" w:rsidRPr="00DE27B9">
        <w:rPr>
          <w:rStyle w:val="eop"/>
          <w:rFonts w:cs="Calibri" w:hint="eastAsia"/>
          <w:lang w:eastAsia="zh-CN"/>
        </w:rPr>
        <w:t>ITU-D</w:t>
      </w:r>
      <w:r w:rsidR="00DE27B9" w:rsidRPr="00DE27B9">
        <w:rPr>
          <w:rStyle w:val="eop"/>
          <w:rFonts w:cs="Calibri" w:hint="eastAsia"/>
          <w:lang w:eastAsia="zh-CN"/>
        </w:rPr>
        <w:t>项目的</w:t>
      </w:r>
      <w:hyperlink r:id="rId15" w:history="1">
        <w:r w:rsidR="00464960" w:rsidRPr="005524A0">
          <w:rPr>
            <w:rStyle w:val="Hyperlink"/>
            <w:rFonts w:cs="Calibri"/>
            <w:lang w:eastAsia="zh-CN"/>
          </w:rPr>
          <w:t>TDAG-23/7</w:t>
        </w:r>
      </w:hyperlink>
      <w:r>
        <w:rPr>
          <w:rStyle w:val="eop"/>
          <w:rFonts w:cs="Calibri" w:hint="eastAsia"/>
          <w:lang w:eastAsia="zh-CN"/>
        </w:rPr>
        <w:t>号</w:t>
      </w:r>
      <w:r w:rsidR="00DE27B9" w:rsidRPr="00DE27B9">
        <w:rPr>
          <w:rStyle w:val="eop"/>
          <w:rFonts w:cs="Calibri" w:hint="eastAsia"/>
          <w:lang w:eastAsia="zh-CN"/>
        </w:rPr>
        <w:t>文件、</w:t>
      </w:r>
      <w:hyperlink r:id="rId16" w:history="1">
        <w:r w:rsidR="00DE27B9" w:rsidRPr="003566D2">
          <w:rPr>
            <w:rStyle w:val="Hyperlink"/>
            <w:rFonts w:cs="Calibri" w:hint="eastAsia"/>
            <w:lang w:eastAsia="zh-CN"/>
          </w:rPr>
          <w:t>ITU-D</w:t>
        </w:r>
        <w:r w:rsidR="00DE27B9" w:rsidRPr="003566D2">
          <w:rPr>
            <w:rStyle w:val="Hyperlink"/>
            <w:rFonts w:cs="Calibri" w:hint="eastAsia"/>
            <w:lang w:eastAsia="zh-CN"/>
          </w:rPr>
          <w:t>合作伙伴网页</w:t>
        </w:r>
      </w:hyperlink>
      <w:r w:rsidR="00DE27B9" w:rsidRPr="00DE27B9">
        <w:rPr>
          <w:rStyle w:val="eop"/>
          <w:rFonts w:cs="Calibri" w:hint="eastAsia"/>
          <w:lang w:eastAsia="zh-CN"/>
        </w:rPr>
        <w:t>以及关于战略</w:t>
      </w:r>
      <w:r>
        <w:rPr>
          <w:rStyle w:val="eop"/>
          <w:rFonts w:cs="Calibri" w:hint="eastAsia"/>
          <w:lang w:eastAsia="zh-CN"/>
        </w:rPr>
        <w:t>规划</w:t>
      </w:r>
      <w:r w:rsidR="00DE27B9" w:rsidRPr="00DE27B9">
        <w:rPr>
          <w:rStyle w:val="eop"/>
          <w:rFonts w:cs="Calibri" w:hint="eastAsia"/>
          <w:lang w:eastAsia="zh-CN"/>
        </w:rPr>
        <w:t>实施情况和国际电联活动的报告（</w:t>
      </w:r>
      <w:hyperlink r:id="rId17" w:history="1">
        <w:r w:rsidRPr="00B055C2">
          <w:rPr>
            <w:rStyle w:val="Hyperlink"/>
            <w:rFonts w:cs="Calibri"/>
            <w:lang w:eastAsia="zh-CN"/>
          </w:rPr>
          <w:t>C23/54</w:t>
        </w:r>
      </w:hyperlink>
      <w:r>
        <w:rPr>
          <w:rStyle w:val="eop"/>
          <w:rFonts w:cs="Calibri" w:hint="eastAsia"/>
          <w:lang w:eastAsia="zh-CN"/>
        </w:rPr>
        <w:t>号</w:t>
      </w:r>
      <w:r w:rsidR="00DE27B9" w:rsidRPr="00DE27B9">
        <w:rPr>
          <w:rStyle w:val="eop"/>
          <w:rFonts w:cs="Calibri" w:hint="eastAsia"/>
          <w:lang w:eastAsia="zh-CN"/>
        </w:rPr>
        <w:t>文件）。尽管之前已报告过下述谅解备忘录（参见关于</w:t>
      </w:r>
      <w:r w:rsidR="00DE27B9" w:rsidRPr="00DE27B9">
        <w:rPr>
          <w:rStyle w:val="eop"/>
          <w:rFonts w:cs="Calibri" w:hint="eastAsia"/>
          <w:lang w:eastAsia="zh-CN"/>
        </w:rPr>
        <w:t>ITU-D</w:t>
      </w:r>
      <w:r w:rsidR="00DE27B9" w:rsidRPr="00DE27B9">
        <w:rPr>
          <w:rStyle w:val="eop"/>
          <w:rFonts w:cs="Calibri" w:hint="eastAsia"/>
          <w:lang w:eastAsia="zh-CN"/>
        </w:rPr>
        <w:t>特别</w:t>
      </w:r>
      <w:r>
        <w:rPr>
          <w:rStyle w:val="eop"/>
          <w:rFonts w:cs="Calibri" w:hint="eastAsia"/>
          <w:lang w:eastAsia="zh-CN"/>
        </w:rPr>
        <w:t>举措</w:t>
      </w:r>
      <w:r w:rsidR="00DE27B9" w:rsidRPr="00DE27B9">
        <w:rPr>
          <w:rStyle w:val="eop"/>
          <w:rFonts w:cs="Calibri" w:hint="eastAsia"/>
          <w:lang w:eastAsia="zh-CN"/>
        </w:rPr>
        <w:t>的</w:t>
      </w:r>
      <w:hyperlink r:id="rId18">
        <w:r w:rsidRPr="46F787F5">
          <w:rPr>
            <w:rStyle w:val="Hyperlink"/>
            <w:rFonts w:cs="Calibri"/>
            <w:lang w:eastAsia="zh-CN"/>
          </w:rPr>
          <w:t>TDAG-23/14</w:t>
        </w:r>
      </w:hyperlink>
      <w:r>
        <w:rPr>
          <w:rStyle w:val="eop"/>
          <w:rFonts w:cs="Calibri" w:hint="eastAsia"/>
          <w:lang w:eastAsia="zh-CN"/>
        </w:rPr>
        <w:t>号文件</w:t>
      </w:r>
      <w:r w:rsidR="00DE27B9" w:rsidRPr="00DE27B9">
        <w:rPr>
          <w:rStyle w:val="eop"/>
          <w:rFonts w:cs="Calibri" w:hint="eastAsia"/>
          <w:lang w:eastAsia="zh-CN"/>
        </w:rPr>
        <w:t>、关于伙伴关系的</w:t>
      </w:r>
      <w:hyperlink r:id="rId19">
        <w:r w:rsidRPr="46F787F5">
          <w:rPr>
            <w:rStyle w:val="Hyperlink"/>
            <w:lang w:eastAsia="zh-CN"/>
          </w:rPr>
          <w:t>TDAG-23/INF/1</w:t>
        </w:r>
      </w:hyperlink>
      <w:r>
        <w:rPr>
          <w:rStyle w:val="eop"/>
          <w:rFonts w:cs="Calibri" w:hint="eastAsia"/>
          <w:lang w:eastAsia="zh-CN"/>
        </w:rPr>
        <w:t>号文件</w:t>
      </w:r>
      <w:r w:rsidR="00DE27B9" w:rsidRPr="00DE27B9">
        <w:rPr>
          <w:rStyle w:val="eop"/>
          <w:rFonts w:cs="Calibri" w:hint="eastAsia"/>
          <w:lang w:eastAsia="zh-CN"/>
        </w:rPr>
        <w:t>以及</w:t>
      </w:r>
      <w:hyperlink r:id="rId20" w:history="1">
        <w:r w:rsidR="00DE27B9" w:rsidRPr="003566D2">
          <w:rPr>
            <w:rStyle w:val="Hyperlink"/>
            <w:rFonts w:cs="Calibri" w:hint="eastAsia"/>
            <w:lang w:eastAsia="zh-CN"/>
          </w:rPr>
          <w:t>ITU-T</w:t>
        </w:r>
        <w:r w:rsidR="00DE27B9" w:rsidRPr="003566D2">
          <w:rPr>
            <w:rStyle w:val="Hyperlink"/>
            <w:rFonts w:cs="Calibri" w:hint="eastAsia"/>
            <w:lang w:eastAsia="zh-CN"/>
          </w:rPr>
          <w:t>谅解备忘录和合作协议</w:t>
        </w:r>
      </w:hyperlink>
      <w:r w:rsidR="00DE27B9" w:rsidRPr="00DE27B9">
        <w:rPr>
          <w:rStyle w:val="eop"/>
          <w:rFonts w:cs="Calibri" w:hint="eastAsia"/>
          <w:lang w:eastAsia="zh-CN"/>
        </w:rPr>
        <w:t>），但秘书长认为：它们对</w:t>
      </w:r>
      <w:r>
        <w:rPr>
          <w:rStyle w:val="eop"/>
          <w:rFonts w:cs="Calibri" w:hint="eastAsia"/>
          <w:lang w:eastAsia="zh-CN"/>
        </w:rPr>
        <w:t>国际电联</w:t>
      </w:r>
      <w:r w:rsidR="00DE27B9" w:rsidRPr="00DE27B9">
        <w:rPr>
          <w:rStyle w:val="eop"/>
          <w:rFonts w:cs="Calibri" w:hint="eastAsia"/>
          <w:lang w:eastAsia="zh-CN"/>
        </w:rPr>
        <w:t>具有战略价值。因此，</w:t>
      </w:r>
      <w:r>
        <w:rPr>
          <w:rStyle w:val="eop"/>
          <w:rFonts w:cs="Calibri" w:hint="eastAsia"/>
          <w:lang w:eastAsia="zh-CN"/>
        </w:rPr>
        <w:t>宜</w:t>
      </w:r>
      <w:r w:rsidR="00DE27B9" w:rsidRPr="00DE27B9">
        <w:rPr>
          <w:rStyle w:val="eop"/>
          <w:rFonts w:cs="Calibri" w:hint="eastAsia"/>
          <w:lang w:eastAsia="zh-CN"/>
        </w:rPr>
        <w:t>提请理事会注意这些信息。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263"/>
        <w:gridCol w:w="1676"/>
        <w:gridCol w:w="3137"/>
        <w:gridCol w:w="2275"/>
      </w:tblGrid>
      <w:tr w:rsidR="00A31A79" w:rsidRPr="00B54702" w14:paraId="3EBEAC0E" w14:textId="77777777" w:rsidTr="00EA3B67">
        <w:trPr>
          <w:trHeight w:val="300"/>
        </w:trPr>
        <w:tc>
          <w:tcPr>
            <w:tcW w:w="2263" w:type="dxa"/>
            <w:noWrap/>
          </w:tcPr>
          <w:bookmarkEnd w:id="8"/>
          <w:bookmarkEnd w:id="9"/>
          <w:p w14:paraId="450530FE" w14:textId="42B5EADE" w:rsidR="00A31A79" w:rsidRPr="00C6595E" w:rsidRDefault="00A540C1" w:rsidP="007F1724">
            <w:pPr>
              <w:pStyle w:val="Tablehead"/>
              <w:rPr>
                <w:rFonts w:asciiTheme="minorHAnsi" w:hAnsiTheme="minorHAnsi" w:cstheme="minorHAnsi"/>
              </w:rPr>
            </w:pPr>
            <w:r>
              <w:rPr>
                <w:rFonts w:eastAsia="SimSun" w:hint="eastAsia"/>
                <w:lang w:eastAsia="zh-CN"/>
              </w:rPr>
              <w:t>对口部门</w:t>
            </w:r>
          </w:p>
        </w:tc>
        <w:tc>
          <w:tcPr>
            <w:tcW w:w="1676" w:type="dxa"/>
          </w:tcPr>
          <w:p w14:paraId="733557CA" w14:textId="1A4B6E97" w:rsidR="00A31A79" w:rsidRPr="00C6595E" w:rsidRDefault="00A540C1" w:rsidP="007F1724">
            <w:pPr>
              <w:pStyle w:val="Tablehead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eastAsia="SimSun" w:hint="eastAsia"/>
                <w:color w:val="000000"/>
                <w:szCs w:val="24"/>
                <w:lang w:eastAsia="zh-CN"/>
              </w:rPr>
              <w:t>国家</w:t>
            </w:r>
          </w:p>
        </w:tc>
        <w:tc>
          <w:tcPr>
            <w:tcW w:w="3137" w:type="dxa"/>
          </w:tcPr>
          <w:p w14:paraId="6075D738" w14:textId="3A04907C" w:rsidR="00A31A79" w:rsidRPr="00C6595E" w:rsidRDefault="00A31A79" w:rsidP="007F1724">
            <w:pPr>
              <w:pStyle w:val="Tablehead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6595E">
              <w:rPr>
                <w:rFonts w:asciiTheme="minorHAnsi" w:hAnsiTheme="minorHAnsi" w:cstheme="minorHAnsi"/>
                <w:color w:val="000000"/>
                <w:szCs w:val="24"/>
              </w:rPr>
              <w:t>Subject/</w:t>
            </w:r>
            <w:r w:rsidR="00A540C1">
              <w:rPr>
                <w:rFonts w:eastAsia="SimSun" w:hint="eastAsia"/>
                <w:color w:val="000000"/>
                <w:szCs w:val="24"/>
                <w:lang w:eastAsia="zh-CN"/>
              </w:rPr>
              <w:t>协议名称</w:t>
            </w:r>
          </w:p>
        </w:tc>
        <w:tc>
          <w:tcPr>
            <w:tcW w:w="2275" w:type="dxa"/>
          </w:tcPr>
          <w:p w14:paraId="23CE5C7B" w14:textId="5BE34CC2" w:rsidR="00A31A79" w:rsidRPr="00C6595E" w:rsidRDefault="006B586E" w:rsidP="007F1724">
            <w:pPr>
              <w:pStyle w:val="Tablehead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eastAsia="SimSun" w:hint="eastAsia"/>
                <w:color w:val="000000"/>
                <w:szCs w:val="24"/>
                <w:lang w:eastAsia="zh-CN"/>
              </w:rPr>
              <w:t>局</w:t>
            </w:r>
            <w:r w:rsidR="00A31A79" w:rsidRPr="00C6595E">
              <w:rPr>
                <w:rFonts w:asciiTheme="minorHAnsi" w:hAnsiTheme="minorHAnsi" w:cstheme="minorHAnsi"/>
                <w:color w:val="000000"/>
                <w:szCs w:val="24"/>
              </w:rPr>
              <w:t>/</w:t>
            </w:r>
            <w:r>
              <w:rPr>
                <w:rFonts w:eastAsia="SimSun" w:hint="eastAsia"/>
                <w:color w:val="000000"/>
                <w:szCs w:val="24"/>
                <w:lang w:eastAsia="zh-CN"/>
              </w:rPr>
              <w:t>部门</w:t>
            </w:r>
          </w:p>
        </w:tc>
      </w:tr>
      <w:tr w:rsidR="00A31A79" w:rsidRPr="00B54702" w14:paraId="446BF4A2" w14:textId="77777777" w:rsidTr="00EA3B67">
        <w:trPr>
          <w:trHeight w:val="300"/>
        </w:trPr>
        <w:tc>
          <w:tcPr>
            <w:tcW w:w="2263" w:type="dxa"/>
            <w:noWrap/>
            <w:hideMark/>
          </w:tcPr>
          <w:p w14:paraId="33DB78F7" w14:textId="578A21D1" w:rsidR="00A31A79" w:rsidRPr="00B54702" w:rsidRDefault="00A540C1" w:rsidP="007F1724">
            <w:pPr>
              <w:pStyle w:val="Tabletext"/>
              <w:rPr>
                <w:rFonts w:asciiTheme="minorHAnsi" w:hAnsiTheme="minorHAnsi" w:cstheme="minorHAnsi"/>
              </w:rPr>
            </w:pPr>
            <w:r w:rsidRPr="00A540C1">
              <w:rPr>
                <w:rStyle w:val="eop"/>
                <w:rFonts w:eastAsia="SimSun" w:cs="Calibri" w:hint="eastAsia"/>
                <w:lang w:eastAsia="zh-CN"/>
              </w:rPr>
              <w:t>联邦外交部</w:t>
            </w:r>
          </w:p>
        </w:tc>
        <w:tc>
          <w:tcPr>
            <w:tcW w:w="1676" w:type="dxa"/>
          </w:tcPr>
          <w:p w14:paraId="05BC7A72" w14:textId="2086D5B3" w:rsidR="00A31A79" w:rsidRPr="00B54702" w:rsidRDefault="00A540C1" w:rsidP="007F1724">
            <w:pPr>
              <w:pStyle w:val="Tabletext"/>
              <w:rPr>
                <w:rFonts w:asciiTheme="minorHAnsi" w:hAnsiTheme="minorHAnsi" w:cstheme="minorHAnsi"/>
                <w:szCs w:val="24"/>
                <w:lang w:eastAsia="en-AU"/>
              </w:rPr>
            </w:pPr>
            <w:r>
              <w:rPr>
                <w:rFonts w:ascii="SimSun" w:eastAsia="SimSun" w:hAnsi="SimSun" w:cs="SimSun" w:hint="eastAsia"/>
                <w:color w:val="000000"/>
                <w:szCs w:val="24"/>
                <w:lang w:eastAsia="zh-CN"/>
              </w:rPr>
              <w:t>瑞士</w:t>
            </w:r>
          </w:p>
        </w:tc>
        <w:tc>
          <w:tcPr>
            <w:tcW w:w="3137" w:type="dxa"/>
          </w:tcPr>
          <w:p w14:paraId="2AB20B4E" w14:textId="6BA42DE7" w:rsidR="00A31A79" w:rsidRPr="00B54702" w:rsidRDefault="00085327" w:rsidP="007F1724">
            <w:pPr>
              <w:pStyle w:val="Tabletext"/>
              <w:rPr>
                <w:rFonts w:asciiTheme="minorHAnsi" w:hAnsiTheme="minorHAnsi" w:cstheme="minorHAnsi"/>
                <w:szCs w:val="24"/>
                <w:lang w:eastAsia="zh-CN"/>
              </w:rPr>
            </w:pPr>
            <w:hyperlink r:id="rId21" w:history="1">
              <w:r w:rsidR="00DE27B9" w:rsidRPr="00A540C1">
                <w:rPr>
                  <w:rStyle w:val="Hyperlink"/>
                  <w:rFonts w:eastAsia="SimSun" w:cs="Calibri"/>
                  <w:lang w:eastAsia="zh-CN"/>
                </w:rPr>
                <w:t>Giga</w:t>
              </w:r>
              <w:r w:rsidR="00A540C1" w:rsidRPr="00A540C1">
                <w:rPr>
                  <w:rStyle w:val="Hyperlink"/>
                  <w:rFonts w:eastAsia="SimSun" w:cs="Calibri"/>
                  <w:lang w:eastAsia="zh-CN"/>
                </w:rPr>
                <w:t>举措</w:t>
              </w:r>
              <w:r w:rsidR="00A540C1" w:rsidRPr="00A540C1">
                <w:rPr>
                  <w:rStyle w:val="Hyperlink"/>
                  <w:rFonts w:eastAsia="SimSun" w:cs="Calibri" w:hint="eastAsia"/>
                  <w:lang w:eastAsia="zh-CN"/>
                </w:rPr>
                <w:t>-</w:t>
              </w:r>
              <w:r w:rsidR="00A540C1" w:rsidRPr="00A540C1">
                <w:rPr>
                  <w:rStyle w:val="Hyperlink"/>
                  <w:rFonts w:eastAsia="SimSun" w:cs="Calibri" w:hint="eastAsia"/>
                  <w:lang w:eastAsia="zh-CN"/>
                </w:rPr>
                <w:t>在</w:t>
              </w:r>
              <w:r w:rsidR="00A540C1" w:rsidRPr="00A540C1">
                <w:rPr>
                  <w:rStyle w:val="Hyperlink"/>
                  <w:rFonts w:eastAsia="SimSun" w:cs="Calibri"/>
                  <w:lang w:eastAsia="zh-CN"/>
                </w:rPr>
                <w:t>日内瓦设立</w:t>
              </w:r>
              <w:r w:rsidR="00DE27B9" w:rsidRPr="00A540C1">
                <w:rPr>
                  <w:rStyle w:val="Hyperlink"/>
                  <w:rFonts w:eastAsia="SimSun" w:cs="Calibri"/>
                  <w:lang w:eastAsia="zh-CN"/>
                </w:rPr>
                <w:t>全球秘书处</w:t>
              </w:r>
            </w:hyperlink>
          </w:p>
        </w:tc>
        <w:tc>
          <w:tcPr>
            <w:tcW w:w="2275" w:type="dxa"/>
          </w:tcPr>
          <w:p w14:paraId="0B688967" w14:textId="77777777" w:rsidR="00A31A79" w:rsidRPr="00B54702" w:rsidRDefault="00A31A79" w:rsidP="007F1724">
            <w:pPr>
              <w:pStyle w:val="Tabletext"/>
              <w:rPr>
                <w:rFonts w:asciiTheme="minorHAnsi" w:hAnsiTheme="minorHAnsi" w:cstheme="minorHAnsi"/>
                <w:szCs w:val="24"/>
                <w:lang w:eastAsia="en-AU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GS/</w:t>
            </w:r>
            <w:r w:rsidRPr="00B54702">
              <w:rPr>
                <w:rFonts w:asciiTheme="minorHAnsi" w:hAnsiTheme="minorHAnsi" w:cstheme="minorHAnsi"/>
                <w:color w:val="000000"/>
                <w:szCs w:val="24"/>
              </w:rPr>
              <w:t>BDT</w:t>
            </w:r>
          </w:p>
        </w:tc>
      </w:tr>
      <w:tr w:rsidR="00A31A79" w:rsidRPr="00B54702" w14:paraId="386587DE" w14:textId="77777777" w:rsidTr="00EA3B67">
        <w:trPr>
          <w:trHeight w:val="300"/>
        </w:trPr>
        <w:tc>
          <w:tcPr>
            <w:tcW w:w="2263" w:type="dxa"/>
            <w:noWrap/>
            <w:hideMark/>
          </w:tcPr>
          <w:p w14:paraId="7C94B7E0" w14:textId="77777777" w:rsidR="00A31A79" w:rsidRPr="00B54702" w:rsidRDefault="00A31A79" w:rsidP="007F1724">
            <w:pPr>
              <w:pStyle w:val="Tabletext"/>
              <w:rPr>
                <w:rFonts w:asciiTheme="minorHAnsi" w:hAnsiTheme="minorHAnsi" w:cstheme="minorHAnsi"/>
              </w:rPr>
            </w:pPr>
            <w:r w:rsidRPr="00B54702">
              <w:rPr>
                <w:rFonts w:asciiTheme="minorHAnsi" w:hAnsiTheme="minorHAnsi" w:cstheme="minorHAnsi"/>
              </w:rPr>
              <w:t>ETSI</w:t>
            </w:r>
          </w:p>
        </w:tc>
        <w:tc>
          <w:tcPr>
            <w:tcW w:w="1676" w:type="dxa"/>
          </w:tcPr>
          <w:p w14:paraId="705F0216" w14:textId="61405FDA" w:rsidR="00A31A79" w:rsidRPr="00B54702" w:rsidRDefault="00A540C1" w:rsidP="007F1724">
            <w:pPr>
              <w:pStyle w:val="Tabletext"/>
              <w:rPr>
                <w:rFonts w:asciiTheme="minorHAnsi" w:hAnsiTheme="minorHAnsi" w:cstheme="minorHAnsi"/>
                <w:szCs w:val="24"/>
                <w:lang w:eastAsia="en-AU"/>
              </w:rPr>
            </w:pPr>
            <w:r>
              <w:rPr>
                <w:rFonts w:ascii="SimSun" w:eastAsia="SimSun" w:hAnsi="SimSun" w:cs="SimSun" w:hint="eastAsia"/>
                <w:color w:val="000000"/>
                <w:szCs w:val="24"/>
                <w:lang w:eastAsia="zh-CN"/>
              </w:rPr>
              <w:t>法国</w:t>
            </w:r>
          </w:p>
        </w:tc>
        <w:tc>
          <w:tcPr>
            <w:tcW w:w="3137" w:type="dxa"/>
          </w:tcPr>
          <w:p w14:paraId="07DFED9F" w14:textId="0E32C733" w:rsidR="00A31A79" w:rsidRPr="00B54702" w:rsidRDefault="00085327" w:rsidP="007F1724">
            <w:pPr>
              <w:pStyle w:val="Tabletext"/>
              <w:rPr>
                <w:rFonts w:asciiTheme="minorHAnsi" w:hAnsiTheme="minorHAnsi" w:cstheme="minorHAnsi"/>
                <w:szCs w:val="24"/>
                <w:lang w:eastAsia="zh-CN"/>
              </w:rPr>
            </w:pPr>
            <w:hyperlink r:id="rId22" w:history="1">
              <w:r w:rsidR="00DE27B9" w:rsidRPr="00A540C1">
                <w:rPr>
                  <w:rStyle w:val="Hyperlink"/>
                  <w:rFonts w:eastAsia="SimSun" w:cs="Calibri" w:hint="eastAsia"/>
                  <w:lang w:eastAsia="zh-CN"/>
                </w:rPr>
                <w:t xml:space="preserve">MoU ETSI </w:t>
              </w:r>
              <w:r w:rsidR="000A7560" w:rsidRPr="000A7560">
                <w:rPr>
                  <w:rStyle w:val="Hyperlink"/>
                  <w:rFonts w:cs="Calibri"/>
                  <w:lang w:eastAsia="zh-CN"/>
                </w:rPr>
                <w:t>–</w:t>
              </w:r>
              <w:r w:rsidR="00DE27B9" w:rsidRPr="00A540C1">
                <w:rPr>
                  <w:rStyle w:val="Hyperlink"/>
                  <w:rFonts w:eastAsia="SimSun" w:cs="Calibri" w:hint="eastAsia"/>
                  <w:lang w:eastAsia="zh-CN"/>
                </w:rPr>
                <w:t xml:space="preserve"> </w:t>
              </w:r>
              <w:r w:rsidR="00DE27B9" w:rsidRPr="00A540C1">
                <w:rPr>
                  <w:rStyle w:val="Hyperlink"/>
                  <w:rFonts w:eastAsia="SimSun" w:cs="Calibri" w:hint="eastAsia"/>
                  <w:lang w:eastAsia="zh-CN"/>
                </w:rPr>
                <w:t>加强技术标准化活动的信息交流与合作</w:t>
              </w:r>
            </w:hyperlink>
          </w:p>
        </w:tc>
        <w:tc>
          <w:tcPr>
            <w:tcW w:w="2275" w:type="dxa"/>
          </w:tcPr>
          <w:p w14:paraId="34ABA855" w14:textId="77777777" w:rsidR="00A31A79" w:rsidRPr="00B54702" w:rsidRDefault="00A31A79" w:rsidP="007F1724">
            <w:pPr>
              <w:pStyle w:val="Tabletext"/>
              <w:rPr>
                <w:rFonts w:asciiTheme="minorHAnsi" w:hAnsiTheme="minorHAnsi"/>
                <w:lang w:eastAsia="en-AU"/>
              </w:rPr>
            </w:pPr>
            <w:r w:rsidRPr="39DA11AB">
              <w:rPr>
                <w:rFonts w:asciiTheme="minorHAnsi" w:hAnsiTheme="minorHAnsi"/>
                <w:color w:val="000000" w:themeColor="text1"/>
              </w:rPr>
              <w:t>TSB</w:t>
            </w:r>
            <w:r>
              <w:rPr>
                <w:rFonts w:asciiTheme="minorHAnsi" w:hAnsiTheme="minorHAnsi"/>
                <w:color w:val="000000" w:themeColor="text1"/>
              </w:rPr>
              <w:t>/BR</w:t>
            </w:r>
          </w:p>
        </w:tc>
      </w:tr>
    </w:tbl>
    <w:p w14:paraId="2A1A11F6" w14:textId="1DCAD332" w:rsidR="00A31A79" w:rsidRPr="00A961C6" w:rsidRDefault="00A961C6" w:rsidP="00A961C6">
      <w:pPr>
        <w:pStyle w:val="Heading1"/>
        <w:rPr>
          <w:lang w:eastAsia="zh-CN"/>
        </w:rPr>
      </w:pPr>
      <w:r>
        <w:rPr>
          <w:rStyle w:val="normaltextrun"/>
          <w:rFonts w:ascii="SimSun" w:hAnsi="SimSun" w:cs="SimSun"/>
          <w:bCs/>
          <w:lang w:eastAsia="zh-CN"/>
        </w:rPr>
        <w:t>4</w:t>
      </w:r>
      <w:r>
        <w:rPr>
          <w:rStyle w:val="normaltextrun"/>
          <w:rFonts w:ascii="SimSun" w:hAnsi="SimSun" w:cs="SimSun"/>
          <w:bCs/>
          <w:lang w:eastAsia="zh-CN"/>
        </w:rPr>
        <w:tab/>
      </w:r>
      <w:r w:rsidR="006B586E" w:rsidRPr="00A961C6">
        <w:rPr>
          <w:rFonts w:hint="eastAsia"/>
          <w:lang w:eastAsia="zh-CN"/>
        </w:rPr>
        <w:t>有关以往</w:t>
      </w:r>
      <w:r w:rsidR="00DE27B9" w:rsidRPr="00A961C6">
        <w:rPr>
          <w:rFonts w:hint="eastAsia"/>
          <w:lang w:eastAsia="zh-CN"/>
        </w:rPr>
        <w:t>谅解备忘录</w:t>
      </w:r>
      <w:r w:rsidR="006B586E" w:rsidRPr="00A961C6">
        <w:rPr>
          <w:rFonts w:hint="eastAsia"/>
          <w:lang w:eastAsia="zh-CN"/>
        </w:rPr>
        <w:t>的</w:t>
      </w:r>
      <w:r w:rsidR="00DE27B9" w:rsidRPr="00A961C6">
        <w:rPr>
          <w:rFonts w:hint="eastAsia"/>
          <w:lang w:eastAsia="zh-CN"/>
        </w:rPr>
        <w:t>信息概览</w:t>
      </w:r>
    </w:p>
    <w:p w14:paraId="452FDAB1" w14:textId="2C1A96A1" w:rsidR="00A31A79" w:rsidRDefault="00DE27B9" w:rsidP="00A961C6">
      <w:pPr>
        <w:pStyle w:val="paragraph"/>
        <w:spacing w:before="0" w:beforeAutospacing="0" w:after="0" w:afterAutospacing="0"/>
        <w:ind w:firstLineChars="200" w:firstLine="480"/>
        <w:jc w:val="both"/>
        <w:textAlignment w:val="baseline"/>
        <w:rPr>
          <w:rStyle w:val="eop"/>
          <w:rFonts w:ascii="Calibri" w:hAnsi="Calibri" w:cs="Calibri"/>
          <w:szCs w:val="20"/>
          <w:lang w:val="en-GB" w:eastAsia="zh-CN"/>
        </w:rPr>
      </w:pPr>
      <w:r w:rsidRPr="006B586E">
        <w:rPr>
          <w:rStyle w:val="eop"/>
          <w:rFonts w:ascii="Calibri" w:eastAsia="SimSun" w:hAnsi="Calibri" w:cs="Calibri" w:hint="eastAsia"/>
          <w:szCs w:val="20"/>
          <w:lang w:val="en-GB" w:eastAsia="zh-CN"/>
        </w:rPr>
        <w:t>以下链接提供了一个新的</w:t>
      </w:r>
      <w:r w:rsidR="006B586E" w:rsidRPr="006B586E">
        <w:rPr>
          <w:rStyle w:val="eop"/>
          <w:rFonts w:ascii="Calibri" w:eastAsia="SimSun" w:hAnsi="Calibri" w:cs="Calibri" w:hint="eastAsia"/>
          <w:szCs w:val="20"/>
          <w:lang w:val="en-GB" w:eastAsia="zh-CN"/>
        </w:rPr>
        <w:t>信息概览</w:t>
      </w:r>
      <w:r w:rsidRPr="006B586E">
        <w:rPr>
          <w:rStyle w:val="eop"/>
          <w:rFonts w:ascii="Calibri" w:eastAsia="SimSun" w:hAnsi="Calibri" w:cs="Calibri" w:hint="eastAsia"/>
          <w:szCs w:val="20"/>
          <w:lang w:val="en-GB" w:eastAsia="zh-CN"/>
        </w:rPr>
        <w:t>，其中包含</w:t>
      </w:r>
      <w:r w:rsidR="006B586E">
        <w:rPr>
          <w:rStyle w:val="eop"/>
          <w:rFonts w:ascii="Calibri" w:eastAsia="SimSun" w:hAnsi="Calibri" w:cs="Calibri" w:hint="eastAsia"/>
          <w:szCs w:val="20"/>
          <w:lang w:val="en-GB" w:eastAsia="zh-CN"/>
        </w:rPr>
        <w:t>了</w:t>
      </w:r>
      <w:r w:rsidRPr="006B586E">
        <w:rPr>
          <w:rStyle w:val="eop"/>
          <w:rFonts w:ascii="Calibri" w:eastAsia="SimSun" w:hAnsi="Calibri" w:cs="Calibri" w:hint="eastAsia"/>
          <w:szCs w:val="20"/>
          <w:lang w:val="en-GB" w:eastAsia="zh-CN"/>
        </w:rPr>
        <w:t>2008</w:t>
      </w:r>
      <w:r w:rsidRPr="006B586E">
        <w:rPr>
          <w:rStyle w:val="eop"/>
          <w:rFonts w:ascii="Calibri" w:eastAsia="SimSun" w:hAnsi="Calibri" w:cs="Calibri" w:hint="eastAsia"/>
          <w:szCs w:val="20"/>
          <w:lang w:val="en-GB" w:eastAsia="zh-CN"/>
        </w:rPr>
        <w:t>年至</w:t>
      </w:r>
      <w:r w:rsidRPr="006B586E">
        <w:rPr>
          <w:rStyle w:val="eop"/>
          <w:rFonts w:ascii="Calibri" w:eastAsia="SimSun" w:hAnsi="Calibri" w:cs="Calibri" w:hint="eastAsia"/>
          <w:szCs w:val="20"/>
          <w:lang w:val="en-GB" w:eastAsia="zh-CN"/>
        </w:rPr>
        <w:t>2021</w:t>
      </w:r>
      <w:r w:rsidRPr="006B586E">
        <w:rPr>
          <w:rStyle w:val="eop"/>
          <w:rFonts w:ascii="Calibri" w:eastAsia="SimSun" w:hAnsi="Calibri" w:cs="Calibri" w:hint="eastAsia"/>
          <w:szCs w:val="20"/>
          <w:lang w:val="en-GB" w:eastAsia="zh-CN"/>
        </w:rPr>
        <w:t>年间提请理事会注意的谅解备忘录</w:t>
      </w:r>
      <w:r w:rsidR="006B586E">
        <w:rPr>
          <w:rStyle w:val="eop"/>
          <w:rFonts w:ascii="Calibri" w:eastAsia="SimSun" w:hAnsi="Calibri" w:cs="Calibri" w:hint="eastAsia"/>
          <w:szCs w:val="20"/>
          <w:lang w:val="en-GB" w:eastAsia="zh-CN"/>
        </w:rPr>
        <w:t>的详细</w:t>
      </w:r>
      <w:r w:rsidRPr="006B586E">
        <w:rPr>
          <w:rStyle w:val="eop"/>
          <w:rFonts w:ascii="Calibri" w:eastAsia="SimSun" w:hAnsi="Calibri" w:cs="Calibri" w:hint="eastAsia"/>
          <w:szCs w:val="20"/>
          <w:lang w:val="en-GB" w:eastAsia="zh-CN"/>
        </w:rPr>
        <w:t>实施情况：</w:t>
      </w:r>
    </w:p>
    <w:p w14:paraId="57E58759" w14:textId="1B5CB893" w:rsidR="00A31A79" w:rsidRDefault="00085327" w:rsidP="00A961C6">
      <w:pPr>
        <w:pStyle w:val="paragraph"/>
        <w:spacing w:before="0" w:beforeAutospacing="0" w:after="0" w:afterAutospacing="0"/>
        <w:ind w:firstLineChars="200" w:firstLine="480"/>
        <w:jc w:val="both"/>
        <w:textAlignment w:val="baseline"/>
        <w:rPr>
          <w:rStyle w:val="eop"/>
          <w:rFonts w:ascii="Calibri" w:hAnsi="Calibri" w:cs="Calibri"/>
          <w:szCs w:val="20"/>
          <w:lang w:val="en-GB" w:eastAsia="en-US"/>
        </w:rPr>
      </w:pPr>
      <w:hyperlink r:id="rId23" w:history="1">
        <w:r w:rsidR="00A31A79" w:rsidRPr="00117305">
          <w:rPr>
            <w:rStyle w:val="Hyperlink"/>
            <w:rFonts w:cs="Calibri"/>
            <w:szCs w:val="20"/>
            <w:lang w:val="en-GB" w:eastAsia="en-US"/>
          </w:rPr>
          <w:t>https://www.itu.int/en/council/ties/Documents/2023/MoUs/dashboard-MoUs-2008-2021.docx</w:t>
        </w:r>
      </w:hyperlink>
      <w:r w:rsidR="006B586E">
        <w:rPr>
          <w:rStyle w:val="eop"/>
          <w:rFonts w:ascii="Calibri" w:eastAsia="SimSun" w:hAnsi="Calibri" w:cs="Calibri" w:hint="eastAsia"/>
          <w:szCs w:val="20"/>
          <w:lang w:val="en-GB" w:eastAsia="zh-CN"/>
        </w:rPr>
        <w:t>。</w:t>
      </w:r>
    </w:p>
    <w:p w14:paraId="1B865360" w14:textId="77777777" w:rsidR="00A31A79" w:rsidRPr="00B055C2" w:rsidRDefault="00A31A79" w:rsidP="00A31A79">
      <w:pPr>
        <w:pStyle w:val="paragraph"/>
        <w:spacing w:before="840" w:beforeAutospacing="0" w:after="0" w:afterAutospacing="0"/>
        <w:jc w:val="center"/>
        <w:textAlignment w:val="baseline"/>
        <w:rPr>
          <w:rStyle w:val="eop"/>
          <w:rFonts w:ascii="Calibri" w:hAnsi="Calibri" w:cs="Calibri"/>
          <w:szCs w:val="20"/>
          <w:lang w:val="en-GB" w:eastAsia="en-US"/>
        </w:rPr>
      </w:pPr>
      <w:r w:rsidRPr="00B055C2">
        <w:rPr>
          <w:rStyle w:val="eop"/>
          <w:rFonts w:ascii="Calibri" w:hAnsi="Calibri" w:cs="Calibri"/>
          <w:szCs w:val="20"/>
          <w:lang w:val="en-GB" w:eastAsia="en-US"/>
        </w:rPr>
        <w:t>_____________</w:t>
      </w:r>
    </w:p>
    <w:sectPr w:rsidR="00A31A79" w:rsidRPr="00B055C2" w:rsidSect="00E24D5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89BA0" w14:textId="77777777" w:rsidR="009F249F" w:rsidRDefault="009F249F">
      <w:r>
        <w:separator/>
      </w:r>
    </w:p>
  </w:endnote>
  <w:endnote w:type="continuationSeparator" w:id="0">
    <w:p w14:paraId="68910C0E" w14:textId="77777777" w:rsidR="009F249F" w:rsidRDefault="009F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01EC9" w14:textId="77777777" w:rsidR="00A31A79" w:rsidRDefault="00A31A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24D59" w:rsidRPr="00784011" w14:paraId="1BCF9936" w14:textId="77777777" w:rsidTr="00E31DCE">
      <w:trPr>
        <w:jc w:val="center"/>
      </w:trPr>
      <w:tc>
        <w:tcPr>
          <w:tcW w:w="1803" w:type="dxa"/>
          <w:vAlign w:val="center"/>
        </w:tcPr>
        <w:p w14:paraId="27469BF9" w14:textId="5CD64F0A" w:rsidR="005A344D" w:rsidRPr="005A344D" w:rsidRDefault="00E24D59" w:rsidP="005A344D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DPS </w:t>
          </w:r>
          <w:r w:rsidR="005A344D" w:rsidRPr="005A344D">
            <w:rPr>
              <w:noProof/>
              <w:lang w:val="en-GB"/>
            </w:rPr>
            <w:t>52</w:t>
          </w:r>
          <w:r w:rsidR="00A31A79">
            <w:rPr>
              <w:noProof/>
              <w:lang w:val="en-GB"/>
            </w:rPr>
            <w:t>1079</w:t>
          </w:r>
        </w:p>
        <w:p w14:paraId="58D30B43" w14:textId="7D53FE85" w:rsidR="00E24D59" w:rsidRDefault="00E24D59" w:rsidP="00E24D59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3363EEDE" w14:textId="49FB6730" w:rsidR="00E24D59" w:rsidRPr="00E06FD5" w:rsidRDefault="00E24D59" w:rsidP="00E24D59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23</w:t>
          </w:r>
          <w:r w:rsidRPr="00623AE3">
            <w:rPr>
              <w:bCs/>
            </w:rPr>
            <w:t>/</w:t>
          </w:r>
          <w:r w:rsidR="00A31A79">
            <w:rPr>
              <w:bCs/>
            </w:rPr>
            <w:t>4</w:t>
          </w:r>
          <w:r w:rsidR="005A344D">
            <w:rPr>
              <w:bCs/>
            </w:rPr>
            <w:t>5</w:t>
          </w:r>
          <w:r w:rsidRPr="00623AE3">
            <w:rPr>
              <w:bCs/>
            </w:rPr>
            <w:t>-</w:t>
          </w:r>
          <w:r>
            <w:rPr>
              <w:bCs/>
            </w:rPr>
            <w:t>C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063568F0" w14:textId="1B144230" w:rsidR="00B40A53" w:rsidRPr="00E24D59" w:rsidRDefault="00B40A53" w:rsidP="00A639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24D59" w:rsidRPr="00784011" w14:paraId="5F1A407F" w14:textId="77777777" w:rsidTr="00E31DCE">
      <w:trPr>
        <w:jc w:val="center"/>
      </w:trPr>
      <w:tc>
        <w:tcPr>
          <w:tcW w:w="1803" w:type="dxa"/>
          <w:vAlign w:val="center"/>
        </w:tcPr>
        <w:p w14:paraId="33D8478E" w14:textId="77777777" w:rsidR="00E24D59" w:rsidRDefault="00085327" w:rsidP="00E24D59">
          <w:pPr>
            <w:pStyle w:val="Header"/>
            <w:jc w:val="left"/>
            <w:rPr>
              <w:noProof/>
            </w:rPr>
          </w:pPr>
          <w:hyperlink r:id="rId1" w:history="1">
            <w:r w:rsidR="00E24D59" w:rsidRPr="00A514A4">
              <w:rPr>
                <w:rStyle w:val="Hyperlink"/>
                <w:szCs w:val="14"/>
              </w:rPr>
              <w:t>www.itu.int/council</w:t>
            </w:r>
          </w:hyperlink>
        </w:p>
      </w:tc>
      <w:tc>
        <w:tcPr>
          <w:tcW w:w="8261" w:type="dxa"/>
        </w:tcPr>
        <w:p w14:paraId="0B3DDB7F" w14:textId="0E39B5F3" w:rsidR="00E24D59" w:rsidRPr="00E06FD5" w:rsidRDefault="00E24D59" w:rsidP="00E24D59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23</w:t>
          </w:r>
          <w:r w:rsidRPr="00623AE3">
            <w:rPr>
              <w:bCs/>
            </w:rPr>
            <w:t>/</w:t>
          </w:r>
          <w:r w:rsidR="00A31A79">
            <w:rPr>
              <w:bCs/>
            </w:rPr>
            <w:t>4</w:t>
          </w:r>
          <w:r w:rsidR="001614AD">
            <w:rPr>
              <w:bCs/>
            </w:rPr>
            <w:t>5</w:t>
          </w:r>
          <w:r w:rsidRPr="00623AE3">
            <w:rPr>
              <w:bCs/>
            </w:rPr>
            <w:t>-</w:t>
          </w:r>
          <w:r>
            <w:rPr>
              <w:bCs/>
            </w:rPr>
            <w:t>C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0D292C2B" w14:textId="77777777" w:rsidR="00AC516F" w:rsidRPr="00E24D59" w:rsidRDefault="00AC516F" w:rsidP="00E2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2BE72" w14:textId="77777777" w:rsidR="009F249F" w:rsidRDefault="009F249F">
      <w:r>
        <w:t>____________________</w:t>
      </w:r>
    </w:p>
  </w:footnote>
  <w:footnote w:type="continuationSeparator" w:id="0">
    <w:p w14:paraId="7F2E84CA" w14:textId="77777777" w:rsidR="009F249F" w:rsidRDefault="009F2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4F377" w14:textId="77777777" w:rsidR="00A31A79" w:rsidRDefault="00A31A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7B38B" w14:textId="77777777" w:rsidR="00A31A79" w:rsidRDefault="00A31A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5630"/>
    </w:tblGrid>
    <w:tr w:rsidR="00E24D59" w:rsidRPr="00784011" w14:paraId="6D258850" w14:textId="77777777" w:rsidTr="00E31DCE">
      <w:trPr>
        <w:trHeight w:val="1104"/>
        <w:jc w:val="center"/>
      </w:trPr>
      <w:tc>
        <w:tcPr>
          <w:tcW w:w="4390" w:type="dxa"/>
          <w:vAlign w:val="center"/>
        </w:tcPr>
        <w:p w14:paraId="1C0B86D1" w14:textId="77777777" w:rsidR="00E24D59" w:rsidRPr="009621F8" w:rsidRDefault="00E24D59" w:rsidP="00E24D5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10" w:name="_Hlk133422111"/>
          <w:r>
            <w:rPr>
              <w:noProof/>
            </w:rPr>
            <w:drawing>
              <wp:inline distT="0" distB="0" distL="0" distR="0" wp14:anchorId="341ED123" wp14:editId="1D49EBDB">
                <wp:extent cx="1918260" cy="539086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5064" cy="5438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013FD400" w14:textId="77777777" w:rsidR="00E24D59" w:rsidRDefault="00E24D59" w:rsidP="00E24D59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08B4AFD6" w14:textId="77777777" w:rsidR="00E24D59" w:rsidRDefault="00E24D59" w:rsidP="00E24D59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6CA6230" w14:textId="77777777" w:rsidR="00E24D59" w:rsidRPr="00784011" w:rsidRDefault="00E24D59" w:rsidP="00E24D59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0"/>
  <w:p w14:paraId="53EB6873" w14:textId="77777777" w:rsidR="00E24D59" w:rsidRDefault="00E24D59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E9F69E" wp14:editId="25A6DEDF">
              <wp:simplePos x="0" y="0"/>
              <wp:positionH relativeFrom="page">
                <wp:posOffset>22225</wp:posOffset>
              </wp:positionH>
              <wp:positionV relativeFrom="topMargin">
                <wp:posOffset>617694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B9F71D" id="Rectangle 5" o:spid="_x0000_s1026" style="position:absolute;margin-left:1.75pt;margin-top:48.65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350FA9"/>
    <w:multiLevelType w:val="hybridMultilevel"/>
    <w:tmpl w:val="D7D21A82"/>
    <w:lvl w:ilvl="0" w:tplc="1F5A1C16">
      <w:start w:val="1"/>
      <w:numFmt w:val="decimal"/>
      <w:lvlText w:val="%1."/>
      <w:lvlJc w:val="left"/>
      <w:pPr>
        <w:ind w:left="720" w:hanging="360"/>
      </w:pPr>
    </w:lvl>
    <w:lvl w:ilvl="1" w:tplc="EB26CE04" w:tentative="1">
      <w:start w:val="1"/>
      <w:numFmt w:val="lowerLetter"/>
      <w:lvlText w:val="%2."/>
      <w:lvlJc w:val="left"/>
      <w:pPr>
        <w:ind w:left="1440" w:hanging="360"/>
      </w:pPr>
    </w:lvl>
    <w:lvl w:ilvl="2" w:tplc="25ACA690" w:tentative="1">
      <w:start w:val="1"/>
      <w:numFmt w:val="lowerRoman"/>
      <w:lvlText w:val="%3."/>
      <w:lvlJc w:val="right"/>
      <w:pPr>
        <w:ind w:left="2160" w:hanging="180"/>
      </w:pPr>
    </w:lvl>
    <w:lvl w:ilvl="3" w:tplc="77126A92" w:tentative="1">
      <w:start w:val="1"/>
      <w:numFmt w:val="decimal"/>
      <w:lvlText w:val="%4."/>
      <w:lvlJc w:val="left"/>
      <w:pPr>
        <w:ind w:left="2880" w:hanging="360"/>
      </w:pPr>
    </w:lvl>
    <w:lvl w:ilvl="4" w:tplc="EE222574" w:tentative="1">
      <w:start w:val="1"/>
      <w:numFmt w:val="lowerLetter"/>
      <w:lvlText w:val="%5."/>
      <w:lvlJc w:val="left"/>
      <w:pPr>
        <w:ind w:left="3600" w:hanging="360"/>
      </w:pPr>
    </w:lvl>
    <w:lvl w:ilvl="5" w:tplc="2262768E" w:tentative="1">
      <w:start w:val="1"/>
      <w:numFmt w:val="lowerRoman"/>
      <w:lvlText w:val="%6."/>
      <w:lvlJc w:val="right"/>
      <w:pPr>
        <w:ind w:left="4320" w:hanging="180"/>
      </w:pPr>
    </w:lvl>
    <w:lvl w:ilvl="6" w:tplc="8BB41D50" w:tentative="1">
      <w:start w:val="1"/>
      <w:numFmt w:val="decimal"/>
      <w:lvlText w:val="%7."/>
      <w:lvlJc w:val="left"/>
      <w:pPr>
        <w:ind w:left="5040" w:hanging="360"/>
      </w:pPr>
    </w:lvl>
    <w:lvl w:ilvl="7" w:tplc="DB0C0856" w:tentative="1">
      <w:start w:val="1"/>
      <w:numFmt w:val="lowerLetter"/>
      <w:lvlText w:val="%8."/>
      <w:lvlJc w:val="left"/>
      <w:pPr>
        <w:ind w:left="5760" w:hanging="360"/>
      </w:pPr>
    </w:lvl>
    <w:lvl w:ilvl="8" w:tplc="076C0B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8EA7A07"/>
    <w:multiLevelType w:val="hybridMultilevel"/>
    <w:tmpl w:val="C0CCDD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F6974"/>
    <w:multiLevelType w:val="hybridMultilevel"/>
    <w:tmpl w:val="1212C15E"/>
    <w:lvl w:ilvl="0" w:tplc="15AE35E6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290F6D"/>
    <w:multiLevelType w:val="hybridMultilevel"/>
    <w:tmpl w:val="F8A43C82"/>
    <w:lvl w:ilvl="0" w:tplc="4F1C7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2801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BADA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F0C5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AE0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DE57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6074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09C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E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449368">
    <w:abstractNumId w:val="0"/>
  </w:num>
  <w:num w:numId="2" w16cid:durableId="501241818">
    <w:abstractNumId w:val="3"/>
  </w:num>
  <w:num w:numId="3" w16cid:durableId="371539808">
    <w:abstractNumId w:val="4"/>
  </w:num>
  <w:num w:numId="4" w16cid:durableId="1525828948">
    <w:abstractNumId w:val="6"/>
  </w:num>
  <w:num w:numId="5" w16cid:durableId="2033219779">
    <w:abstractNumId w:val="9"/>
  </w:num>
  <w:num w:numId="6" w16cid:durableId="349645790">
    <w:abstractNumId w:val="8"/>
  </w:num>
  <w:num w:numId="7" w16cid:durableId="1451586466">
    <w:abstractNumId w:val="1"/>
  </w:num>
  <w:num w:numId="8" w16cid:durableId="1839345429">
    <w:abstractNumId w:val="5"/>
  </w:num>
  <w:num w:numId="9" w16cid:durableId="1413548512">
    <w:abstractNumId w:val="10"/>
  </w:num>
  <w:num w:numId="10" w16cid:durableId="2100590274">
    <w:abstractNumId w:val="2"/>
  </w:num>
  <w:num w:numId="11" w16cid:durableId="20531844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5E"/>
    <w:rsid w:val="00001B77"/>
    <w:rsid w:val="0000517A"/>
    <w:rsid w:val="0002665E"/>
    <w:rsid w:val="00031E72"/>
    <w:rsid w:val="000404D2"/>
    <w:rsid w:val="00085327"/>
    <w:rsid w:val="000853C0"/>
    <w:rsid w:val="0009409E"/>
    <w:rsid w:val="000A1C21"/>
    <w:rsid w:val="000A7560"/>
    <w:rsid w:val="000C0BC5"/>
    <w:rsid w:val="000C5206"/>
    <w:rsid w:val="000D15EA"/>
    <w:rsid w:val="00100D84"/>
    <w:rsid w:val="00124C9D"/>
    <w:rsid w:val="00157773"/>
    <w:rsid w:val="001614AD"/>
    <w:rsid w:val="001655EF"/>
    <w:rsid w:val="0018251A"/>
    <w:rsid w:val="00184111"/>
    <w:rsid w:val="00190272"/>
    <w:rsid w:val="00193244"/>
    <w:rsid w:val="00195C6C"/>
    <w:rsid w:val="00195FED"/>
    <w:rsid w:val="001A4BD6"/>
    <w:rsid w:val="001D22FB"/>
    <w:rsid w:val="001D5A18"/>
    <w:rsid w:val="001E43B6"/>
    <w:rsid w:val="001F01A8"/>
    <w:rsid w:val="00280EB8"/>
    <w:rsid w:val="002A62D0"/>
    <w:rsid w:val="002A6670"/>
    <w:rsid w:val="002D3417"/>
    <w:rsid w:val="00303502"/>
    <w:rsid w:val="00313FB5"/>
    <w:rsid w:val="00322D94"/>
    <w:rsid w:val="00325C25"/>
    <w:rsid w:val="003566D2"/>
    <w:rsid w:val="00360395"/>
    <w:rsid w:val="00372C8F"/>
    <w:rsid w:val="00380ECE"/>
    <w:rsid w:val="00393DDF"/>
    <w:rsid w:val="00397F55"/>
    <w:rsid w:val="003A0E15"/>
    <w:rsid w:val="003B4454"/>
    <w:rsid w:val="003C2E37"/>
    <w:rsid w:val="003F1415"/>
    <w:rsid w:val="0040144C"/>
    <w:rsid w:val="00403EB7"/>
    <w:rsid w:val="00430BF0"/>
    <w:rsid w:val="00464960"/>
    <w:rsid w:val="004672E6"/>
    <w:rsid w:val="00474ED1"/>
    <w:rsid w:val="00480A1D"/>
    <w:rsid w:val="00493085"/>
    <w:rsid w:val="004A36EC"/>
    <w:rsid w:val="004B734F"/>
    <w:rsid w:val="004C4710"/>
    <w:rsid w:val="004D163F"/>
    <w:rsid w:val="004E4BFF"/>
    <w:rsid w:val="004F2598"/>
    <w:rsid w:val="005054BC"/>
    <w:rsid w:val="00530BAA"/>
    <w:rsid w:val="00535D6C"/>
    <w:rsid w:val="005403F7"/>
    <w:rsid w:val="00540632"/>
    <w:rsid w:val="00541CF4"/>
    <w:rsid w:val="005451E8"/>
    <w:rsid w:val="005507F2"/>
    <w:rsid w:val="00572B7F"/>
    <w:rsid w:val="005759CC"/>
    <w:rsid w:val="005A344D"/>
    <w:rsid w:val="005A72E1"/>
    <w:rsid w:val="005B7256"/>
    <w:rsid w:val="005C6632"/>
    <w:rsid w:val="005D1C9E"/>
    <w:rsid w:val="00605BD4"/>
    <w:rsid w:val="0063724C"/>
    <w:rsid w:val="006541E5"/>
    <w:rsid w:val="00654257"/>
    <w:rsid w:val="0065435A"/>
    <w:rsid w:val="006821EF"/>
    <w:rsid w:val="006A17A3"/>
    <w:rsid w:val="006A2DD3"/>
    <w:rsid w:val="006A5AF8"/>
    <w:rsid w:val="006B586E"/>
    <w:rsid w:val="006C36CD"/>
    <w:rsid w:val="006C6CAF"/>
    <w:rsid w:val="006E6571"/>
    <w:rsid w:val="00700D1F"/>
    <w:rsid w:val="007205CB"/>
    <w:rsid w:val="00722C87"/>
    <w:rsid w:val="00726073"/>
    <w:rsid w:val="00734FE8"/>
    <w:rsid w:val="007360CE"/>
    <w:rsid w:val="00761092"/>
    <w:rsid w:val="00772315"/>
    <w:rsid w:val="0077377F"/>
    <w:rsid w:val="00775157"/>
    <w:rsid w:val="00776CEA"/>
    <w:rsid w:val="007813AE"/>
    <w:rsid w:val="007A37DB"/>
    <w:rsid w:val="007D1F07"/>
    <w:rsid w:val="007E189D"/>
    <w:rsid w:val="007E3B06"/>
    <w:rsid w:val="007F1724"/>
    <w:rsid w:val="00811259"/>
    <w:rsid w:val="00813AA2"/>
    <w:rsid w:val="008173A3"/>
    <w:rsid w:val="008418F5"/>
    <w:rsid w:val="0086059C"/>
    <w:rsid w:val="00864589"/>
    <w:rsid w:val="0087547F"/>
    <w:rsid w:val="00890AFB"/>
    <w:rsid w:val="00890FC4"/>
    <w:rsid w:val="00895905"/>
    <w:rsid w:val="008D3D60"/>
    <w:rsid w:val="008E5F78"/>
    <w:rsid w:val="00901FF0"/>
    <w:rsid w:val="00903FFC"/>
    <w:rsid w:val="00911867"/>
    <w:rsid w:val="009164A9"/>
    <w:rsid w:val="00925570"/>
    <w:rsid w:val="009258CB"/>
    <w:rsid w:val="0093362E"/>
    <w:rsid w:val="00944563"/>
    <w:rsid w:val="00953160"/>
    <w:rsid w:val="009625D8"/>
    <w:rsid w:val="0098459B"/>
    <w:rsid w:val="00997185"/>
    <w:rsid w:val="009A6C08"/>
    <w:rsid w:val="009C2458"/>
    <w:rsid w:val="009C4A7B"/>
    <w:rsid w:val="009C6123"/>
    <w:rsid w:val="009F1E3E"/>
    <w:rsid w:val="009F249F"/>
    <w:rsid w:val="00A1213C"/>
    <w:rsid w:val="00A25CD9"/>
    <w:rsid w:val="00A272FF"/>
    <w:rsid w:val="00A31A79"/>
    <w:rsid w:val="00A5354B"/>
    <w:rsid w:val="00A540C1"/>
    <w:rsid w:val="00A6395B"/>
    <w:rsid w:val="00A71B57"/>
    <w:rsid w:val="00A961C6"/>
    <w:rsid w:val="00AB42C1"/>
    <w:rsid w:val="00AC516F"/>
    <w:rsid w:val="00AE195F"/>
    <w:rsid w:val="00AE2926"/>
    <w:rsid w:val="00B00461"/>
    <w:rsid w:val="00B0184B"/>
    <w:rsid w:val="00B035CD"/>
    <w:rsid w:val="00B0769D"/>
    <w:rsid w:val="00B217F8"/>
    <w:rsid w:val="00B332EA"/>
    <w:rsid w:val="00B40A53"/>
    <w:rsid w:val="00B45365"/>
    <w:rsid w:val="00B46A65"/>
    <w:rsid w:val="00B60184"/>
    <w:rsid w:val="00B62D20"/>
    <w:rsid w:val="00B81E75"/>
    <w:rsid w:val="00BD1A5A"/>
    <w:rsid w:val="00BD7A9B"/>
    <w:rsid w:val="00BD7BE1"/>
    <w:rsid w:val="00BF416B"/>
    <w:rsid w:val="00C64E4E"/>
    <w:rsid w:val="00C66E64"/>
    <w:rsid w:val="00C761A0"/>
    <w:rsid w:val="00C847C9"/>
    <w:rsid w:val="00C85F7E"/>
    <w:rsid w:val="00C90D53"/>
    <w:rsid w:val="00C92841"/>
    <w:rsid w:val="00CA0B2E"/>
    <w:rsid w:val="00CD47F0"/>
    <w:rsid w:val="00CD5566"/>
    <w:rsid w:val="00CD64D7"/>
    <w:rsid w:val="00CE6F22"/>
    <w:rsid w:val="00CF41F6"/>
    <w:rsid w:val="00CF7D3E"/>
    <w:rsid w:val="00D02B4E"/>
    <w:rsid w:val="00D1213F"/>
    <w:rsid w:val="00D21F11"/>
    <w:rsid w:val="00D36456"/>
    <w:rsid w:val="00D36817"/>
    <w:rsid w:val="00D453EE"/>
    <w:rsid w:val="00D500EC"/>
    <w:rsid w:val="00D54690"/>
    <w:rsid w:val="00D55395"/>
    <w:rsid w:val="00D5666C"/>
    <w:rsid w:val="00D666BC"/>
    <w:rsid w:val="00D674C6"/>
    <w:rsid w:val="00D83542"/>
    <w:rsid w:val="00D92F45"/>
    <w:rsid w:val="00D94637"/>
    <w:rsid w:val="00D9725C"/>
    <w:rsid w:val="00DA7006"/>
    <w:rsid w:val="00DB3621"/>
    <w:rsid w:val="00DC6427"/>
    <w:rsid w:val="00DD66A1"/>
    <w:rsid w:val="00DE196D"/>
    <w:rsid w:val="00DE27B9"/>
    <w:rsid w:val="00DF5267"/>
    <w:rsid w:val="00DF6B49"/>
    <w:rsid w:val="00E067C5"/>
    <w:rsid w:val="00E2107A"/>
    <w:rsid w:val="00E24D59"/>
    <w:rsid w:val="00E265BF"/>
    <w:rsid w:val="00E378D8"/>
    <w:rsid w:val="00E43A12"/>
    <w:rsid w:val="00E67C67"/>
    <w:rsid w:val="00E77476"/>
    <w:rsid w:val="00E8228B"/>
    <w:rsid w:val="00E83AE2"/>
    <w:rsid w:val="00ED0B16"/>
    <w:rsid w:val="00ED760C"/>
    <w:rsid w:val="00EE5706"/>
    <w:rsid w:val="00EF373D"/>
    <w:rsid w:val="00F11595"/>
    <w:rsid w:val="00F13BC9"/>
    <w:rsid w:val="00F2505E"/>
    <w:rsid w:val="00F3447E"/>
    <w:rsid w:val="00F357B2"/>
    <w:rsid w:val="00F36556"/>
    <w:rsid w:val="00F705DF"/>
    <w:rsid w:val="00F70622"/>
    <w:rsid w:val="00F85624"/>
    <w:rsid w:val="00F87C05"/>
    <w:rsid w:val="00F93191"/>
    <w:rsid w:val="00F93A17"/>
    <w:rsid w:val="00FA2AF6"/>
    <w:rsid w:val="00FB073D"/>
    <w:rsid w:val="00FB771F"/>
    <w:rsid w:val="00FC5386"/>
    <w:rsid w:val="00FD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E6A10"/>
  <w15:docId w15:val="{B89CC0A3-A0C4-4856-BF88-126A85D2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C36CD"/>
  </w:style>
  <w:style w:type="paragraph" w:styleId="TOC4">
    <w:name w:val="toc 4"/>
    <w:basedOn w:val="TOC3"/>
    <w:semiHidden/>
    <w:rsid w:val="006C36CD"/>
    <w:pPr>
      <w:spacing w:before="80"/>
    </w:pPr>
  </w:style>
  <w:style w:type="paragraph" w:styleId="TOC3">
    <w:name w:val="toc 3"/>
    <w:basedOn w:val="TOC2"/>
    <w:semiHidden/>
    <w:rsid w:val="006C36CD"/>
  </w:style>
  <w:style w:type="paragraph" w:styleId="TOC2">
    <w:name w:val="toc 2"/>
    <w:basedOn w:val="TOC1"/>
    <w:semiHidden/>
    <w:rsid w:val="006C36CD"/>
    <w:pPr>
      <w:spacing w:before="160"/>
    </w:pPr>
  </w:style>
  <w:style w:type="paragraph" w:styleId="TOC1">
    <w:name w:val="toc 1"/>
    <w:basedOn w:val="Normal"/>
    <w:semiHidden/>
    <w:rsid w:val="006C36CD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semiHidden/>
    <w:rsid w:val="006C36CD"/>
  </w:style>
  <w:style w:type="paragraph" w:styleId="TOC6">
    <w:name w:val="toc 6"/>
    <w:basedOn w:val="TOC4"/>
    <w:semiHidden/>
    <w:rsid w:val="006C36CD"/>
  </w:style>
  <w:style w:type="paragraph" w:styleId="TOC5">
    <w:name w:val="toc 5"/>
    <w:basedOn w:val="TOC4"/>
    <w:semiHidden/>
    <w:rsid w:val="006C36CD"/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link w:val="enumlev1Char"/>
    <w:qFormat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6C36CD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6C36C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6C36CD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4D163F"/>
    <w:rPr>
      <w:rFonts w:ascii="Calibri" w:hAnsi="Calibri"/>
      <w:color w:val="0000FF"/>
      <w:u w:val="single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semiHidden/>
    <w:rsid w:val="006C36CD"/>
  </w:style>
  <w:style w:type="paragraph" w:customStyle="1" w:styleId="Headingb">
    <w:name w:val="Heading_b"/>
    <w:basedOn w:val="Heading3"/>
    <w:next w:val="Normal"/>
    <w:rsid w:val="006C36CD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6C36CD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63F"/>
    <w:pPr>
      <w:spacing w:before="240" w:after="48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6C36C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6C36CD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C36CD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E265BF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6C36CD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C36CD"/>
    <w:pPr>
      <w:spacing w:before="120"/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paragraph" w:customStyle="1" w:styleId="NormalCH">
    <w:name w:val="NormalCH"/>
    <w:basedOn w:val="Normal"/>
    <w:next w:val="Normal"/>
    <w:qFormat/>
    <w:rsid w:val="00E77476"/>
    <w:pPr>
      <w:ind w:firstLineChars="200" w:firstLine="200"/>
    </w:pPr>
    <w:rPr>
      <w:szCs w:val="19"/>
      <w:lang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E24D59"/>
    <w:rPr>
      <w:rFonts w:ascii="Calibri" w:hAnsi="Calibri"/>
      <w:sz w:val="18"/>
      <w:lang w:val="fr-FR" w:eastAsia="en-US"/>
    </w:rPr>
  </w:style>
  <w:style w:type="paragraph" w:customStyle="1" w:styleId="Subtitle">
    <w:name w:val="Sub_title"/>
    <w:basedOn w:val="Title1"/>
    <w:qFormat/>
    <w:rsid w:val="00E24D59"/>
    <w:pPr>
      <w:framePr w:hSpace="180" w:wrap="around" w:hAnchor="page" w:x="1821" w:y="2317"/>
      <w:spacing w:before="120" w:after="160"/>
      <w:jc w:val="left"/>
    </w:pPr>
    <w:rPr>
      <w:rFonts w:eastAsia="Times New Roman"/>
      <w:caps w:val="0"/>
      <w:sz w:val="34"/>
    </w:rPr>
  </w:style>
  <w:style w:type="character" w:customStyle="1" w:styleId="enumlev1Char">
    <w:name w:val="enumlev1 Char"/>
    <w:basedOn w:val="DefaultParagraphFont"/>
    <w:link w:val="enumlev1"/>
    <w:locked/>
    <w:rsid w:val="00F2505E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7547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D0155"/>
    <w:rPr>
      <w:b/>
      <w:bCs/>
    </w:rPr>
  </w:style>
  <w:style w:type="paragraph" w:customStyle="1" w:styleId="paragraph">
    <w:name w:val="paragraph"/>
    <w:basedOn w:val="Normal"/>
    <w:rsid w:val="00A31A7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A31A79"/>
  </w:style>
  <w:style w:type="character" w:customStyle="1" w:styleId="eop">
    <w:name w:val="eop"/>
    <w:basedOn w:val="DefaultParagraphFont"/>
    <w:rsid w:val="00A31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ties/Documents/2023/MoUs/dashboard-MoUs-2008-2021.docx" TargetMode="External"/><Relationship Id="rId13" Type="http://schemas.openxmlformats.org/officeDocument/2006/relationships/hyperlink" Target="https://www.itu.int/md/S18-PP-C-0173/en" TargetMode="External"/><Relationship Id="rId18" Type="http://schemas.openxmlformats.org/officeDocument/2006/relationships/hyperlink" Target="https://www.itu.int/md/D22-TDAG30-C-0014/en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itu.int/en/council/ties/Documents/2023/MoUs/CH-GIGA-Secretariat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tu.int/md/S22-PP-C-0206/en" TargetMode="External"/><Relationship Id="rId17" Type="http://schemas.openxmlformats.org/officeDocument/2006/relationships/hyperlink" Target="https://www.itu.int/md/S23-CL-C-0054/en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itu.int/en/ITU-D/MembersPartners/Pages/Partners/List-of-Partners.aspx" TargetMode="External"/><Relationship Id="rId20" Type="http://schemas.openxmlformats.org/officeDocument/2006/relationships/hyperlink" Target="https://www.itu.int/en/ITU-T/extcoop/Pages/mou.aspx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2-PP-C-0189/en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D22-TDAG30-C-0007/en" TargetMode="External"/><Relationship Id="rId23" Type="http://schemas.openxmlformats.org/officeDocument/2006/relationships/hyperlink" Target="https://www.itu.int/en/council/ties/Documents/2023/MoUs/dashboard-MoUs-2008-2021.docx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www.itu.int/md/S22-PP-C-0206/en" TargetMode="External"/><Relationship Id="rId19" Type="http://schemas.openxmlformats.org/officeDocument/2006/relationships/hyperlink" Target="https://view.officeapps.live.com/op/view.aspx?src=https%3A%2F%2Fwww.itu.int%2Fdms_pub%2Fitu-d%2Fmd%2F22%2Ftdag30%2Finf%2FD22-TDAG30-INF-0001!!MSW-E.docx&amp;wdOrigin=BROWSELINK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tu.int/md/S18-PP-C-0173/en" TargetMode="External"/><Relationship Id="rId14" Type="http://schemas.openxmlformats.org/officeDocument/2006/relationships/hyperlink" Target="https://www.itu.int/en/ITU-D/Projects/Pages/default.aspx" TargetMode="External"/><Relationship Id="rId22" Type="http://schemas.openxmlformats.org/officeDocument/2006/relationships/hyperlink" Target="https://www.itu.int/en/council/ties/Documents/2023/MoUs/MoU-ETSI.pdf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ng\AppData\Roaming\Microsoft\Templates\POOL%20C%20-%20ITU\GS\PC_Council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DCC2-6DDC-49CF-B01C-00AB9A2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PC_Council23.dotx</Template>
  <TotalTime>1</TotalTime>
  <Pages>2</Pages>
  <Words>844</Words>
  <Characters>1629</Characters>
  <Application>Microsoft Office Word</Application>
  <DocSecurity>4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2469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participation in memoranda of understanding with financial and/or strategic implications</dc:title>
  <dc:subject>Council 2023</dc:subject>
  <dc:creator>Kong, Hongli</dc:creator>
  <cp:keywords>C2023, C23, Council-23</cp:keywords>
  <dc:description/>
  <cp:lastModifiedBy>Xue, Kun</cp:lastModifiedBy>
  <cp:revision>2</cp:revision>
  <cp:lastPrinted>2015-02-24T13:23:00Z</cp:lastPrinted>
  <dcterms:created xsi:type="dcterms:W3CDTF">2023-07-05T16:19:00Z</dcterms:created>
  <dcterms:modified xsi:type="dcterms:W3CDTF">2023-07-05T16:19:00Z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</Properties>
</file>