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888357D" w14:textId="77777777" w:rsidTr="00F363FE">
        <w:tc>
          <w:tcPr>
            <w:tcW w:w="6512" w:type="dxa"/>
          </w:tcPr>
          <w:p w14:paraId="3C7756FB" w14:textId="46E3ABE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A97B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97BE4">
              <w:rPr>
                <w:b/>
                <w:bCs/>
                <w:lang w:bidi="ar-EG"/>
              </w:rPr>
              <w:t>ADM 2</w:t>
            </w:r>
          </w:p>
        </w:tc>
        <w:tc>
          <w:tcPr>
            <w:tcW w:w="3117" w:type="dxa"/>
          </w:tcPr>
          <w:p w14:paraId="4950B6F8" w14:textId="5B049B1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A97BE4">
              <w:rPr>
                <w:b/>
                <w:bCs/>
                <w:lang w:bidi="ar-EG"/>
              </w:rPr>
              <w:t>45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4236230" w14:textId="77777777" w:rsidTr="00F363FE">
        <w:tc>
          <w:tcPr>
            <w:tcW w:w="6512" w:type="dxa"/>
          </w:tcPr>
          <w:p w14:paraId="5C78DDB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3DF99FE" w14:textId="0D70F6C5" w:rsidR="007B0AA0" w:rsidRPr="007B0AA0" w:rsidRDefault="00A97BE4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12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E0370F9" w14:textId="77777777" w:rsidTr="00F363FE">
        <w:tc>
          <w:tcPr>
            <w:tcW w:w="6512" w:type="dxa"/>
          </w:tcPr>
          <w:p w14:paraId="6C7ABF2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C0319D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4EA596A9" w14:textId="77777777" w:rsidTr="00F363FE">
        <w:tc>
          <w:tcPr>
            <w:tcW w:w="6512" w:type="dxa"/>
          </w:tcPr>
          <w:p w14:paraId="4511E3D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A5D76DB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C06F29C" w14:textId="77777777" w:rsidTr="00EE7446">
        <w:tc>
          <w:tcPr>
            <w:tcW w:w="9629" w:type="dxa"/>
            <w:gridSpan w:val="2"/>
          </w:tcPr>
          <w:p w14:paraId="4191A8D6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74B66D48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1960E7C" w14:textId="6E84E3E4" w:rsidR="007B0AA0" w:rsidRDefault="00A97BE4" w:rsidP="007B0AA0">
            <w:pPr>
              <w:pStyle w:val="Subtitle0"/>
            </w:pPr>
            <w:r w:rsidRPr="00A97BE4">
              <w:rPr>
                <w:rtl/>
              </w:rPr>
              <w:t>مشاركة الاتحاد في مذكرات التفاهم التي لها تبعات مالية و/أو استراتيجية</w:t>
            </w:r>
          </w:p>
        </w:tc>
      </w:tr>
      <w:tr w:rsidR="007B0AA0" w14:paraId="4AB3AFE8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B52E1" w14:textId="7B279AAF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4F7AA84E" w14:textId="008A18FE" w:rsidR="00EF4AE5" w:rsidRDefault="00360AAD" w:rsidP="00EF4AE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تقدم هذه الوثيقة تقريراً عن مذكرات التفاهم/الاتفاقات (ويشار إليها فيما يلي</w:t>
            </w:r>
            <w:r w:rsidR="00A44AF8">
              <w:rPr>
                <w:rFonts w:hint="cs"/>
                <w:rtl/>
                <w:lang w:bidi="ar-EG"/>
              </w:rPr>
              <w:t xml:space="preserve"> باسم</w:t>
            </w:r>
            <w:r>
              <w:rPr>
                <w:rFonts w:hint="cs"/>
                <w:rtl/>
                <w:lang w:bidi="ar-EG"/>
              </w:rPr>
              <w:t xml:space="preserve"> "مذكرات التفاهم") التي لها آثار مالية و/أو استراتيجية كبيرة على الاتحاد في عام 2022. </w:t>
            </w:r>
            <w:r w:rsidR="00EF4AE5">
              <w:rPr>
                <w:rFonts w:hint="cs"/>
                <w:rtl/>
                <w:lang w:bidi="ar-EG"/>
              </w:rPr>
              <w:t>وتتضمن الوثيقة أيضاً قائمة بمذكرات التفاهم التي رأت الأمينة العامة أن</w:t>
            </w:r>
            <w:r w:rsidR="004D0941">
              <w:rPr>
                <w:rFonts w:hint="eastAsia"/>
                <w:rtl/>
                <w:lang w:bidi="ar-EG"/>
              </w:rPr>
              <w:t> </w:t>
            </w:r>
            <w:r w:rsidR="00EF4AE5">
              <w:rPr>
                <w:rFonts w:hint="cs"/>
                <w:rtl/>
                <w:lang w:bidi="ar-EG"/>
              </w:rPr>
              <w:t xml:space="preserve">من المناسب توجيه انتباه المجلس إليها للعلم. ويقدم هذا التقرير أيضاً </w:t>
            </w:r>
            <w:hyperlink r:id="rId8" w:history="1">
              <w:r w:rsidR="00EF4AE5" w:rsidRPr="004107ED">
                <w:rPr>
                  <w:rStyle w:val="Hyperlink"/>
                  <w:rFonts w:hint="cs"/>
                  <w:rtl/>
                </w:rPr>
                <w:t>لوحة معلومات جديدة</w:t>
              </w:r>
            </w:hyperlink>
            <w:r w:rsidR="00EF4AE5">
              <w:rPr>
                <w:rFonts w:hint="cs"/>
                <w:rtl/>
                <w:lang w:bidi="ar-EG"/>
              </w:rPr>
              <w:t xml:space="preserve"> تتضمن معلومات عن تنفيذ مذكرات التفاهم التي سبق إطلاع المجلس عليها خلال الفترة 2008-2021.</w:t>
            </w:r>
          </w:p>
          <w:p w14:paraId="537F081E" w14:textId="2E215305" w:rsidR="007B0AA0" w:rsidRPr="007B0AA0" w:rsidRDefault="007B0AA0" w:rsidP="00EF4AE5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4B673CD7" w14:textId="79102F36" w:rsidR="007B0AA0" w:rsidRDefault="00A97BE4" w:rsidP="007B0AA0">
            <w:pPr>
              <w:rPr>
                <w:rtl/>
              </w:rPr>
            </w:pPr>
            <w:r w:rsidRPr="00A97BE4">
              <w:rPr>
                <w:rtl/>
              </w:rPr>
              <w:t xml:space="preserve">يُدعى المجلس إلى </w:t>
            </w:r>
            <w:r w:rsidRPr="00EF4AE5">
              <w:rPr>
                <w:b/>
                <w:bCs/>
                <w:rtl/>
              </w:rPr>
              <w:t>الإحاطة علماً</w:t>
            </w:r>
            <w:r w:rsidRPr="00A97BE4">
              <w:rPr>
                <w:rtl/>
              </w:rPr>
              <w:t xml:space="preserve"> بهذا التقرير.</w:t>
            </w:r>
          </w:p>
          <w:p w14:paraId="5295EB0E" w14:textId="3F09063D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5C6767F4" w14:textId="35D6A645" w:rsidR="007B0AA0" w:rsidRDefault="00A97BE4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لا يوجد</w:t>
            </w:r>
          </w:p>
          <w:p w14:paraId="060BDCC0" w14:textId="06B58846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المالية:</w:t>
            </w:r>
          </w:p>
          <w:p w14:paraId="28802D5D" w14:textId="723B0E66" w:rsidR="00A97BE4" w:rsidRPr="007B0AA0" w:rsidRDefault="00A97BE4" w:rsidP="00A97BE4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لا </w:t>
            </w:r>
            <w:r w:rsidR="00EF4AE5">
              <w:rPr>
                <w:rFonts w:hint="cs"/>
                <w:rtl/>
              </w:rPr>
              <w:t>شيء</w:t>
            </w:r>
            <w:r w:rsidR="00C41FB6">
              <w:rPr>
                <w:rFonts w:hint="cs"/>
                <w:rtl/>
                <w:lang w:bidi="ar-EG"/>
              </w:rPr>
              <w:t>.</w:t>
            </w:r>
          </w:p>
          <w:p w14:paraId="102074D0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482E18D8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B7BE2AC" w14:textId="1A986DAF" w:rsidR="007B0AA0" w:rsidRDefault="00EF4AE5" w:rsidP="00A97BE4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محضر الجلسة العامة السادسة عشرة لمؤتمر المندوبين المفوضين لعام 2018</w:t>
            </w:r>
            <w:r w:rsidR="00A97BE4">
              <w:rPr>
                <w:rFonts w:hint="cs"/>
                <w:rtl/>
              </w:rPr>
              <w:t xml:space="preserve"> (الوثيقة </w:t>
            </w:r>
            <w:hyperlink r:id="rId9" w:history="1">
              <w:r w:rsidR="00A97BE4" w:rsidRPr="00A97BE4">
                <w:rPr>
                  <w:rStyle w:val="Hyperlink"/>
                  <w:lang w:val="en-GB"/>
                </w:rPr>
                <w:t>PP-18/173</w:t>
              </w:r>
            </w:hyperlink>
            <w:r w:rsidR="00A97BE4">
              <w:rPr>
                <w:rFonts w:hint="cs"/>
                <w:rtl/>
              </w:rPr>
              <w:t xml:space="preserve">) </w:t>
            </w:r>
            <w:r>
              <w:rPr>
                <w:rFonts w:hint="cs"/>
                <w:rtl/>
              </w:rPr>
              <w:t>ومحضر الجلسة العامة السادسة عشرة لمؤتمر المندوبين المفوضين لعام 2022</w:t>
            </w:r>
            <w:r w:rsidR="00A97BE4">
              <w:rPr>
                <w:rFonts w:hint="cs"/>
                <w:rtl/>
              </w:rPr>
              <w:t xml:space="preserve"> (الوثيقة </w:t>
            </w:r>
            <w:hyperlink r:id="rId10" w:history="1">
              <w:r w:rsidR="00A97BE4" w:rsidRPr="00A97BE4">
                <w:rPr>
                  <w:rStyle w:val="Hyperlink"/>
                  <w:lang w:val="en-GB"/>
                </w:rPr>
                <w:t>PP-22/206</w:t>
              </w:r>
            </w:hyperlink>
            <w:r w:rsidR="00A97BE4">
              <w:rPr>
                <w:rFonts w:hint="cs"/>
                <w:rtl/>
              </w:rPr>
              <w:t>)</w:t>
            </w:r>
          </w:p>
        </w:tc>
      </w:tr>
    </w:tbl>
    <w:p w14:paraId="6A7045CC" w14:textId="77777777" w:rsidR="00E61BE8" w:rsidRDefault="00E61BE8" w:rsidP="00E61BE8">
      <w:pPr>
        <w:rPr>
          <w:rtl/>
          <w:lang w:bidi="ar-EG"/>
        </w:rPr>
      </w:pPr>
    </w:p>
    <w:p w14:paraId="7032A03D" w14:textId="77777777" w:rsidR="00F50E3F" w:rsidRDefault="00F50E3F" w:rsidP="00B0616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13A2B09" w14:textId="6638F108" w:rsidR="00F50E3F" w:rsidRDefault="00A97BE4" w:rsidP="00A97BE4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lastRenderedPageBreak/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خلفية</w:t>
      </w:r>
    </w:p>
    <w:p w14:paraId="2196DB96" w14:textId="6D7E4240" w:rsidR="00A97BE4" w:rsidRPr="00013E4F" w:rsidRDefault="00EF4AE5" w:rsidP="00E61BE8">
      <w:pPr>
        <w:rPr>
          <w:rtl/>
        </w:rPr>
      </w:pPr>
      <w:r w:rsidRPr="00013E4F">
        <w:rPr>
          <w:rFonts w:hint="cs"/>
          <w:rtl/>
          <w:lang w:bidi="ar-EG"/>
        </w:rPr>
        <w:t>قرر مؤتمر المندوبين المفوضين (بوخارست، 2022) في جلسته العامة السادسة عشرة الإبقاء على قرار مؤتمر المندوبين المفوضين (دبي، 2018) لتكليف الأمين العام بأن يستمر في</w:t>
      </w:r>
      <w:r w:rsidR="00A97BE4" w:rsidRPr="00013E4F">
        <w:rPr>
          <w:rFonts w:hint="cs"/>
          <w:rtl/>
          <w:lang w:bidi="ar-EG"/>
        </w:rPr>
        <w:t xml:space="preserve"> </w:t>
      </w:r>
      <w:r w:rsidR="00A97BE4" w:rsidRPr="00013E4F">
        <w:rPr>
          <w:rFonts w:hint="cs"/>
          <w:i/>
          <w:iCs/>
          <w:rtl/>
          <w:lang w:bidi="ar-EG"/>
        </w:rPr>
        <w:t>"</w:t>
      </w:r>
      <w:r w:rsidR="00A97BE4" w:rsidRPr="00013E4F">
        <w:rPr>
          <w:i/>
          <w:iCs/>
          <w:rtl/>
          <w:lang w:bidi="ar-EG"/>
        </w:rPr>
        <w:t>أن يقدم إلى المجلس في دورته العادية مذكرات التفاهم التي لها تبعات مالية و/أو استراتيجية كبيرة من أجل الموافقة عليها مسبقاً</w:t>
      </w:r>
      <w:r w:rsidR="00A97BE4" w:rsidRPr="00013E4F">
        <w:rPr>
          <w:rFonts w:hint="cs"/>
          <w:i/>
          <w:iCs/>
          <w:rtl/>
          <w:lang w:bidi="ar-EG"/>
        </w:rPr>
        <w:t>"</w:t>
      </w:r>
      <w:r w:rsidRPr="00013E4F">
        <w:rPr>
          <w:rFonts w:hint="cs"/>
          <w:i/>
          <w:iCs/>
          <w:rtl/>
          <w:lang w:bidi="ar-EG"/>
        </w:rPr>
        <w:t>.</w:t>
      </w:r>
      <w:r w:rsidR="00A97BE4" w:rsidRPr="00013E4F">
        <w:rPr>
          <w:rFonts w:hint="cs"/>
          <w:rtl/>
          <w:lang w:bidi="ar-EG"/>
        </w:rPr>
        <w:t xml:space="preserve"> </w:t>
      </w:r>
      <w:r w:rsidRPr="00013E4F">
        <w:rPr>
          <w:rFonts w:hint="cs"/>
          <w:rtl/>
          <w:lang w:bidi="ar-EG"/>
        </w:rPr>
        <w:t>وقرر مؤتمر المندوبين المفوضين كذلك</w:t>
      </w:r>
      <w:r w:rsidR="00A97BE4" w:rsidRPr="00013E4F">
        <w:rPr>
          <w:rFonts w:hint="cs"/>
          <w:rtl/>
          <w:lang w:bidi="ar-EG"/>
        </w:rPr>
        <w:t xml:space="preserve"> </w:t>
      </w:r>
      <w:r w:rsidR="00A97BE4" w:rsidRPr="00013E4F">
        <w:rPr>
          <w:rFonts w:hint="cs"/>
          <w:i/>
          <w:iCs/>
          <w:rtl/>
          <w:lang w:bidi="ar-EG"/>
        </w:rPr>
        <w:t>"</w:t>
      </w:r>
      <w:r w:rsidR="00F010A9" w:rsidRPr="00013E4F">
        <w:rPr>
          <w:rFonts w:hint="cs"/>
          <w:i/>
          <w:iCs/>
          <w:rtl/>
          <w:lang w:bidi="ar-EG"/>
        </w:rPr>
        <w:t>أن</w:t>
      </w:r>
      <w:r w:rsidR="00A97BE4" w:rsidRPr="00013E4F">
        <w:rPr>
          <w:i/>
          <w:iCs/>
          <w:rtl/>
          <w:lang w:bidi="ar-EG"/>
        </w:rPr>
        <w:t xml:space="preserve"> يستمر تقديم تقرير عن مذكرات التفاهم الأخرى التي يبرمها الاتحاد خلال الفترة ذات الصلة</w:t>
      </w:r>
      <w:r w:rsidR="00F010A9" w:rsidRPr="00013E4F">
        <w:rPr>
          <w:rFonts w:hint="cs"/>
          <w:i/>
          <w:iCs/>
          <w:rtl/>
          <w:lang w:bidi="ar-EG"/>
        </w:rPr>
        <w:t xml:space="preserve">". </w:t>
      </w:r>
      <w:r w:rsidR="00F010A9" w:rsidRPr="00013E4F">
        <w:rPr>
          <w:rFonts w:hint="cs"/>
          <w:rtl/>
          <w:lang w:bidi="ar-EG"/>
        </w:rPr>
        <w:t>انظر التوصية 3 في تقرير رئيس اللجنة 5 المقدم إلى الجلسة العامة لمؤتمر المندوبين المفوضين لعام 2022 (</w:t>
      </w:r>
      <w:hyperlink r:id="rId11" w:history="1">
        <w:r w:rsidR="00F010A9" w:rsidRPr="00013E4F">
          <w:rPr>
            <w:rStyle w:val="Hyperlink"/>
            <w:lang w:val="en-CA"/>
          </w:rPr>
          <w:t>PP</w:t>
        </w:r>
        <w:r w:rsidR="00013E4F">
          <w:rPr>
            <w:rStyle w:val="Hyperlink"/>
            <w:lang w:val="en-CA"/>
          </w:rPr>
          <w:t>-</w:t>
        </w:r>
        <w:r w:rsidR="00F010A9" w:rsidRPr="00013E4F">
          <w:rPr>
            <w:rStyle w:val="Hyperlink"/>
            <w:lang w:val="en-CA"/>
          </w:rPr>
          <w:t>22</w:t>
        </w:r>
        <w:r w:rsidR="00013E4F">
          <w:rPr>
            <w:rStyle w:val="Hyperlink"/>
            <w:lang w:val="en-CA"/>
          </w:rPr>
          <w:t>/</w:t>
        </w:r>
        <w:r w:rsidR="00F010A9" w:rsidRPr="00013E4F">
          <w:rPr>
            <w:rStyle w:val="Hyperlink"/>
            <w:lang w:val="en-CA"/>
          </w:rPr>
          <w:t>189</w:t>
        </w:r>
      </w:hyperlink>
      <w:r w:rsidR="00F010A9" w:rsidRPr="00013E4F">
        <w:rPr>
          <w:rFonts w:hint="cs"/>
          <w:rtl/>
          <w:lang w:bidi="ar-EG"/>
        </w:rPr>
        <w:t>) الذي تمت الموافقة عليه في الجلسة العامة السادسة عشرة للمؤتمر (</w:t>
      </w:r>
      <w:hyperlink r:id="rId12" w:history="1">
        <w:r w:rsidR="00F010A9" w:rsidRPr="00013E4F">
          <w:rPr>
            <w:rStyle w:val="Hyperlink"/>
          </w:rPr>
          <w:t>PP-22/206</w:t>
        </w:r>
      </w:hyperlink>
      <w:r w:rsidR="00F010A9" w:rsidRPr="00013E4F">
        <w:rPr>
          <w:rFonts w:hint="cs"/>
          <w:rtl/>
          <w:lang w:bidi="ar-EG"/>
        </w:rPr>
        <w:t>) والذي أشار إلى قرار مؤتمر المندوبين المفوضين لعام 2018 الوارد في محضر الجلسة العامة السادسة عشرة للمؤتمر (</w:t>
      </w:r>
      <w:hyperlink r:id="rId13" w:history="1">
        <w:r w:rsidR="00F010A9" w:rsidRPr="00013E4F">
          <w:rPr>
            <w:rStyle w:val="Hyperlink"/>
          </w:rPr>
          <w:t>PP-18/173</w:t>
        </w:r>
      </w:hyperlink>
      <w:r w:rsidR="00F010A9" w:rsidRPr="00013E4F">
        <w:rPr>
          <w:rFonts w:hint="cs"/>
          <w:rtl/>
          <w:lang w:bidi="ar-EG"/>
        </w:rPr>
        <w:t>، الفقرة 13.2).</w:t>
      </w:r>
    </w:p>
    <w:p w14:paraId="32A4191B" w14:textId="2E937215" w:rsidR="00A97BE4" w:rsidRDefault="00A97BE4" w:rsidP="00A97BE4">
      <w:pPr>
        <w:pStyle w:val="Heading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F010A9">
        <w:rPr>
          <w:rFonts w:hint="cs"/>
          <w:rtl/>
        </w:rPr>
        <w:t xml:space="preserve">مذكرات التفاهم التي </w:t>
      </w:r>
      <w:r w:rsidR="00F010A9">
        <w:rPr>
          <w:rFonts w:hint="cs"/>
          <w:rtl/>
          <w:lang w:bidi="ar-EG"/>
        </w:rPr>
        <w:t>لها آثار مالية و/أو استراتيجية كبيرة</w:t>
      </w:r>
    </w:p>
    <w:p w14:paraId="63881133" w14:textId="7402809E" w:rsidR="00A97BE4" w:rsidRDefault="00F010A9" w:rsidP="00A97BE4">
      <w:pPr>
        <w:rPr>
          <w:rtl/>
        </w:rPr>
      </w:pPr>
      <w:r>
        <w:rPr>
          <w:rFonts w:hint="cs"/>
          <w:rtl/>
        </w:rPr>
        <w:t>لا توجد مذكرات تفاهم لعام 2022 يمكن الإبلاغ عنها ضمن هذه الفئة.</w:t>
      </w:r>
    </w:p>
    <w:p w14:paraId="5E75A090" w14:textId="230ABEAE" w:rsidR="00A97BE4" w:rsidRDefault="00A97BE4" w:rsidP="00A97BE4">
      <w:pPr>
        <w:pStyle w:val="Heading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6664F2">
        <w:rPr>
          <w:rFonts w:hint="cs"/>
          <w:rtl/>
        </w:rPr>
        <w:t>مذكرات تفاهم أخرى</w:t>
      </w:r>
    </w:p>
    <w:p w14:paraId="0E91D8C0" w14:textId="5E0FC11D" w:rsidR="00A97BE4" w:rsidRPr="00122E55" w:rsidRDefault="006664F2" w:rsidP="00013E4F">
      <w:pPr>
        <w:spacing w:after="120"/>
        <w:rPr>
          <w:b/>
          <w:spacing w:val="-2"/>
          <w:rtl/>
          <w:lang w:bidi="ar-EG"/>
        </w:rPr>
      </w:pPr>
      <w:r w:rsidRPr="00122E55">
        <w:rPr>
          <w:rFonts w:hint="cs"/>
          <w:b/>
          <w:spacing w:val="-2"/>
          <w:rtl/>
        </w:rPr>
        <w:t xml:space="preserve">تخضع الاتفاقات التي يبرمها الاتحاد </w:t>
      </w:r>
      <w:r w:rsidR="00FD5A10" w:rsidRPr="00122E55">
        <w:rPr>
          <w:rFonts w:hint="cs"/>
          <w:b/>
          <w:spacing w:val="-2"/>
          <w:rtl/>
        </w:rPr>
        <w:t>لتقارير محددة تقدمها القطاعات أو الأمانة العامة. انظر مثلاً ا</w:t>
      </w:r>
      <w:hyperlink r:id="rId14" w:history="1">
        <w:r w:rsidR="00FD5A10" w:rsidRPr="00122E55">
          <w:rPr>
            <w:rStyle w:val="Hyperlink"/>
            <w:rFonts w:hint="cs"/>
            <w:b/>
            <w:spacing w:val="-2"/>
            <w:rtl/>
          </w:rPr>
          <w:t>لصفحة الإلكترونية لمشاريع قطاع تنمية الاتصالات</w:t>
        </w:r>
      </w:hyperlink>
      <w:r w:rsidR="00FD5A10" w:rsidRPr="00122E55">
        <w:rPr>
          <w:rFonts w:hint="cs"/>
          <w:b/>
          <w:spacing w:val="-2"/>
          <w:rtl/>
        </w:rPr>
        <w:t xml:space="preserve">، والوثيقة </w:t>
      </w:r>
      <w:hyperlink r:id="rId15" w:history="1">
        <w:r w:rsidR="00B6646B" w:rsidRPr="00122E55">
          <w:rPr>
            <w:rStyle w:val="Hyperlink"/>
            <w:rFonts w:cs="Calibri"/>
            <w:spacing w:val="-2"/>
          </w:rPr>
          <w:t>TDAG-23/7</w:t>
        </w:r>
      </w:hyperlink>
      <w:r w:rsidR="00FD5A10" w:rsidRPr="00122E55">
        <w:rPr>
          <w:rFonts w:hint="cs"/>
          <w:b/>
          <w:spacing w:val="-2"/>
          <w:rtl/>
        </w:rPr>
        <w:t xml:space="preserve"> عن مشاريع قطاع تنمية الاتصالات، </w:t>
      </w:r>
      <w:hyperlink r:id="rId16" w:history="1">
        <w:r w:rsidR="00FD5A10" w:rsidRPr="00122E55">
          <w:rPr>
            <w:rStyle w:val="Hyperlink"/>
            <w:rFonts w:hint="cs"/>
            <w:b/>
            <w:spacing w:val="-2"/>
            <w:rtl/>
          </w:rPr>
          <w:t>والصفحة الإلكترونية لشركاء قطاع تنمية الاتصالات</w:t>
        </w:r>
      </w:hyperlink>
      <w:r w:rsidR="00FD5A10" w:rsidRPr="00122E55">
        <w:rPr>
          <w:rFonts w:hint="cs"/>
          <w:b/>
          <w:spacing w:val="-2"/>
          <w:rtl/>
          <w:lang w:bidi="ar-EG"/>
        </w:rPr>
        <w:t xml:space="preserve">، والتقرير الخاص بتنفيذ الخطة الاستراتيجية وأنشطة الاتحاد (الوثيقة </w:t>
      </w:r>
      <w:hyperlink r:id="rId17" w:history="1">
        <w:r w:rsidR="00B6646B" w:rsidRPr="00122E55">
          <w:rPr>
            <w:rStyle w:val="Hyperlink"/>
            <w:rFonts w:cs="Calibri"/>
            <w:spacing w:val="-2"/>
          </w:rPr>
          <w:t>C23/54</w:t>
        </w:r>
      </w:hyperlink>
      <w:r w:rsidR="00FD5A10" w:rsidRPr="00122E55">
        <w:rPr>
          <w:rFonts w:hint="cs"/>
          <w:b/>
          <w:spacing w:val="-2"/>
          <w:rtl/>
          <w:lang w:bidi="ar-EG"/>
        </w:rPr>
        <w:t xml:space="preserve">). وعلى الرغم من أن مذكرات التفاهم المذكورة أدناه قد سبق الإبلاغ عنها (انظر </w:t>
      </w:r>
      <w:hyperlink r:id="rId18">
        <w:r w:rsidR="008C40D5" w:rsidRPr="00122E55">
          <w:rPr>
            <w:rStyle w:val="Hyperlink"/>
            <w:rFonts w:cs="Calibri"/>
            <w:spacing w:val="-2"/>
          </w:rPr>
          <w:t>TDAG-23/14</w:t>
        </w:r>
      </w:hyperlink>
      <w:r w:rsidR="00FD5A10" w:rsidRPr="00122E55">
        <w:rPr>
          <w:rFonts w:hint="cs"/>
          <w:b/>
          <w:spacing w:val="-2"/>
          <w:rtl/>
          <w:lang w:bidi="ar-EG"/>
        </w:rPr>
        <w:t xml:space="preserve"> عن المبادرات الخاصة لقطاع تنمية الاتصالات)، و</w:t>
      </w:r>
      <w:hyperlink r:id="rId19">
        <w:r w:rsidR="008C40D5" w:rsidRPr="00122E55">
          <w:rPr>
            <w:rStyle w:val="Hyperlink"/>
            <w:spacing w:val="-2"/>
          </w:rPr>
          <w:t>TDAG-23/INF/1</w:t>
        </w:r>
      </w:hyperlink>
      <w:r w:rsidR="00FD5A10" w:rsidRPr="00122E55">
        <w:rPr>
          <w:rFonts w:hint="cs"/>
          <w:b/>
          <w:spacing w:val="-2"/>
          <w:rtl/>
          <w:lang w:bidi="ar-EG"/>
        </w:rPr>
        <w:t xml:space="preserve"> عن الشراكات، </w:t>
      </w:r>
      <w:hyperlink r:id="rId20" w:history="1">
        <w:r w:rsidR="00FD5A10" w:rsidRPr="00122E55">
          <w:rPr>
            <w:rStyle w:val="Hyperlink"/>
            <w:rFonts w:hint="cs"/>
            <w:b/>
            <w:spacing w:val="-2"/>
            <w:rtl/>
            <w:lang w:bidi="ar-EG"/>
          </w:rPr>
          <w:t>ومذكرات التفاهم واتفاقات التعاون لقطاع تقييس الاتصالات</w:t>
        </w:r>
      </w:hyperlink>
      <w:r w:rsidR="00F46BBB" w:rsidRPr="00122E55">
        <w:rPr>
          <w:rFonts w:hint="cs"/>
          <w:b/>
          <w:spacing w:val="-2"/>
          <w:rtl/>
          <w:lang w:bidi="ar-EG"/>
        </w:rPr>
        <w:t>)، ترى الأمينة العامة أنها تنطوي على قيمة استراتيجية للاتحاد. وبناءً على ذلك، يُعتبر من المناسب توجيه انتباه المجلس إليها للعلم.</w:t>
      </w:r>
    </w:p>
    <w:tbl>
      <w:tblPr>
        <w:tblStyle w:val="TableGrid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30"/>
        <w:gridCol w:w="1067"/>
        <w:gridCol w:w="3402"/>
        <w:gridCol w:w="2830"/>
      </w:tblGrid>
      <w:tr w:rsidR="00A97BE4" w:rsidRPr="00A97BE4" w14:paraId="1EE011D7" w14:textId="77777777" w:rsidTr="00D33581">
        <w:trPr>
          <w:trHeight w:val="300"/>
          <w:jc w:val="center"/>
        </w:trPr>
        <w:tc>
          <w:tcPr>
            <w:tcW w:w="2330" w:type="dxa"/>
            <w:noWrap/>
          </w:tcPr>
          <w:p w14:paraId="5AC64679" w14:textId="6A531CA6" w:rsidR="00A97BE4" w:rsidRPr="00A97BE4" w:rsidRDefault="00E1771E" w:rsidP="00A97BE4">
            <w:pPr>
              <w:tabs>
                <w:tab w:val="clear" w:pos="794"/>
              </w:tabs>
              <w:spacing w:before="60" w:after="60" w:line="260" w:lineRule="exact"/>
              <w:jc w:val="left"/>
              <w:textAlignment w:val="baseline"/>
              <w:rPr>
                <w:b/>
                <w:bCs/>
                <w:sz w:val="20"/>
                <w:szCs w:val="20"/>
                <w:lang w:eastAsia="en-AU"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AU" w:bidi="ar-EG"/>
              </w:rPr>
              <w:t>الشريك</w:t>
            </w:r>
          </w:p>
        </w:tc>
        <w:tc>
          <w:tcPr>
            <w:tcW w:w="1067" w:type="dxa"/>
          </w:tcPr>
          <w:p w14:paraId="038A65D4" w14:textId="6D3D506A" w:rsidR="00A97BE4" w:rsidRPr="00A97BE4" w:rsidRDefault="00F46BBB" w:rsidP="00A97BE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البلد</w:t>
            </w:r>
          </w:p>
        </w:tc>
        <w:tc>
          <w:tcPr>
            <w:tcW w:w="3402" w:type="dxa"/>
          </w:tcPr>
          <w:p w14:paraId="6F712FA2" w14:textId="323C9423" w:rsidR="00A97BE4" w:rsidRPr="00A97BE4" w:rsidRDefault="00F46BBB" w:rsidP="00A97BE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موضوع/عنوان الاتفاق</w:t>
            </w:r>
          </w:p>
        </w:tc>
        <w:tc>
          <w:tcPr>
            <w:tcW w:w="2830" w:type="dxa"/>
          </w:tcPr>
          <w:p w14:paraId="643D4DD7" w14:textId="418DD611" w:rsidR="00A97BE4" w:rsidRPr="00A97BE4" w:rsidRDefault="00F46BBB" w:rsidP="00A97BE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القطاع/الدائرة</w:t>
            </w:r>
          </w:p>
        </w:tc>
      </w:tr>
      <w:tr w:rsidR="00A97BE4" w:rsidRPr="00A97BE4" w14:paraId="620BF16E" w14:textId="77777777" w:rsidTr="00D33581">
        <w:trPr>
          <w:trHeight w:val="300"/>
          <w:jc w:val="center"/>
        </w:trPr>
        <w:tc>
          <w:tcPr>
            <w:tcW w:w="2330" w:type="dxa"/>
            <w:noWrap/>
          </w:tcPr>
          <w:p w14:paraId="15192BB1" w14:textId="1E12DE66" w:rsidR="00A97BE4" w:rsidRPr="00A97BE4" w:rsidRDefault="00E1771E" w:rsidP="00D33581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20"/>
                <w:szCs w:val="20"/>
                <w:lang w:eastAsia="en-AU" w:bidi="ar-EG"/>
              </w:rPr>
            </w:pPr>
            <w:r>
              <w:rPr>
                <w:rFonts w:hint="cs"/>
                <w:sz w:val="20"/>
                <w:szCs w:val="20"/>
                <w:rtl/>
                <w:lang w:eastAsia="en-AU" w:bidi="ar-EG"/>
              </w:rPr>
              <w:t>الوزارة الاتحادية للشؤون الخارجية</w:t>
            </w:r>
          </w:p>
        </w:tc>
        <w:tc>
          <w:tcPr>
            <w:tcW w:w="1067" w:type="dxa"/>
          </w:tcPr>
          <w:p w14:paraId="01ADDCD4" w14:textId="1785C778" w:rsidR="00A97BE4" w:rsidRPr="00A97BE4" w:rsidRDefault="00A97BE4" w:rsidP="00D33581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20"/>
                <w:szCs w:val="20"/>
                <w:lang w:eastAsia="en-AU"/>
              </w:rPr>
            </w:pPr>
            <w:r>
              <w:rPr>
                <w:rFonts w:hint="cs"/>
                <w:sz w:val="20"/>
                <w:szCs w:val="20"/>
                <w:rtl/>
                <w:lang w:eastAsia="en-AU"/>
              </w:rPr>
              <w:t>سويسرا</w:t>
            </w:r>
          </w:p>
        </w:tc>
        <w:tc>
          <w:tcPr>
            <w:tcW w:w="3402" w:type="dxa"/>
          </w:tcPr>
          <w:p w14:paraId="05FD54FC" w14:textId="1CF1E425" w:rsidR="00A97BE4" w:rsidRPr="00AF0562" w:rsidRDefault="000F594A" w:rsidP="00D33581">
            <w:pPr>
              <w:jc w:val="left"/>
              <w:rPr>
                <w:spacing w:val="-2"/>
                <w:sz w:val="20"/>
                <w:szCs w:val="20"/>
                <w:lang w:eastAsia="en-AU"/>
              </w:rPr>
            </w:pPr>
            <w:hyperlink r:id="rId21" w:history="1">
              <w:r w:rsidR="00F46BBB" w:rsidRPr="00AF0562">
                <w:rPr>
                  <w:rStyle w:val="Hyperlink"/>
                  <w:rFonts w:hint="cs"/>
                  <w:spacing w:val="-2"/>
                  <w:sz w:val="20"/>
                  <w:szCs w:val="20"/>
                  <w:rtl/>
                </w:rPr>
                <w:t xml:space="preserve">مبادرة </w:t>
              </w:r>
              <w:r w:rsidR="00F46BBB" w:rsidRPr="00AF0562">
                <w:rPr>
                  <w:rStyle w:val="Hyperlink"/>
                  <w:spacing w:val="-2"/>
                  <w:sz w:val="20"/>
                  <w:szCs w:val="20"/>
                </w:rPr>
                <w:t>Giga</w:t>
              </w:r>
              <w:r w:rsidR="00F46BBB" w:rsidRPr="00AF0562">
                <w:rPr>
                  <w:rStyle w:val="Hyperlink"/>
                  <w:rFonts w:hint="cs"/>
                  <w:spacing w:val="-2"/>
                  <w:sz w:val="20"/>
                  <w:szCs w:val="20"/>
                  <w:rtl/>
                </w:rPr>
                <w:t xml:space="preserve"> - إنشاء أمانة </w:t>
              </w:r>
              <w:r w:rsidR="00E1771E" w:rsidRPr="00AF0562">
                <w:rPr>
                  <w:rStyle w:val="Hyperlink"/>
                  <w:rFonts w:hint="cs"/>
                  <w:spacing w:val="-2"/>
                  <w:sz w:val="20"/>
                  <w:szCs w:val="20"/>
                  <w:rtl/>
                </w:rPr>
                <w:t>عالمية</w:t>
              </w:r>
              <w:r w:rsidR="00F46BBB" w:rsidRPr="00AF0562">
                <w:rPr>
                  <w:rStyle w:val="Hyperlink"/>
                  <w:rFonts w:hint="cs"/>
                  <w:spacing w:val="-2"/>
                  <w:sz w:val="20"/>
                  <w:szCs w:val="20"/>
                  <w:rtl/>
                </w:rPr>
                <w:t xml:space="preserve"> في</w:t>
              </w:r>
              <w:r w:rsidR="0044053D">
                <w:rPr>
                  <w:rStyle w:val="Hyperlink"/>
                  <w:rFonts w:hint="eastAsia"/>
                  <w:spacing w:val="-2"/>
                  <w:sz w:val="20"/>
                  <w:szCs w:val="20"/>
                  <w:rtl/>
                </w:rPr>
                <w:t> </w:t>
              </w:r>
              <w:r w:rsidR="00F46BBB" w:rsidRPr="00AF0562">
                <w:rPr>
                  <w:rStyle w:val="Hyperlink"/>
                  <w:rFonts w:hint="cs"/>
                  <w:spacing w:val="-2"/>
                  <w:sz w:val="20"/>
                  <w:szCs w:val="20"/>
                  <w:rtl/>
                </w:rPr>
                <w:t>جنيف</w:t>
              </w:r>
            </w:hyperlink>
          </w:p>
        </w:tc>
        <w:tc>
          <w:tcPr>
            <w:tcW w:w="2830" w:type="dxa"/>
          </w:tcPr>
          <w:p w14:paraId="62B20237" w14:textId="10F84669" w:rsidR="00A97BE4" w:rsidRPr="00A97BE4" w:rsidRDefault="00F46BBB" w:rsidP="00D33581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20"/>
                <w:szCs w:val="20"/>
                <w:lang w:eastAsia="en-AU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الأمانة العامة/مكتب تنمية الاتصالات</w:t>
            </w:r>
          </w:p>
        </w:tc>
      </w:tr>
      <w:tr w:rsidR="00A97BE4" w:rsidRPr="00A97BE4" w14:paraId="3A71E792" w14:textId="77777777" w:rsidTr="00D33581">
        <w:trPr>
          <w:trHeight w:val="300"/>
          <w:jc w:val="center"/>
        </w:trPr>
        <w:tc>
          <w:tcPr>
            <w:tcW w:w="2330" w:type="dxa"/>
            <w:noWrap/>
          </w:tcPr>
          <w:p w14:paraId="7F39E45F" w14:textId="1FADB2D4" w:rsidR="00A97BE4" w:rsidRPr="00F46BBB" w:rsidRDefault="00F46BBB" w:rsidP="00D33581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20"/>
                <w:szCs w:val="20"/>
                <w:lang w:val="en-US" w:eastAsia="en-AU"/>
              </w:rPr>
            </w:pPr>
            <w:r>
              <w:rPr>
                <w:rFonts w:hint="cs"/>
                <w:sz w:val="20"/>
                <w:szCs w:val="20"/>
                <w:rtl/>
                <w:lang w:eastAsia="en-AU"/>
              </w:rPr>
              <w:t xml:space="preserve">المعهد الأوروبي لمعايير الاتصالات </w:t>
            </w:r>
            <w:r>
              <w:rPr>
                <w:sz w:val="20"/>
                <w:szCs w:val="20"/>
                <w:lang w:val="en-US" w:eastAsia="en-AU"/>
              </w:rPr>
              <w:t>(ETSI)</w:t>
            </w:r>
          </w:p>
        </w:tc>
        <w:tc>
          <w:tcPr>
            <w:tcW w:w="1067" w:type="dxa"/>
          </w:tcPr>
          <w:p w14:paraId="6AFB016D" w14:textId="748D2AE8" w:rsidR="00A97BE4" w:rsidRPr="00A97BE4" w:rsidRDefault="00A97BE4" w:rsidP="00D33581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20"/>
                <w:szCs w:val="20"/>
                <w:lang w:eastAsia="en-AU"/>
              </w:rPr>
            </w:pPr>
            <w:r>
              <w:rPr>
                <w:rFonts w:hint="cs"/>
                <w:sz w:val="20"/>
                <w:szCs w:val="20"/>
                <w:rtl/>
                <w:lang w:eastAsia="en-AU"/>
              </w:rPr>
              <w:t>فرنسا</w:t>
            </w:r>
          </w:p>
        </w:tc>
        <w:tc>
          <w:tcPr>
            <w:tcW w:w="3402" w:type="dxa"/>
          </w:tcPr>
          <w:p w14:paraId="3A72A89C" w14:textId="0B914820" w:rsidR="00A97BE4" w:rsidRPr="00B1108E" w:rsidRDefault="000F594A" w:rsidP="00D33581">
            <w:pPr>
              <w:jc w:val="left"/>
              <w:rPr>
                <w:spacing w:val="-6"/>
                <w:sz w:val="20"/>
                <w:szCs w:val="20"/>
                <w:lang w:val="en-US" w:eastAsia="en-AU"/>
              </w:rPr>
            </w:pPr>
            <w:hyperlink r:id="rId22" w:history="1">
              <w:r w:rsidR="00E1771E" w:rsidRPr="00B1108E">
                <w:rPr>
                  <w:rStyle w:val="Hyperlink"/>
                  <w:rFonts w:hint="cs"/>
                  <w:spacing w:val="-6"/>
                  <w:sz w:val="20"/>
                  <w:szCs w:val="20"/>
                  <w:rtl/>
                </w:rPr>
                <w:t xml:space="preserve">مذكرة تقاهم مع المعهد الأوروبي لمعايير الاتصالات </w:t>
              </w:r>
              <w:r w:rsidR="00E1771E" w:rsidRPr="00B1108E">
                <w:rPr>
                  <w:rStyle w:val="Hyperlink"/>
                  <w:spacing w:val="-6"/>
                  <w:sz w:val="20"/>
                  <w:szCs w:val="20"/>
                  <w:rtl/>
                </w:rPr>
                <w:t>–</w:t>
              </w:r>
              <w:r w:rsidR="00E1771E" w:rsidRPr="00B1108E">
                <w:rPr>
                  <w:rStyle w:val="Hyperlink"/>
                  <w:rFonts w:hint="cs"/>
                  <w:spacing w:val="-6"/>
                  <w:sz w:val="20"/>
                  <w:szCs w:val="20"/>
                  <w:rtl/>
                </w:rPr>
                <w:t xml:space="preserve"> تعزيز تبادل المعلومات والتعاون بشأن أنشطة التقييس التقني</w:t>
              </w:r>
            </w:hyperlink>
          </w:p>
        </w:tc>
        <w:tc>
          <w:tcPr>
            <w:tcW w:w="2830" w:type="dxa"/>
          </w:tcPr>
          <w:p w14:paraId="5BBB45CE" w14:textId="798326F0" w:rsidR="00A97BE4" w:rsidRPr="00A97BE4" w:rsidRDefault="00F46BBB" w:rsidP="00D33581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20"/>
                <w:szCs w:val="20"/>
                <w:lang w:eastAsia="en-AU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مكتب تقييس الاتصالات/</w:t>
            </w:r>
            <w:r w:rsidR="00013E4F">
              <w:rPr>
                <w:color w:val="000000"/>
                <w:sz w:val="20"/>
                <w:szCs w:val="20"/>
              </w:rPr>
              <w:br/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مكتب الاتصالات الراديوية</w:t>
            </w:r>
          </w:p>
        </w:tc>
      </w:tr>
    </w:tbl>
    <w:p w14:paraId="6A7AF3B8" w14:textId="3926FC69" w:rsidR="00F50E3F" w:rsidRDefault="00A97BE4" w:rsidP="00A97BE4">
      <w:pPr>
        <w:pStyle w:val="Heading1"/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F46BBB">
        <w:rPr>
          <w:rFonts w:hint="cs"/>
          <w:rtl/>
        </w:rPr>
        <w:t>لوحة معلومات بشأن مذكرات التفاهم السابقة</w:t>
      </w:r>
    </w:p>
    <w:p w14:paraId="26596A32" w14:textId="391A40B8" w:rsidR="00A97BE4" w:rsidRDefault="00A44AF8" w:rsidP="00E61BE8">
      <w:pPr>
        <w:rPr>
          <w:rtl/>
          <w:lang w:bidi="ar-EG"/>
        </w:rPr>
      </w:pPr>
      <w:r>
        <w:rPr>
          <w:rFonts w:hint="cs"/>
          <w:rtl/>
        </w:rPr>
        <w:t>تُ</w:t>
      </w:r>
      <w:r w:rsidR="00812726">
        <w:rPr>
          <w:rFonts w:hint="cs"/>
          <w:rtl/>
          <w:lang w:bidi="ar-EG"/>
        </w:rPr>
        <w:t xml:space="preserve">عرض من خلال الرابط التالي لوحة معلومات جديدة </w:t>
      </w:r>
      <w:r w:rsidR="00AE1A31">
        <w:rPr>
          <w:rFonts w:hint="cs"/>
          <w:rtl/>
          <w:lang w:bidi="ar-EG"/>
        </w:rPr>
        <w:t>تتضمن تفاصيل عن تنفيذ مذكرات التفاهم التي سبق إطلاع المجلس عليها خلال الفترة 2008-2021:</w:t>
      </w:r>
    </w:p>
    <w:p w14:paraId="57EEBB6B" w14:textId="4684C401" w:rsidR="00A97BE4" w:rsidRDefault="000F594A" w:rsidP="00A97BE4">
      <w:pPr>
        <w:rPr>
          <w:lang w:bidi="ar-EG"/>
        </w:rPr>
      </w:pPr>
      <w:hyperlink r:id="rId23" w:history="1">
        <w:r w:rsidR="00A97BE4" w:rsidRPr="00A97BE4">
          <w:rPr>
            <w:rStyle w:val="Hyperlink"/>
            <w:lang w:val="en-GB" w:bidi="ar-EG"/>
          </w:rPr>
          <w:t>https://www.itu.int/en/council/ties/Documents/2023/MoUs/dashboard-MoUs-2008-2021.docx</w:t>
        </w:r>
      </w:hyperlink>
    </w:p>
    <w:p w14:paraId="27777F1C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DB31" w14:textId="77777777" w:rsidR="00A97BE4" w:rsidRDefault="00A97BE4" w:rsidP="006C3242">
      <w:pPr>
        <w:spacing w:before="0" w:line="240" w:lineRule="auto"/>
      </w:pPr>
      <w:r>
        <w:separator/>
      </w:r>
    </w:p>
  </w:endnote>
  <w:endnote w:type="continuationSeparator" w:id="0">
    <w:p w14:paraId="5D07478F" w14:textId="77777777" w:rsidR="00A97BE4" w:rsidRDefault="00A97BE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E784" w14:textId="77777777" w:rsidR="00A52A49" w:rsidRDefault="00A52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EB75499" w14:textId="77777777" w:rsidTr="00357086">
      <w:trPr>
        <w:jc w:val="center"/>
      </w:trPr>
      <w:tc>
        <w:tcPr>
          <w:tcW w:w="868" w:type="pct"/>
          <w:vAlign w:val="center"/>
        </w:tcPr>
        <w:p w14:paraId="31F7488B" w14:textId="3C978C09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5054AA" w:rsidRPr="005054AA">
            <w:rPr>
              <w:rFonts w:ascii="Calibri" w:hAnsi="Calibri" w:cs="Arial"/>
              <w:sz w:val="18"/>
              <w:szCs w:val="14"/>
            </w:rPr>
            <w:t>521079</w:t>
          </w:r>
        </w:p>
      </w:tc>
      <w:tc>
        <w:tcPr>
          <w:tcW w:w="3912" w:type="pct"/>
        </w:tcPr>
        <w:p w14:paraId="76A6C5D9" w14:textId="60E8452E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014EE0">
            <w:rPr>
              <w:rFonts w:ascii="Calibri" w:hAnsi="Calibri" w:cs="Arial"/>
              <w:bCs/>
              <w:color w:val="7F7F7F"/>
              <w:sz w:val="18"/>
            </w:rPr>
            <w:t>45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7010F5D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A356E7C" w14:textId="2C27A5D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D529F7">
      <w:rPr>
        <w:color w:val="F2F2F2" w:themeColor="background1" w:themeShade="F2"/>
        <w:sz w:val="16"/>
        <w:szCs w:val="16"/>
        <w:lang w:val="fr-FR"/>
      </w:rPr>
      <w:fldChar w:fldCharType="begin"/>
    </w:r>
    <w:r w:rsidRPr="00D529F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529F7">
      <w:rPr>
        <w:color w:val="F2F2F2" w:themeColor="background1" w:themeShade="F2"/>
        <w:sz w:val="16"/>
        <w:szCs w:val="16"/>
        <w:lang w:val="fr-FR"/>
      </w:rPr>
      <w:fldChar w:fldCharType="separate"/>
    </w:r>
    <w:r w:rsidR="00C519B2" w:rsidRPr="00D529F7">
      <w:rPr>
        <w:noProof/>
        <w:color w:val="F2F2F2" w:themeColor="background1" w:themeShade="F2"/>
        <w:sz w:val="16"/>
        <w:szCs w:val="16"/>
        <w:lang w:val="fr-FR"/>
      </w:rPr>
      <w:t>P:\ARA\SG\CONSEIL\C23\000\045A.docx</w:t>
    </w:r>
    <w:r w:rsidRPr="00D529F7">
      <w:rPr>
        <w:color w:val="F2F2F2" w:themeColor="background1" w:themeShade="F2"/>
        <w:sz w:val="16"/>
        <w:szCs w:val="16"/>
      </w:rPr>
      <w:fldChar w:fldCharType="end"/>
    </w:r>
    <w:r w:rsidRPr="00D529F7">
      <w:rPr>
        <w:color w:val="F2F2F2" w:themeColor="background1" w:themeShade="F2"/>
        <w:sz w:val="16"/>
        <w:szCs w:val="16"/>
        <w:lang w:val="fr-FR"/>
      </w:rPr>
      <w:t xml:space="preserve">   (</w:t>
    </w:r>
    <w:r w:rsidR="005054AA" w:rsidRPr="00D529F7">
      <w:rPr>
        <w:color w:val="F2F2F2" w:themeColor="background1" w:themeShade="F2"/>
        <w:sz w:val="16"/>
        <w:szCs w:val="16"/>
        <w:lang w:val="fr-FR"/>
      </w:rPr>
      <w:t>521079</w:t>
    </w:r>
    <w:r w:rsidRPr="00D529F7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9E54B86" w14:textId="77777777" w:rsidTr="00F50E3F">
      <w:trPr>
        <w:jc w:val="center"/>
      </w:trPr>
      <w:tc>
        <w:tcPr>
          <w:tcW w:w="868" w:type="pct"/>
          <w:vAlign w:val="center"/>
        </w:tcPr>
        <w:p w14:paraId="1C055ED7" w14:textId="77777777" w:rsidR="007B0AA0" w:rsidRPr="007B0AA0" w:rsidRDefault="000F594A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5141F85" w14:textId="41AEC010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5054AA">
            <w:rPr>
              <w:rFonts w:ascii="Calibri" w:hAnsi="Calibri" w:cs="Arial"/>
              <w:bCs/>
              <w:color w:val="7F7F7F"/>
              <w:sz w:val="18"/>
            </w:rPr>
            <w:t>45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009FABF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C8F4139" w14:textId="454B0D0E" w:rsidR="0006468A" w:rsidRPr="005054AA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D529F7">
      <w:rPr>
        <w:color w:val="F2F2F2" w:themeColor="background1" w:themeShade="F2"/>
        <w:sz w:val="16"/>
        <w:szCs w:val="16"/>
        <w:lang w:val="fr-FR"/>
      </w:rPr>
      <w:fldChar w:fldCharType="begin"/>
    </w:r>
    <w:r w:rsidRPr="00D529F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529F7">
      <w:rPr>
        <w:color w:val="F2F2F2" w:themeColor="background1" w:themeShade="F2"/>
        <w:sz w:val="16"/>
        <w:szCs w:val="16"/>
        <w:lang w:val="fr-FR"/>
      </w:rPr>
      <w:fldChar w:fldCharType="separate"/>
    </w:r>
    <w:r w:rsidR="00C519B2" w:rsidRPr="00D529F7">
      <w:rPr>
        <w:noProof/>
        <w:color w:val="F2F2F2" w:themeColor="background1" w:themeShade="F2"/>
        <w:sz w:val="16"/>
        <w:szCs w:val="16"/>
        <w:lang w:val="fr-FR"/>
      </w:rPr>
      <w:t>P:\ARA\SG\CONSEIL\C23\000\045A.docx</w:t>
    </w:r>
    <w:r w:rsidRPr="00D529F7">
      <w:rPr>
        <w:color w:val="F2F2F2" w:themeColor="background1" w:themeShade="F2"/>
        <w:sz w:val="16"/>
        <w:szCs w:val="16"/>
      </w:rPr>
      <w:fldChar w:fldCharType="end"/>
    </w:r>
    <w:r w:rsidRPr="00D529F7">
      <w:rPr>
        <w:color w:val="F2F2F2" w:themeColor="background1" w:themeShade="F2"/>
        <w:sz w:val="16"/>
        <w:szCs w:val="16"/>
        <w:lang w:val="fr-FR"/>
      </w:rPr>
      <w:t xml:space="preserve">   (</w:t>
    </w:r>
    <w:r w:rsidR="005054AA" w:rsidRPr="00D529F7">
      <w:rPr>
        <w:color w:val="F2F2F2" w:themeColor="background1" w:themeShade="F2"/>
        <w:sz w:val="16"/>
        <w:szCs w:val="16"/>
        <w:lang w:val="fr-FR"/>
      </w:rPr>
      <w:t>521079</w:t>
    </w:r>
    <w:r w:rsidRPr="00D529F7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0C19" w14:textId="77777777" w:rsidR="00A97BE4" w:rsidRDefault="00A97BE4" w:rsidP="006C3242">
      <w:pPr>
        <w:spacing w:before="0" w:line="240" w:lineRule="auto"/>
      </w:pPr>
      <w:r>
        <w:separator/>
      </w:r>
    </w:p>
  </w:footnote>
  <w:footnote w:type="continuationSeparator" w:id="0">
    <w:p w14:paraId="42B2EC2E" w14:textId="77777777" w:rsidR="00A97BE4" w:rsidRDefault="00A97BE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9887" w14:textId="77777777" w:rsidR="00A52A49" w:rsidRDefault="00A52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E30E" w14:textId="77777777" w:rsidR="00A52A49" w:rsidRDefault="00A52A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F55E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548E6C86" wp14:editId="76E63D53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E4"/>
    <w:rsid w:val="00013E4F"/>
    <w:rsid w:val="00014EE0"/>
    <w:rsid w:val="00060532"/>
    <w:rsid w:val="0006468A"/>
    <w:rsid w:val="00090574"/>
    <w:rsid w:val="000933EF"/>
    <w:rsid w:val="000C1C0E"/>
    <w:rsid w:val="000C548A"/>
    <w:rsid w:val="000F594A"/>
    <w:rsid w:val="00122E55"/>
    <w:rsid w:val="001A60D4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6F02"/>
    <w:rsid w:val="00290728"/>
    <w:rsid w:val="002978F4"/>
    <w:rsid w:val="002B028D"/>
    <w:rsid w:val="002E6541"/>
    <w:rsid w:val="00334924"/>
    <w:rsid w:val="003409BC"/>
    <w:rsid w:val="00357185"/>
    <w:rsid w:val="00360AAD"/>
    <w:rsid w:val="00383829"/>
    <w:rsid w:val="003F4B29"/>
    <w:rsid w:val="004107ED"/>
    <w:rsid w:val="0042686F"/>
    <w:rsid w:val="004317D8"/>
    <w:rsid w:val="00434183"/>
    <w:rsid w:val="0044053D"/>
    <w:rsid w:val="00443869"/>
    <w:rsid w:val="00447F32"/>
    <w:rsid w:val="004B7334"/>
    <w:rsid w:val="004D0941"/>
    <w:rsid w:val="004E11DC"/>
    <w:rsid w:val="005054AA"/>
    <w:rsid w:val="00525DDD"/>
    <w:rsid w:val="005409AC"/>
    <w:rsid w:val="0055516A"/>
    <w:rsid w:val="0058491B"/>
    <w:rsid w:val="00592EA5"/>
    <w:rsid w:val="00594CA9"/>
    <w:rsid w:val="005A3170"/>
    <w:rsid w:val="006664F2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12726"/>
    <w:rsid w:val="0082358A"/>
    <w:rsid w:val="008235CD"/>
    <w:rsid w:val="008247DE"/>
    <w:rsid w:val="008339C0"/>
    <w:rsid w:val="00840B10"/>
    <w:rsid w:val="008513CB"/>
    <w:rsid w:val="0089383E"/>
    <w:rsid w:val="008A7F84"/>
    <w:rsid w:val="008C40D5"/>
    <w:rsid w:val="0091702E"/>
    <w:rsid w:val="00923B0C"/>
    <w:rsid w:val="0094021C"/>
    <w:rsid w:val="00952F86"/>
    <w:rsid w:val="00982B28"/>
    <w:rsid w:val="009D313F"/>
    <w:rsid w:val="00A44AF8"/>
    <w:rsid w:val="00A47A5A"/>
    <w:rsid w:val="00A52A49"/>
    <w:rsid w:val="00A6683B"/>
    <w:rsid w:val="00A97BE4"/>
    <w:rsid w:val="00A97F94"/>
    <w:rsid w:val="00AA7EA2"/>
    <w:rsid w:val="00AE1A31"/>
    <w:rsid w:val="00AF0562"/>
    <w:rsid w:val="00B03099"/>
    <w:rsid w:val="00B05BC8"/>
    <w:rsid w:val="00B0616E"/>
    <w:rsid w:val="00B1108E"/>
    <w:rsid w:val="00B64B47"/>
    <w:rsid w:val="00B6646B"/>
    <w:rsid w:val="00B95654"/>
    <w:rsid w:val="00C002DE"/>
    <w:rsid w:val="00C41FB6"/>
    <w:rsid w:val="00C519B2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33581"/>
    <w:rsid w:val="00D529F7"/>
    <w:rsid w:val="00D63735"/>
    <w:rsid w:val="00D77D0F"/>
    <w:rsid w:val="00DA1CF0"/>
    <w:rsid w:val="00DC1E02"/>
    <w:rsid w:val="00DC24B4"/>
    <w:rsid w:val="00DC5FB0"/>
    <w:rsid w:val="00DF16DC"/>
    <w:rsid w:val="00E17407"/>
    <w:rsid w:val="00E1771E"/>
    <w:rsid w:val="00E45211"/>
    <w:rsid w:val="00E473C5"/>
    <w:rsid w:val="00E61BE8"/>
    <w:rsid w:val="00E92863"/>
    <w:rsid w:val="00EB796D"/>
    <w:rsid w:val="00EF4AE5"/>
    <w:rsid w:val="00F010A9"/>
    <w:rsid w:val="00F058DC"/>
    <w:rsid w:val="00F24FC4"/>
    <w:rsid w:val="00F2676C"/>
    <w:rsid w:val="00F363FE"/>
    <w:rsid w:val="00F46BBB"/>
    <w:rsid w:val="00F50E3F"/>
    <w:rsid w:val="00F84366"/>
    <w:rsid w:val="00F85089"/>
    <w:rsid w:val="00F974C5"/>
    <w:rsid w:val="00FA6F46"/>
    <w:rsid w:val="00FC4592"/>
    <w:rsid w:val="00FD527F"/>
    <w:rsid w:val="00FD5A1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CBF39"/>
  <w15:chartTrackingRefBased/>
  <w15:docId w15:val="{08374E6C-0162-4D3B-94B9-F8E8D8A4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7BE4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A97BE4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3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ties/Documents/2023/MoUs/dashboard-MoUs-2008-2021.docx" TargetMode="External"/><Relationship Id="rId13" Type="http://schemas.openxmlformats.org/officeDocument/2006/relationships/hyperlink" Target="https://www.itu.int/md/S18-PP-C-0173/en" TargetMode="External"/><Relationship Id="rId18" Type="http://schemas.openxmlformats.org/officeDocument/2006/relationships/hyperlink" Target="https://www.itu.int/md/D22-TDAG30-C-0014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council/ties/Documents/2023/MoUs/CH-GIGA-Secretaria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206/en" TargetMode="External"/><Relationship Id="rId17" Type="http://schemas.openxmlformats.org/officeDocument/2006/relationships/hyperlink" Target="https://www.itu.int/md/S23-CL-C-0054/e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MembersPartners/Pages/Partners/List-of-Partners.aspx" TargetMode="External"/><Relationship Id="rId20" Type="http://schemas.openxmlformats.org/officeDocument/2006/relationships/hyperlink" Target="https://www.itu.int/ar/ITU-T/extcoop/Pages/mou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89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TDAG30-C-0007/en" TargetMode="External"/><Relationship Id="rId23" Type="http://schemas.openxmlformats.org/officeDocument/2006/relationships/hyperlink" Target="https://www.itu.int/en/council/ties/Documents/2023/MoUs/dashboard-MoUs-2008-2021.docx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md/S22-PP-C-0206/en" TargetMode="External"/><Relationship Id="rId19" Type="http://schemas.openxmlformats.org/officeDocument/2006/relationships/hyperlink" Target="https://view.officeapps.live.com/op/view.aspx?src=https%3A%2F%2Fwww.itu.int%2Fdms_pub%2Fitu-d%2Fmd%2F22%2Ftdag30%2Finf%2FD22-TDAG30-INF-0001!!MSW-E.docx&amp;wdOrigin=BROWSELIN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173/en" TargetMode="External"/><Relationship Id="rId14" Type="http://schemas.openxmlformats.org/officeDocument/2006/relationships/hyperlink" Target="https://www.itu.int/ar/ITU-D/Projects/Pages/default.aspx" TargetMode="External"/><Relationship Id="rId22" Type="http://schemas.openxmlformats.org/officeDocument/2006/relationships/hyperlink" Target="https://www.itu.int/en/council/ties/Documents/2023/MoUs/MoU-ETSI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participation in memoranda of understanding with financial and/or strategic implications</dc:title>
  <dc:subject>Council 2023</dc:subject>
  <dc:creator>Arabic-IR</dc:creator>
  <cp:keywords>C2023, C23, Council-23</cp:keywords>
  <dc:description/>
  <cp:lastModifiedBy>Xue, Kun</cp:lastModifiedBy>
  <cp:revision>4</cp:revision>
  <dcterms:created xsi:type="dcterms:W3CDTF">2023-07-07T18:44:00Z</dcterms:created>
  <dcterms:modified xsi:type="dcterms:W3CDTF">2023-07-07T18:45:00Z</dcterms:modified>
  <cp:category>Conference document</cp:category>
</cp:coreProperties>
</file>