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1" w:rightFromText="181" w:vertAnchor="page" w:horzAnchor="page" w:tblpX="1821" w:tblpY="2314"/>
        <w:tblW w:w="9214" w:type="dxa"/>
        <w:tblLayout w:type="fixed"/>
        <w:tblLook w:val="0000" w:firstRow="0" w:lastRow="0" w:firstColumn="0" w:lastColumn="0" w:noHBand="0" w:noVBand="0"/>
      </w:tblPr>
      <w:tblGrid>
        <w:gridCol w:w="3969"/>
        <w:gridCol w:w="5245"/>
      </w:tblGrid>
      <w:tr w:rsidR="00FE57F6" w:rsidRPr="00813E5E" w14:paraId="3C151953" w14:textId="77777777" w:rsidTr="00C538FC">
        <w:trPr>
          <w:cantSplit/>
          <w:trHeight w:val="23"/>
        </w:trPr>
        <w:tc>
          <w:tcPr>
            <w:tcW w:w="3969" w:type="dxa"/>
            <w:vMerge w:val="restart"/>
            <w:tcMar>
              <w:left w:w="0" w:type="dxa"/>
            </w:tcMar>
          </w:tcPr>
          <w:p w14:paraId="232A6D33" w14:textId="5B8FBB70" w:rsidR="00FE57F6" w:rsidRPr="00E85629" w:rsidRDefault="0028629E" w:rsidP="00C538FC">
            <w:pPr>
              <w:tabs>
                <w:tab w:val="left" w:pos="851"/>
              </w:tabs>
              <w:spacing w:before="0" w:line="240" w:lineRule="atLeast"/>
              <w:rPr>
                <w:b/>
              </w:rPr>
            </w:pPr>
            <w:bookmarkStart w:id="0" w:name="_Hlk133421839"/>
            <w:r w:rsidRPr="001D1463">
              <w:rPr>
                <w:b/>
              </w:rPr>
              <w:t>Punto del orden del día: ADM 2</w:t>
            </w:r>
          </w:p>
        </w:tc>
        <w:tc>
          <w:tcPr>
            <w:tcW w:w="5245" w:type="dxa"/>
          </w:tcPr>
          <w:p w14:paraId="2DAC0A55" w14:textId="4FF2DA86" w:rsidR="00FE57F6" w:rsidRPr="00E85629" w:rsidRDefault="00FE57F6" w:rsidP="00C538FC">
            <w:pPr>
              <w:tabs>
                <w:tab w:val="left" w:pos="851"/>
              </w:tabs>
              <w:spacing w:before="0" w:line="240" w:lineRule="atLeast"/>
              <w:jc w:val="right"/>
              <w:rPr>
                <w:b/>
              </w:rPr>
            </w:pPr>
            <w:r>
              <w:rPr>
                <w:b/>
              </w:rPr>
              <w:t>Document</w:t>
            </w:r>
            <w:r w:rsidR="00F24B71">
              <w:rPr>
                <w:b/>
              </w:rPr>
              <w:t>o</w:t>
            </w:r>
            <w:r>
              <w:rPr>
                <w:b/>
              </w:rPr>
              <w:t xml:space="preserve"> C23/</w:t>
            </w:r>
            <w:r w:rsidR="00D96B96">
              <w:rPr>
                <w:b/>
              </w:rPr>
              <w:t>44</w:t>
            </w:r>
            <w:r>
              <w:rPr>
                <w:b/>
              </w:rPr>
              <w:t>-</w:t>
            </w:r>
            <w:r w:rsidR="00F24B71">
              <w:rPr>
                <w:b/>
              </w:rPr>
              <w:t>S</w:t>
            </w:r>
          </w:p>
        </w:tc>
      </w:tr>
      <w:tr w:rsidR="00FE57F6" w:rsidRPr="00813E5E" w14:paraId="10A7D23D" w14:textId="77777777" w:rsidTr="00C538FC">
        <w:trPr>
          <w:cantSplit/>
        </w:trPr>
        <w:tc>
          <w:tcPr>
            <w:tcW w:w="3969" w:type="dxa"/>
            <w:vMerge/>
          </w:tcPr>
          <w:p w14:paraId="107952B5" w14:textId="77777777" w:rsidR="00FE57F6" w:rsidRPr="00813E5E" w:rsidRDefault="00FE57F6" w:rsidP="00C538FC">
            <w:pPr>
              <w:tabs>
                <w:tab w:val="left" w:pos="851"/>
              </w:tabs>
              <w:spacing w:line="240" w:lineRule="atLeast"/>
              <w:rPr>
                <w:b/>
              </w:rPr>
            </w:pPr>
          </w:p>
        </w:tc>
        <w:tc>
          <w:tcPr>
            <w:tcW w:w="5245" w:type="dxa"/>
          </w:tcPr>
          <w:p w14:paraId="19669D28" w14:textId="697D19E3" w:rsidR="00FE57F6" w:rsidRPr="00E85629" w:rsidRDefault="00832D62" w:rsidP="00C538FC">
            <w:pPr>
              <w:tabs>
                <w:tab w:val="left" w:pos="851"/>
              </w:tabs>
              <w:spacing w:before="0"/>
              <w:jc w:val="right"/>
              <w:rPr>
                <w:b/>
              </w:rPr>
            </w:pPr>
            <w:r>
              <w:rPr>
                <w:b/>
              </w:rPr>
              <w:t>9</w:t>
            </w:r>
            <w:r w:rsidR="00D96B96" w:rsidRPr="001D1463">
              <w:rPr>
                <w:b/>
              </w:rPr>
              <w:t xml:space="preserve"> de </w:t>
            </w:r>
            <w:r w:rsidR="0028629E">
              <w:rPr>
                <w:b/>
              </w:rPr>
              <w:t>junio</w:t>
            </w:r>
            <w:r w:rsidR="00D96B96" w:rsidRPr="001D1463">
              <w:rPr>
                <w:b/>
              </w:rPr>
              <w:t xml:space="preserve"> de 2023</w:t>
            </w:r>
          </w:p>
        </w:tc>
      </w:tr>
      <w:tr w:rsidR="00FE57F6" w:rsidRPr="00F24B71" w14:paraId="6C9C917F" w14:textId="77777777" w:rsidTr="00C538FC">
        <w:trPr>
          <w:cantSplit/>
          <w:trHeight w:val="23"/>
        </w:trPr>
        <w:tc>
          <w:tcPr>
            <w:tcW w:w="3969" w:type="dxa"/>
            <w:vMerge/>
          </w:tcPr>
          <w:p w14:paraId="11392550" w14:textId="77777777" w:rsidR="00FE57F6" w:rsidRPr="00813E5E" w:rsidRDefault="00FE57F6" w:rsidP="00C538FC">
            <w:pPr>
              <w:tabs>
                <w:tab w:val="left" w:pos="851"/>
              </w:tabs>
              <w:spacing w:line="240" w:lineRule="atLeast"/>
              <w:rPr>
                <w:b/>
              </w:rPr>
            </w:pPr>
          </w:p>
        </w:tc>
        <w:tc>
          <w:tcPr>
            <w:tcW w:w="5245" w:type="dxa"/>
          </w:tcPr>
          <w:p w14:paraId="5859158C" w14:textId="77777777" w:rsidR="00FE57F6" w:rsidRPr="00F24B71" w:rsidRDefault="00F24B71" w:rsidP="00C538FC">
            <w:pPr>
              <w:tabs>
                <w:tab w:val="left" w:pos="851"/>
              </w:tabs>
              <w:spacing w:before="0" w:line="240" w:lineRule="atLeast"/>
              <w:jc w:val="right"/>
              <w:rPr>
                <w:b/>
                <w:bCs/>
              </w:rPr>
            </w:pPr>
            <w:r w:rsidRPr="00F24B71">
              <w:rPr>
                <w:rFonts w:cstheme="minorHAnsi"/>
                <w:b/>
                <w:bCs/>
                <w:lang w:val="fr-CH"/>
              </w:rPr>
              <w:t xml:space="preserve">Original: </w:t>
            </w:r>
            <w:proofErr w:type="spellStart"/>
            <w:r w:rsidRPr="00F24B71">
              <w:rPr>
                <w:rFonts w:cstheme="minorHAnsi"/>
                <w:b/>
                <w:bCs/>
                <w:lang w:val="fr-CH"/>
              </w:rPr>
              <w:t>inglés</w:t>
            </w:r>
            <w:proofErr w:type="spellEnd"/>
          </w:p>
        </w:tc>
      </w:tr>
      <w:tr w:rsidR="00FE57F6" w:rsidRPr="00813E5E" w14:paraId="5F537B31" w14:textId="77777777" w:rsidTr="00C538FC">
        <w:trPr>
          <w:cantSplit/>
          <w:trHeight w:val="23"/>
        </w:trPr>
        <w:tc>
          <w:tcPr>
            <w:tcW w:w="3969" w:type="dxa"/>
          </w:tcPr>
          <w:p w14:paraId="4D8695B8" w14:textId="77777777" w:rsidR="00FE57F6" w:rsidRPr="00813E5E" w:rsidRDefault="00FE57F6" w:rsidP="00C538FC">
            <w:pPr>
              <w:tabs>
                <w:tab w:val="left" w:pos="851"/>
              </w:tabs>
              <w:spacing w:line="240" w:lineRule="atLeast"/>
              <w:rPr>
                <w:b/>
              </w:rPr>
            </w:pPr>
          </w:p>
        </w:tc>
        <w:tc>
          <w:tcPr>
            <w:tcW w:w="5245" w:type="dxa"/>
          </w:tcPr>
          <w:p w14:paraId="3F2A92EE" w14:textId="77777777" w:rsidR="00FE57F6" w:rsidRDefault="00FE57F6" w:rsidP="00C538FC">
            <w:pPr>
              <w:tabs>
                <w:tab w:val="left" w:pos="851"/>
              </w:tabs>
              <w:spacing w:before="0" w:line="240" w:lineRule="atLeast"/>
              <w:jc w:val="right"/>
              <w:rPr>
                <w:b/>
              </w:rPr>
            </w:pPr>
          </w:p>
        </w:tc>
      </w:tr>
      <w:tr w:rsidR="00FE57F6" w:rsidRPr="00FE57F6" w14:paraId="32CDA636" w14:textId="77777777" w:rsidTr="00C538FC">
        <w:trPr>
          <w:cantSplit/>
        </w:trPr>
        <w:tc>
          <w:tcPr>
            <w:tcW w:w="9214" w:type="dxa"/>
            <w:gridSpan w:val="2"/>
            <w:tcMar>
              <w:left w:w="0" w:type="dxa"/>
            </w:tcMar>
          </w:tcPr>
          <w:p w14:paraId="20A9F2A0" w14:textId="77777777" w:rsidR="00FE57F6" w:rsidRPr="004B5D49" w:rsidRDefault="00F24B71" w:rsidP="00C538FC">
            <w:pPr>
              <w:pStyle w:val="Source"/>
              <w:jc w:val="left"/>
              <w:rPr>
                <w:sz w:val="34"/>
                <w:szCs w:val="34"/>
                <w:lang w:val="es-ES"/>
              </w:rPr>
            </w:pPr>
            <w:r w:rsidRPr="00C538FC">
              <w:rPr>
                <w:rFonts w:cstheme="minorHAnsi"/>
                <w:sz w:val="34"/>
                <w:szCs w:val="34"/>
              </w:rPr>
              <w:t>Informe de</w:t>
            </w:r>
            <w:r w:rsidR="004B5D49">
              <w:rPr>
                <w:rFonts w:cstheme="minorHAnsi"/>
                <w:sz w:val="34"/>
                <w:szCs w:val="34"/>
              </w:rPr>
              <w:t xml:space="preserve"> </w:t>
            </w:r>
            <w:r w:rsidRPr="00C538FC">
              <w:rPr>
                <w:rFonts w:cstheme="minorHAnsi"/>
                <w:sz w:val="34"/>
                <w:szCs w:val="34"/>
              </w:rPr>
              <w:t>l</w:t>
            </w:r>
            <w:r w:rsidR="004B5D49">
              <w:rPr>
                <w:rFonts w:cstheme="minorHAnsi"/>
                <w:sz w:val="34"/>
                <w:szCs w:val="34"/>
              </w:rPr>
              <w:t>a</w:t>
            </w:r>
            <w:r w:rsidRPr="00C538FC">
              <w:rPr>
                <w:rFonts w:cstheme="minorHAnsi"/>
                <w:sz w:val="34"/>
                <w:szCs w:val="34"/>
              </w:rPr>
              <w:t xml:space="preserve"> Secretari</w:t>
            </w:r>
            <w:r w:rsidR="004B5D49">
              <w:rPr>
                <w:rFonts w:cstheme="minorHAnsi"/>
                <w:sz w:val="34"/>
                <w:szCs w:val="34"/>
              </w:rPr>
              <w:t>a</w:t>
            </w:r>
            <w:r w:rsidRPr="00C538FC">
              <w:rPr>
                <w:rFonts w:cstheme="minorHAnsi"/>
                <w:sz w:val="34"/>
                <w:szCs w:val="34"/>
              </w:rPr>
              <w:t xml:space="preserve"> General</w:t>
            </w:r>
          </w:p>
        </w:tc>
      </w:tr>
      <w:tr w:rsidR="00FE57F6" w:rsidRPr="00813E5E" w14:paraId="1FB5EF78" w14:textId="77777777" w:rsidTr="00C538FC">
        <w:trPr>
          <w:cantSplit/>
        </w:trPr>
        <w:tc>
          <w:tcPr>
            <w:tcW w:w="9214" w:type="dxa"/>
            <w:gridSpan w:val="2"/>
            <w:tcMar>
              <w:left w:w="0" w:type="dxa"/>
            </w:tcMar>
          </w:tcPr>
          <w:p w14:paraId="166E4767" w14:textId="0051EFB9" w:rsidR="00FE57F6" w:rsidRPr="00D96B96" w:rsidRDefault="00D96B96" w:rsidP="00C538FC">
            <w:pPr>
              <w:pStyle w:val="Subtitle"/>
              <w:framePr w:hSpace="0" w:wrap="auto" w:hAnchor="text" w:xAlign="left" w:yAlign="inline"/>
              <w:rPr>
                <w:lang w:val="es-ES"/>
              </w:rPr>
            </w:pPr>
            <w:bookmarkStart w:id="1" w:name="_Hlk38976514"/>
            <w:r w:rsidRPr="001D1463">
              <w:rPr>
                <w:lang w:val="es-ES_tradnl"/>
              </w:rPr>
              <w:t>INFORME DEL AUDITOR INTERNO SOBRE LAS ACTIVIDADES DE AUDITORÍA INTERNA</w:t>
            </w:r>
            <w:bookmarkEnd w:id="1"/>
          </w:p>
        </w:tc>
      </w:tr>
      <w:tr w:rsidR="00FE57F6" w:rsidRPr="00813E5E" w14:paraId="7BF6D01C" w14:textId="77777777" w:rsidTr="00C538FC">
        <w:trPr>
          <w:cantSplit/>
        </w:trPr>
        <w:tc>
          <w:tcPr>
            <w:tcW w:w="9214" w:type="dxa"/>
            <w:gridSpan w:val="2"/>
            <w:tcBorders>
              <w:top w:val="single" w:sz="4" w:space="0" w:color="auto"/>
              <w:bottom w:val="single" w:sz="4" w:space="0" w:color="auto"/>
            </w:tcBorders>
            <w:tcMar>
              <w:left w:w="0" w:type="dxa"/>
            </w:tcMar>
          </w:tcPr>
          <w:p w14:paraId="21B09926" w14:textId="77367FA7" w:rsidR="00FE57F6" w:rsidRPr="00F24B71" w:rsidRDefault="00F24B71" w:rsidP="00C538FC">
            <w:pPr>
              <w:spacing w:before="160"/>
              <w:rPr>
                <w:b/>
                <w:bCs/>
                <w:sz w:val="26"/>
                <w:szCs w:val="26"/>
                <w:lang w:val="es-ES"/>
              </w:rPr>
            </w:pPr>
            <w:r w:rsidRPr="00F24B71">
              <w:rPr>
                <w:b/>
                <w:bCs/>
                <w:sz w:val="26"/>
                <w:szCs w:val="26"/>
                <w:lang w:val="es-ES"/>
              </w:rPr>
              <w:t>Finalidad</w:t>
            </w:r>
          </w:p>
          <w:p w14:paraId="0EF01662" w14:textId="207D5893" w:rsidR="00FE57F6" w:rsidRPr="00F24B71" w:rsidRDefault="00D96B96" w:rsidP="00C538FC">
            <w:pPr>
              <w:rPr>
                <w:lang w:val="es-ES"/>
              </w:rPr>
            </w:pPr>
            <w:r w:rsidRPr="001D1463">
              <w:t xml:space="preserve">El presente informe abarca las actividades de auditoría interna llevadas a cabo durante el periodo comprendido entre </w:t>
            </w:r>
            <w:r w:rsidRPr="001D1463">
              <w:rPr>
                <w:szCs w:val="24"/>
              </w:rPr>
              <w:t>febrero de 2022 y abril de 2023.</w:t>
            </w:r>
          </w:p>
          <w:p w14:paraId="2B975D55" w14:textId="77777777" w:rsidR="00FE57F6" w:rsidRPr="00F24B71" w:rsidRDefault="00F24B71" w:rsidP="00C538FC">
            <w:pPr>
              <w:spacing w:before="160"/>
              <w:rPr>
                <w:b/>
                <w:bCs/>
                <w:sz w:val="26"/>
                <w:szCs w:val="26"/>
                <w:lang w:val="es-ES"/>
              </w:rPr>
            </w:pPr>
            <w:r w:rsidRPr="00F24B71">
              <w:rPr>
                <w:b/>
                <w:bCs/>
                <w:sz w:val="26"/>
                <w:szCs w:val="26"/>
                <w:lang w:val="es-ES"/>
              </w:rPr>
              <w:t xml:space="preserve">Acción solicitada </w:t>
            </w:r>
            <w:r w:rsidR="00677A97">
              <w:rPr>
                <w:b/>
                <w:bCs/>
                <w:sz w:val="26"/>
                <w:szCs w:val="26"/>
                <w:lang w:val="es-ES"/>
              </w:rPr>
              <w:t>al</w:t>
            </w:r>
            <w:r w:rsidRPr="00F24B71">
              <w:rPr>
                <w:b/>
                <w:bCs/>
                <w:sz w:val="26"/>
                <w:szCs w:val="26"/>
                <w:lang w:val="es-ES"/>
              </w:rPr>
              <w:t xml:space="preserve"> Consejo</w:t>
            </w:r>
          </w:p>
          <w:p w14:paraId="68E45467" w14:textId="69748B1E" w:rsidR="00FE57F6" w:rsidRPr="00F24B71" w:rsidRDefault="00D96B96" w:rsidP="00C538FC">
            <w:pPr>
              <w:rPr>
                <w:lang w:val="es-ES"/>
              </w:rPr>
            </w:pPr>
            <w:r w:rsidRPr="001D1463">
              <w:rPr>
                <w:szCs w:val="24"/>
              </w:rPr>
              <w:t xml:space="preserve">Se invita al Consejo de la UIT </w:t>
            </w:r>
            <w:r w:rsidRPr="003E5012">
              <w:rPr>
                <w:szCs w:val="24"/>
              </w:rPr>
              <w:t>a</w:t>
            </w:r>
            <w:r w:rsidRPr="001D1463">
              <w:rPr>
                <w:b/>
                <w:bCs/>
                <w:szCs w:val="24"/>
              </w:rPr>
              <w:t xml:space="preserve"> tomar nota </w:t>
            </w:r>
            <w:r w:rsidRPr="001D1463">
              <w:rPr>
                <w:szCs w:val="24"/>
              </w:rPr>
              <w:t>del presente informe.</w:t>
            </w:r>
          </w:p>
          <w:p w14:paraId="1A86DB0C" w14:textId="77777777" w:rsidR="00FE57F6" w:rsidRPr="00F24B71" w:rsidRDefault="00F24B71" w:rsidP="00C538FC">
            <w:pPr>
              <w:spacing w:before="160"/>
              <w:rPr>
                <w:b/>
                <w:bCs/>
                <w:sz w:val="26"/>
                <w:szCs w:val="26"/>
                <w:lang w:val="es-ES"/>
              </w:rPr>
            </w:pPr>
            <w:r w:rsidRPr="00F24B71">
              <w:rPr>
                <w:b/>
                <w:bCs/>
                <w:sz w:val="26"/>
                <w:szCs w:val="26"/>
                <w:lang w:val="es-ES"/>
              </w:rPr>
              <w:t>Vínculos pertinentes con el Plan Estratégico</w:t>
            </w:r>
          </w:p>
          <w:p w14:paraId="45604CD7" w14:textId="77777777" w:rsidR="00D96B96" w:rsidRDefault="00D96B96" w:rsidP="00C538FC">
            <w:pPr>
              <w:spacing w:before="160"/>
            </w:pPr>
            <w:r w:rsidRPr="001D1463">
              <w:t>Excelencia en innovación organizativa y recursos humanos.</w:t>
            </w:r>
          </w:p>
          <w:p w14:paraId="70C80355" w14:textId="77777777" w:rsidR="00D96B96" w:rsidRDefault="00F24B71" w:rsidP="00C538FC">
            <w:pPr>
              <w:spacing w:before="160"/>
              <w:rPr>
                <w:b/>
                <w:bCs/>
                <w:sz w:val="26"/>
                <w:szCs w:val="26"/>
              </w:rPr>
            </w:pPr>
            <w:r w:rsidRPr="00F24B71">
              <w:rPr>
                <w:b/>
                <w:bCs/>
                <w:sz w:val="26"/>
                <w:szCs w:val="26"/>
              </w:rPr>
              <w:t xml:space="preserve">Repercusiones financieras: </w:t>
            </w:r>
          </w:p>
          <w:p w14:paraId="600F8B93" w14:textId="5EA772E7" w:rsidR="00FE57F6" w:rsidRDefault="00D96B96" w:rsidP="00C538FC">
            <w:pPr>
              <w:spacing w:before="160"/>
              <w:rPr>
                <w:b/>
                <w:bCs/>
                <w:sz w:val="26"/>
                <w:szCs w:val="26"/>
              </w:rPr>
            </w:pPr>
            <w:r w:rsidRPr="001D1463">
              <w:rPr>
                <w:szCs w:val="24"/>
              </w:rPr>
              <w:t>Ninguna.</w:t>
            </w:r>
          </w:p>
          <w:p w14:paraId="4F6A7333" w14:textId="77777777" w:rsidR="00FE57F6" w:rsidRPr="00813E5E" w:rsidRDefault="00FE57F6" w:rsidP="00C538FC">
            <w:pPr>
              <w:spacing w:before="160"/>
              <w:rPr>
                <w:caps/>
                <w:sz w:val="22"/>
              </w:rPr>
            </w:pPr>
            <w:r w:rsidRPr="00813E5E">
              <w:rPr>
                <w:sz w:val="22"/>
              </w:rPr>
              <w:t>____________</w:t>
            </w:r>
            <w:r>
              <w:rPr>
                <w:sz w:val="22"/>
              </w:rPr>
              <w:t>______</w:t>
            </w:r>
          </w:p>
          <w:p w14:paraId="41D23B7A" w14:textId="77777777" w:rsidR="00FE57F6" w:rsidRDefault="00F24B71" w:rsidP="00C538FC">
            <w:pPr>
              <w:spacing w:before="160"/>
              <w:rPr>
                <w:b/>
                <w:bCs/>
                <w:sz w:val="26"/>
                <w:szCs w:val="26"/>
              </w:rPr>
            </w:pPr>
            <w:r w:rsidRPr="00F24B71">
              <w:rPr>
                <w:b/>
                <w:bCs/>
                <w:sz w:val="26"/>
                <w:szCs w:val="26"/>
              </w:rPr>
              <w:t>Referencia</w:t>
            </w:r>
          </w:p>
          <w:p w14:paraId="394089E4" w14:textId="421A98A1" w:rsidR="00FE57F6" w:rsidRDefault="00832D62" w:rsidP="00C538FC">
            <w:pPr>
              <w:spacing w:after="160"/>
            </w:pPr>
            <w:hyperlink r:id="rId7" w:history="1">
              <w:r w:rsidR="00D96B96" w:rsidRPr="001D1463">
                <w:rPr>
                  <w:rStyle w:val="Hyperlink"/>
                  <w:i/>
                  <w:iCs/>
                  <w:szCs w:val="24"/>
                </w:rPr>
                <w:t>Reglamento Financiero y Reglas Financieras de la UIT (2018), Artículo 29</w:t>
              </w:r>
            </w:hyperlink>
          </w:p>
        </w:tc>
      </w:tr>
      <w:bookmarkEnd w:id="0"/>
    </w:tbl>
    <w:p w14:paraId="469AABAC" w14:textId="77777777" w:rsidR="00093EEB" w:rsidRDefault="00093EEB"/>
    <w:p w14:paraId="36B8B5BC" w14:textId="77777777" w:rsidR="001559F5" w:rsidRDefault="001559F5">
      <w:pPr>
        <w:tabs>
          <w:tab w:val="clear" w:pos="567"/>
          <w:tab w:val="clear" w:pos="1134"/>
          <w:tab w:val="clear" w:pos="1701"/>
          <w:tab w:val="clear" w:pos="2268"/>
          <w:tab w:val="clear" w:pos="2835"/>
        </w:tabs>
        <w:overflowPunct/>
        <w:autoSpaceDE/>
        <w:autoSpaceDN/>
        <w:adjustRightInd/>
        <w:spacing w:before="0"/>
        <w:textAlignment w:val="auto"/>
      </w:pPr>
      <w:r>
        <w:br w:type="page"/>
      </w:r>
    </w:p>
    <w:p w14:paraId="0D2072C3" w14:textId="77777777" w:rsidR="00D96B96" w:rsidRPr="001D1463" w:rsidRDefault="00D96B96" w:rsidP="00D96B96">
      <w:pPr>
        <w:pStyle w:val="Heading1"/>
        <w:keepNext w:val="0"/>
        <w:keepLines w:val="0"/>
        <w:tabs>
          <w:tab w:val="clear" w:pos="567"/>
          <w:tab w:val="clear" w:pos="1134"/>
          <w:tab w:val="clear" w:pos="1701"/>
          <w:tab w:val="clear" w:pos="2268"/>
          <w:tab w:val="clear" w:pos="2835"/>
        </w:tabs>
        <w:snapToGrid w:val="0"/>
        <w:spacing w:before="0" w:after="120"/>
        <w:ind w:left="0" w:firstLine="0"/>
        <w:rPr>
          <w:rFonts w:asciiTheme="minorHAnsi" w:hAnsiTheme="minorHAnsi" w:cstheme="minorHAnsi"/>
          <w:szCs w:val="28"/>
        </w:rPr>
      </w:pPr>
      <w:r w:rsidRPr="001D1463">
        <w:rPr>
          <w:rFonts w:asciiTheme="minorHAnsi" w:hAnsiTheme="minorHAnsi" w:cstheme="minorHAnsi"/>
          <w:szCs w:val="28"/>
        </w:rPr>
        <w:lastRenderedPageBreak/>
        <w:t>Introducción</w:t>
      </w:r>
    </w:p>
    <w:p w14:paraId="30DF624E" w14:textId="2EE9C4F5" w:rsidR="00D96B96" w:rsidRPr="001D1463" w:rsidRDefault="007345E1" w:rsidP="007345E1">
      <w:r>
        <w:t>1</w:t>
      </w:r>
      <w:r>
        <w:tab/>
      </w:r>
      <w:r w:rsidR="00D96B96" w:rsidRPr="001D1463">
        <w:t>El presente informe se transmite al Consejo de la UIT</w:t>
      </w:r>
      <w:r w:rsidR="00D96B96">
        <w:t xml:space="preserve"> y es</w:t>
      </w:r>
      <w:r w:rsidR="00D96B96" w:rsidRPr="001D1463">
        <w:t xml:space="preserve"> conforme a lo estipulado en el Artículo</w:t>
      </w:r>
      <w:r>
        <w:t> </w:t>
      </w:r>
      <w:r w:rsidR="00D96B96" w:rsidRPr="001D1463">
        <w:t>29 del Reglamento Financiero y Reglas Financieras de la UIT (2018). De acuerdo con la Carta de Auditoría Interna de la UIT</w:t>
      </w:r>
      <w:r w:rsidR="00D96B96" w:rsidRPr="001D1463">
        <w:rPr>
          <w:vertAlign w:val="superscript"/>
        </w:rPr>
        <w:footnoteReference w:id="1"/>
      </w:r>
      <w:r w:rsidR="00D96B96" w:rsidRPr="001D1463">
        <w:t>, el informe se somete a la Secretaria General y se presenta al Consejo para su consideración. El presente informe abarca las actividades realizadas durante el periodo comprendido entre febrero de 2022 y abril de 2023.</w:t>
      </w:r>
    </w:p>
    <w:p w14:paraId="04CB1E69" w14:textId="7ACB324F" w:rsidR="00D96B96" w:rsidRPr="001D1463" w:rsidRDefault="007345E1" w:rsidP="007345E1">
      <w:r>
        <w:t>2</w:t>
      </w:r>
      <w:r>
        <w:tab/>
      </w:r>
      <w:r w:rsidR="00D96B96" w:rsidRPr="001D1463">
        <w:t xml:space="preserve">Durante el periodo objeto del informe, la Unidad de Auditoría Interna (AI) de la UIT estuvo compuesta por cuatro funcionarios de la categoría del Cuadro Orgánico, a saber, un Jefe (P5), un auditor principal (P4), un auditor interno (P3) y un auditor interno subalterno (P2). A principios de 2022, se publicó un puesto vacante de nivel P3 </w:t>
      </w:r>
      <w:r w:rsidR="00D96B96">
        <w:t>para una contratación</w:t>
      </w:r>
      <w:r w:rsidR="00D96B96" w:rsidRPr="001D1463">
        <w:t xml:space="preserve"> de duración determinada y un funcionario de ese mismo nivel se incorporó a la AI de forma temporal, a la espera de la selección del titular, que asumió su cargo el 1 de noviembre de</w:t>
      </w:r>
      <w:r>
        <w:t> </w:t>
      </w:r>
      <w:r w:rsidR="00D96B96" w:rsidRPr="001D1463">
        <w:t xml:space="preserve">2022. </w:t>
      </w:r>
    </w:p>
    <w:p w14:paraId="7F5A4DF9" w14:textId="32376212" w:rsidR="00D96B96" w:rsidRPr="001D1463" w:rsidRDefault="007345E1" w:rsidP="007345E1">
      <w:r>
        <w:t>3</w:t>
      </w:r>
      <w:r>
        <w:tab/>
      </w:r>
      <w:r w:rsidR="00D96B96" w:rsidRPr="001D1463">
        <w:t>La AI confirma que lleva a cabo sus auditorías de conformidad con las Normas Internacionales para la Práctica Profesional de Auditoría interna y el Código Ético establecidos por el Instituto de Auditores Internos (IIA)</w:t>
      </w:r>
      <w:r w:rsidR="00D96B96" w:rsidRPr="001D1463">
        <w:rPr>
          <w:vertAlign w:val="superscript"/>
        </w:rPr>
        <w:footnoteReference w:id="2"/>
      </w:r>
      <w:r w:rsidR="00D96B96" w:rsidRPr="001D1463">
        <w:t>, así como con las disposiciones de la Carta de Auditoría Interna de la UIT. La AI confirma asimismo que, durante el periodo objeto del informe, su personal no tuvo autoridad de gestión ni responsabilidad sobre ninguna de las actividades auditadas y no realizó funciones de contabilidad u operacionales en la UIT.</w:t>
      </w:r>
    </w:p>
    <w:p w14:paraId="466E53A0" w14:textId="77777777" w:rsidR="00D96B96" w:rsidRPr="001D1463" w:rsidRDefault="00D96B96" w:rsidP="007345E1">
      <w:pPr>
        <w:pStyle w:val="Heading1"/>
      </w:pPr>
      <w:r w:rsidRPr="001D1463">
        <w:t>Orientación y alcance de las actividades de auditoría interna</w:t>
      </w:r>
    </w:p>
    <w:p w14:paraId="118AF8DF" w14:textId="28D5DD29" w:rsidR="00D96B96" w:rsidRPr="001D1463" w:rsidRDefault="007345E1" w:rsidP="007345E1">
      <w:r>
        <w:t>4</w:t>
      </w:r>
      <w:r>
        <w:tab/>
      </w:r>
      <w:r w:rsidR="00D96B96" w:rsidRPr="001D1463">
        <w:t xml:space="preserve">De conformidad con la Carta de Auditoría Interna, el plan de auditoría anual de 2022 fue objeto de examen en la 31ª reunión del Comité Asesor Independiente sobre la Gestión (CAIG) y recibió la aprobación del Secretario General el 1 de abril de </w:t>
      </w:r>
      <w:r w:rsidR="00D96B96" w:rsidRPr="001D1463">
        <w:rPr>
          <w:spacing w:val="-2"/>
        </w:rPr>
        <w:t>2022.</w:t>
      </w:r>
    </w:p>
    <w:p w14:paraId="1B7A2B07" w14:textId="1A3BD594" w:rsidR="00D96B96" w:rsidRPr="001D1463" w:rsidRDefault="007345E1" w:rsidP="007345E1">
      <w:r>
        <w:rPr>
          <w:spacing w:val="-2"/>
        </w:rPr>
        <w:t>5</w:t>
      </w:r>
      <w:r>
        <w:rPr>
          <w:spacing w:val="-2"/>
        </w:rPr>
        <w:tab/>
      </w:r>
      <w:r w:rsidR="00D96B96" w:rsidRPr="001D1463">
        <w:rPr>
          <w:spacing w:val="-2"/>
        </w:rPr>
        <w:t xml:space="preserve">La AI comparte sistemáticamente copias de los informes de auditoría interna con el Auditor Externo de la UIT y el CAIG. De conformidad con </w:t>
      </w:r>
      <w:r w:rsidR="00D96B96" w:rsidRPr="001D1463">
        <w:t>el § 5 del Artículo 29 del Reglamento Financiero y Reglas Financieras</w:t>
      </w:r>
      <w:r w:rsidR="00D96B96" w:rsidRPr="001D1463">
        <w:rPr>
          <w:spacing w:val="-2"/>
        </w:rPr>
        <w:t>, los informes finales de auditoría interna pueden ponerse a disposición de los Estados Miembros o de sus representantes designados. Desde octubre de</w:t>
      </w:r>
      <w:r>
        <w:rPr>
          <w:spacing w:val="-2"/>
        </w:rPr>
        <w:t> </w:t>
      </w:r>
      <w:r w:rsidR="00D96B96" w:rsidRPr="001D1463">
        <w:rPr>
          <w:spacing w:val="-2"/>
        </w:rPr>
        <w:t>2015, existe un mecanismo que facilita el acceso a los informes de auditoría interna. Durante el periodo objeto del informe, no se recibió ninguna solicitud para consultar informes de auditoría interna a través del mecanismo en línea.</w:t>
      </w:r>
      <w:r w:rsidR="00D96B96" w:rsidRPr="001D1463">
        <w:t xml:space="preserve"> </w:t>
      </w:r>
    </w:p>
    <w:p w14:paraId="38D15EDF" w14:textId="77777777" w:rsidR="00D96B96" w:rsidRPr="001D1463" w:rsidRDefault="00D96B96" w:rsidP="007345E1">
      <w:pPr>
        <w:pStyle w:val="Heading1"/>
      </w:pPr>
      <w:r w:rsidRPr="001D1463">
        <w:t>Objetivos y conclusiones de los encargos de aseguramiento</w:t>
      </w:r>
    </w:p>
    <w:p w14:paraId="533154BF" w14:textId="706D229A" w:rsidR="00D96B96" w:rsidRPr="001D1463" w:rsidRDefault="007345E1" w:rsidP="007345E1">
      <w:r>
        <w:t>6</w:t>
      </w:r>
      <w:r>
        <w:tab/>
      </w:r>
      <w:r w:rsidR="00D96B96" w:rsidRPr="001D1463">
        <w:t xml:space="preserve">Los objetivos de los encargos de aseguramiento son evaluar: i) los aspectos relacionados con la gobernanza de las operaciones verificadas de la Unión; </w:t>
      </w:r>
      <w:proofErr w:type="spellStart"/>
      <w:r w:rsidR="00D96B96" w:rsidRPr="001D1463">
        <w:t>ii</w:t>
      </w:r>
      <w:proofErr w:type="spellEnd"/>
      <w:r w:rsidR="00D96B96" w:rsidRPr="001D1463">
        <w:t xml:space="preserve">) las prácticas en materia de gestión de riesgos; y </w:t>
      </w:r>
      <w:proofErr w:type="spellStart"/>
      <w:r w:rsidR="00D96B96" w:rsidRPr="001D1463">
        <w:t>iii</w:t>
      </w:r>
      <w:proofErr w:type="spellEnd"/>
      <w:r w:rsidR="00D96B96" w:rsidRPr="001D1463">
        <w:t>) la eficacia de los controles (internos). El grado de prioridad de las recomendaciones resultantes de los trabajos de auditoría se determina en función de la repercusión y la probabilidad de la deficienci</w:t>
      </w:r>
      <w:r w:rsidR="00D96B96">
        <w:t>a</w:t>
      </w:r>
      <w:r w:rsidR="00D96B96" w:rsidRPr="001D1463">
        <w:t xml:space="preserve"> (alta, media, baja).</w:t>
      </w:r>
    </w:p>
    <w:p w14:paraId="268D0505" w14:textId="04D05D82" w:rsidR="00D96B96" w:rsidRPr="001D1463" w:rsidRDefault="007345E1" w:rsidP="007345E1">
      <w:r>
        <w:lastRenderedPageBreak/>
        <w:t>7</w:t>
      </w:r>
      <w:r>
        <w:tab/>
      </w:r>
      <w:r w:rsidR="00D96B96" w:rsidRPr="001D1463">
        <w:t>La AI realiza un seguimiento de la aplicación de las medidas recomendadas, cuando y según procede. Desde principios de 2021, la Unión dispone de un tablero de control del cumplimiento</w:t>
      </w:r>
      <w:r w:rsidR="00D96B96">
        <w:t xml:space="preserve"> con ese fin</w:t>
      </w:r>
      <w:r w:rsidR="00D96B96" w:rsidRPr="001D1463">
        <w:t>, que facilita el seguimiento de la aplicación de las recomendaciones a los gestores competentes, si bien no exime a la AI de la responsabilidad de realizar un seguimiento de las recomendaciones formuladas previamente, de acuerdo con la Norma 2500 del IIA</w:t>
      </w:r>
      <w:r w:rsidR="00D96B96" w:rsidRPr="001D1463">
        <w:rPr>
          <w:rStyle w:val="FootnoteReference"/>
          <w:rFonts w:cstheme="minorHAnsi"/>
          <w:sz w:val="18"/>
          <w:szCs w:val="18"/>
        </w:rPr>
        <w:footnoteReference w:id="3"/>
      </w:r>
      <w:r w:rsidR="00D96B96" w:rsidRPr="001D1463">
        <w:t>. Se ha elaborado un documento informativo independiente (</w:t>
      </w:r>
      <w:hyperlink r:id="rId8" w:history="1">
        <w:r w:rsidR="00D96B96" w:rsidRPr="001D1463">
          <w:rPr>
            <w:rStyle w:val="Hyperlink"/>
            <w:rFonts w:cstheme="minorHAnsi"/>
            <w:szCs w:val="24"/>
          </w:rPr>
          <w:t>C23/INF/5</w:t>
        </w:r>
      </w:hyperlink>
      <w:r w:rsidR="00D96B96" w:rsidRPr="001D1463">
        <w:t>), que se somete</w:t>
      </w:r>
      <w:r w:rsidR="00D96B96">
        <w:t>rá</w:t>
      </w:r>
      <w:r w:rsidR="00D96B96" w:rsidRPr="001D1463">
        <w:t xml:space="preserve"> a la reunión de 2023 del Consejo, con información sobre el seguimiento de las recomendaciones de auditoría interna y de auditoría forense (véase también el Documento </w:t>
      </w:r>
      <w:hyperlink r:id="rId9" w:history="1">
        <w:r w:rsidR="00D96B96" w:rsidRPr="001D1463">
          <w:rPr>
            <w:rStyle w:val="Hyperlink"/>
            <w:rFonts w:cstheme="minorHAnsi"/>
            <w:szCs w:val="24"/>
          </w:rPr>
          <w:t>CWG-FHR-15/3</w:t>
        </w:r>
      </w:hyperlink>
      <w:r w:rsidR="00D96B96" w:rsidRPr="001D1463">
        <w:t xml:space="preserve"> de 2021, en el que se resume el estado de las recomendaciones de PwC sobre la auditoría forense de la UIT).</w:t>
      </w:r>
    </w:p>
    <w:p w14:paraId="0B065E4C" w14:textId="77777777" w:rsidR="00D96B96" w:rsidRPr="001D1463" w:rsidRDefault="00D96B96" w:rsidP="007345E1">
      <w:pPr>
        <w:rPr>
          <w:rFonts w:asciiTheme="minorHAnsi" w:hAnsiTheme="minorHAnsi"/>
          <w:i/>
          <w:iCs/>
        </w:rPr>
      </w:pPr>
      <w:r w:rsidRPr="001D1463">
        <w:rPr>
          <w:i/>
          <w:iCs/>
        </w:rPr>
        <w:t>Se han concluido los siguientes encargos de aseguramiento</w:t>
      </w:r>
      <w:r w:rsidRPr="001D1463">
        <w:rPr>
          <w:rFonts w:asciiTheme="minorHAnsi" w:hAnsiTheme="minorHAnsi"/>
          <w:i/>
          <w:iCs/>
        </w:rPr>
        <w:t>:</w:t>
      </w:r>
    </w:p>
    <w:p w14:paraId="0E5C360C" w14:textId="06FFB4D8" w:rsidR="00D96B96" w:rsidRPr="00325358" w:rsidRDefault="00325358" w:rsidP="00325358">
      <w:pPr>
        <w:pStyle w:val="Headingb"/>
        <w:rPr>
          <w:i/>
          <w:iCs/>
        </w:rPr>
      </w:pPr>
      <w:r w:rsidRPr="00325358">
        <w:rPr>
          <w:i/>
          <w:iCs/>
        </w:rPr>
        <w:t>A</w:t>
      </w:r>
      <w:r w:rsidRPr="00325358">
        <w:rPr>
          <w:i/>
          <w:iCs/>
        </w:rPr>
        <w:tab/>
      </w:r>
      <w:r w:rsidR="00D96B96" w:rsidRPr="00325358">
        <w:rPr>
          <w:i/>
          <w:iCs/>
        </w:rPr>
        <w:t>Sistema de gestión medioambiental</w:t>
      </w:r>
    </w:p>
    <w:p w14:paraId="029212D3" w14:textId="3C1F63DD" w:rsidR="00D96B96" w:rsidRPr="001D1463" w:rsidRDefault="007345E1" w:rsidP="007345E1">
      <w:r>
        <w:t>8</w:t>
      </w:r>
      <w:r>
        <w:tab/>
      </w:r>
      <w:r w:rsidR="00D96B96" w:rsidRPr="001D1463">
        <w:t>La AI llevó a cabo una auditoría del Sistema de Gestión Medioambiental (</w:t>
      </w:r>
      <w:proofErr w:type="spellStart"/>
      <w:r w:rsidR="00D96B96" w:rsidRPr="001D1463">
        <w:rPr>
          <w:i/>
          <w:iCs/>
        </w:rPr>
        <w:t>Environmental</w:t>
      </w:r>
      <w:proofErr w:type="spellEnd"/>
      <w:r w:rsidR="00D96B96" w:rsidRPr="001D1463">
        <w:rPr>
          <w:i/>
          <w:iCs/>
        </w:rPr>
        <w:t xml:space="preserve"> Management </w:t>
      </w:r>
      <w:proofErr w:type="spellStart"/>
      <w:r w:rsidR="00D96B96" w:rsidRPr="001D1463">
        <w:rPr>
          <w:i/>
          <w:iCs/>
        </w:rPr>
        <w:t>System</w:t>
      </w:r>
      <w:proofErr w:type="spellEnd"/>
      <w:r w:rsidR="00D96B96" w:rsidRPr="001D1463">
        <w:rPr>
          <w:i/>
          <w:iCs/>
        </w:rPr>
        <w:t>,</w:t>
      </w:r>
      <w:r w:rsidR="00D96B96" w:rsidRPr="001D1463">
        <w:t xml:space="preserve"> EMS) de la UIT, en particular, pero no exclusivamente, sobre la </w:t>
      </w:r>
      <w:r w:rsidR="00D96B96" w:rsidRPr="001D1463">
        <w:rPr>
          <w:u w:val="single"/>
        </w:rPr>
        <w:t>evolución de las medidas propuestas</w:t>
      </w:r>
      <w:r w:rsidR="00D96B96" w:rsidRPr="001D1463">
        <w:t xml:space="preserve"> durante el período comprendido entre enero de 2020 y diciembre de 2021. Sin embargo, la eficacia de las medidas aplicadas en favor de la sostenibilidad medioambiental</w:t>
      </w:r>
      <w:r w:rsidR="00D96B96">
        <w:t xml:space="preserve"> quedó fuera del alcance de la auditoría</w:t>
      </w:r>
      <w:r w:rsidR="00D96B96" w:rsidRPr="001D1463">
        <w:t xml:space="preserve">. </w:t>
      </w:r>
    </w:p>
    <w:p w14:paraId="38E8DF6D" w14:textId="0C3F0591" w:rsidR="00D96B96" w:rsidRPr="001D1463" w:rsidRDefault="007345E1" w:rsidP="007345E1">
      <w:r>
        <w:t>9</w:t>
      </w:r>
      <w:r>
        <w:tab/>
      </w:r>
      <w:r w:rsidR="00D96B96" w:rsidRPr="001D1463">
        <w:t xml:space="preserve">Aunque la AI reconoció que el EMS y su plan de acción para alcanzar los objetivos en materia de sostenibilidad medioambiental de la UIT constituían iniciativas relativamente nuevas, la conclusión general a la que se llegó tras la auditoría fue que los aspectos relacionados con la gobernanza (funciones y responsabilidades, políticas y reglamentos) y las actividades de control (mecanismo de supervisión y seguimiento del plan de acción) requerían ciertas mejoras. Además, la información y la comunicación (avances logrados en la aplicación), así como la evaluación de riesgos (consecución del plan de acción), resultaban insuficientes. Sin embargo, las actividades de seguimiento (coordinación con otras iniciativas conexas) y la información y la comunicación en </w:t>
      </w:r>
      <w:r w:rsidR="00D96B96">
        <w:t>términos de</w:t>
      </w:r>
      <w:r w:rsidR="00D96B96" w:rsidRPr="001D1463">
        <w:t xml:space="preserve"> elaboración de informes sobre la marcha de los trabajos se consideraron adecuadas.</w:t>
      </w:r>
    </w:p>
    <w:p w14:paraId="58D029F9" w14:textId="09993B74" w:rsidR="00D96B96" w:rsidRPr="001D1463" w:rsidRDefault="007345E1" w:rsidP="007345E1">
      <w:r>
        <w:t>10</w:t>
      </w:r>
      <w:r>
        <w:tab/>
      </w:r>
      <w:r w:rsidR="00D96B96" w:rsidRPr="001D1463">
        <w:t>El informe de auditoría se compartió y debatió con el coordinador del EMS y los funcionarios competentes de la UIT, e incluy</w:t>
      </w:r>
      <w:r w:rsidR="00D96B96">
        <w:t>ó</w:t>
      </w:r>
      <w:r w:rsidR="00D96B96" w:rsidRPr="001D1463">
        <w:t xml:space="preserve"> comentarios sobre las conclusiones y recomendaciones. La dirección aceptó las recomendaciones y se comprometió a aplicarlas sin dilación. </w:t>
      </w:r>
    </w:p>
    <w:p w14:paraId="44E709FA" w14:textId="06A8716C" w:rsidR="00D96B96" w:rsidRPr="00325358" w:rsidRDefault="00325358" w:rsidP="00325358">
      <w:pPr>
        <w:pStyle w:val="Headingb"/>
        <w:rPr>
          <w:bCs/>
          <w:i/>
          <w:iCs/>
        </w:rPr>
      </w:pPr>
      <w:r w:rsidRPr="00325358">
        <w:rPr>
          <w:bCs/>
          <w:i/>
          <w:iCs/>
        </w:rPr>
        <w:t>B</w:t>
      </w:r>
      <w:r w:rsidRPr="00325358">
        <w:rPr>
          <w:bCs/>
          <w:i/>
          <w:iCs/>
        </w:rPr>
        <w:tab/>
      </w:r>
      <w:r w:rsidR="00D96B96" w:rsidRPr="00325358">
        <w:rPr>
          <w:bCs/>
          <w:i/>
          <w:iCs/>
        </w:rPr>
        <w:t>Proyecto de nuevo edifico de la sede</w:t>
      </w:r>
    </w:p>
    <w:p w14:paraId="6E769176" w14:textId="5D2E8F6E" w:rsidR="00D96B96" w:rsidRPr="001D1463" w:rsidRDefault="007345E1" w:rsidP="007345E1">
      <w:r>
        <w:t>11</w:t>
      </w:r>
      <w:r>
        <w:tab/>
      </w:r>
      <w:r w:rsidR="00D96B96" w:rsidRPr="001D1463">
        <w:t>La AI llevó a cabo una auditoría del proyecto de nuevo edificio de la sede de la UIT, que abarcó las actividades realizadas en el marco de dicho proyecto entre septiembre de 2019 y diciembre de 2021.</w:t>
      </w:r>
    </w:p>
    <w:p w14:paraId="55B74D4F" w14:textId="0329204A" w:rsidR="00D96B96" w:rsidRPr="001D1463" w:rsidRDefault="007345E1" w:rsidP="007345E1">
      <w:r>
        <w:rPr>
          <w:rFonts w:cs="Calibri"/>
          <w:color w:val="242424"/>
          <w:shd w:val="clear" w:color="auto" w:fill="FFFFFF"/>
        </w:rPr>
        <w:t>12</w:t>
      </w:r>
      <w:r>
        <w:rPr>
          <w:rFonts w:cs="Calibri"/>
          <w:color w:val="242424"/>
          <w:shd w:val="clear" w:color="auto" w:fill="FFFFFF"/>
        </w:rPr>
        <w:tab/>
      </w:r>
      <w:r w:rsidR="00D96B96" w:rsidRPr="001D1463">
        <w:rPr>
          <w:rFonts w:cs="Calibri"/>
          <w:color w:val="242424"/>
          <w:shd w:val="clear" w:color="auto" w:fill="FFFFFF"/>
        </w:rPr>
        <w:t xml:space="preserve">En lo que respecta a este proyecto, la AI juzgó que </w:t>
      </w:r>
      <w:r w:rsidR="00D96B96" w:rsidRPr="001D1463">
        <w:rPr>
          <w:rFonts w:cs="Calibri"/>
          <w:i/>
          <w:iCs/>
          <w:color w:val="242424"/>
          <w:shd w:val="clear" w:color="auto" w:fill="FFFFFF"/>
        </w:rPr>
        <w:t>la información y la comunicación</w:t>
      </w:r>
      <w:r w:rsidR="00D96B96" w:rsidRPr="001D1463">
        <w:rPr>
          <w:rFonts w:cs="Calibri"/>
          <w:color w:val="242424"/>
          <w:shd w:val="clear" w:color="auto" w:fill="FFFFFF"/>
        </w:rPr>
        <w:t xml:space="preserve"> eran </w:t>
      </w:r>
      <w:r w:rsidR="00D96B96" w:rsidRPr="001D1463">
        <w:rPr>
          <w:rFonts w:cs="Calibri"/>
          <w:color w:val="242424"/>
          <w:u w:val="single"/>
          <w:shd w:val="clear" w:color="auto" w:fill="FFFFFF"/>
        </w:rPr>
        <w:t>adecuadas</w:t>
      </w:r>
      <w:r w:rsidR="00D96B96" w:rsidRPr="001D1463">
        <w:rPr>
          <w:rFonts w:cs="Calibri"/>
          <w:color w:val="242424"/>
          <w:shd w:val="clear" w:color="auto" w:fill="FFFFFF"/>
        </w:rPr>
        <w:t xml:space="preserve"> y que las </w:t>
      </w:r>
      <w:r w:rsidR="00D96B96" w:rsidRPr="001D1463">
        <w:rPr>
          <w:rFonts w:cs="Calibri"/>
          <w:i/>
          <w:iCs/>
          <w:color w:val="242424"/>
          <w:shd w:val="clear" w:color="auto" w:fill="FFFFFF"/>
        </w:rPr>
        <w:t xml:space="preserve">actividades de seguimiento </w:t>
      </w:r>
      <w:r w:rsidR="00D96B96">
        <w:rPr>
          <w:rFonts w:cs="Calibri"/>
          <w:color w:val="242424"/>
          <w:shd w:val="clear" w:color="auto" w:fill="FFFFFF"/>
        </w:rPr>
        <w:t>resultaban</w:t>
      </w:r>
      <w:r w:rsidR="00D96B96" w:rsidRPr="001D1463">
        <w:rPr>
          <w:rFonts w:cs="Calibri"/>
          <w:color w:val="242424"/>
          <w:shd w:val="clear" w:color="auto" w:fill="FFFFFF"/>
        </w:rPr>
        <w:t xml:space="preserve"> </w:t>
      </w:r>
      <w:r w:rsidR="00D96B96" w:rsidRPr="001D1463">
        <w:rPr>
          <w:rFonts w:cs="Calibri"/>
          <w:color w:val="242424"/>
          <w:u w:val="single"/>
          <w:shd w:val="clear" w:color="auto" w:fill="FFFFFF"/>
        </w:rPr>
        <w:t>eficaces</w:t>
      </w:r>
      <w:r w:rsidR="00D96B96" w:rsidRPr="001D1463">
        <w:rPr>
          <w:rFonts w:cs="Calibri"/>
          <w:color w:val="242424"/>
          <w:shd w:val="clear" w:color="auto" w:fill="FFFFFF"/>
        </w:rPr>
        <w:t xml:space="preserve">. Además, concluyó que la </w:t>
      </w:r>
      <w:r w:rsidR="00D96B96" w:rsidRPr="001D1463">
        <w:rPr>
          <w:rFonts w:cs="Calibri"/>
          <w:i/>
          <w:iCs/>
          <w:color w:val="242424"/>
          <w:shd w:val="clear" w:color="auto" w:fill="FFFFFF"/>
        </w:rPr>
        <w:t>evaluación de riesgos y</w:t>
      </w:r>
      <w:r w:rsidR="00D96B96" w:rsidRPr="001D1463">
        <w:rPr>
          <w:rFonts w:cs="Calibri"/>
          <w:color w:val="242424"/>
          <w:shd w:val="clear" w:color="auto" w:fill="FFFFFF"/>
        </w:rPr>
        <w:t xml:space="preserve"> la </w:t>
      </w:r>
      <w:r w:rsidR="00D96B96" w:rsidRPr="001D1463">
        <w:rPr>
          <w:rFonts w:cs="Calibri"/>
          <w:i/>
          <w:iCs/>
          <w:color w:val="242424"/>
          <w:shd w:val="clear" w:color="auto" w:fill="FFFFFF"/>
        </w:rPr>
        <w:t xml:space="preserve">consideración de los Objetivos de Desarrollo Sostenible, </w:t>
      </w:r>
      <w:r w:rsidR="00D96B96" w:rsidRPr="001D1463">
        <w:rPr>
          <w:rFonts w:cs="Calibri"/>
          <w:color w:val="242424"/>
          <w:shd w:val="clear" w:color="auto" w:fill="FFFFFF"/>
        </w:rPr>
        <w:t xml:space="preserve">de la </w:t>
      </w:r>
      <w:r w:rsidR="00D96B96" w:rsidRPr="001D1463">
        <w:rPr>
          <w:rFonts w:cs="Calibri"/>
          <w:i/>
          <w:iCs/>
          <w:color w:val="242424"/>
          <w:shd w:val="clear" w:color="auto" w:fill="FFFFFF"/>
        </w:rPr>
        <w:t xml:space="preserve">igualdad entre hombres y mujeres y la integración de </w:t>
      </w:r>
      <w:r w:rsidR="00D96B96">
        <w:rPr>
          <w:rFonts w:cs="Calibri"/>
          <w:i/>
          <w:iCs/>
          <w:color w:val="242424"/>
          <w:shd w:val="clear" w:color="auto" w:fill="FFFFFF"/>
        </w:rPr>
        <w:t>un</w:t>
      </w:r>
      <w:r w:rsidR="00D96B96" w:rsidRPr="001D1463">
        <w:rPr>
          <w:rFonts w:cs="Calibri"/>
          <w:i/>
          <w:iCs/>
          <w:color w:val="242424"/>
          <w:shd w:val="clear" w:color="auto" w:fill="FFFFFF"/>
        </w:rPr>
        <w:t xml:space="preserve">a perspectiva </w:t>
      </w:r>
      <w:r w:rsidR="00D96B96" w:rsidRPr="001D1463">
        <w:rPr>
          <w:rFonts w:cs="Calibri"/>
          <w:color w:val="242424"/>
          <w:shd w:val="clear" w:color="auto" w:fill="FFFFFF"/>
        </w:rPr>
        <w:t xml:space="preserve">de género, y de la </w:t>
      </w:r>
      <w:r w:rsidR="00D96B96" w:rsidRPr="001D1463">
        <w:rPr>
          <w:rFonts w:cs="Calibri"/>
          <w:i/>
          <w:iCs/>
          <w:color w:val="242424"/>
          <w:shd w:val="clear" w:color="auto" w:fill="FFFFFF"/>
        </w:rPr>
        <w:lastRenderedPageBreak/>
        <w:t>accesibilidad</w:t>
      </w:r>
      <w:r w:rsidR="00D96B96" w:rsidRPr="001D1463">
        <w:rPr>
          <w:rFonts w:cs="Calibri"/>
          <w:color w:val="242424"/>
          <w:shd w:val="clear" w:color="auto" w:fill="FFFFFF"/>
        </w:rPr>
        <w:t xml:space="preserve"> en sus actividades y productos eran </w:t>
      </w:r>
      <w:r w:rsidR="00D96B96" w:rsidRPr="001D1463">
        <w:rPr>
          <w:rFonts w:cs="Calibri"/>
          <w:color w:val="242424"/>
          <w:u w:val="single"/>
          <w:shd w:val="clear" w:color="auto" w:fill="FFFFFF"/>
        </w:rPr>
        <w:t>razonablemente adecuadas</w:t>
      </w:r>
      <w:r w:rsidR="00D96B96" w:rsidRPr="001D1463">
        <w:rPr>
          <w:rFonts w:cs="Calibri"/>
          <w:color w:val="242424"/>
          <w:shd w:val="clear" w:color="auto" w:fill="FFFFFF"/>
        </w:rPr>
        <w:t xml:space="preserve">. No obstante, la AI también consideró que la </w:t>
      </w:r>
      <w:r w:rsidR="00D96B96" w:rsidRPr="001D1463">
        <w:rPr>
          <w:rFonts w:cs="Calibri"/>
          <w:i/>
          <w:iCs/>
          <w:color w:val="242424"/>
          <w:shd w:val="clear" w:color="auto" w:fill="FFFFFF"/>
        </w:rPr>
        <w:t xml:space="preserve">gobernanza y el entorno de control </w:t>
      </w:r>
      <w:r w:rsidR="00D96B96" w:rsidRPr="001D1463">
        <w:rPr>
          <w:rFonts w:cs="Calibri"/>
          <w:color w:val="242424"/>
          <w:shd w:val="clear" w:color="auto" w:fill="FFFFFF"/>
        </w:rPr>
        <w:t xml:space="preserve">del proyecto eran </w:t>
      </w:r>
      <w:r w:rsidR="00D96B96" w:rsidRPr="00B03B5F">
        <w:rPr>
          <w:rFonts w:cs="Calibri"/>
          <w:color w:val="242424"/>
          <w:u w:val="single"/>
          <w:shd w:val="clear" w:color="auto" w:fill="FFFFFF"/>
        </w:rPr>
        <w:t>parcialmente adecuados</w:t>
      </w:r>
      <w:r w:rsidR="00D96B96" w:rsidRPr="001D1463">
        <w:rPr>
          <w:rFonts w:cs="Calibri"/>
          <w:color w:val="242424"/>
          <w:shd w:val="clear" w:color="auto" w:fill="FFFFFF"/>
        </w:rPr>
        <w:t xml:space="preserve"> y que los </w:t>
      </w:r>
      <w:r w:rsidR="00D96B96" w:rsidRPr="001D1463">
        <w:rPr>
          <w:rFonts w:cs="Calibri"/>
          <w:i/>
          <w:iCs/>
          <w:color w:val="242424"/>
          <w:shd w:val="clear" w:color="auto" w:fill="FFFFFF"/>
        </w:rPr>
        <w:t xml:space="preserve">controles </w:t>
      </w:r>
      <w:r w:rsidR="00D96B96" w:rsidRPr="001D1463">
        <w:rPr>
          <w:rFonts w:cs="Calibri"/>
          <w:color w:val="242424"/>
          <w:shd w:val="clear" w:color="auto" w:fill="FFFFFF"/>
        </w:rPr>
        <w:t xml:space="preserve">conexos </w:t>
      </w:r>
      <w:r w:rsidR="00D96B96">
        <w:rPr>
          <w:rFonts w:cs="Calibri"/>
          <w:color w:val="242424"/>
          <w:shd w:val="clear" w:color="auto" w:fill="FFFFFF"/>
        </w:rPr>
        <w:t>resultaban</w:t>
      </w:r>
      <w:r w:rsidR="00D96B96" w:rsidRPr="001D1463">
        <w:rPr>
          <w:rFonts w:cs="Calibri"/>
          <w:i/>
          <w:iCs/>
          <w:color w:val="242424"/>
          <w:shd w:val="clear" w:color="auto" w:fill="FFFFFF"/>
        </w:rPr>
        <w:t xml:space="preserve"> </w:t>
      </w:r>
      <w:r w:rsidR="00D96B96" w:rsidRPr="001D1463">
        <w:rPr>
          <w:rFonts w:cs="Calibri"/>
          <w:color w:val="242424"/>
          <w:u w:val="single"/>
          <w:shd w:val="clear" w:color="auto" w:fill="FFFFFF"/>
        </w:rPr>
        <w:t>parcialmente eficaces</w:t>
      </w:r>
      <w:r w:rsidR="00D96B96" w:rsidRPr="001D1463">
        <w:rPr>
          <w:rFonts w:cs="Calibri"/>
          <w:color w:val="242424"/>
          <w:shd w:val="clear" w:color="auto" w:fill="FFFFFF"/>
        </w:rPr>
        <w:t xml:space="preserve">. Asimismo, la </w:t>
      </w:r>
      <w:r w:rsidR="00D96B96" w:rsidRPr="001D1463">
        <w:rPr>
          <w:rFonts w:cs="Calibri"/>
          <w:i/>
          <w:iCs/>
          <w:color w:val="242424"/>
          <w:shd w:val="clear" w:color="auto" w:fill="FFFFFF"/>
        </w:rPr>
        <w:t xml:space="preserve">evaluación del riesgo de fraude y corrupción </w:t>
      </w:r>
      <w:r w:rsidR="00D96B96" w:rsidRPr="001D1463">
        <w:rPr>
          <w:rFonts w:cs="Calibri"/>
          <w:color w:val="242424"/>
          <w:shd w:val="clear" w:color="auto" w:fill="FFFFFF"/>
        </w:rPr>
        <w:t xml:space="preserve">y las </w:t>
      </w:r>
      <w:r w:rsidR="00D96B96" w:rsidRPr="001D1463">
        <w:rPr>
          <w:rFonts w:cs="Calibri"/>
          <w:i/>
          <w:iCs/>
          <w:color w:val="242424"/>
          <w:shd w:val="clear" w:color="auto" w:fill="FFFFFF"/>
        </w:rPr>
        <w:t>actividades de seguimiento</w:t>
      </w:r>
      <w:r w:rsidR="00D96B96" w:rsidRPr="001D1463">
        <w:rPr>
          <w:rFonts w:cs="Calibri"/>
          <w:color w:val="242424"/>
          <w:shd w:val="clear" w:color="auto" w:fill="FFFFFF"/>
        </w:rPr>
        <w:t xml:space="preserve"> no se consideraron sino </w:t>
      </w:r>
      <w:r w:rsidR="00D96B96" w:rsidRPr="001D1463">
        <w:rPr>
          <w:rFonts w:cs="Calibri"/>
          <w:color w:val="242424"/>
          <w:u w:val="single"/>
          <w:shd w:val="clear" w:color="auto" w:fill="FFFFFF"/>
        </w:rPr>
        <w:t>parcialmente adecuadas</w:t>
      </w:r>
      <w:r w:rsidR="00D96B96" w:rsidRPr="001D1463">
        <w:t xml:space="preserve">. </w:t>
      </w:r>
    </w:p>
    <w:p w14:paraId="741DA9D6" w14:textId="3684FF0A" w:rsidR="00D96B96" w:rsidRPr="001D1463" w:rsidRDefault="007345E1" w:rsidP="007345E1">
      <w:r>
        <w:rPr>
          <w:rFonts w:cs="Calibri"/>
          <w:color w:val="242424"/>
          <w:shd w:val="clear" w:color="auto" w:fill="FFFFFF"/>
        </w:rPr>
        <w:t>13</w:t>
      </w:r>
      <w:r>
        <w:rPr>
          <w:rFonts w:cs="Calibri"/>
          <w:color w:val="242424"/>
          <w:shd w:val="clear" w:color="auto" w:fill="FFFFFF"/>
        </w:rPr>
        <w:tab/>
      </w:r>
      <w:r w:rsidR="00D96B96" w:rsidRPr="001D1463">
        <w:rPr>
          <w:rFonts w:cs="Calibri"/>
          <w:color w:val="242424"/>
          <w:shd w:val="clear" w:color="auto" w:fill="FFFFFF"/>
        </w:rPr>
        <w:t xml:space="preserve">El informe de auditoría se compartió </w:t>
      </w:r>
      <w:r w:rsidR="00D96B96" w:rsidRPr="001D1463">
        <w:t>y debatió con los funcionarios competentes de la Secretaría General</w:t>
      </w:r>
      <w:r w:rsidR="00D96B96">
        <w:t xml:space="preserve"> e</w:t>
      </w:r>
      <w:r w:rsidR="00D96B96" w:rsidRPr="001D1463">
        <w:t xml:space="preserve"> incluy</w:t>
      </w:r>
      <w:r w:rsidR="00D96B96">
        <w:t>ó</w:t>
      </w:r>
      <w:r w:rsidR="00D96B96" w:rsidRPr="001D1463">
        <w:t xml:space="preserve"> comentarios sobre las conclusiones y recomendaciones. El 20 de junio de 2022, la AI presentó los resultados y conclusiones de la auditoría al </w:t>
      </w:r>
      <w:r w:rsidR="00D96B96" w:rsidRPr="001D1463">
        <w:rPr>
          <w:spacing w:val="-4"/>
        </w:rPr>
        <w:t xml:space="preserve">Grupo Asesor de </w:t>
      </w:r>
      <w:r w:rsidR="00D96B96" w:rsidRPr="001D1463">
        <w:t>los Estados Miembros</w:t>
      </w:r>
      <w:r w:rsidR="00D96B96" w:rsidRPr="001D1463">
        <w:rPr>
          <w:spacing w:val="-4"/>
        </w:rPr>
        <w:t>, que supervisa el</w:t>
      </w:r>
      <w:r w:rsidR="00D96B96" w:rsidRPr="001D1463">
        <w:t xml:space="preserve"> proyecto </w:t>
      </w:r>
      <w:r w:rsidR="00D96B96" w:rsidRPr="001D1463">
        <w:rPr>
          <w:spacing w:val="-4"/>
        </w:rPr>
        <w:t>en nombre de los Estados Miembros de la</w:t>
      </w:r>
      <w:r w:rsidR="00325358">
        <w:rPr>
          <w:spacing w:val="-4"/>
        </w:rPr>
        <w:t> </w:t>
      </w:r>
      <w:r w:rsidR="00D96B96" w:rsidRPr="001D1463">
        <w:rPr>
          <w:spacing w:val="-4"/>
        </w:rPr>
        <w:t>UIT</w:t>
      </w:r>
      <w:r w:rsidR="00D96B96" w:rsidRPr="001D1463">
        <w:t xml:space="preserve">. </w:t>
      </w:r>
    </w:p>
    <w:p w14:paraId="3109644A" w14:textId="494AE55D" w:rsidR="00D96B96" w:rsidRPr="00325358" w:rsidRDefault="00325358" w:rsidP="00325358">
      <w:pPr>
        <w:pStyle w:val="Headingb"/>
        <w:rPr>
          <w:bCs/>
          <w:i/>
          <w:iCs/>
        </w:rPr>
      </w:pPr>
      <w:r w:rsidRPr="00325358">
        <w:rPr>
          <w:bCs/>
          <w:i/>
          <w:iCs/>
        </w:rPr>
        <w:t>C</w:t>
      </w:r>
      <w:r w:rsidRPr="00325358">
        <w:rPr>
          <w:bCs/>
          <w:i/>
          <w:iCs/>
        </w:rPr>
        <w:tab/>
      </w:r>
      <w:r w:rsidR="00D96B96" w:rsidRPr="00325358">
        <w:rPr>
          <w:bCs/>
          <w:i/>
          <w:iCs/>
        </w:rPr>
        <w:t>Grupo de Trabajo encargado de los controles internos</w:t>
      </w:r>
    </w:p>
    <w:p w14:paraId="505933F0" w14:textId="5B203096" w:rsidR="00D96B96" w:rsidRPr="001D1463" w:rsidRDefault="007345E1" w:rsidP="007345E1">
      <w:r>
        <w:t>14</w:t>
      </w:r>
      <w:r>
        <w:tab/>
      </w:r>
      <w:r w:rsidR="00D96B96" w:rsidRPr="001D1463">
        <w:t xml:space="preserve">La AI llevó a cabo una auditoría de </w:t>
      </w:r>
      <w:r w:rsidR="00D96B96" w:rsidRPr="001D1463">
        <w:rPr>
          <w:rFonts w:cs="Calibri"/>
        </w:rPr>
        <w:t xml:space="preserve">las </w:t>
      </w:r>
      <w:r w:rsidR="00D96B96">
        <w:rPr>
          <w:rFonts w:cs="Calibri"/>
        </w:rPr>
        <w:t>actividades</w:t>
      </w:r>
      <w:r w:rsidR="00D96B96" w:rsidRPr="001D1463">
        <w:rPr>
          <w:rFonts w:cs="Calibri"/>
        </w:rPr>
        <w:t xml:space="preserve"> del Grupo de Trabajo encargado de los controles internos. A los efectos de la auditoría, el marco de control interno integrado del Comité de Organizaciones Patrocinadoras de la Comisión Nacional sobre los Informes Financieros Fraudulentos (COSO) sirvió de base para la evaluación de los controles internos (gobernanza, evaluación de riesgos, información y comunicación, controles internos y actividades de seguimiento). La auditoría abarcó principalmente las </w:t>
      </w:r>
      <w:r w:rsidR="00D96B96" w:rsidRPr="001D1463">
        <w:rPr>
          <w:rFonts w:cs="Calibri"/>
          <w:shd w:val="clear" w:color="auto" w:fill="FFFFFF"/>
        </w:rPr>
        <w:t>iniciativas</w:t>
      </w:r>
      <w:r w:rsidR="00D96B96">
        <w:rPr>
          <w:rFonts w:cs="Calibri"/>
        </w:rPr>
        <w:t xml:space="preserve"> llevadas a cabo</w:t>
      </w:r>
      <w:r w:rsidR="00D96B96" w:rsidRPr="001D1463">
        <w:rPr>
          <w:rFonts w:cs="Calibri"/>
        </w:rPr>
        <w:t xml:space="preserve"> entre 2019 y 2021 que se enumeran en el documento C22/20 del Consejo. La AI también examinó brevemente el avance de las </w:t>
      </w:r>
      <w:r w:rsidR="00D96B96">
        <w:rPr>
          <w:rFonts w:cs="Calibri"/>
        </w:rPr>
        <w:t>iniciativas</w:t>
      </w:r>
      <w:r w:rsidR="00D96B96" w:rsidRPr="001D1463">
        <w:rPr>
          <w:rFonts w:cs="Calibri"/>
        </w:rPr>
        <w:t xml:space="preserve"> emprendidas en 2022, tomó nota del estado en que se hallaban y evaluó (basándose en los avances notificados) </w:t>
      </w:r>
      <w:r w:rsidR="00D96B96">
        <w:rPr>
          <w:rFonts w:cs="Calibri"/>
        </w:rPr>
        <w:t>en qué medida quedarían</w:t>
      </w:r>
      <w:r w:rsidR="00D96B96" w:rsidRPr="001D1463">
        <w:rPr>
          <w:rFonts w:cs="Calibri"/>
        </w:rPr>
        <w:t xml:space="preserve"> los riesgos </w:t>
      </w:r>
      <w:r w:rsidR="00D96B96">
        <w:rPr>
          <w:rFonts w:cs="Calibri"/>
        </w:rPr>
        <w:t xml:space="preserve">originales </w:t>
      </w:r>
      <w:r w:rsidR="00D96B96" w:rsidRPr="00BA7C2C">
        <w:rPr>
          <w:rFonts w:cs="Calibri"/>
        </w:rPr>
        <w:t xml:space="preserve">suficientemente mitigados una </w:t>
      </w:r>
      <w:r w:rsidR="00D96B96" w:rsidRPr="001D1463">
        <w:rPr>
          <w:rFonts w:cs="Calibri"/>
        </w:rPr>
        <w:t xml:space="preserve">vez que las </w:t>
      </w:r>
      <w:r w:rsidR="00D96B96">
        <w:rPr>
          <w:rFonts w:cs="Calibri"/>
        </w:rPr>
        <w:t>medidas se hubieran aplicado por completo</w:t>
      </w:r>
      <w:r w:rsidR="00D96B96" w:rsidRPr="001D1463">
        <w:rPr>
          <w:rFonts w:cs="Calibri"/>
        </w:rPr>
        <w:t>.</w:t>
      </w:r>
    </w:p>
    <w:p w14:paraId="092A5BDA" w14:textId="20E20ECC" w:rsidR="00D96B96" w:rsidRPr="001D1463" w:rsidRDefault="007345E1" w:rsidP="007345E1">
      <w:r>
        <w:rPr>
          <w:rFonts w:cs="Calibri"/>
          <w:shd w:val="clear" w:color="auto" w:fill="FFFFFF"/>
        </w:rPr>
        <w:t>15</w:t>
      </w:r>
      <w:r>
        <w:rPr>
          <w:rFonts w:cs="Calibri"/>
          <w:shd w:val="clear" w:color="auto" w:fill="FFFFFF"/>
        </w:rPr>
        <w:tab/>
      </w:r>
      <w:r w:rsidR="00D96B96" w:rsidRPr="001D1463">
        <w:rPr>
          <w:rFonts w:cs="Calibri"/>
          <w:shd w:val="clear" w:color="auto" w:fill="FFFFFF"/>
        </w:rPr>
        <w:t xml:space="preserve">La AI consideró que la </w:t>
      </w:r>
      <w:r w:rsidR="00D96B96" w:rsidRPr="001D1463">
        <w:rPr>
          <w:rFonts w:cs="Calibri"/>
          <w:i/>
          <w:iCs/>
          <w:shd w:val="clear" w:color="auto" w:fill="FFFFFF"/>
        </w:rPr>
        <w:t xml:space="preserve">gobernanza </w:t>
      </w:r>
      <w:r w:rsidR="00D96B96" w:rsidRPr="001D1463">
        <w:rPr>
          <w:rFonts w:cs="Calibri"/>
          <w:shd w:val="clear" w:color="auto" w:fill="FFFFFF"/>
        </w:rPr>
        <w:t xml:space="preserve">y la </w:t>
      </w:r>
      <w:r w:rsidR="00D96B96" w:rsidRPr="001D1463">
        <w:rPr>
          <w:rFonts w:cs="Calibri"/>
          <w:i/>
          <w:iCs/>
          <w:shd w:val="clear" w:color="auto" w:fill="FFFFFF"/>
        </w:rPr>
        <w:t xml:space="preserve">evaluación de riesgos </w:t>
      </w:r>
      <w:r w:rsidR="00D96B96" w:rsidRPr="001D1463">
        <w:rPr>
          <w:rFonts w:cs="Calibri"/>
          <w:shd w:val="clear" w:color="auto" w:fill="FFFFFF"/>
        </w:rPr>
        <w:t xml:space="preserve">eran adecuadas en 16 de las 20 iniciativas, siendo la </w:t>
      </w:r>
      <w:r w:rsidR="00D96B96" w:rsidRPr="001D1463">
        <w:rPr>
          <w:rFonts w:cs="Calibri"/>
          <w:i/>
          <w:iCs/>
          <w:shd w:val="clear" w:color="auto" w:fill="FFFFFF"/>
        </w:rPr>
        <w:t xml:space="preserve">gobernanza </w:t>
      </w:r>
      <w:r w:rsidR="00D96B96" w:rsidRPr="001D1463">
        <w:rPr>
          <w:rFonts w:cs="Calibri"/>
          <w:shd w:val="clear" w:color="auto" w:fill="FFFFFF"/>
        </w:rPr>
        <w:t xml:space="preserve">parcialmente adecuada en cuatro de ellas y la </w:t>
      </w:r>
      <w:r w:rsidR="00D96B96" w:rsidRPr="001D1463">
        <w:rPr>
          <w:rFonts w:cs="Calibri"/>
          <w:i/>
          <w:iCs/>
          <w:shd w:val="clear" w:color="auto" w:fill="FFFFFF"/>
        </w:rPr>
        <w:t>evaluación de riesgos</w:t>
      </w:r>
      <w:r w:rsidR="00D96B96" w:rsidRPr="001D1463">
        <w:rPr>
          <w:rFonts w:cs="Calibri"/>
          <w:shd w:val="clear" w:color="auto" w:fill="FFFFFF"/>
        </w:rPr>
        <w:t xml:space="preserve"> parcialmente adecuada en otras dos. La </w:t>
      </w:r>
      <w:r w:rsidR="00D96B96" w:rsidRPr="001D1463">
        <w:rPr>
          <w:rFonts w:cs="Calibri"/>
          <w:i/>
          <w:iCs/>
          <w:shd w:val="clear" w:color="auto" w:fill="FFFFFF"/>
        </w:rPr>
        <w:t xml:space="preserve">información y la comunicación </w:t>
      </w:r>
      <w:r w:rsidR="00D96B96" w:rsidRPr="001D1463">
        <w:rPr>
          <w:rFonts w:cs="Calibri"/>
          <w:shd w:val="clear" w:color="auto" w:fill="FFFFFF"/>
        </w:rPr>
        <w:t xml:space="preserve">se consideraron plenamente adecuadas en todas las iniciativas menos en una. Las </w:t>
      </w:r>
      <w:r w:rsidR="00D96B96" w:rsidRPr="001D1463">
        <w:rPr>
          <w:rFonts w:cs="Calibri"/>
          <w:i/>
          <w:iCs/>
          <w:shd w:val="clear" w:color="auto" w:fill="FFFFFF"/>
        </w:rPr>
        <w:t>actividades de supervisión</w:t>
      </w:r>
      <w:r w:rsidR="00D96B96" w:rsidRPr="001D1463">
        <w:rPr>
          <w:rFonts w:cs="Calibri"/>
          <w:shd w:val="clear" w:color="auto" w:fill="FFFFFF"/>
        </w:rPr>
        <w:t xml:space="preserve"> se consideraron plenamente eficaces/eficaces en gran medida en 13 de las 20 iniciativas, mientras que, en dos de ellas, se consideraron parcialmente eficaces. Por último, 15 de las 20 iniciativas cuentan con </w:t>
      </w:r>
      <w:r w:rsidR="00D96B96" w:rsidRPr="001D1463">
        <w:rPr>
          <w:rFonts w:cs="Calibri"/>
          <w:i/>
          <w:iCs/>
          <w:shd w:val="clear" w:color="auto" w:fill="FFFFFF"/>
        </w:rPr>
        <w:t xml:space="preserve">controles internos </w:t>
      </w:r>
      <w:r w:rsidR="00D96B96" w:rsidRPr="001D1463">
        <w:rPr>
          <w:rFonts w:cs="Calibri"/>
          <w:shd w:val="clear" w:color="auto" w:fill="FFFFFF"/>
        </w:rPr>
        <w:t>plenamente eficaces/eficaces en gran medida, siendo estos parcialmente eficaces en una de las iniciativas y plenamente ineficaces en dos de ellas. Estas últimas son la iniciativa</w:t>
      </w:r>
      <w:r w:rsidR="00325358">
        <w:rPr>
          <w:rFonts w:cs="Calibri"/>
          <w:shd w:val="clear" w:color="auto" w:fill="FFFFFF"/>
        </w:rPr>
        <w:t> </w:t>
      </w:r>
      <w:r w:rsidR="00D96B96" w:rsidRPr="001D1463">
        <w:rPr>
          <w:rFonts w:cs="Calibri"/>
          <w:shd w:val="clear" w:color="auto" w:fill="FFFFFF"/>
        </w:rPr>
        <w:t>15 (</w:t>
      </w:r>
      <w:r w:rsidR="00D96B96">
        <w:rPr>
          <w:rFonts w:cs="Calibri"/>
          <w:shd w:val="clear" w:color="auto" w:fill="FFFFFF"/>
        </w:rPr>
        <w:t>p</w:t>
      </w:r>
      <w:r w:rsidR="00D96B96" w:rsidRPr="006B143B">
        <w:rPr>
          <w:rFonts w:cs="Calibri"/>
          <w:shd w:val="clear" w:color="auto" w:fill="FFFFFF"/>
        </w:rPr>
        <w:t>rocedimientos de viajes reforzados</w:t>
      </w:r>
      <w:r w:rsidR="00D96B96" w:rsidRPr="001D1463">
        <w:rPr>
          <w:rFonts w:cs="Calibri"/>
          <w:shd w:val="clear" w:color="auto" w:fill="FFFFFF"/>
        </w:rPr>
        <w:t>) y la 18 (</w:t>
      </w:r>
      <w:r w:rsidR="00D96B96">
        <w:rPr>
          <w:rFonts w:cs="Calibri"/>
          <w:shd w:val="clear" w:color="auto" w:fill="FFFFFF"/>
        </w:rPr>
        <w:t>p</w:t>
      </w:r>
      <w:r w:rsidR="00D96B96" w:rsidRPr="006B143B">
        <w:rPr>
          <w:rFonts w:cs="Calibri"/>
          <w:shd w:val="clear" w:color="auto" w:fill="FFFFFF"/>
        </w:rPr>
        <w:t>romulgación de políticas de patrocinio reforzadas</w:t>
      </w:r>
      <w:r w:rsidR="00D96B96" w:rsidRPr="001D1463">
        <w:rPr>
          <w:rFonts w:cs="Calibri"/>
          <w:shd w:val="clear" w:color="auto" w:fill="FFFFFF"/>
        </w:rPr>
        <w:t>), para las que la AI había emitido dos recomendaciones de alta prioridad.</w:t>
      </w:r>
    </w:p>
    <w:p w14:paraId="39126F9F" w14:textId="1408018F" w:rsidR="00D96B96" w:rsidRPr="001D1463" w:rsidRDefault="007345E1" w:rsidP="007345E1">
      <w:r>
        <w:rPr>
          <w:rFonts w:cs="Calibri"/>
          <w:color w:val="242424"/>
          <w:shd w:val="clear" w:color="auto" w:fill="FFFFFF"/>
        </w:rPr>
        <w:t>16</w:t>
      </w:r>
      <w:r>
        <w:rPr>
          <w:rFonts w:cs="Calibri"/>
          <w:color w:val="242424"/>
          <w:shd w:val="clear" w:color="auto" w:fill="FFFFFF"/>
        </w:rPr>
        <w:tab/>
      </w:r>
      <w:r w:rsidR="00D96B96" w:rsidRPr="001D1463">
        <w:rPr>
          <w:rFonts w:cs="Calibri"/>
          <w:color w:val="242424"/>
          <w:shd w:val="clear" w:color="auto" w:fill="FFFFFF"/>
        </w:rPr>
        <w:t xml:space="preserve">El informe de auditoría se compartió </w:t>
      </w:r>
      <w:r w:rsidR="00D96B96" w:rsidRPr="001D1463">
        <w:t>y debatió con los funcionarios competentes de la Secretaría General</w:t>
      </w:r>
      <w:r w:rsidR="00D96B96" w:rsidRPr="001D1463">
        <w:rPr>
          <w:rFonts w:cs="Calibri"/>
        </w:rPr>
        <w:t>, así como con otras unidades pertinentes de las Oficinas. En los casos en que los gestores interesados formularon observaciones sobre las conclusiones y recomendaciones, o se han mostrado en desacuerdo con ellas, su parecer se incluyó en el informe de auditoría</w:t>
      </w:r>
      <w:r w:rsidR="00D96B96" w:rsidRPr="001D1463">
        <w:t xml:space="preserve">. </w:t>
      </w:r>
    </w:p>
    <w:p w14:paraId="1350EDCC" w14:textId="10F47840" w:rsidR="00D96B96" w:rsidRPr="00325358" w:rsidRDefault="00325358" w:rsidP="00325358">
      <w:pPr>
        <w:pStyle w:val="Headingb"/>
        <w:rPr>
          <w:bCs/>
          <w:i/>
          <w:iCs/>
        </w:rPr>
      </w:pPr>
      <w:r w:rsidRPr="00325358">
        <w:rPr>
          <w:bCs/>
          <w:i/>
          <w:iCs/>
        </w:rPr>
        <w:t>D</w:t>
      </w:r>
      <w:r w:rsidRPr="00325358">
        <w:rPr>
          <w:bCs/>
          <w:i/>
          <w:iCs/>
        </w:rPr>
        <w:tab/>
      </w:r>
      <w:r w:rsidR="00D96B96" w:rsidRPr="00325358">
        <w:rPr>
          <w:bCs/>
          <w:i/>
          <w:iCs/>
        </w:rPr>
        <w:t>Proyecto de salud móvil financiado por donantes: informe financiero final</w:t>
      </w:r>
    </w:p>
    <w:p w14:paraId="22BF6614" w14:textId="72D46C4E" w:rsidR="00D96B96" w:rsidRPr="001D1463" w:rsidRDefault="007345E1" w:rsidP="007345E1">
      <w:r>
        <w:t>17</w:t>
      </w:r>
      <w:r>
        <w:tab/>
      </w:r>
      <w:r w:rsidR="00D96B96" w:rsidRPr="001D1463">
        <w:t xml:space="preserve">En 2017, la UIT firmó un acuerdo de subvención con la Comisión Europea para que esta financiara un proyecto de salud móvil, denominado </w:t>
      </w:r>
      <w:proofErr w:type="spellStart"/>
      <w:r w:rsidR="00D96B96" w:rsidRPr="001D1463">
        <w:rPr>
          <w:i/>
          <w:iCs/>
        </w:rPr>
        <w:t>mHealth</w:t>
      </w:r>
      <w:proofErr w:type="spellEnd"/>
      <w:r w:rsidR="00D96B96" w:rsidRPr="001D1463">
        <w:t xml:space="preserve">, con la UIT como coordinadora/beneficiaria y la Organización Mundial de la Salud como beneficiaria adicional. A tenor del acuerdo de subvención, el informe financiero final debía incluir un </w:t>
      </w:r>
      <w:r w:rsidR="00D96B96" w:rsidRPr="001D1463">
        <w:rPr>
          <w:i/>
          <w:iCs/>
        </w:rPr>
        <w:t>certificado relativo a los estados financieros</w:t>
      </w:r>
      <w:r w:rsidR="00D96B96" w:rsidRPr="001D1463">
        <w:t xml:space="preserve">. La BDT encomendó esta tarea a la AI, incluidas i) la </w:t>
      </w:r>
      <w:r w:rsidR="00D96B96" w:rsidRPr="001D1463">
        <w:lastRenderedPageBreak/>
        <w:t xml:space="preserve">elaboración de un informe independiente sobre los hechos constatados y </w:t>
      </w:r>
      <w:proofErr w:type="spellStart"/>
      <w:r w:rsidR="00D96B96" w:rsidRPr="001D1463">
        <w:t>ii</w:t>
      </w:r>
      <w:proofErr w:type="spellEnd"/>
      <w:r w:rsidR="00D96B96" w:rsidRPr="001D1463">
        <w:t xml:space="preserve">) la emisión de un </w:t>
      </w:r>
      <w:r w:rsidR="00D96B96" w:rsidRPr="001D1463">
        <w:rPr>
          <w:i/>
          <w:iCs/>
        </w:rPr>
        <w:t>certificado relativo a los estados financieros</w:t>
      </w:r>
      <w:r w:rsidR="00D96B96" w:rsidRPr="001D1463">
        <w:t>.</w:t>
      </w:r>
    </w:p>
    <w:p w14:paraId="23BBE53C" w14:textId="66587228" w:rsidR="00D96B96" w:rsidRPr="001D1463" w:rsidRDefault="007345E1" w:rsidP="007345E1">
      <w:r>
        <w:t>18</w:t>
      </w:r>
      <w:r>
        <w:tab/>
      </w:r>
      <w:r w:rsidR="00D96B96" w:rsidRPr="001D1463">
        <w:t xml:space="preserve">Al término de la auditoría, la AI </w:t>
      </w:r>
      <w:r w:rsidR="00D96B96">
        <w:t>constató</w:t>
      </w:r>
      <w:r w:rsidR="00D96B96" w:rsidRPr="001D1463">
        <w:t xml:space="preserve"> incoherencias en </w:t>
      </w:r>
      <w:r w:rsidR="00D96B96">
        <w:t>ciertos</w:t>
      </w:r>
      <w:r w:rsidR="00D96B96" w:rsidRPr="001D1463">
        <w:t xml:space="preserve"> aspectos relacionados con la presentación de informes administrativos y financieros</w:t>
      </w:r>
      <w:r w:rsidR="00D96B96">
        <w:t xml:space="preserve"> en el marco</w:t>
      </w:r>
      <w:r w:rsidR="00D96B96" w:rsidRPr="001D1463">
        <w:t xml:space="preserve"> del proyecto. Se recomendó someter</w:t>
      </w:r>
      <w:r w:rsidR="00D96B96" w:rsidRPr="001D1463">
        <w:rPr>
          <w:rFonts w:cs="Arial"/>
        </w:rPr>
        <w:t xml:space="preserve"> toda la </w:t>
      </w:r>
      <w:r w:rsidR="00D96B96" w:rsidRPr="001D1463">
        <w:rPr>
          <w:rFonts w:cs="Calibri"/>
          <w:color w:val="000000"/>
        </w:rPr>
        <w:t xml:space="preserve">información financiera a una serie de </w:t>
      </w:r>
      <w:r w:rsidR="00D96B96" w:rsidRPr="001D1463">
        <w:rPr>
          <w:rFonts w:cs="Arial"/>
        </w:rPr>
        <w:t xml:space="preserve">revisiones y comprobaciones </w:t>
      </w:r>
      <w:r w:rsidR="00D96B96" w:rsidRPr="001D1463">
        <w:rPr>
          <w:rFonts w:cs="Calibri"/>
          <w:color w:val="000000"/>
        </w:rPr>
        <w:t xml:space="preserve">antes de presentarla a los donantes. De acuerdo con el Departamento de Gestión de Recursos Financieros (FRMD), la AI envió un memorándum a las tres Oficinas y a todos los departamentos de la Secretaría General para informarles de la obligación de presentar al FRMD todos los resúmenes, estados e informes financieros periódicos/ provisionales y finales </w:t>
      </w:r>
      <w:r w:rsidR="00D96B96" w:rsidRPr="001D1463">
        <w:rPr>
          <w:bCs/>
        </w:rPr>
        <w:t>que hubieran de enviar a los donantes, para su verificación y certificación.</w:t>
      </w:r>
    </w:p>
    <w:p w14:paraId="7A55EBB6" w14:textId="15B0CC48" w:rsidR="00D96B96" w:rsidRPr="00325358" w:rsidRDefault="00325358" w:rsidP="00325358">
      <w:pPr>
        <w:pStyle w:val="Headingb"/>
        <w:rPr>
          <w:bCs/>
          <w:i/>
          <w:iCs/>
        </w:rPr>
      </w:pPr>
      <w:r w:rsidRPr="00325358">
        <w:rPr>
          <w:bCs/>
          <w:i/>
          <w:iCs/>
        </w:rPr>
        <w:t>E</w:t>
      </w:r>
      <w:r w:rsidRPr="00325358">
        <w:rPr>
          <w:bCs/>
          <w:i/>
          <w:iCs/>
        </w:rPr>
        <w:tab/>
      </w:r>
      <w:r w:rsidR="00D96B96" w:rsidRPr="00325358">
        <w:rPr>
          <w:bCs/>
          <w:i/>
          <w:iCs/>
        </w:rPr>
        <w:t>Oficinas Regionales y Zonales para la región de África</w:t>
      </w:r>
    </w:p>
    <w:p w14:paraId="4D4098CE" w14:textId="2298CEC1" w:rsidR="00D96B96" w:rsidRPr="001D1463" w:rsidRDefault="007345E1" w:rsidP="007345E1">
      <w:r>
        <w:t>19</w:t>
      </w:r>
      <w:r>
        <w:tab/>
      </w:r>
      <w:r w:rsidR="00D96B96" w:rsidRPr="001D1463">
        <w:t xml:space="preserve">La AI ha llevado a cabo una auditoría de las Oficinas Regionales y Zonales para la región de África. A los efectos de la auditoría, el marco de control interno integrado del </w:t>
      </w:r>
      <w:r w:rsidR="00D96B96" w:rsidRPr="001D1463">
        <w:rPr>
          <w:rFonts w:cs="Calibri"/>
        </w:rPr>
        <w:t xml:space="preserve">COSO sirvió de base para la evaluación de los controles internos (gobernanza, evaluación de riesgos, información y comunicación, controles internos y actividades de seguimiento). El trabajo de auditoría ha concluido y el proyecto de informe de auditoría se ha compartido con los gestores competentes para que formulen observaciones. Cabe prever que el informe final de auditoría, incluidas las recomendaciones y los comentarios </w:t>
      </w:r>
      <w:r w:rsidR="00D96B96">
        <w:rPr>
          <w:rFonts w:cs="Calibri"/>
        </w:rPr>
        <w:t>oficiales</w:t>
      </w:r>
      <w:r w:rsidR="00D96B96" w:rsidRPr="001D1463">
        <w:rPr>
          <w:rFonts w:cs="Calibri"/>
        </w:rPr>
        <w:t xml:space="preserve"> de la dirección, se publique antes de que finalice el segundo trimestre de 2023. </w:t>
      </w:r>
    </w:p>
    <w:p w14:paraId="4233020F" w14:textId="77777777" w:rsidR="00D96B96" w:rsidRPr="001D1463" w:rsidRDefault="00D96B96" w:rsidP="00B82B7B">
      <w:pPr>
        <w:pStyle w:val="Heading1"/>
      </w:pPr>
      <w:r w:rsidRPr="001D1463">
        <w:t>Misiones especiales</w:t>
      </w:r>
    </w:p>
    <w:p w14:paraId="39E2D084" w14:textId="4885EBB0" w:rsidR="00D96B96" w:rsidRPr="001D1463" w:rsidRDefault="007345E1" w:rsidP="007345E1">
      <w:r>
        <w:rPr>
          <w:rFonts w:cs="Calibri"/>
          <w:bCs/>
        </w:rPr>
        <w:t>20</w:t>
      </w:r>
      <w:r>
        <w:rPr>
          <w:rFonts w:cs="Calibri"/>
          <w:bCs/>
        </w:rPr>
        <w:tab/>
      </w:r>
      <w:r w:rsidR="00D96B96" w:rsidRPr="001D1463">
        <w:rPr>
          <w:rFonts w:cs="Calibri"/>
          <w:bCs/>
        </w:rPr>
        <w:t xml:space="preserve">A petición del anterior Auditor Externo de la UIT y con el acuerdo del Secretario General, el auditor principal de la AI procedió a una cuantificación específica y detallada de la pérdida financiera sufrida por la UIT a raíz del caso de fraude que se denunció e investigó en 2018. </w:t>
      </w:r>
      <w:r w:rsidR="00D96B96" w:rsidRPr="001D1463">
        <w:t xml:space="preserve">En relación con ese mismo caso </w:t>
      </w:r>
      <w:r w:rsidR="00D96B96" w:rsidRPr="001D1463">
        <w:rPr>
          <w:rFonts w:cs="Calibri"/>
          <w:bCs/>
        </w:rPr>
        <w:t>y a petición del Secretario General</w:t>
      </w:r>
      <w:r w:rsidR="00D96B96" w:rsidRPr="001D1463">
        <w:t xml:space="preserve">, </w:t>
      </w:r>
      <w:r w:rsidR="00D96B96" w:rsidRPr="001D1463">
        <w:rPr>
          <w:rFonts w:cs="Calibri"/>
          <w:bCs/>
        </w:rPr>
        <w:t xml:space="preserve">el auditor principal </w:t>
      </w:r>
      <w:r w:rsidR="00D96B96" w:rsidRPr="001D1463">
        <w:rPr>
          <w:rFonts w:cs="Calibri"/>
        </w:rPr>
        <w:t>facilitó todas las pruebas documentales detalladas solicitadas a las autoridades del Estado Miembro encargadas del caso a nivel nacional.</w:t>
      </w:r>
    </w:p>
    <w:p w14:paraId="4D663457" w14:textId="77777777" w:rsidR="00D96B96" w:rsidRPr="001D1463" w:rsidRDefault="00D96B96" w:rsidP="00D96B96">
      <w:pPr>
        <w:pStyle w:val="Heading1"/>
        <w:keepNext w:val="0"/>
        <w:keepLines w:val="0"/>
        <w:tabs>
          <w:tab w:val="clear" w:pos="567"/>
          <w:tab w:val="clear" w:pos="1134"/>
          <w:tab w:val="clear" w:pos="1701"/>
          <w:tab w:val="clear" w:pos="2268"/>
          <w:tab w:val="clear" w:pos="2835"/>
        </w:tabs>
        <w:snapToGrid w:val="0"/>
        <w:spacing w:before="360" w:after="120"/>
        <w:ind w:left="0" w:firstLine="0"/>
        <w:jc w:val="both"/>
        <w:rPr>
          <w:rFonts w:asciiTheme="minorHAnsi" w:hAnsiTheme="minorHAnsi" w:cstheme="minorHAnsi"/>
          <w:szCs w:val="28"/>
        </w:rPr>
      </w:pPr>
      <w:r w:rsidRPr="001D1463">
        <w:rPr>
          <w:rFonts w:asciiTheme="minorHAnsi" w:hAnsiTheme="minorHAnsi" w:cstheme="minorHAnsi"/>
          <w:szCs w:val="28"/>
        </w:rPr>
        <w:t>Seguimiento de las recomendaciones de auditoría interna</w:t>
      </w:r>
    </w:p>
    <w:p w14:paraId="64F2C605" w14:textId="2B8B5854" w:rsidR="00D96B96" w:rsidRPr="001D1463" w:rsidRDefault="007345E1" w:rsidP="007345E1">
      <w:r>
        <w:t>21</w:t>
      </w:r>
      <w:r>
        <w:tab/>
      </w:r>
      <w:r w:rsidR="00D96B96" w:rsidRPr="001D1463">
        <w:t>A lo largo del periodo objeto de</w:t>
      </w:r>
      <w:r w:rsidR="00D96B96">
        <w:t>l</w:t>
      </w:r>
      <w:r w:rsidR="00D96B96" w:rsidRPr="001D1463">
        <w:t xml:space="preserve"> informe, la AI continuó la labor de seguimiento de las recomendaciones formuladas en anteriores informes de auditoría y debatió periódicamente los resultados de dicho seguimiento en su</w:t>
      </w:r>
      <w:r w:rsidR="00D96B96">
        <w:t>s</w:t>
      </w:r>
      <w:r w:rsidR="00D96B96" w:rsidRPr="001D1463">
        <w:t xml:space="preserve"> reuni</w:t>
      </w:r>
      <w:r w:rsidR="00D96B96">
        <w:t>ones</w:t>
      </w:r>
      <w:r w:rsidR="00D96B96" w:rsidRPr="001D1463">
        <w:t xml:space="preserve"> con el CAIG. Tal y como se indicó anteriormente, se</w:t>
      </w:r>
      <w:r w:rsidR="00D96B96">
        <w:t xml:space="preserve"> ha</w:t>
      </w:r>
      <w:r w:rsidR="00D96B96" w:rsidRPr="001D1463">
        <w:t xml:space="preserve"> sometido un documento informativo independiente a la reunión de 2023 del Consejo con información sobre el seguimiento de las recomendaciones de auditoría interna y las actividades de auditoría forense. Al 31 de marzo de 2023 se observaron nuevos avances en la aplicación de las recomendaciones de auditoría interna, según se indica a continuación:</w:t>
      </w:r>
    </w:p>
    <w:p w14:paraId="50A3948B" w14:textId="363DC398" w:rsidR="00B82B7B" w:rsidRDefault="00B82B7B">
      <w:pPr>
        <w:tabs>
          <w:tab w:val="clear" w:pos="567"/>
          <w:tab w:val="clear" w:pos="1134"/>
          <w:tab w:val="clear" w:pos="1701"/>
          <w:tab w:val="clear" w:pos="2268"/>
          <w:tab w:val="clear" w:pos="2835"/>
        </w:tabs>
        <w:overflowPunct/>
        <w:autoSpaceDE/>
        <w:autoSpaceDN/>
        <w:adjustRightInd/>
        <w:spacing w:before="0"/>
        <w:textAlignment w:val="auto"/>
        <w:rPr>
          <w:rFonts w:asciiTheme="minorHAnsi" w:eastAsiaTheme="minorEastAsia" w:hAnsiTheme="minorHAnsi" w:cstheme="minorHAnsi"/>
          <w:sz w:val="22"/>
          <w:szCs w:val="22"/>
          <w:lang w:eastAsia="zh-CN"/>
        </w:rPr>
      </w:pPr>
      <w:r>
        <w:rPr>
          <w:rFonts w:cstheme="minorHAnsi"/>
        </w:rPr>
        <w:br w:type="page"/>
      </w:r>
    </w:p>
    <w:tbl>
      <w:tblPr>
        <w:tblW w:w="9866" w:type="dxa"/>
        <w:tblInd w:w="-294" w:type="dxa"/>
        <w:tblLook w:val="04A0" w:firstRow="1" w:lastRow="0" w:firstColumn="1" w:lastColumn="0" w:noHBand="0" w:noVBand="1"/>
      </w:tblPr>
      <w:tblGrid>
        <w:gridCol w:w="1550"/>
        <w:gridCol w:w="619"/>
        <w:gridCol w:w="581"/>
        <w:gridCol w:w="699"/>
        <w:gridCol w:w="619"/>
        <w:gridCol w:w="703"/>
        <w:gridCol w:w="709"/>
        <w:gridCol w:w="581"/>
        <w:gridCol w:w="704"/>
        <w:gridCol w:w="619"/>
        <w:gridCol w:w="704"/>
        <w:gridCol w:w="581"/>
        <w:gridCol w:w="599"/>
        <w:gridCol w:w="598"/>
      </w:tblGrid>
      <w:tr w:rsidR="00B82B7B" w:rsidRPr="00B82B7B" w14:paraId="4351CE7D" w14:textId="77777777" w:rsidTr="00B82B7B">
        <w:trPr>
          <w:trHeight w:val="242"/>
        </w:trPr>
        <w:tc>
          <w:tcPr>
            <w:tcW w:w="1550" w:type="dxa"/>
            <w:tcBorders>
              <w:top w:val="single" w:sz="8" w:space="0" w:color="auto"/>
              <w:left w:val="single" w:sz="8" w:space="0" w:color="auto"/>
              <w:bottom w:val="single" w:sz="8" w:space="0" w:color="auto"/>
              <w:right w:val="single" w:sz="8" w:space="0" w:color="auto"/>
            </w:tcBorders>
            <w:shd w:val="clear" w:color="000000" w:fill="000000"/>
            <w:noWrap/>
            <w:vAlign w:val="center"/>
            <w:hideMark/>
          </w:tcPr>
          <w:p w14:paraId="2E867376" w14:textId="77777777" w:rsidR="00D96B96" w:rsidRPr="00B82B7B" w:rsidRDefault="00D96B96" w:rsidP="00B82B7B">
            <w:pPr>
              <w:pStyle w:val="Tablehead"/>
              <w:jc w:val="left"/>
              <w:rPr>
                <w:rFonts w:asciiTheme="minorHAnsi" w:hAnsiTheme="minorHAnsi" w:cstheme="minorHAnsi"/>
                <w:sz w:val="18"/>
                <w:szCs w:val="18"/>
                <w:lang w:eastAsia="en-GB"/>
              </w:rPr>
            </w:pPr>
            <w:r w:rsidRPr="00B82B7B">
              <w:rPr>
                <w:rFonts w:asciiTheme="minorHAnsi" w:hAnsiTheme="minorHAnsi" w:cstheme="minorHAnsi"/>
                <w:sz w:val="18"/>
                <w:szCs w:val="18"/>
                <w:lang w:eastAsia="en-GB"/>
              </w:rPr>
              <w:lastRenderedPageBreak/>
              <w:t>Año</w:t>
            </w:r>
          </w:p>
        </w:tc>
        <w:tc>
          <w:tcPr>
            <w:tcW w:w="619" w:type="dxa"/>
            <w:tcBorders>
              <w:top w:val="single" w:sz="8" w:space="0" w:color="auto"/>
              <w:left w:val="nil"/>
              <w:bottom w:val="single" w:sz="8" w:space="0" w:color="auto"/>
              <w:right w:val="single" w:sz="8" w:space="0" w:color="auto"/>
            </w:tcBorders>
            <w:shd w:val="clear" w:color="000000" w:fill="000000"/>
            <w:noWrap/>
            <w:vAlign w:val="center"/>
            <w:hideMark/>
          </w:tcPr>
          <w:p w14:paraId="77083CF9" w14:textId="77777777" w:rsidR="00D96B96" w:rsidRPr="00B82B7B" w:rsidRDefault="00D96B96" w:rsidP="003C0EC6">
            <w:pPr>
              <w:pStyle w:val="Tablehead"/>
              <w:rPr>
                <w:rFonts w:asciiTheme="minorHAnsi" w:hAnsiTheme="minorHAnsi" w:cstheme="minorHAnsi"/>
                <w:sz w:val="18"/>
                <w:szCs w:val="18"/>
                <w:lang w:eastAsia="en-GB"/>
              </w:rPr>
            </w:pPr>
            <w:r w:rsidRPr="00B82B7B">
              <w:rPr>
                <w:rFonts w:asciiTheme="minorHAnsi" w:hAnsiTheme="minorHAnsi" w:cstheme="minorHAnsi"/>
                <w:sz w:val="18"/>
                <w:szCs w:val="18"/>
                <w:lang w:eastAsia="en-GB"/>
              </w:rPr>
              <w:t>2011</w:t>
            </w:r>
          </w:p>
        </w:tc>
        <w:tc>
          <w:tcPr>
            <w:tcW w:w="581" w:type="dxa"/>
            <w:tcBorders>
              <w:top w:val="single" w:sz="8" w:space="0" w:color="auto"/>
              <w:left w:val="nil"/>
              <w:bottom w:val="single" w:sz="8" w:space="0" w:color="auto"/>
              <w:right w:val="single" w:sz="8" w:space="0" w:color="auto"/>
            </w:tcBorders>
            <w:shd w:val="clear" w:color="000000" w:fill="000000"/>
            <w:noWrap/>
            <w:vAlign w:val="center"/>
            <w:hideMark/>
          </w:tcPr>
          <w:p w14:paraId="121804C3" w14:textId="77777777" w:rsidR="00D96B96" w:rsidRPr="00B82B7B" w:rsidRDefault="00D96B96" w:rsidP="00B82B7B">
            <w:pPr>
              <w:pStyle w:val="Tablehead"/>
              <w:rPr>
                <w:rFonts w:asciiTheme="minorHAnsi" w:hAnsiTheme="minorHAnsi" w:cstheme="minorHAnsi"/>
                <w:sz w:val="18"/>
                <w:szCs w:val="18"/>
                <w:lang w:eastAsia="en-GB"/>
              </w:rPr>
            </w:pPr>
            <w:r w:rsidRPr="00B82B7B">
              <w:rPr>
                <w:rFonts w:asciiTheme="minorHAnsi" w:hAnsiTheme="minorHAnsi" w:cstheme="minorHAnsi"/>
                <w:sz w:val="18"/>
                <w:szCs w:val="18"/>
                <w:lang w:eastAsia="en-GB"/>
              </w:rPr>
              <w:t>2012</w:t>
            </w:r>
          </w:p>
        </w:tc>
        <w:tc>
          <w:tcPr>
            <w:tcW w:w="699" w:type="dxa"/>
            <w:tcBorders>
              <w:top w:val="single" w:sz="8" w:space="0" w:color="auto"/>
              <w:left w:val="nil"/>
              <w:bottom w:val="single" w:sz="8" w:space="0" w:color="auto"/>
              <w:right w:val="single" w:sz="8" w:space="0" w:color="auto"/>
            </w:tcBorders>
            <w:shd w:val="clear" w:color="000000" w:fill="000000"/>
            <w:noWrap/>
            <w:vAlign w:val="center"/>
            <w:hideMark/>
          </w:tcPr>
          <w:p w14:paraId="3E7B5A52" w14:textId="77777777" w:rsidR="00D96B96" w:rsidRPr="00B82B7B" w:rsidRDefault="00D96B96" w:rsidP="00B82B7B">
            <w:pPr>
              <w:pStyle w:val="Tablehead"/>
              <w:rPr>
                <w:rFonts w:asciiTheme="minorHAnsi" w:hAnsiTheme="minorHAnsi" w:cstheme="minorHAnsi"/>
                <w:sz w:val="18"/>
                <w:szCs w:val="18"/>
                <w:lang w:eastAsia="en-GB"/>
              </w:rPr>
            </w:pPr>
            <w:r w:rsidRPr="00B82B7B">
              <w:rPr>
                <w:rFonts w:asciiTheme="minorHAnsi" w:hAnsiTheme="minorHAnsi" w:cstheme="minorHAnsi"/>
                <w:sz w:val="18"/>
                <w:szCs w:val="18"/>
                <w:lang w:eastAsia="en-GB"/>
              </w:rPr>
              <w:t>2013</w:t>
            </w:r>
          </w:p>
        </w:tc>
        <w:tc>
          <w:tcPr>
            <w:tcW w:w="619" w:type="dxa"/>
            <w:tcBorders>
              <w:top w:val="single" w:sz="8" w:space="0" w:color="auto"/>
              <w:left w:val="nil"/>
              <w:bottom w:val="single" w:sz="8" w:space="0" w:color="auto"/>
              <w:right w:val="single" w:sz="8" w:space="0" w:color="auto"/>
            </w:tcBorders>
            <w:shd w:val="clear" w:color="000000" w:fill="000000"/>
            <w:noWrap/>
            <w:vAlign w:val="center"/>
            <w:hideMark/>
          </w:tcPr>
          <w:p w14:paraId="1D44DF72" w14:textId="77777777" w:rsidR="00D96B96" w:rsidRPr="00B82B7B" w:rsidRDefault="00D96B96" w:rsidP="00B82B7B">
            <w:pPr>
              <w:pStyle w:val="Tablehead"/>
              <w:rPr>
                <w:rFonts w:asciiTheme="minorHAnsi" w:hAnsiTheme="minorHAnsi" w:cstheme="minorHAnsi"/>
                <w:sz w:val="18"/>
                <w:szCs w:val="18"/>
                <w:lang w:eastAsia="en-GB"/>
              </w:rPr>
            </w:pPr>
            <w:r w:rsidRPr="00B82B7B">
              <w:rPr>
                <w:rFonts w:asciiTheme="minorHAnsi" w:hAnsiTheme="minorHAnsi" w:cstheme="minorHAnsi"/>
                <w:sz w:val="18"/>
                <w:szCs w:val="18"/>
                <w:lang w:eastAsia="en-GB"/>
              </w:rPr>
              <w:t>2014</w:t>
            </w:r>
          </w:p>
        </w:tc>
        <w:tc>
          <w:tcPr>
            <w:tcW w:w="703" w:type="dxa"/>
            <w:tcBorders>
              <w:top w:val="single" w:sz="8" w:space="0" w:color="auto"/>
              <w:left w:val="nil"/>
              <w:bottom w:val="single" w:sz="8" w:space="0" w:color="auto"/>
              <w:right w:val="single" w:sz="8" w:space="0" w:color="auto"/>
            </w:tcBorders>
            <w:shd w:val="clear" w:color="000000" w:fill="000000"/>
            <w:noWrap/>
            <w:vAlign w:val="center"/>
            <w:hideMark/>
          </w:tcPr>
          <w:p w14:paraId="763CE237" w14:textId="77777777" w:rsidR="00D96B96" w:rsidRPr="00B82B7B" w:rsidRDefault="00D96B96" w:rsidP="00B82B7B">
            <w:pPr>
              <w:pStyle w:val="Tablehead"/>
              <w:rPr>
                <w:rFonts w:asciiTheme="minorHAnsi" w:hAnsiTheme="minorHAnsi" w:cstheme="minorHAnsi"/>
                <w:sz w:val="18"/>
                <w:szCs w:val="18"/>
                <w:lang w:eastAsia="en-GB"/>
              </w:rPr>
            </w:pPr>
            <w:r w:rsidRPr="00B82B7B">
              <w:rPr>
                <w:rFonts w:asciiTheme="minorHAnsi" w:hAnsiTheme="minorHAnsi" w:cstheme="minorHAnsi"/>
                <w:sz w:val="18"/>
                <w:szCs w:val="18"/>
                <w:lang w:eastAsia="en-GB"/>
              </w:rPr>
              <w:t>2015</w:t>
            </w:r>
          </w:p>
        </w:tc>
        <w:tc>
          <w:tcPr>
            <w:tcW w:w="709" w:type="dxa"/>
            <w:tcBorders>
              <w:top w:val="single" w:sz="8" w:space="0" w:color="auto"/>
              <w:left w:val="nil"/>
              <w:bottom w:val="single" w:sz="8" w:space="0" w:color="auto"/>
              <w:right w:val="single" w:sz="8" w:space="0" w:color="auto"/>
            </w:tcBorders>
            <w:shd w:val="clear" w:color="000000" w:fill="000000"/>
            <w:noWrap/>
            <w:vAlign w:val="center"/>
            <w:hideMark/>
          </w:tcPr>
          <w:p w14:paraId="18BF54F7" w14:textId="77777777" w:rsidR="00D96B96" w:rsidRPr="00B82B7B" w:rsidRDefault="00D96B96" w:rsidP="00B82B7B">
            <w:pPr>
              <w:pStyle w:val="Tablehead"/>
              <w:rPr>
                <w:rFonts w:asciiTheme="minorHAnsi" w:hAnsiTheme="minorHAnsi" w:cstheme="minorHAnsi"/>
                <w:sz w:val="18"/>
                <w:szCs w:val="18"/>
                <w:lang w:eastAsia="en-GB"/>
              </w:rPr>
            </w:pPr>
            <w:r w:rsidRPr="00B82B7B">
              <w:rPr>
                <w:rFonts w:asciiTheme="minorHAnsi" w:hAnsiTheme="minorHAnsi" w:cstheme="minorHAnsi"/>
                <w:sz w:val="18"/>
                <w:szCs w:val="18"/>
                <w:lang w:eastAsia="en-GB"/>
              </w:rPr>
              <w:t>2016</w:t>
            </w:r>
          </w:p>
        </w:tc>
        <w:tc>
          <w:tcPr>
            <w:tcW w:w="581" w:type="dxa"/>
            <w:tcBorders>
              <w:top w:val="single" w:sz="8" w:space="0" w:color="auto"/>
              <w:left w:val="nil"/>
              <w:bottom w:val="single" w:sz="8" w:space="0" w:color="auto"/>
              <w:right w:val="single" w:sz="8" w:space="0" w:color="auto"/>
            </w:tcBorders>
            <w:shd w:val="clear" w:color="000000" w:fill="000000"/>
            <w:noWrap/>
            <w:vAlign w:val="center"/>
            <w:hideMark/>
          </w:tcPr>
          <w:p w14:paraId="7F2B3A4E" w14:textId="77777777" w:rsidR="00D96B96" w:rsidRPr="00B82B7B" w:rsidRDefault="00D96B96" w:rsidP="00B82B7B">
            <w:pPr>
              <w:pStyle w:val="Tablehead"/>
              <w:rPr>
                <w:rFonts w:asciiTheme="minorHAnsi" w:hAnsiTheme="minorHAnsi" w:cstheme="minorHAnsi"/>
                <w:sz w:val="18"/>
                <w:szCs w:val="18"/>
                <w:lang w:eastAsia="en-GB"/>
              </w:rPr>
            </w:pPr>
            <w:r w:rsidRPr="00B82B7B">
              <w:rPr>
                <w:rFonts w:asciiTheme="minorHAnsi" w:hAnsiTheme="minorHAnsi" w:cstheme="minorHAnsi"/>
                <w:sz w:val="18"/>
                <w:szCs w:val="18"/>
                <w:lang w:eastAsia="en-GB"/>
              </w:rPr>
              <w:t>2017</w:t>
            </w:r>
          </w:p>
        </w:tc>
        <w:tc>
          <w:tcPr>
            <w:tcW w:w="704" w:type="dxa"/>
            <w:tcBorders>
              <w:top w:val="single" w:sz="8" w:space="0" w:color="auto"/>
              <w:left w:val="nil"/>
              <w:bottom w:val="single" w:sz="8" w:space="0" w:color="auto"/>
              <w:right w:val="single" w:sz="8" w:space="0" w:color="auto"/>
            </w:tcBorders>
            <w:shd w:val="clear" w:color="000000" w:fill="000000"/>
            <w:noWrap/>
            <w:vAlign w:val="center"/>
            <w:hideMark/>
          </w:tcPr>
          <w:p w14:paraId="3868B37A" w14:textId="77777777" w:rsidR="00D96B96" w:rsidRPr="00B82B7B" w:rsidRDefault="00D96B96" w:rsidP="00B82B7B">
            <w:pPr>
              <w:pStyle w:val="Tablehead"/>
              <w:rPr>
                <w:rFonts w:asciiTheme="minorHAnsi" w:hAnsiTheme="minorHAnsi" w:cstheme="minorHAnsi"/>
                <w:sz w:val="18"/>
                <w:szCs w:val="18"/>
                <w:lang w:eastAsia="en-GB"/>
              </w:rPr>
            </w:pPr>
            <w:r w:rsidRPr="00B82B7B">
              <w:rPr>
                <w:rFonts w:asciiTheme="minorHAnsi" w:hAnsiTheme="minorHAnsi" w:cstheme="minorHAnsi"/>
                <w:sz w:val="18"/>
                <w:szCs w:val="18"/>
                <w:lang w:eastAsia="en-GB"/>
              </w:rPr>
              <w:t>2018</w:t>
            </w:r>
          </w:p>
        </w:tc>
        <w:tc>
          <w:tcPr>
            <w:tcW w:w="619" w:type="dxa"/>
            <w:tcBorders>
              <w:top w:val="single" w:sz="8" w:space="0" w:color="auto"/>
              <w:left w:val="nil"/>
              <w:bottom w:val="single" w:sz="8" w:space="0" w:color="auto"/>
              <w:right w:val="single" w:sz="8" w:space="0" w:color="auto"/>
            </w:tcBorders>
            <w:shd w:val="clear" w:color="000000" w:fill="000000"/>
            <w:noWrap/>
            <w:vAlign w:val="center"/>
            <w:hideMark/>
          </w:tcPr>
          <w:p w14:paraId="23BA33F3" w14:textId="77777777" w:rsidR="00D96B96" w:rsidRPr="00B82B7B" w:rsidRDefault="00D96B96" w:rsidP="00B82B7B">
            <w:pPr>
              <w:pStyle w:val="Tablehead"/>
              <w:rPr>
                <w:rFonts w:asciiTheme="minorHAnsi" w:hAnsiTheme="minorHAnsi" w:cstheme="minorHAnsi"/>
                <w:sz w:val="18"/>
                <w:szCs w:val="18"/>
                <w:lang w:eastAsia="en-GB"/>
              </w:rPr>
            </w:pPr>
            <w:r w:rsidRPr="00B82B7B">
              <w:rPr>
                <w:rFonts w:asciiTheme="minorHAnsi" w:hAnsiTheme="minorHAnsi" w:cstheme="minorHAnsi"/>
                <w:sz w:val="18"/>
                <w:szCs w:val="18"/>
                <w:lang w:eastAsia="en-GB"/>
              </w:rPr>
              <w:t>2019</w:t>
            </w:r>
          </w:p>
        </w:tc>
        <w:tc>
          <w:tcPr>
            <w:tcW w:w="704" w:type="dxa"/>
            <w:tcBorders>
              <w:top w:val="single" w:sz="8" w:space="0" w:color="auto"/>
              <w:left w:val="nil"/>
              <w:bottom w:val="single" w:sz="8" w:space="0" w:color="auto"/>
              <w:right w:val="single" w:sz="8" w:space="0" w:color="auto"/>
            </w:tcBorders>
            <w:shd w:val="clear" w:color="000000" w:fill="000000"/>
            <w:vAlign w:val="center"/>
            <w:hideMark/>
          </w:tcPr>
          <w:p w14:paraId="3967C8F2" w14:textId="77777777" w:rsidR="00D96B96" w:rsidRPr="00B82B7B" w:rsidRDefault="00D96B96" w:rsidP="00B82B7B">
            <w:pPr>
              <w:pStyle w:val="Tablehead"/>
              <w:rPr>
                <w:rFonts w:asciiTheme="minorHAnsi" w:hAnsiTheme="minorHAnsi" w:cstheme="minorHAnsi"/>
                <w:sz w:val="18"/>
                <w:szCs w:val="18"/>
                <w:lang w:eastAsia="en-GB"/>
              </w:rPr>
            </w:pPr>
            <w:r w:rsidRPr="00B82B7B">
              <w:rPr>
                <w:rFonts w:asciiTheme="minorHAnsi" w:hAnsiTheme="minorHAnsi" w:cstheme="minorHAnsi"/>
                <w:sz w:val="18"/>
                <w:szCs w:val="18"/>
                <w:lang w:eastAsia="en-GB"/>
              </w:rPr>
              <w:t>2020</w:t>
            </w:r>
          </w:p>
        </w:tc>
        <w:tc>
          <w:tcPr>
            <w:tcW w:w="581" w:type="dxa"/>
            <w:tcBorders>
              <w:top w:val="single" w:sz="8" w:space="0" w:color="auto"/>
              <w:left w:val="nil"/>
              <w:bottom w:val="single" w:sz="8" w:space="0" w:color="auto"/>
              <w:right w:val="single" w:sz="8" w:space="0" w:color="auto"/>
            </w:tcBorders>
            <w:shd w:val="clear" w:color="000000" w:fill="000000"/>
            <w:vAlign w:val="center"/>
            <w:hideMark/>
          </w:tcPr>
          <w:p w14:paraId="5D94B352" w14:textId="77777777" w:rsidR="00D96B96" w:rsidRPr="00B82B7B" w:rsidRDefault="00D96B96" w:rsidP="00B82B7B">
            <w:pPr>
              <w:pStyle w:val="Tablehead"/>
              <w:rPr>
                <w:rFonts w:asciiTheme="minorHAnsi" w:hAnsiTheme="minorHAnsi" w:cstheme="minorHAnsi"/>
                <w:sz w:val="18"/>
                <w:szCs w:val="18"/>
                <w:lang w:eastAsia="en-GB"/>
              </w:rPr>
            </w:pPr>
            <w:r w:rsidRPr="00B82B7B">
              <w:rPr>
                <w:rFonts w:asciiTheme="minorHAnsi" w:hAnsiTheme="minorHAnsi" w:cstheme="minorHAnsi"/>
                <w:sz w:val="18"/>
                <w:szCs w:val="18"/>
                <w:lang w:eastAsia="en-GB"/>
              </w:rPr>
              <w:t>2021</w:t>
            </w:r>
          </w:p>
        </w:tc>
        <w:tc>
          <w:tcPr>
            <w:tcW w:w="599" w:type="dxa"/>
            <w:tcBorders>
              <w:top w:val="single" w:sz="8" w:space="0" w:color="auto"/>
              <w:left w:val="nil"/>
              <w:bottom w:val="single" w:sz="8" w:space="0" w:color="auto"/>
              <w:right w:val="single" w:sz="8" w:space="0" w:color="auto"/>
            </w:tcBorders>
            <w:shd w:val="clear" w:color="000000" w:fill="000000"/>
            <w:noWrap/>
            <w:vAlign w:val="center"/>
            <w:hideMark/>
          </w:tcPr>
          <w:p w14:paraId="2CB02E9A" w14:textId="77777777" w:rsidR="00D96B96" w:rsidRPr="00B82B7B" w:rsidRDefault="00D96B96" w:rsidP="00B82B7B">
            <w:pPr>
              <w:pStyle w:val="Tablehead"/>
              <w:rPr>
                <w:rFonts w:asciiTheme="minorHAnsi" w:hAnsiTheme="minorHAnsi" w:cstheme="minorHAnsi"/>
                <w:sz w:val="18"/>
                <w:szCs w:val="18"/>
                <w:lang w:eastAsia="en-GB"/>
              </w:rPr>
            </w:pPr>
            <w:r w:rsidRPr="00B82B7B">
              <w:rPr>
                <w:rFonts w:asciiTheme="minorHAnsi" w:hAnsiTheme="minorHAnsi" w:cstheme="minorHAnsi"/>
                <w:sz w:val="18"/>
                <w:szCs w:val="18"/>
                <w:lang w:eastAsia="en-GB"/>
              </w:rPr>
              <w:t xml:space="preserve">2022 </w:t>
            </w:r>
          </w:p>
        </w:tc>
        <w:tc>
          <w:tcPr>
            <w:tcW w:w="598" w:type="dxa"/>
            <w:tcBorders>
              <w:top w:val="single" w:sz="8" w:space="0" w:color="auto"/>
              <w:left w:val="nil"/>
              <w:bottom w:val="single" w:sz="8" w:space="0" w:color="auto"/>
              <w:right w:val="single" w:sz="8" w:space="0" w:color="auto"/>
            </w:tcBorders>
            <w:shd w:val="clear" w:color="000000" w:fill="000000"/>
            <w:vAlign w:val="center"/>
          </w:tcPr>
          <w:p w14:paraId="7DF88D4D" w14:textId="77777777" w:rsidR="00D96B96" w:rsidRPr="00B82B7B" w:rsidRDefault="00D96B96" w:rsidP="00B82B7B">
            <w:pPr>
              <w:pStyle w:val="Tablehead"/>
              <w:rPr>
                <w:rFonts w:asciiTheme="minorHAnsi" w:hAnsiTheme="minorHAnsi" w:cstheme="minorHAnsi"/>
                <w:sz w:val="18"/>
                <w:szCs w:val="18"/>
                <w:lang w:eastAsia="en-GB"/>
              </w:rPr>
            </w:pPr>
            <w:r w:rsidRPr="00B82B7B">
              <w:rPr>
                <w:rFonts w:asciiTheme="minorHAnsi" w:hAnsiTheme="minorHAnsi" w:cstheme="minorHAnsi"/>
                <w:sz w:val="18"/>
                <w:szCs w:val="18"/>
                <w:lang w:eastAsia="en-GB"/>
              </w:rPr>
              <w:t xml:space="preserve">Total </w:t>
            </w:r>
          </w:p>
        </w:tc>
      </w:tr>
      <w:tr w:rsidR="00D96B96" w:rsidRPr="00B82B7B" w14:paraId="6E8E61CB" w14:textId="77777777" w:rsidTr="00B82B7B">
        <w:trPr>
          <w:trHeight w:val="242"/>
        </w:trPr>
        <w:tc>
          <w:tcPr>
            <w:tcW w:w="1550" w:type="dxa"/>
            <w:tcBorders>
              <w:top w:val="nil"/>
              <w:left w:val="single" w:sz="8" w:space="0" w:color="auto"/>
              <w:bottom w:val="single" w:sz="8" w:space="0" w:color="auto"/>
              <w:right w:val="single" w:sz="8" w:space="0" w:color="auto"/>
            </w:tcBorders>
            <w:shd w:val="clear" w:color="auto" w:fill="auto"/>
            <w:noWrap/>
            <w:hideMark/>
          </w:tcPr>
          <w:p w14:paraId="346B73A4" w14:textId="77777777" w:rsidR="00D96B96" w:rsidRPr="00B82B7B" w:rsidRDefault="00D96B96" w:rsidP="003C0EC6">
            <w:pPr>
              <w:pStyle w:val="Tabletext"/>
              <w:rPr>
                <w:rFonts w:asciiTheme="minorHAnsi" w:hAnsiTheme="minorHAnsi" w:cstheme="minorHAnsi"/>
                <w:sz w:val="18"/>
                <w:szCs w:val="18"/>
                <w:lang w:eastAsia="en-GB"/>
              </w:rPr>
            </w:pPr>
            <w:r w:rsidRPr="00B82B7B">
              <w:rPr>
                <w:rFonts w:asciiTheme="minorHAnsi" w:hAnsiTheme="minorHAnsi" w:cstheme="minorHAnsi"/>
                <w:sz w:val="18"/>
                <w:szCs w:val="18"/>
                <w:lang w:eastAsia="en-GB"/>
              </w:rPr>
              <w:t>Número de informes/notas de auditoría</w:t>
            </w:r>
          </w:p>
        </w:tc>
        <w:tc>
          <w:tcPr>
            <w:tcW w:w="619" w:type="dxa"/>
            <w:tcBorders>
              <w:top w:val="nil"/>
              <w:left w:val="nil"/>
              <w:bottom w:val="single" w:sz="8" w:space="0" w:color="auto"/>
              <w:right w:val="single" w:sz="8" w:space="0" w:color="auto"/>
            </w:tcBorders>
            <w:shd w:val="clear" w:color="auto" w:fill="auto"/>
            <w:noWrap/>
            <w:vAlign w:val="center"/>
            <w:hideMark/>
          </w:tcPr>
          <w:p w14:paraId="19403971" w14:textId="77777777" w:rsidR="00D96B96" w:rsidRPr="00B82B7B" w:rsidRDefault="00D96B96" w:rsidP="00B82B7B">
            <w:pPr>
              <w:pStyle w:val="Tabletext"/>
              <w:jc w:val="center"/>
              <w:rPr>
                <w:rFonts w:asciiTheme="minorHAnsi" w:hAnsiTheme="minorHAnsi" w:cstheme="minorHAnsi"/>
                <w:sz w:val="18"/>
                <w:szCs w:val="18"/>
                <w:lang w:eastAsia="en-GB"/>
              </w:rPr>
            </w:pPr>
            <w:r w:rsidRPr="00B82B7B">
              <w:rPr>
                <w:rFonts w:asciiTheme="minorHAnsi" w:hAnsiTheme="minorHAnsi" w:cstheme="minorHAnsi"/>
                <w:sz w:val="18"/>
                <w:szCs w:val="18"/>
              </w:rPr>
              <w:t>2</w:t>
            </w:r>
          </w:p>
        </w:tc>
        <w:tc>
          <w:tcPr>
            <w:tcW w:w="581" w:type="dxa"/>
            <w:tcBorders>
              <w:top w:val="nil"/>
              <w:left w:val="nil"/>
              <w:bottom w:val="single" w:sz="8" w:space="0" w:color="auto"/>
              <w:right w:val="single" w:sz="8" w:space="0" w:color="auto"/>
            </w:tcBorders>
            <w:shd w:val="clear" w:color="auto" w:fill="auto"/>
            <w:noWrap/>
            <w:vAlign w:val="center"/>
            <w:hideMark/>
          </w:tcPr>
          <w:p w14:paraId="4FE855E1" w14:textId="77777777" w:rsidR="00D96B96" w:rsidRPr="00B82B7B" w:rsidRDefault="00D96B96" w:rsidP="00B82B7B">
            <w:pPr>
              <w:pStyle w:val="Tabletext"/>
              <w:jc w:val="center"/>
              <w:rPr>
                <w:rFonts w:asciiTheme="minorHAnsi" w:hAnsiTheme="minorHAnsi" w:cstheme="minorHAnsi"/>
                <w:sz w:val="18"/>
                <w:szCs w:val="18"/>
                <w:lang w:eastAsia="en-GB"/>
              </w:rPr>
            </w:pPr>
            <w:r w:rsidRPr="00B82B7B">
              <w:rPr>
                <w:rFonts w:asciiTheme="minorHAnsi" w:hAnsiTheme="minorHAnsi" w:cstheme="minorHAnsi"/>
                <w:sz w:val="18"/>
                <w:szCs w:val="18"/>
              </w:rPr>
              <w:t>0</w:t>
            </w:r>
          </w:p>
        </w:tc>
        <w:tc>
          <w:tcPr>
            <w:tcW w:w="699" w:type="dxa"/>
            <w:tcBorders>
              <w:top w:val="nil"/>
              <w:left w:val="nil"/>
              <w:bottom w:val="single" w:sz="8" w:space="0" w:color="auto"/>
              <w:right w:val="single" w:sz="8" w:space="0" w:color="auto"/>
            </w:tcBorders>
            <w:shd w:val="clear" w:color="auto" w:fill="auto"/>
            <w:noWrap/>
            <w:vAlign w:val="center"/>
            <w:hideMark/>
          </w:tcPr>
          <w:p w14:paraId="1F336A90" w14:textId="77777777" w:rsidR="00D96B96" w:rsidRPr="00B82B7B" w:rsidRDefault="00D96B96" w:rsidP="00B82B7B">
            <w:pPr>
              <w:pStyle w:val="Tabletext"/>
              <w:jc w:val="center"/>
              <w:rPr>
                <w:rFonts w:asciiTheme="minorHAnsi" w:hAnsiTheme="minorHAnsi" w:cstheme="minorHAnsi"/>
                <w:sz w:val="18"/>
                <w:szCs w:val="18"/>
                <w:lang w:eastAsia="en-GB"/>
              </w:rPr>
            </w:pPr>
            <w:r w:rsidRPr="00B82B7B">
              <w:rPr>
                <w:rFonts w:asciiTheme="minorHAnsi" w:hAnsiTheme="minorHAnsi" w:cstheme="minorHAnsi"/>
                <w:sz w:val="18"/>
                <w:szCs w:val="18"/>
              </w:rPr>
              <w:t>4</w:t>
            </w:r>
          </w:p>
        </w:tc>
        <w:tc>
          <w:tcPr>
            <w:tcW w:w="619" w:type="dxa"/>
            <w:tcBorders>
              <w:top w:val="nil"/>
              <w:left w:val="nil"/>
              <w:bottom w:val="single" w:sz="8" w:space="0" w:color="auto"/>
              <w:right w:val="nil"/>
            </w:tcBorders>
            <w:shd w:val="clear" w:color="auto" w:fill="auto"/>
            <w:noWrap/>
            <w:vAlign w:val="center"/>
            <w:hideMark/>
          </w:tcPr>
          <w:p w14:paraId="128BD747" w14:textId="77777777" w:rsidR="00D96B96" w:rsidRPr="00B82B7B" w:rsidRDefault="00D96B96" w:rsidP="00B82B7B">
            <w:pPr>
              <w:pStyle w:val="Tabletext"/>
              <w:jc w:val="center"/>
              <w:rPr>
                <w:rFonts w:asciiTheme="minorHAnsi" w:hAnsiTheme="minorHAnsi" w:cstheme="minorHAnsi"/>
                <w:sz w:val="18"/>
                <w:szCs w:val="18"/>
                <w:lang w:eastAsia="en-GB"/>
              </w:rPr>
            </w:pPr>
            <w:r w:rsidRPr="00B82B7B">
              <w:rPr>
                <w:rFonts w:asciiTheme="minorHAnsi" w:hAnsiTheme="minorHAnsi" w:cstheme="minorHAnsi"/>
                <w:sz w:val="18"/>
                <w:szCs w:val="18"/>
              </w:rPr>
              <w:t>4</w:t>
            </w:r>
          </w:p>
        </w:tc>
        <w:tc>
          <w:tcPr>
            <w:tcW w:w="703" w:type="dxa"/>
            <w:tcBorders>
              <w:top w:val="nil"/>
              <w:left w:val="single" w:sz="8" w:space="0" w:color="auto"/>
              <w:bottom w:val="single" w:sz="8" w:space="0" w:color="auto"/>
              <w:right w:val="nil"/>
            </w:tcBorders>
            <w:shd w:val="clear" w:color="auto" w:fill="auto"/>
            <w:noWrap/>
            <w:vAlign w:val="center"/>
            <w:hideMark/>
          </w:tcPr>
          <w:p w14:paraId="19CE84C7" w14:textId="77777777" w:rsidR="00D96B96" w:rsidRPr="00B82B7B" w:rsidRDefault="00D96B96" w:rsidP="00B82B7B">
            <w:pPr>
              <w:pStyle w:val="Tabletext"/>
              <w:jc w:val="center"/>
              <w:rPr>
                <w:rFonts w:asciiTheme="minorHAnsi" w:hAnsiTheme="minorHAnsi" w:cstheme="minorHAnsi"/>
                <w:sz w:val="18"/>
                <w:szCs w:val="18"/>
                <w:lang w:eastAsia="en-GB"/>
              </w:rPr>
            </w:pPr>
            <w:r w:rsidRPr="00B82B7B">
              <w:rPr>
                <w:rFonts w:asciiTheme="minorHAnsi" w:hAnsiTheme="minorHAnsi" w:cstheme="minorHAnsi"/>
                <w:sz w:val="18"/>
                <w:szCs w:val="18"/>
              </w:rPr>
              <w:t>7</w:t>
            </w:r>
          </w:p>
        </w:tc>
        <w:tc>
          <w:tcPr>
            <w:tcW w:w="709" w:type="dxa"/>
            <w:tcBorders>
              <w:top w:val="nil"/>
              <w:left w:val="single" w:sz="8" w:space="0" w:color="auto"/>
              <w:bottom w:val="single" w:sz="8" w:space="0" w:color="auto"/>
              <w:right w:val="nil"/>
            </w:tcBorders>
            <w:shd w:val="clear" w:color="auto" w:fill="auto"/>
            <w:noWrap/>
            <w:vAlign w:val="center"/>
            <w:hideMark/>
          </w:tcPr>
          <w:p w14:paraId="22C892CC" w14:textId="77777777" w:rsidR="00D96B96" w:rsidRPr="00B82B7B" w:rsidRDefault="00D96B96" w:rsidP="00B82B7B">
            <w:pPr>
              <w:pStyle w:val="Tabletext"/>
              <w:jc w:val="center"/>
              <w:rPr>
                <w:rFonts w:asciiTheme="minorHAnsi" w:hAnsiTheme="minorHAnsi" w:cstheme="minorHAnsi"/>
                <w:sz w:val="18"/>
                <w:szCs w:val="18"/>
                <w:lang w:eastAsia="en-GB"/>
              </w:rPr>
            </w:pPr>
            <w:r w:rsidRPr="00B82B7B">
              <w:rPr>
                <w:rFonts w:asciiTheme="minorHAnsi" w:hAnsiTheme="minorHAnsi" w:cstheme="minorHAnsi"/>
                <w:sz w:val="18"/>
                <w:szCs w:val="18"/>
              </w:rPr>
              <w:t>4</w:t>
            </w:r>
          </w:p>
        </w:tc>
        <w:tc>
          <w:tcPr>
            <w:tcW w:w="581" w:type="dxa"/>
            <w:tcBorders>
              <w:top w:val="nil"/>
              <w:left w:val="single" w:sz="8" w:space="0" w:color="auto"/>
              <w:bottom w:val="single" w:sz="8" w:space="0" w:color="auto"/>
              <w:right w:val="nil"/>
            </w:tcBorders>
            <w:shd w:val="clear" w:color="auto" w:fill="auto"/>
            <w:noWrap/>
            <w:vAlign w:val="center"/>
            <w:hideMark/>
          </w:tcPr>
          <w:p w14:paraId="03B4610C" w14:textId="77777777" w:rsidR="00D96B96" w:rsidRPr="00B82B7B" w:rsidRDefault="00D96B96" w:rsidP="00B82B7B">
            <w:pPr>
              <w:pStyle w:val="Tabletext"/>
              <w:jc w:val="center"/>
              <w:rPr>
                <w:rFonts w:asciiTheme="minorHAnsi" w:hAnsiTheme="minorHAnsi" w:cstheme="minorHAnsi"/>
                <w:sz w:val="18"/>
                <w:szCs w:val="18"/>
                <w:lang w:eastAsia="en-GB"/>
              </w:rPr>
            </w:pPr>
            <w:r w:rsidRPr="00B82B7B">
              <w:rPr>
                <w:rFonts w:asciiTheme="minorHAnsi" w:hAnsiTheme="minorHAnsi" w:cstheme="minorHAnsi"/>
                <w:sz w:val="18"/>
                <w:szCs w:val="18"/>
              </w:rPr>
              <w:t>6</w:t>
            </w:r>
          </w:p>
        </w:tc>
        <w:tc>
          <w:tcPr>
            <w:tcW w:w="704" w:type="dxa"/>
            <w:tcBorders>
              <w:top w:val="nil"/>
              <w:left w:val="single" w:sz="8" w:space="0" w:color="auto"/>
              <w:bottom w:val="single" w:sz="8" w:space="0" w:color="auto"/>
              <w:right w:val="nil"/>
            </w:tcBorders>
            <w:shd w:val="clear" w:color="auto" w:fill="auto"/>
            <w:noWrap/>
            <w:vAlign w:val="center"/>
            <w:hideMark/>
          </w:tcPr>
          <w:p w14:paraId="39FBC108" w14:textId="77777777" w:rsidR="00D96B96" w:rsidRPr="00B82B7B" w:rsidRDefault="00D96B96" w:rsidP="00B82B7B">
            <w:pPr>
              <w:pStyle w:val="Tabletext"/>
              <w:jc w:val="center"/>
              <w:rPr>
                <w:rFonts w:asciiTheme="minorHAnsi" w:hAnsiTheme="minorHAnsi" w:cstheme="minorHAnsi"/>
                <w:sz w:val="18"/>
                <w:szCs w:val="18"/>
                <w:lang w:eastAsia="en-GB"/>
              </w:rPr>
            </w:pPr>
            <w:r w:rsidRPr="00B82B7B">
              <w:rPr>
                <w:rFonts w:asciiTheme="minorHAnsi" w:hAnsiTheme="minorHAnsi" w:cstheme="minorHAnsi"/>
                <w:sz w:val="18"/>
                <w:szCs w:val="18"/>
              </w:rPr>
              <w:t>4</w:t>
            </w:r>
          </w:p>
        </w:tc>
        <w:tc>
          <w:tcPr>
            <w:tcW w:w="619" w:type="dxa"/>
            <w:tcBorders>
              <w:top w:val="nil"/>
              <w:left w:val="single" w:sz="8" w:space="0" w:color="auto"/>
              <w:bottom w:val="single" w:sz="8" w:space="0" w:color="auto"/>
              <w:right w:val="nil"/>
            </w:tcBorders>
            <w:shd w:val="clear" w:color="auto" w:fill="auto"/>
            <w:noWrap/>
            <w:vAlign w:val="center"/>
            <w:hideMark/>
          </w:tcPr>
          <w:p w14:paraId="0A29282D" w14:textId="77777777" w:rsidR="00D96B96" w:rsidRPr="00B82B7B" w:rsidRDefault="00D96B96" w:rsidP="00B82B7B">
            <w:pPr>
              <w:pStyle w:val="Tabletext"/>
              <w:jc w:val="center"/>
              <w:rPr>
                <w:rFonts w:asciiTheme="minorHAnsi" w:hAnsiTheme="minorHAnsi" w:cstheme="minorHAnsi"/>
                <w:sz w:val="18"/>
                <w:szCs w:val="18"/>
                <w:lang w:eastAsia="en-GB"/>
              </w:rPr>
            </w:pPr>
            <w:r w:rsidRPr="00B82B7B">
              <w:rPr>
                <w:rFonts w:asciiTheme="minorHAnsi" w:hAnsiTheme="minorHAnsi" w:cstheme="minorHAnsi"/>
                <w:sz w:val="18"/>
                <w:szCs w:val="18"/>
              </w:rPr>
              <w:t>2</w:t>
            </w:r>
          </w:p>
        </w:tc>
        <w:tc>
          <w:tcPr>
            <w:tcW w:w="704" w:type="dxa"/>
            <w:tcBorders>
              <w:top w:val="nil"/>
              <w:left w:val="single" w:sz="8" w:space="0" w:color="auto"/>
              <w:bottom w:val="single" w:sz="8" w:space="0" w:color="auto"/>
              <w:right w:val="single" w:sz="8" w:space="0" w:color="auto"/>
            </w:tcBorders>
            <w:shd w:val="clear" w:color="auto" w:fill="auto"/>
            <w:vAlign w:val="center"/>
            <w:hideMark/>
          </w:tcPr>
          <w:p w14:paraId="67F6F8C6" w14:textId="77777777" w:rsidR="00D96B96" w:rsidRPr="00B82B7B" w:rsidRDefault="00D96B96" w:rsidP="00B82B7B">
            <w:pPr>
              <w:pStyle w:val="Tabletext"/>
              <w:jc w:val="center"/>
              <w:rPr>
                <w:rFonts w:asciiTheme="minorHAnsi" w:hAnsiTheme="minorHAnsi" w:cstheme="minorHAnsi"/>
                <w:sz w:val="18"/>
                <w:szCs w:val="18"/>
                <w:lang w:eastAsia="en-GB"/>
              </w:rPr>
            </w:pPr>
            <w:r w:rsidRPr="00B82B7B">
              <w:rPr>
                <w:rFonts w:asciiTheme="minorHAnsi" w:hAnsiTheme="minorHAnsi" w:cstheme="minorHAnsi"/>
                <w:sz w:val="18"/>
                <w:szCs w:val="18"/>
              </w:rPr>
              <w:t>2</w:t>
            </w:r>
          </w:p>
        </w:tc>
        <w:tc>
          <w:tcPr>
            <w:tcW w:w="581" w:type="dxa"/>
            <w:tcBorders>
              <w:top w:val="nil"/>
              <w:left w:val="nil"/>
              <w:bottom w:val="single" w:sz="8" w:space="0" w:color="auto"/>
              <w:right w:val="single" w:sz="8" w:space="0" w:color="auto"/>
            </w:tcBorders>
            <w:shd w:val="clear" w:color="auto" w:fill="auto"/>
            <w:vAlign w:val="center"/>
            <w:hideMark/>
          </w:tcPr>
          <w:p w14:paraId="08B2A723" w14:textId="77777777" w:rsidR="00D96B96" w:rsidRPr="00B82B7B" w:rsidRDefault="00D96B96" w:rsidP="00B82B7B">
            <w:pPr>
              <w:pStyle w:val="Tabletext"/>
              <w:jc w:val="center"/>
              <w:rPr>
                <w:rFonts w:asciiTheme="minorHAnsi" w:hAnsiTheme="minorHAnsi" w:cstheme="minorHAnsi"/>
                <w:sz w:val="18"/>
                <w:szCs w:val="18"/>
                <w:lang w:eastAsia="en-GB"/>
              </w:rPr>
            </w:pPr>
            <w:r w:rsidRPr="00B82B7B">
              <w:rPr>
                <w:rFonts w:asciiTheme="minorHAnsi" w:hAnsiTheme="minorHAnsi" w:cstheme="minorHAnsi"/>
                <w:sz w:val="18"/>
                <w:szCs w:val="18"/>
              </w:rPr>
              <w:t>2</w:t>
            </w:r>
          </w:p>
        </w:tc>
        <w:tc>
          <w:tcPr>
            <w:tcW w:w="599" w:type="dxa"/>
            <w:tcBorders>
              <w:top w:val="nil"/>
              <w:left w:val="nil"/>
              <w:bottom w:val="single" w:sz="8" w:space="0" w:color="auto"/>
              <w:right w:val="single" w:sz="8" w:space="0" w:color="auto"/>
            </w:tcBorders>
            <w:shd w:val="clear" w:color="auto" w:fill="auto"/>
            <w:noWrap/>
            <w:vAlign w:val="center"/>
          </w:tcPr>
          <w:p w14:paraId="48C2B013" w14:textId="77777777" w:rsidR="00D96B96" w:rsidRPr="00B82B7B" w:rsidRDefault="00D96B96" w:rsidP="00B82B7B">
            <w:pPr>
              <w:pStyle w:val="Tabletext"/>
              <w:jc w:val="center"/>
              <w:rPr>
                <w:rFonts w:asciiTheme="minorHAnsi" w:hAnsiTheme="minorHAnsi" w:cstheme="minorHAnsi"/>
                <w:sz w:val="18"/>
                <w:szCs w:val="18"/>
                <w:lang w:eastAsia="en-GB"/>
              </w:rPr>
            </w:pPr>
            <w:r w:rsidRPr="00B82B7B">
              <w:rPr>
                <w:rFonts w:asciiTheme="minorHAnsi" w:hAnsiTheme="minorHAnsi" w:cstheme="minorHAnsi"/>
                <w:sz w:val="18"/>
                <w:szCs w:val="18"/>
              </w:rPr>
              <w:t>3</w:t>
            </w:r>
          </w:p>
        </w:tc>
        <w:tc>
          <w:tcPr>
            <w:tcW w:w="598" w:type="dxa"/>
            <w:tcBorders>
              <w:top w:val="nil"/>
              <w:left w:val="nil"/>
              <w:bottom w:val="single" w:sz="8" w:space="0" w:color="auto"/>
              <w:right w:val="single" w:sz="8" w:space="0" w:color="auto"/>
            </w:tcBorders>
            <w:shd w:val="clear" w:color="000000" w:fill="A6A6A6"/>
            <w:vAlign w:val="center"/>
          </w:tcPr>
          <w:p w14:paraId="6FE991E1" w14:textId="77777777" w:rsidR="00D96B96" w:rsidRPr="00B82B7B" w:rsidRDefault="00D96B96" w:rsidP="00B82B7B">
            <w:pPr>
              <w:pStyle w:val="Tabletext"/>
              <w:jc w:val="center"/>
              <w:rPr>
                <w:rFonts w:asciiTheme="minorHAnsi" w:hAnsiTheme="minorHAnsi" w:cstheme="minorHAnsi"/>
                <w:b/>
                <w:bCs/>
                <w:sz w:val="18"/>
                <w:szCs w:val="18"/>
                <w:lang w:eastAsia="en-GB"/>
              </w:rPr>
            </w:pPr>
            <w:r w:rsidRPr="00B82B7B">
              <w:rPr>
                <w:rFonts w:asciiTheme="minorHAnsi" w:hAnsiTheme="minorHAnsi" w:cstheme="minorHAnsi"/>
                <w:b/>
                <w:bCs/>
                <w:sz w:val="18"/>
                <w:szCs w:val="18"/>
                <w:lang w:eastAsia="en-GB"/>
              </w:rPr>
              <w:t>40</w:t>
            </w:r>
          </w:p>
        </w:tc>
      </w:tr>
      <w:tr w:rsidR="00D96B96" w:rsidRPr="00B82B7B" w14:paraId="3C86F87D" w14:textId="77777777" w:rsidTr="00B82B7B">
        <w:trPr>
          <w:trHeight w:val="242"/>
        </w:trPr>
        <w:tc>
          <w:tcPr>
            <w:tcW w:w="1550" w:type="dxa"/>
            <w:tcBorders>
              <w:top w:val="nil"/>
              <w:left w:val="single" w:sz="8" w:space="0" w:color="auto"/>
              <w:bottom w:val="single" w:sz="8" w:space="0" w:color="auto"/>
              <w:right w:val="single" w:sz="8" w:space="0" w:color="auto"/>
            </w:tcBorders>
            <w:shd w:val="clear" w:color="auto" w:fill="auto"/>
            <w:noWrap/>
            <w:hideMark/>
          </w:tcPr>
          <w:p w14:paraId="674A88BA" w14:textId="77777777" w:rsidR="00D96B96" w:rsidRPr="00B82B7B" w:rsidRDefault="00D96B96" w:rsidP="00B82B7B">
            <w:pPr>
              <w:pStyle w:val="Tabletext"/>
              <w:rPr>
                <w:rFonts w:asciiTheme="minorHAnsi" w:hAnsiTheme="minorHAnsi" w:cstheme="minorHAnsi"/>
                <w:sz w:val="18"/>
                <w:szCs w:val="18"/>
                <w:lang w:eastAsia="en-GB"/>
              </w:rPr>
            </w:pPr>
            <w:r w:rsidRPr="00B82B7B">
              <w:rPr>
                <w:rFonts w:asciiTheme="minorHAnsi" w:hAnsiTheme="minorHAnsi" w:cstheme="minorHAnsi"/>
                <w:sz w:val="18"/>
                <w:szCs w:val="18"/>
                <w:lang w:eastAsia="en-GB"/>
              </w:rPr>
              <w:t>Recomendaciones – Total</w:t>
            </w:r>
          </w:p>
        </w:tc>
        <w:tc>
          <w:tcPr>
            <w:tcW w:w="619" w:type="dxa"/>
            <w:tcBorders>
              <w:top w:val="nil"/>
              <w:left w:val="nil"/>
              <w:bottom w:val="single" w:sz="8" w:space="0" w:color="auto"/>
              <w:right w:val="single" w:sz="8" w:space="0" w:color="auto"/>
            </w:tcBorders>
            <w:shd w:val="clear" w:color="auto" w:fill="auto"/>
            <w:noWrap/>
            <w:vAlign w:val="center"/>
            <w:hideMark/>
          </w:tcPr>
          <w:p w14:paraId="316C3BA3" w14:textId="77777777" w:rsidR="00D96B96" w:rsidRPr="00B82B7B" w:rsidRDefault="00D96B96" w:rsidP="00B82B7B">
            <w:pPr>
              <w:pStyle w:val="Tabletext"/>
              <w:jc w:val="center"/>
              <w:rPr>
                <w:rFonts w:asciiTheme="minorHAnsi" w:hAnsiTheme="minorHAnsi" w:cstheme="minorHAnsi"/>
                <w:sz w:val="18"/>
                <w:szCs w:val="18"/>
                <w:lang w:eastAsia="en-GB"/>
              </w:rPr>
            </w:pPr>
            <w:r w:rsidRPr="00B82B7B">
              <w:rPr>
                <w:rFonts w:asciiTheme="minorHAnsi" w:hAnsiTheme="minorHAnsi" w:cstheme="minorHAnsi"/>
                <w:b/>
                <w:bCs/>
                <w:sz w:val="18"/>
                <w:szCs w:val="18"/>
              </w:rPr>
              <w:t>17</w:t>
            </w:r>
          </w:p>
        </w:tc>
        <w:tc>
          <w:tcPr>
            <w:tcW w:w="581" w:type="dxa"/>
            <w:tcBorders>
              <w:top w:val="nil"/>
              <w:left w:val="nil"/>
              <w:bottom w:val="single" w:sz="8" w:space="0" w:color="auto"/>
              <w:right w:val="single" w:sz="8" w:space="0" w:color="auto"/>
            </w:tcBorders>
            <w:shd w:val="clear" w:color="auto" w:fill="auto"/>
            <w:noWrap/>
            <w:vAlign w:val="bottom"/>
            <w:hideMark/>
          </w:tcPr>
          <w:p w14:paraId="20389D8E" w14:textId="77777777" w:rsidR="00D96B96" w:rsidRPr="00B82B7B" w:rsidRDefault="00D96B96" w:rsidP="00B82B7B">
            <w:pPr>
              <w:pStyle w:val="Tabletext"/>
              <w:jc w:val="center"/>
              <w:rPr>
                <w:rFonts w:asciiTheme="minorHAnsi" w:hAnsiTheme="minorHAnsi" w:cstheme="minorHAnsi"/>
                <w:sz w:val="18"/>
                <w:szCs w:val="18"/>
                <w:lang w:eastAsia="en-GB"/>
              </w:rPr>
            </w:pPr>
          </w:p>
        </w:tc>
        <w:tc>
          <w:tcPr>
            <w:tcW w:w="699" w:type="dxa"/>
            <w:tcBorders>
              <w:top w:val="nil"/>
              <w:left w:val="nil"/>
              <w:bottom w:val="single" w:sz="8" w:space="0" w:color="auto"/>
              <w:right w:val="single" w:sz="8" w:space="0" w:color="auto"/>
            </w:tcBorders>
            <w:shd w:val="clear" w:color="auto" w:fill="auto"/>
            <w:noWrap/>
            <w:vAlign w:val="center"/>
            <w:hideMark/>
          </w:tcPr>
          <w:p w14:paraId="3701130C" w14:textId="77777777" w:rsidR="00D96B96" w:rsidRPr="00B82B7B" w:rsidRDefault="00D96B96" w:rsidP="00B82B7B">
            <w:pPr>
              <w:pStyle w:val="Tabletext"/>
              <w:jc w:val="center"/>
              <w:rPr>
                <w:rFonts w:asciiTheme="minorHAnsi" w:hAnsiTheme="minorHAnsi" w:cstheme="minorHAnsi"/>
                <w:sz w:val="18"/>
                <w:szCs w:val="18"/>
                <w:lang w:eastAsia="en-GB"/>
              </w:rPr>
            </w:pPr>
            <w:r w:rsidRPr="00B82B7B">
              <w:rPr>
                <w:rFonts w:asciiTheme="minorHAnsi" w:hAnsiTheme="minorHAnsi" w:cstheme="minorHAnsi"/>
                <w:b/>
                <w:bCs/>
                <w:sz w:val="18"/>
                <w:szCs w:val="18"/>
              </w:rPr>
              <w:t>113</w:t>
            </w:r>
          </w:p>
        </w:tc>
        <w:tc>
          <w:tcPr>
            <w:tcW w:w="619" w:type="dxa"/>
            <w:tcBorders>
              <w:top w:val="nil"/>
              <w:left w:val="nil"/>
              <w:bottom w:val="single" w:sz="8" w:space="0" w:color="auto"/>
              <w:right w:val="nil"/>
            </w:tcBorders>
            <w:shd w:val="clear" w:color="auto" w:fill="auto"/>
            <w:noWrap/>
            <w:vAlign w:val="center"/>
            <w:hideMark/>
          </w:tcPr>
          <w:p w14:paraId="3F44919F" w14:textId="77777777" w:rsidR="00D96B96" w:rsidRPr="00B82B7B" w:rsidRDefault="00D96B96" w:rsidP="00B82B7B">
            <w:pPr>
              <w:pStyle w:val="Tabletext"/>
              <w:jc w:val="center"/>
              <w:rPr>
                <w:rFonts w:asciiTheme="minorHAnsi" w:hAnsiTheme="minorHAnsi" w:cstheme="minorHAnsi"/>
                <w:sz w:val="18"/>
                <w:szCs w:val="18"/>
                <w:lang w:eastAsia="en-GB"/>
              </w:rPr>
            </w:pPr>
            <w:r w:rsidRPr="00B82B7B">
              <w:rPr>
                <w:rFonts w:asciiTheme="minorHAnsi" w:hAnsiTheme="minorHAnsi" w:cstheme="minorHAnsi"/>
                <w:b/>
                <w:bCs/>
                <w:sz w:val="18"/>
                <w:szCs w:val="18"/>
              </w:rPr>
              <w:t>55</w:t>
            </w:r>
          </w:p>
        </w:tc>
        <w:tc>
          <w:tcPr>
            <w:tcW w:w="703" w:type="dxa"/>
            <w:tcBorders>
              <w:top w:val="nil"/>
              <w:left w:val="single" w:sz="8" w:space="0" w:color="auto"/>
              <w:bottom w:val="single" w:sz="8" w:space="0" w:color="auto"/>
              <w:right w:val="nil"/>
            </w:tcBorders>
            <w:shd w:val="clear" w:color="auto" w:fill="auto"/>
            <w:noWrap/>
            <w:vAlign w:val="center"/>
            <w:hideMark/>
          </w:tcPr>
          <w:p w14:paraId="44934792" w14:textId="77777777" w:rsidR="00D96B96" w:rsidRPr="00B82B7B" w:rsidRDefault="00D96B96" w:rsidP="00B82B7B">
            <w:pPr>
              <w:pStyle w:val="Tabletext"/>
              <w:jc w:val="center"/>
              <w:rPr>
                <w:rFonts w:asciiTheme="minorHAnsi" w:hAnsiTheme="minorHAnsi" w:cstheme="minorHAnsi"/>
                <w:sz w:val="18"/>
                <w:szCs w:val="18"/>
                <w:lang w:eastAsia="en-GB"/>
              </w:rPr>
            </w:pPr>
            <w:r w:rsidRPr="00B82B7B">
              <w:rPr>
                <w:rFonts w:asciiTheme="minorHAnsi" w:hAnsiTheme="minorHAnsi" w:cstheme="minorHAnsi"/>
                <w:b/>
                <w:bCs/>
                <w:sz w:val="18"/>
                <w:szCs w:val="18"/>
              </w:rPr>
              <w:t>34</w:t>
            </w:r>
          </w:p>
        </w:tc>
        <w:tc>
          <w:tcPr>
            <w:tcW w:w="709" w:type="dxa"/>
            <w:tcBorders>
              <w:top w:val="nil"/>
              <w:left w:val="single" w:sz="8" w:space="0" w:color="auto"/>
              <w:bottom w:val="single" w:sz="8" w:space="0" w:color="auto"/>
              <w:right w:val="nil"/>
            </w:tcBorders>
            <w:shd w:val="clear" w:color="auto" w:fill="auto"/>
            <w:noWrap/>
            <w:vAlign w:val="center"/>
            <w:hideMark/>
          </w:tcPr>
          <w:p w14:paraId="612D7877" w14:textId="4EA8EFBC" w:rsidR="00D96B96" w:rsidRPr="00B82B7B" w:rsidRDefault="00150E9D" w:rsidP="00B82B7B">
            <w:pPr>
              <w:pStyle w:val="Tabletext"/>
              <w:jc w:val="center"/>
              <w:rPr>
                <w:rFonts w:asciiTheme="minorHAnsi" w:hAnsiTheme="minorHAnsi" w:cstheme="minorHAnsi"/>
                <w:sz w:val="18"/>
                <w:szCs w:val="18"/>
                <w:lang w:eastAsia="en-GB"/>
              </w:rPr>
            </w:pPr>
            <w:r>
              <w:rPr>
                <w:rFonts w:asciiTheme="minorHAnsi" w:hAnsiTheme="minorHAnsi" w:cstheme="minorHAnsi"/>
                <w:b/>
                <w:bCs/>
                <w:sz w:val="18"/>
                <w:szCs w:val="18"/>
              </w:rPr>
              <w:t>15</w:t>
            </w:r>
          </w:p>
        </w:tc>
        <w:tc>
          <w:tcPr>
            <w:tcW w:w="581" w:type="dxa"/>
            <w:tcBorders>
              <w:top w:val="nil"/>
              <w:left w:val="single" w:sz="8" w:space="0" w:color="auto"/>
              <w:bottom w:val="single" w:sz="8" w:space="0" w:color="auto"/>
              <w:right w:val="nil"/>
            </w:tcBorders>
            <w:shd w:val="clear" w:color="auto" w:fill="auto"/>
            <w:noWrap/>
            <w:vAlign w:val="center"/>
            <w:hideMark/>
          </w:tcPr>
          <w:p w14:paraId="28735190" w14:textId="28E43401" w:rsidR="00D96B96" w:rsidRPr="00B82B7B" w:rsidRDefault="00150E9D" w:rsidP="00B82B7B">
            <w:pPr>
              <w:pStyle w:val="Tabletext"/>
              <w:jc w:val="center"/>
              <w:rPr>
                <w:rFonts w:asciiTheme="minorHAnsi" w:hAnsiTheme="minorHAnsi" w:cstheme="minorHAnsi"/>
                <w:sz w:val="18"/>
                <w:szCs w:val="18"/>
                <w:lang w:eastAsia="en-GB"/>
              </w:rPr>
            </w:pPr>
            <w:r>
              <w:rPr>
                <w:rFonts w:asciiTheme="minorHAnsi" w:hAnsiTheme="minorHAnsi" w:cstheme="minorHAnsi"/>
                <w:b/>
                <w:bCs/>
                <w:sz w:val="18"/>
                <w:szCs w:val="18"/>
              </w:rPr>
              <w:t>46</w:t>
            </w:r>
          </w:p>
        </w:tc>
        <w:tc>
          <w:tcPr>
            <w:tcW w:w="704" w:type="dxa"/>
            <w:tcBorders>
              <w:top w:val="nil"/>
              <w:left w:val="single" w:sz="8" w:space="0" w:color="auto"/>
              <w:bottom w:val="single" w:sz="8" w:space="0" w:color="auto"/>
              <w:right w:val="nil"/>
            </w:tcBorders>
            <w:shd w:val="clear" w:color="auto" w:fill="auto"/>
            <w:noWrap/>
            <w:vAlign w:val="center"/>
            <w:hideMark/>
          </w:tcPr>
          <w:p w14:paraId="6B0CBD1A" w14:textId="77777777" w:rsidR="00D96B96" w:rsidRPr="00B82B7B" w:rsidRDefault="00D96B96" w:rsidP="00B82B7B">
            <w:pPr>
              <w:pStyle w:val="Tabletext"/>
              <w:jc w:val="center"/>
              <w:rPr>
                <w:rFonts w:asciiTheme="minorHAnsi" w:hAnsiTheme="minorHAnsi" w:cstheme="minorHAnsi"/>
                <w:sz w:val="18"/>
                <w:szCs w:val="18"/>
                <w:lang w:eastAsia="en-GB"/>
              </w:rPr>
            </w:pPr>
            <w:r w:rsidRPr="00B82B7B">
              <w:rPr>
                <w:rFonts w:asciiTheme="minorHAnsi" w:hAnsiTheme="minorHAnsi" w:cstheme="minorHAnsi"/>
                <w:b/>
                <w:bCs/>
                <w:sz w:val="18"/>
                <w:szCs w:val="18"/>
              </w:rPr>
              <w:t>26</w:t>
            </w:r>
          </w:p>
        </w:tc>
        <w:tc>
          <w:tcPr>
            <w:tcW w:w="619" w:type="dxa"/>
            <w:tcBorders>
              <w:top w:val="nil"/>
              <w:left w:val="single" w:sz="8" w:space="0" w:color="auto"/>
              <w:bottom w:val="single" w:sz="8" w:space="0" w:color="auto"/>
              <w:right w:val="nil"/>
            </w:tcBorders>
            <w:shd w:val="clear" w:color="auto" w:fill="auto"/>
            <w:noWrap/>
            <w:vAlign w:val="center"/>
            <w:hideMark/>
          </w:tcPr>
          <w:p w14:paraId="62BF8CB3" w14:textId="77777777" w:rsidR="00D96B96" w:rsidRPr="00B82B7B" w:rsidRDefault="00D96B96" w:rsidP="00B82B7B">
            <w:pPr>
              <w:pStyle w:val="Tabletext"/>
              <w:jc w:val="center"/>
              <w:rPr>
                <w:rFonts w:asciiTheme="minorHAnsi" w:hAnsiTheme="minorHAnsi" w:cstheme="minorHAnsi"/>
                <w:sz w:val="18"/>
                <w:szCs w:val="18"/>
                <w:lang w:eastAsia="en-GB"/>
              </w:rPr>
            </w:pPr>
            <w:r w:rsidRPr="00B82B7B">
              <w:rPr>
                <w:rFonts w:asciiTheme="minorHAnsi" w:hAnsiTheme="minorHAnsi" w:cstheme="minorHAnsi"/>
                <w:b/>
                <w:bCs/>
                <w:sz w:val="18"/>
                <w:szCs w:val="18"/>
              </w:rPr>
              <w:t>15</w:t>
            </w:r>
          </w:p>
        </w:tc>
        <w:tc>
          <w:tcPr>
            <w:tcW w:w="704" w:type="dxa"/>
            <w:tcBorders>
              <w:top w:val="nil"/>
              <w:left w:val="single" w:sz="8" w:space="0" w:color="auto"/>
              <w:bottom w:val="single" w:sz="8" w:space="0" w:color="auto"/>
              <w:right w:val="single" w:sz="8" w:space="0" w:color="auto"/>
            </w:tcBorders>
            <w:shd w:val="clear" w:color="auto" w:fill="auto"/>
            <w:vAlign w:val="center"/>
            <w:hideMark/>
          </w:tcPr>
          <w:p w14:paraId="69858B69" w14:textId="77777777" w:rsidR="00D96B96" w:rsidRPr="00B82B7B" w:rsidRDefault="00D96B96" w:rsidP="00B82B7B">
            <w:pPr>
              <w:pStyle w:val="Tabletext"/>
              <w:jc w:val="center"/>
              <w:rPr>
                <w:rFonts w:asciiTheme="minorHAnsi" w:hAnsiTheme="minorHAnsi" w:cstheme="minorHAnsi"/>
                <w:sz w:val="18"/>
                <w:szCs w:val="18"/>
                <w:lang w:eastAsia="en-GB"/>
              </w:rPr>
            </w:pPr>
            <w:r w:rsidRPr="00B82B7B">
              <w:rPr>
                <w:rFonts w:asciiTheme="minorHAnsi" w:hAnsiTheme="minorHAnsi" w:cstheme="minorHAnsi"/>
                <w:b/>
                <w:bCs/>
                <w:sz w:val="18"/>
                <w:szCs w:val="18"/>
              </w:rPr>
              <w:t>9</w:t>
            </w:r>
          </w:p>
        </w:tc>
        <w:tc>
          <w:tcPr>
            <w:tcW w:w="581" w:type="dxa"/>
            <w:tcBorders>
              <w:top w:val="nil"/>
              <w:left w:val="nil"/>
              <w:bottom w:val="single" w:sz="8" w:space="0" w:color="auto"/>
              <w:right w:val="single" w:sz="8" w:space="0" w:color="auto"/>
            </w:tcBorders>
            <w:shd w:val="clear" w:color="auto" w:fill="auto"/>
            <w:vAlign w:val="center"/>
            <w:hideMark/>
          </w:tcPr>
          <w:p w14:paraId="434239EC" w14:textId="77777777" w:rsidR="00D96B96" w:rsidRPr="00B82B7B" w:rsidRDefault="00D96B96" w:rsidP="00B82B7B">
            <w:pPr>
              <w:pStyle w:val="Tabletext"/>
              <w:jc w:val="center"/>
              <w:rPr>
                <w:rFonts w:asciiTheme="minorHAnsi" w:hAnsiTheme="minorHAnsi" w:cstheme="minorHAnsi"/>
                <w:sz w:val="18"/>
                <w:szCs w:val="18"/>
                <w:lang w:eastAsia="en-GB"/>
              </w:rPr>
            </w:pPr>
            <w:r w:rsidRPr="00B82B7B">
              <w:rPr>
                <w:rFonts w:asciiTheme="minorHAnsi" w:hAnsiTheme="minorHAnsi" w:cstheme="minorHAnsi"/>
                <w:b/>
                <w:bCs/>
                <w:sz w:val="18"/>
                <w:szCs w:val="18"/>
              </w:rPr>
              <w:t>19</w:t>
            </w:r>
          </w:p>
        </w:tc>
        <w:tc>
          <w:tcPr>
            <w:tcW w:w="599" w:type="dxa"/>
            <w:tcBorders>
              <w:top w:val="nil"/>
              <w:left w:val="nil"/>
              <w:bottom w:val="single" w:sz="8" w:space="0" w:color="auto"/>
              <w:right w:val="single" w:sz="8" w:space="0" w:color="auto"/>
            </w:tcBorders>
            <w:shd w:val="clear" w:color="auto" w:fill="auto"/>
            <w:noWrap/>
            <w:vAlign w:val="center"/>
          </w:tcPr>
          <w:p w14:paraId="5EB4F976" w14:textId="77777777" w:rsidR="00D96B96" w:rsidRPr="00B82B7B" w:rsidRDefault="00D96B96" w:rsidP="00B82B7B">
            <w:pPr>
              <w:pStyle w:val="Tabletext"/>
              <w:jc w:val="center"/>
              <w:rPr>
                <w:rFonts w:asciiTheme="minorHAnsi" w:hAnsiTheme="minorHAnsi" w:cstheme="minorHAnsi"/>
                <w:sz w:val="18"/>
                <w:szCs w:val="18"/>
                <w:lang w:eastAsia="en-GB"/>
              </w:rPr>
            </w:pPr>
            <w:r w:rsidRPr="00B82B7B">
              <w:rPr>
                <w:rFonts w:asciiTheme="minorHAnsi" w:hAnsiTheme="minorHAnsi" w:cstheme="minorHAnsi"/>
                <w:b/>
                <w:bCs/>
                <w:sz w:val="18"/>
                <w:szCs w:val="18"/>
              </w:rPr>
              <w:t>38</w:t>
            </w:r>
          </w:p>
        </w:tc>
        <w:tc>
          <w:tcPr>
            <w:tcW w:w="598" w:type="dxa"/>
            <w:tcBorders>
              <w:top w:val="nil"/>
              <w:left w:val="nil"/>
              <w:bottom w:val="single" w:sz="8" w:space="0" w:color="auto"/>
              <w:right w:val="single" w:sz="8" w:space="0" w:color="auto"/>
            </w:tcBorders>
            <w:shd w:val="clear" w:color="000000" w:fill="A6A6A6"/>
            <w:vAlign w:val="center"/>
          </w:tcPr>
          <w:p w14:paraId="5FD2FED4" w14:textId="3A0322BE" w:rsidR="00D96B96" w:rsidRPr="00B82B7B" w:rsidRDefault="00D96B96" w:rsidP="00B82B7B">
            <w:pPr>
              <w:pStyle w:val="Tabletext"/>
              <w:jc w:val="center"/>
              <w:rPr>
                <w:rFonts w:asciiTheme="minorHAnsi" w:hAnsiTheme="minorHAnsi" w:cstheme="minorHAnsi"/>
                <w:b/>
                <w:bCs/>
                <w:sz w:val="18"/>
                <w:szCs w:val="18"/>
                <w:lang w:eastAsia="en-GB"/>
              </w:rPr>
            </w:pPr>
            <w:r w:rsidRPr="00B82B7B">
              <w:rPr>
                <w:rFonts w:asciiTheme="minorHAnsi" w:hAnsiTheme="minorHAnsi" w:cstheme="minorHAnsi"/>
                <w:b/>
                <w:bCs/>
                <w:sz w:val="18"/>
                <w:szCs w:val="18"/>
                <w:lang w:eastAsia="en-GB"/>
              </w:rPr>
              <w:t>38</w:t>
            </w:r>
            <w:r w:rsidR="00150E9D">
              <w:rPr>
                <w:rFonts w:asciiTheme="minorHAnsi" w:hAnsiTheme="minorHAnsi" w:cstheme="minorHAnsi"/>
                <w:b/>
                <w:bCs/>
                <w:sz w:val="18"/>
                <w:szCs w:val="18"/>
                <w:lang w:eastAsia="en-GB"/>
              </w:rPr>
              <w:t>7</w:t>
            </w:r>
          </w:p>
        </w:tc>
      </w:tr>
      <w:tr w:rsidR="00150E9D" w:rsidRPr="00B82B7B" w14:paraId="48774DF8" w14:textId="77777777" w:rsidTr="00B82B7B">
        <w:trPr>
          <w:trHeight w:val="242"/>
        </w:trPr>
        <w:tc>
          <w:tcPr>
            <w:tcW w:w="1550" w:type="dxa"/>
            <w:tcBorders>
              <w:top w:val="nil"/>
              <w:left w:val="single" w:sz="8" w:space="0" w:color="auto"/>
              <w:bottom w:val="single" w:sz="8" w:space="0" w:color="auto"/>
              <w:right w:val="single" w:sz="8" w:space="0" w:color="auto"/>
            </w:tcBorders>
            <w:shd w:val="clear" w:color="auto" w:fill="auto"/>
            <w:noWrap/>
            <w:hideMark/>
          </w:tcPr>
          <w:p w14:paraId="20F79559" w14:textId="77777777" w:rsidR="00D96B96" w:rsidRPr="00B82B7B" w:rsidRDefault="00D96B96" w:rsidP="00B82B7B">
            <w:pPr>
              <w:pStyle w:val="Tabletext"/>
              <w:rPr>
                <w:rFonts w:asciiTheme="minorHAnsi" w:hAnsiTheme="minorHAnsi" w:cstheme="minorHAnsi"/>
                <w:sz w:val="18"/>
                <w:szCs w:val="18"/>
                <w:lang w:eastAsia="en-GB"/>
              </w:rPr>
            </w:pPr>
            <w:r w:rsidRPr="00B82B7B">
              <w:rPr>
                <w:rFonts w:asciiTheme="minorHAnsi" w:hAnsiTheme="minorHAnsi" w:cstheme="minorHAnsi"/>
                <w:sz w:val="18"/>
                <w:szCs w:val="18"/>
                <w:lang w:eastAsia="en-GB"/>
              </w:rPr>
              <w:t>En curso</w:t>
            </w:r>
          </w:p>
        </w:tc>
        <w:tc>
          <w:tcPr>
            <w:tcW w:w="619" w:type="dxa"/>
            <w:tcBorders>
              <w:top w:val="nil"/>
              <w:left w:val="nil"/>
              <w:bottom w:val="single" w:sz="8" w:space="0" w:color="auto"/>
              <w:right w:val="single" w:sz="8" w:space="0" w:color="auto"/>
            </w:tcBorders>
            <w:shd w:val="clear" w:color="000000" w:fill="FFFFFF"/>
            <w:noWrap/>
            <w:vAlign w:val="center"/>
            <w:hideMark/>
          </w:tcPr>
          <w:p w14:paraId="55294B2D" w14:textId="77777777" w:rsidR="00D96B96" w:rsidRPr="00B82B7B" w:rsidRDefault="00D96B96" w:rsidP="00B82B7B">
            <w:pPr>
              <w:pStyle w:val="Tabletext"/>
              <w:jc w:val="center"/>
              <w:rPr>
                <w:rFonts w:asciiTheme="minorHAnsi" w:hAnsiTheme="minorHAnsi" w:cstheme="minorHAnsi"/>
                <w:sz w:val="18"/>
                <w:szCs w:val="18"/>
                <w:lang w:eastAsia="en-GB"/>
              </w:rPr>
            </w:pPr>
            <w:r w:rsidRPr="00B82B7B">
              <w:rPr>
                <w:rFonts w:asciiTheme="minorHAnsi" w:hAnsiTheme="minorHAnsi" w:cstheme="minorHAnsi"/>
                <w:sz w:val="18"/>
                <w:szCs w:val="18"/>
              </w:rPr>
              <w:t>0</w:t>
            </w:r>
          </w:p>
        </w:tc>
        <w:tc>
          <w:tcPr>
            <w:tcW w:w="581" w:type="dxa"/>
            <w:tcBorders>
              <w:top w:val="nil"/>
              <w:left w:val="nil"/>
              <w:bottom w:val="single" w:sz="8" w:space="0" w:color="auto"/>
              <w:right w:val="single" w:sz="8" w:space="0" w:color="auto"/>
            </w:tcBorders>
            <w:shd w:val="clear" w:color="auto" w:fill="auto"/>
            <w:noWrap/>
            <w:vAlign w:val="bottom"/>
            <w:hideMark/>
          </w:tcPr>
          <w:p w14:paraId="2C35E101" w14:textId="1B7701CD" w:rsidR="00D96B96" w:rsidRPr="00B82B7B" w:rsidRDefault="00D96B96" w:rsidP="00B82B7B">
            <w:pPr>
              <w:pStyle w:val="Tabletext"/>
              <w:jc w:val="center"/>
              <w:rPr>
                <w:rFonts w:asciiTheme="minorHAnsi" w:hAnsiTheme="minorHAnsi" w:cstheme="minorHAnsi"/>
                <w:sz w:val="18"/>
                <w:szCs w:val="18"/>
                <w:lang w:eastAsia="en-GB"/>
              </w:rPr>
            </w:pPr>
          </w:p>
        </w:tc>
        <w:tc>
          <w:tcPr>
            <w:tcW w:w="699" w:type="dxa"/>
            <w:tcBorders>
              <w:top w:val="nil"/>
              <w:left w:val="nil"/>
              <w:bottom w:val="single" w:sz="8" w:space="0" w:color="auto"/>
              <w:right w:val="single" w:sz="8" w:space="0" w:color="auto"/>
            </w:tcBorders>
            <w:shd w:val="clear" w:color="000000" w:fill="FFFFFF"/>
            <w:noWrap/>
            <w:vAlign w:val="center"/>
            <w:hideMark/>
          </w:tcPr>
          <w:p w14:paraId="2A05AD2B" w14:textId="77777777" w:rsidR="00D96B96" w:rsidRPr="00B82B7B" w:rsidRDefault="00D96B96" w:rsidP="00B82B7B">
            <w:pPr>
              <w:pStyle w:val="Tabletext"/>
              <w:jc w:val="center"/>
              <w:rPr>
                <w:rFonts w:asciiTheme="minorHAnsi" w:hAnsiTheme="minorHAnsi" w:cstheme="minorHAnsi"/>
                <w:sz w:val="18"/>
                <w:szCs w:val="18"/>
                <w:lang w:eastAsia="en-GB"/>
              </w:rPr>
            </w:pPr>
            <w:r w:rsidRPr="00B82B7B">
              <w:rPr>
                <w:rFonts w:asciiTheme="minorHAnsi" w:hAnsiTheme="minorHAnsi" w:cstheme="minorHAnsi"/>
                <w:sz w:val="18"/>
                <w:szCs w:val="18"/>
              </w:rPr>
              <w:t>0</w:t>
            </w:r>
          </w:p>
        </w:tc>
        <w:tc>
          <w:tcPr>
            <w:tcW w:w="619" w:type="dxa"/>
            <w:tcBorders>
              <w:top w:val="nil"/>
              <w:left w:val="nil"/>
              <w:bottom w:val="single" w:sz="8" w:space="0" w:color="auto"/>
              <w:right w:val="nil"/>
            </w:tcBorders>
            <w:shd w:val="clear" w:color="000000" w:fill="FFFFFF"/>
            <w:noWrap/>
            <w:vAlign w:val="center"/>
            <w:hideMark/>
          </w:tcPr>
          <w:p w14:paraId="36D1213D" w14:textId="77777777" w:rsidR="00D96B96" w:rsidRPr="00B82B7B" w:rsidRDefault="00D96B96" w:rsidP="00B82B7B">
            <w:pPr>
              <w:pStyle w:val="Tabletext"/>
              <w:jc w:val="center"/>
              <w:rPr>
                <w:rFonts w:asciiTheme="minorHAnsi" w:hAnsiTheme="minorHAnsi" w:cstheme="minorHAnsi"/>
                <w:sz w:val="18"/>
                <w:szCs w:val="18"/>
                <w:lang w:eastAsia="en-GB"/>
              </w:rPr>
            </w:pPr>
            <w:r w:rsidRPr="00B82B7B">
              <w:rPr>
                <w:rFonts w:asciiTheme="minorHAnsi" w:hAnsiTheme="minorHAnsi" w:cstheme="minorHAnsi"/>
                <w:sz w:val="18"/>
                <w:szCs w:val="18"/>
              </w:rPr>
              <w:t>0</w:t>
            </w:r>
          </w:p>
        </w:tc>
        <w:tc>
          <w:tcPr>
            <w:tcW w:w="703" w:type="dxa"/>
            <w:tcBorders>
              <w:top w:val="nil"/>
              <w:left w:val="single" w:sz="8" w:space="0" w:color="auto"/>
              <w:bottom w:val="single" w:sz="8" w:space="0" w:color="auto"/>
              <w:right w:val="nil"/>
            </w:tcBorders>
            <w:shd w:val="clear" w:color="000000" w:fill="FFFFFF"/>
            <w:noWrap/>
            <w:vAlign w:val="center"/>
            <w:hideMark/>
          </w:tcPr>
          <w:p w14:paraId="0FF4FA1A" w14:textId="77777777" w:rsidR="00D96B96" w:rsidRPr="00B82B7B" w:rsidRDefault="00D96B96" w:rsidP="00B82B7B">
            <w:pPr>
              <w:pStyle w:val="Tabletext"/>
              <w:jc w:val="center"/>
              <w:rPr>
                <w:rFonts w:asciiTheme="minorHAnsi" w:hAnsiTheme="minorHAnsi" w:cstheme="minorHAnsi"/>
                <w:sz w:val="18"/>
                <w:szCs w:val="18"/>
                <w:lang w:eastAsia="en-GB"/>
              </w:rPr>
            </w:pPr>
            <w:r w:rsidRPr="00B82B7B">
              <w:rPr>
                <w:rFonts w:asciiTheme="minorHAnsi" w:hAnsiTheme="minorHAnsi" w:cstheme="minorHAnsi"/>
                <w:sz w:val="18"/>
                <w:szCs w:val="18"/>
              </w:rPr>
              <w:t>0</w:t>
            </w:r>
          </w:p>
        </w:tc>
        <w:tc>
          <w:tcPr>
            <w:tcW w:w="709" w:type="dxa"/>
            <w:tcBorders>
              <w:top w:val="nil"/>
              <w:left w:val="single" w:sz="8" w:space="0" w:color="auto"/>
              <w:bottom w:val="single" w:sz="8" w:space="0" w:color="auto"/>
              <w:right w:val="nil"/>
            </w:tcBorders>
            <w:shd w:val="clear" w:color="000000" w:fill="FFFFFF"/>
            <w:noWrap/>
            <w:vAlign w:val="center"/>
            <w:hideMark/>
          </w:tcPr>
          <w:p w14:paraId="442B8239" w14:textId="5B41AD67" w:rsidR="00D96B96" w:rsidRPr="00B82B7B" w:rsidRDefault="00150E9D" w:rsidP="00B82B7B">
            <w:pPr>
              <w:pStyle w:val="Tabletext"/>
              <w:jc w:val="center"/>
              <w:rPr>
                <w:rFonts w:asciiTheme="minorHAnsi" w:hAnsiTheme="minorHAnsi" w:cstheme="minorHAnsi"/>
                <w:sz w:val="18"/>
                <w:szCs w:val="18"/>
                <w:lang w:eastAsia="en-GB"/>
              </w:rPr>
            </w:pPr>
            <w:r>
              <w:rPr>
                <w:rFonts w:asciiTheme="minorHAnsi" w:hAnsiTheme="minorHAnsi" w:cstheme="minorHAnsi"/>
                <w:sz w:val="18"/>
                <w:szCs w:val="18"/>
              </w:rPr>
              <w:t>2</w:t>
            </w:r>
          </w:p>
        </w:tc>
        <w:tc>
          <w:tcPr>
            <w:tcW w:w="581" w:type="dxa"/>
            <w:tcBorders>
              <w:top w:val="nil"/>
              <w:left w:val="single" w:sz="8" w:space="0" w:color="auto"/>
              <w:bottom w:val="single" w:sz="8" w:space="0" w:color="auto"/>
              <w:right w:val="nil"/>
            </w:tcBorders>
            <w:shd w:val="clear" w:color="000000" w:fill="FFFFFF"/>
            <w:noWrap/>
            <w:vAlign w:val="center"/>
            <w:hideMark/>
          </w:tcPr>
          <w:p w14:paraId="542FA92F" w14:textId="1F1BC13D" w:rsidR="00D96B96" w:rsidRPr="00B82B7B" w:rsidRDefault="00150E9D" w:rsidP="00B82B7B">
            <w:pPr>
              <w:pStyle w:val="Tabletext"/>
              <w:jc w:val="center"/>
              <w:rPr>
                <w:rFonts w:asciiTheme="minorHAnsi" w:hAnsiTheme="minorHAnsi" w:cstheme="minorHAnsi"/>
                <w:sz w:val="18"/>
                <w:szCs w:val="18"/>
                <w:lang w:eastAsia="en-GB"/>
              </w:rPr>
            </w:pPr>
            <w:r>
              <w:rPr>
                <w:rFonts w:asciiTheme="minorHAnsi" w:hAnsiTheme="minorHAnsi" w:cstheme="minorHAnsi"/>
                <w:sz w:val="18"/>
                <w:szCs w:val="18"/>
              </w:rPr>
              <w:t>7</w:t>
            </w:r>
          </w:p>
        </w:tc>
        <w:tc>
          <w:tcPr>
            <w:tcW w:w="704" w:type="dxa"/>
            <w:tcBorders>
              <w:top w:val="nil"/>
              <w:left w:val="single" w:sz="8" w:space="0" w:color="auto"/>
              <w:bottom w:val="single" w:sz="8" w:space="0" w:color="auto"/>
              <w:right w:val="nil"/>
            </w:tcBorders>
            <w:shd w:val="clear" w:color="000000" w:fill="FFFFFF"/>
            <w:noWrap/>
            <w:vAlign w:val="center"/>
            <w:hideMark/>
          </w:tcPr>
          <w:p w14:paraId="437A602B" w14:textId="77777777" w:rsidR="00D96B96" w:rsidRPr="00B82B7B" w:rsidRDefault="00D96B96" w:rsidP="00B82B7B">
            <w:pPr>
              <w:pStyle w:val="Tabletext"/>
              <w:jc w:val="center"/>
              <w:rPr>
                <w:rFonts w:asciiTheme="minorHAnsi" w:hAnsiTheme="minorHAnsi" w:cstheme="minorHAnsi"/>
                <w:sz w:val="18"/>
                <w:szCs w:val="18"/>
                <w:lang w:eastAsia="en-GB"/>
              </w:rPr>
            </w:pPr>
            <w:r w:rsidRPr="00B82B7B">
              <w:rPr>
                <w:rFonts w:asciiTheme="minorHAnsi" w:hAnsiTheme="minorHAnsi" w:cstheme="minorHAnsi"/>
                <w:sz w:val="18"/>
                <w:szCs w:val="18"/>
              </w:rPr>
              <w:t>3</w:t>
            </w:r>
          </w:p>
        </w:tc>
        <w:tc>
          <w:tcPr>
            <w:tcW w:w="619" w:type="dxa"/>
            <w:tcBorders>
              <w:top w:val="nil"/>
              <w:left w:val="single" w:sz="8" w:space="0" w:color="auto"/>
              <w:bottom w:val="single" w:sz="8" w:space="0" w:color="auto"/>
              <w:right w:val="nil"/>
            </w:tcBorders>
            <w:shd w:val="clear" w:color="000000" w:fill="FFFFFF"/>
            <w:noWrap/>
            <w:vAlign w:val="center"/>
            <w:hideMark/>
          </w:tcPr>
          <w:p w14:paraId="48C82145" w14:textId="77777777" w:rsidR="00D96B96" w:rsidRPr="00B82B7B" w:rsidRDefault="00D96B96" w:rsidP="00B82B7B">
            <w:pPr>
              <w:pStyle w:val="Tabletext"/>
              <w:jc w:val="center"/>
              <w:rPr>
                <w:rFonts w:asciiTheme="minorHAnsi" w:hAnsiTheme="minorHAnsi" w:cstheme="minorHAnsi"/>
                <w:sz w:val="18"/>
                <w:szCs w:val="18"/>
                <w:lang w:eastAsia="en-GB"/>
              </w:rPr>
            </w:pPr>
            <w:r w:rsidRPr="00B82B7B">
              <w:rPr>
                <w:rFonts w:asciiTheme="minorHAnsi" w:hAnsiTheme="minorHAnsi" w:cstheme="minorHAnsi"/>
                <w:sz w:val="18"/>
                <w:szCs w:val="18"/>
              </w:rPr>
              <w:t>0</w:t>
            </w:r>
          </w:p>
        </w:tc>
        <w:tc>
          <w:tcPr>
            <w:tcW w:w="704" w:type="dxa"/>
            <w:tcBorders>
              <w:top w:val="nil"/>
              <w:left w:val="single" w:sz="8" w:space="0" w:color="auto"/>
              <w:bottom w:val="single" w:sz="8" w:space="0" w:color="auto"/>
              <w:right w:val="single" w:sz="8" w:space="0" w:color="auto"/>
            </w:tcBorders>
            <w:shd w:val="clear" w:color="auto" w:fill="auto"/>
            <w:vAlign w:val="center"/>
            <w:hideMark/>
          </w:tcPr>
          <w:p w14:paraId="40B13121" w14:textId="77777777" w:rsidR="00D96B96" w:rsidRPr="00B82B7B" w:rsidRDefault="00D96B96" w:rsidP="00B82B7B">
            <w:pPr>
              <w:pStyle w:val="Tabletext"/>
              <w:jc w:val="center"/>
              <w:rPr>
                <w:rFonts w:asciiTheme="minorHAnsi" w:hAnsiTheme="minorHAnsi" w:cstheme="minorHAnsi"/>
                <w:sz w:val="18"/>
                <w:szCs w:val="18"/>
                <w:lang w:eastAsia="en-GB"/>
              </w:rPr>
            </w:pPr>
            <w:r w:rsidRPr="00B82B7B">
              <w:rPr>
                <w:rFonts w:asciiTheme="minorHAnsi" w:hAnsiTheme="minorHAnsi" w:cstheme="minorHAnsi"/>
                <w:sz w:val="18"/>
                <w:szCs w:val="18"/>
              </w:rPr>
              <w:t>1</w:t>
            </w:r>
          </w:p>
        </w:tc>
        <w:tc>
          <w:tcPr>
            <w:tcW w:w="581" w:type="dxa"/>
            <w:tcBorders>
              <w:top w:val="nil"/>
              <w:left w:val="nil"/>
              <w:bottom w:val="single" w:sz="8" w:space="0" w:color="auto"/>
              <w:right w:val="single" w:sz="8" w:space="0" w:color="auto"/>
            </w:tcBorders>
            <w:shd w:val="clear" w:color="auto" w:fill="auto"/>
            <w:vAlign w:val="center"/>
            <w:hideMark/>
          </w:tcPr>
          <w:p w14:paraId="68B68964" w14:textId="77777777" w:rsidR="00D96B96" w:rsidRPr="00B82B7B" w:rsidRDefault="00D96B96" w:rsidP="00B82B7B">
            <w:pPr>
              <w:pStyle w:val="Tabletext"/>
              <w:jc w:val="center"/>
              <w:rPr>
                <w:rFonts w:asciiTheme="minorHAnsi" w:hAnsiTheme="minorHAnsi" w:cstheme="minorHAnsi"/>
                <w:sz w:val="18"/>
                <w:szCs w:val="18"/>
                <w:lang w:eastAsia="en-GB"/>
              </w:rPr>
            </w:pPr>
            <w:r w:rsidRPr="00B82B7B">
              <w:rPr>
                <w:rFonts w:asciiTheme="minorHAnsi" w:hAnsiTheme="minorHAnsi" w:cstheme="minorHAnsi"/>
                <w:sz w:val="18"/>
                <w:szCs w:val="18"/>
              </w:rPr>
              <w:t>12</w:t>
            </w:r>
          </w:p>
        </w:tc>
        <w:tc>
          <w:tcPr>
            <w:tcW w:w="599" w:type="dxa"/>
            <w:tcBorders>
              <w:top w:val="nil"/>
              <w:left w:val="nil"/>
              <w:bottom w:val="single" w:sz="8" w:space="0" w:color="auto"/>
              <w:right w:val="single" w:sz="8" w:space="0" w:color="auto"/>
            </w:tcBorders>
            <w:shd w:val="clear" w:color="auto" w:fill="auto"/>
            <w:noWrap/>
            <w:vAlign w:val="center"/>
          </w:tcPr>
          <w:p w14:paraId="3DC1A954" w14:textId="77777777" w:rsidR="00D96B96" w:rsidRPr="00B82B7B" w:rsidRDefault="00D96B96" w:rsidP="00B82B7B">
            <w:pPr>
              <w:pStyle w:val="Tabletext"/>
              <w:jc w:val="center"/>
              <w:rPr>
                <w:rFonts w:asciiTheme="minorHAnsi" w:hAnsiTheme="minorHAnsi" w:cstheme="minorHAnsi"/>
                <w:sz w:val="18"/>
                <w:szCs w:val="18"/>
                <w:lang w:eastAsia="en-GB"/>
              </w:rPr>
            </w:pPr>
            <w:r w:rsidRPr="00B82B7B">
              <w:rPr>
                <w:rFonts w:asciiTheme="minorHAnsi" w:hAnsiTheme="minorHAnsi" w:cstheme="minorHAnsi"/>
                <w:sz w:val="18"/>
                <w:szCs w:val="18"/>
              </w:rPr>
              <w:t>15</w:t>
            </w:r>
          </w:p>
        </w:tc>
        <w:tc>
          <w:tcPr>
            <w:tcW w:w="598" w:type="dxa"/>
            <w:tcBorders>
              <w:top w:val="nil"/>
              <w:left w:val="nil"/>
              <w:bottom w:val="single" w:sz="8" w:space="0" w:color="auto"/>
              <w:right w:val="single" w:sz="8" w:space="0" w:color="auto"/>
            </w:tcBorders>
            <w:shd w:val="clear" w:color="000000" w:fill="A6A6A6"/>
            <w:vAlign w:val="center"/>
          </w:tcPr>
          <w:p w14:paraId="4989D9DA" w14:textId="77777777" w:rsidR="00D96B96" w:rsidRPr="00B82B7B" w:rsidRDefault="00D96B96" w:rsidP="00B82B7B">
            <w:pPr>
              <w:pStyle w:val="Tabletext"/>
              <w:jc w:val="center"/>
              <w:rPr>
                <w:rFonts w:asciiTheme="minorHAnsi" w:hAnsiTheme="minorHAnsi" w:cstheme="minorHAnsi"/>
                <w:b/>
                <w:bCs/>
                <w:sz w:val="18"/>
                <w:szCs w:val="18"/>
                <w:lang w:eastAsia="en-GB"/>
              </w:rPr>
            </w:pPr>
            <w:r w:rsidRPr="00B82B7B">
              <w:rPr>
                <w:rFonts w:asciiTheme="minorHAnsi" w:hAnsiTheme="minorHAnsi" w:cstheme="minorHAnsi"/>
                <w:b/>
                <w:bCs/>
                <w:sz w:val="18"/>
                <w:szCs w:val="18"/>
                <w:lang w:eastAsia="en-GB"/>
              </w:rPr>
              <w:t>40</w:t>
            </w:r>
          </w:p>
        </w:tc>
      </w:tr>
      <w:tr w:rsidR="00150E9D" w:rsidRPr="00B82B7B" w14:paraId="08784FF0" w14:textId="77777777" w:rsidTr="00B82B7B">
        <w:trPr>
          <w:trHeight w:val="242"/>
        </w:trPr>
        <w:tc>
          <w:tcPr>
            <w:tcW w:w="1550" w:type="dxa"/>
            <w:tcBorders>
              <w:top w:val="nil"/>
              <w:left w:val="single" w:sz="8" w:space="0" w:color="auto"/>
              <w:bottom w:val="single" w:sz="8" w:space="0" w:color="auto"/>
              <w:right w:val="single" w:sz="8" w:space="0" w:color="auto"/>
            </w:tcBorders>
            <w:shd w:val="clear" w:color="auto" w:fill="auto"/>
            <w:noWrap/>
            <w:hideMark/>
          </w:tcPr>
          <w:p w14:paraId="23F711C4" w14:textId="77777777" w:rsidR="00D96B96" w:rsidRPr="00B82B7B" w:rsidRDefault="00D96B96" w:rsidP="00B82B7B">
            <w:pPr>
              <w:pStyle w:val="Tabletext"/>
              <w:rPr>
                <w:rFonts w:asciiTheme="minorHAnsi" w:hAnsiTheme="minorHAnsi" w:cstheme="minorHAnsi"/>
                <w:sz w:val="18"/>
                <w:szCs w:val="18"/>
                <w:lang w:eastAsia="en-GB"/>
              </w:rPr>
            </w:pPr>
            <w:r w:rsidRPr="00B82B7B">
              <w:rPr>
                <w:rFonts w:asciiTheme="minorHAnsi" w:hAnsiTheme="minorHAnsi" w:cstheme="minorHAnsi"/>
                <w:sz w:val="18"/>
                <w:szCs w:val="18"/>
                <w:lang w:eastAsia="en-GB"/>
              </w:rPr>
              <w:t>Retrasadas</w:t>
            </w:r>
          </w:p>
        </w:tc>
        <w:tc>
          <w:tcPr>
            <w:tcW w:w="619" w:type="dxa"/>
            <w:tcBorders>
              <w:top w:val="nil"/>
              <w:left w:val="nil"/>
              <w:bottom w:val="single" w:sz="8" w:space="0" w:color="auto"/>
              <w:right w:val="single" w:sz="8" w:space="0" w:color="auto"/>
            </w:tcBorders>
            <w:shd w:val="clear" w:color="000000" w:fill="FFFFFF"/>
            <w:noWrap/>
            <w:vAlign w:val="center"/>
            <w:hideMark/>
          </w:tcPr>
          <w:p w14:paraId="58714A8B" w14:textId="77777777" w:rsidR="00D96B96" w:rsidRPr="00B82B7B" w:rsidRDefault="00D96B96" w:rsidP="00B82B7B">
            <w:pPr>
              <w:pStyle w:val="Tabletext"/>
              <w:jc w:val="center"/>
              <w:rPr>
                <w:rFonts w:asciiTheme="minorHAnsi" w:hAnsiTheme="minorHAnsi" w:cstheme="minorHAnsi"/>
                <w:sz w:val="18"/>
                <w:szCs w:val="18"/>
                <w:lang w:eastAsia="en-GB"/>
              </w:rPr>
            </w:pPr>
            <w:r w:rsidRPr="00B82B7B">
              <w:rPr>
                <w:rFonts w:asciiTheme="minorHAnsi" w:hAnsiTheme="minorHAnsi" w:cstheme="minorHAnsi"/>
                <w:sz w:val="18"/>
                <w:szCs w:val="18"/>
              </w:rPr>
              <w:t>0</w:t>
            </w:r>
          </w:p>
        </w:tc>
        <w:tc>
          <w:tcPr>
            <w:tcW w:w="581" w:type="dxa"/>
            <w:tcBorders>
              <w:top w:val="nil"/>
              <w:left w:val="nil"/>
              <w:bottom w:val="single" w:sz="8" w:space="0" w:color="auto"/>
              <w:right w:val="single" w:sz="8" w:space="0" w:color="auto"/>
            </w:tcBorders>
            <w:shd w:val="clear" w:color="auto" w:fill="auto"/>
            <w:noWrap/>
            <w:vAlign w:val="bottom"/>
            <w:hideMark/>
          </w:tcPr>
          <w:p w14:paraId="0D459522" w14:textId="77777777" w:rsidR="00D96B96" w:rsidRPr="00B82B7B" w:rsidRDefault="00D96B96" w:rsidP="00B82B7B">
            <w:pPr>
              <w:pStyle w:val="Tabletext"/>
              <w:jc w:val="center"/>
              <w:rPr>
                <w:rFonts w:asciiTheme="minorHAnsi" w:hAnsiTheme="minorHAnsi" w:cstheme="minorHAnsi"/>
                <w:sz w:val="18"/>
                <w:szCs w:val="18"/>
                <w:lang w:eastAsia="en-GB"/>
              </w:rPr>
            </w:pPr>
          </w:p>
        </w:tc>
        <w:tc>
          <w:tcPr>
            <w:tcW w:w="699" w:type="dxa"/>
            <w:tcBorders>
              <w:top w:val="nil"/>
              <w:left w:val="nil"/>
              <w:bottom w:val="single" w:sz="8" w:space="0" w:color="auto"/>
              <w:right w:val="single" w:sz="8" w:space="0" w:color="auto"/>
            </w:tcBorders>
            <w:shd w:val="clear" w:color="000000" w:fill="FFFFFF"/>
            <w:noWrap/>
            <w:vAlign w:val="center"/>
            <w:hideMark/>
          </w:tcPr>
          <w:p w14:paraId="4176FCA3" w14:textId="77777777" w:rsidR="00D96B96" w:rsidRPr="00B82B7B" w:rsidRDefault="00D96B96" w:rsidP="00B82B7B">
            <w:pPr>
              <w:pStyle w:val="Tabletext"/>
              <w:jc w:val="center"/>
              <w:rPr>
                <w:rFonts w:asciiTheme="minorHAnsi" w:hAnsiTheme="minorHAnsi" w:cstheme="minorHAnsi"/>
                <w:sz w:val="18"/>
                <w:szCs w:val="18"/>
                <w:lang w:eastAsia="en-GB"/>
              </w:rPr>
            </w:pPr>
            <w:r w:rsidRPr="00B82B7B">
              <w:rPr>
                <w:rFonts w:asciiTheme="minorHAnsi" w:hAnsiTheme="minorHAnsi" w:cstheme="minorHAnsi"/>
                <w:sz w:val="18"/>
                <w:szCs w:val="18"/>
              </w:rPr>
              <w:t>0</w:t>
            </w:r>
          </w:p>
        </w:tc>
        <w:tc>
          <w:tcPr>
            <w:tcW w:w="619" w:type="dxa"/>
            <w:tcBorders>
              <w:top w:val="nil"/>
              <w:left w:val="nil"/>
              <w:bottom w:val="single" w:sz="8" w:space="0" w:color="auto"/>
              <w:right w:val="nil"/>
            </w:tcBorders>
            <w:shd w:val="clear" w:color="000000" w:fill="FFFFFF"/>
            <w:noWrap/>
            <w:vAlign w:val="center"/>
            <w:hideMark/>
          </w:tcPr>
          <w:p w14:paraId="0CC6D767" w14:textId="77777777" w:rsidR="00D96B96" w:rsidRPr="00B82B7B" w:rsidRDefault="00D96B96" w:rsidP="00B82B7B">
            <w:pPr>
              <w:pStyle w:val="Tabletext"/>
              <w:jc w:val="center"/>
              <w:rPr>
                <w:rFonts w:asciiTheme="minorHAnsi" w:hAnsiTheme="minorHAnsi" w:cstheme="minorHAnsi"/>
                <w:sz w:val="18"/>
                <w:szCs w:val="18"/>
                <w:lang w:eastAsia="en-GB"/>
              </w:rPr>
            </w:pPr>
            <w:r w:rsidRPr="00B82B7B">
              <w:rPr>
                <w:rFonts w:asciiTheme="minorHAnsi" w:hAnsiTheme="minorHAnsi" w:cstheme="minorHAnsi"/>
                <w:sz w:val="18"/>
                <w:szCs w:val="18"/>
              </w:rPr>
              <w:t>0</w:t>
            </w:r>
          </w:p>
        </w:tc>
        <w:tc>
          <w:tcPr>
            <w:tcW w:w="703" w:type="dxa"/>
            <w:tcBorders>
              <w:top w:val="nil"/>
              <w:left w:val="single" w:sz="8" w:space="0" w:color="auto"/>
              <w:bottom w:val="single" w:sz="8" w:space="0" w:color="auto"/>
              <w:right w:val="nil"/>
            </w:tcBorders>
            <w:shd w:val="clear" w:color="000000" w:fill="FFFFFF"/>
            <w:noWrap/>
            <w:vAlign w:val="center"/>
            <w:hideMark/>
          </w:tcPr>
          <w:p w14:paraId="43424A42" w14:textId="77777777" w:rsidR="00D96B96" w:rsidRPr="00B82B7B" w:rsidRDefault="00D96B96" w:rsidP="00B82B7B">
            <w:pPr>
              <w:pStyle w:val="Tabletext"/>
              <w:jc w:val="center"/>
              <w:rPr>
                <w:rFonts w:asciiTheme="minorHAnsi" w:hAnsiTheme="minorHAnsi" w:cstheme="minorHAnsi"/>
                <w:sz w:val="18"/>
                <w:szCs w:val="18"/>
                <w:lang w:eastAsia="en-GB"/>
              </w:rPr>
            </w:pPr>
            <w:r w:rsidRPr="00B82B7B">
              <w:rPr>
                <w:rFonts w:asciiTheme="minorHAnsi" w:hAnsiTheme="minorHAnsi" w:cstheme="minorHAnsi"/>
                <w:sz w:val="18"/>
                <w:szCs w:val="18"/>
              </w:rPr>
              <w:t>0</w:t>
            </w:r>
          </w:p>
        </w:tc>
        <w:tc>
          <w:tcPr>
            <w:tcW w:w="709" w:type="dxa"/>
            <w:tcBorders>
              <w:top w:val="nil"/>
              <w:left w:val="single" w:sz="8" w:space="0" w:color="auto"/>
              <w:bottom w:val="single" w:sz="8" w:space="0" w:color="auto"/>
              <w:right w:val="nil"/>
            </w:tcBorders>
            <w:shd w:val="clear" w:color="000000" w:fill="FFFFFF"/>
            <w:noWrap/>
            <w:vAlign w:val="center"/>
            <w:hideMark/>
          </w:tcPr>
          <w:p w14:paraId="61279686" w14:textId="77777777" w:rsidR="00D96B96" w:rsidRPr="00B82B7B" w:rsidRDefault="00D96B96" w:rsidP="00B82B7B">
            <w:pPr>
              <w:pStyle w:val="Tabletext"/>
              <w:jc w:val="center"/>
              <w:rPr>
                <w:rFonts w:asciiTheme="minorHAnsi" w:hAnsiTheme="minorHAnsi" w:cstheme="minorHAnsi"/>
                <w:sz w:val="18"/>
                <w:szCs w:val="18"/>
                <w:lang w:eastAsia="en-GB"/>
              </w:rPr>
            </w:pPr>
            <w:r w:rsidRPr="00B82B7B">
              <w:rPr>
                <w:rFonts w:asciiTheme="minorHAnsi" w:hAnsiTheme="minorHAnsi" w:cstheme="minorHAnsi"/>
                <w:sz w:val="18"/>
                <w:szCs w:val="18"/>
              </w:rPr>
              <w:t>0</w:t>
            </w:r>
          </w:p>
        </w:tc>
        <w:tc>
          <w:tcPr>
            <w:tcW w:w="581" w:type="dxa"/>
            <w:tcBorders>
              <w:top w:val="nil"/>
              <w:left w:val="single" w:sz="8" w:space="0" w:color="auto"/>
              <w:bottom w:val="single" w:sz="8" w:space="0" w:color="auto"/>
              <w:right w:val="nil"/>
            </w:tcBorders>
            <w:shd w:val="clear" w:color="000000" w:fill="FFFFFF"/>
            <w:noWrap/>
            <w:vAlign w:val="center"/>
            <w:hideMark/>
          </w:tcPr>
          <w:p w14:paraId="46C676A2" w14:textId="77777777" w:rsidR="00D96B96" w:rsidRPr="00B82B7B" w:rsidRDefault="00D96B96" w:rsidP="00B82B7B">
            <w:pPr>
              <w:pStyle w:val="Tabletext"/>
              <w:jc w:val="center"/>
              <w:rPr>
                <w:rFonts w:asciiTheme="minorHAnsi" w:hAnsiTheme="minorHAnsi" w:cstheme="minorHAnsi"/>
                <w:sz w:val="18"/>
                <w:szCs w:val="18"/>
                <w:lang w:eastAsia="en-GB"/>
              </w:rPr>
            </w:pPr>
            <w:r w:rsidRPr="00B82B7B">
              <w:rPr>
                <w:rFonts w:asciiTheme="minorHAnsi" w:hAnsiTheme="minorHAnsi" w:cstheme="minorHAnsi"/>
                <w:sz w:val="18"/>
                <w:szCs w:val="18"/>
              </w:rPr>
              <w:t>0</w:t>
            </w:r>
          </w:p>
        </w:tc>
        <w:tc>
          <w:tcPr>
            <w:tcW w:w="704" w:type="dxa"/>
            <w:tcBorders>
              <w:top w:val="nil"/>
              <w:left w:val="single" w:sz="8" w:space="0" w:color="auto"/>
              <w:bottom w:val="single" w:sz="8" w:space="0" w:color="auto"/>
              <w:right w:val="nil"/>
            </w:tcBorders>
            <w:shd w:val="clear" w:color="000000" w:fill="FFFFFF"/>
            <w:noWrap/>
            <w:vAlign w:val="center"/>
            <w:hideMark/>
          </w:tcPr>
          <w:p w14:paraId="46C20A87" w14:textId="77777777" w:rsidR="00D96B96" w:rsidRPr="00B82B7B" w:rsidRDefault="00D96B96" w:rsidP="00B82B7B">
            <w:pPr>
              <w:pStyle w:val="Tabletext"/>
              <w:jc w:val="center"/>
              <w:rPr>
                <w:rFonts w:asciiTheme="minorHAnsi" w:hAnsiTheme="minorHAnsi" w:cstheme="minorHAnsi"/>
                <w:sz w:val="18"/>
                <w:szCs w:val="18"/>
                <w:lang w:eastAsia="en-GB"/>
              </w:rPr>
            </w:pPr>
            <w:r w:rsidRPr="00B82B7B">
              <w:rPr>
                <w:rFonts w:asciiTheme="minorHAnsi" w:hAnsiTheme="minorHAnsi" w:cstheme="minorHAnsi"/>
                <w:sz w:val="18"/>
                <w:szCs w:val="18"/>
              </w:rPr>
              <w:t>0</w:t>
            </w:r>
          </w:p>
        </w:tc>
        <w:tc>
          <w:tcPr>
            <w:tcW w:w="619" w:type="dxa"/>
            <w:tcBorders>
              <w:top w:val="nil"/>
              <w:left w:val="single" w:sz="8" w:space="0" w:color="auto"/>
              <w:bottom w:val="single" w:sz="8" w:space="0" w:color="auto"/>
              <w:right w:val="nil"/>
            </w:tcBorders>
            <w:shd w:val="clear" w:color="000000" w:fill="FFFFFF"/>
            <w:noWrap/>
            <w:vAlign w:val="center"/>
            <w:hideMark/>
          </w:tcPr>
          <w:p w14:paraId="1D1AC98B" w14:textId="77777777" w:rsidR="00D96B96" w:rsidRPr="00B82B7B" w:rsidRDefault="00D96B96" w:rsidP="00B82B7B">
            <w:pPr>
              <w:pStyle w:val="Tabletext"/>
              <w:jc w:val="center"/>
              <w:rPr>
                <w:rFonts w:asciiTheme="minorHAnsi" w:hAnsiTheme="minorHAnsi" w:cstheme="minorHAnsi"/>
                <w:sz w:val="18"/>
                <w:szCs w:val="18"/>
                <w:lang w:eastAsia="en-GB"/>
              </w:rPr>
            </w:pPr>
            <w:r w:rsidRPr="00B82B7B">
              <w:rPr>
                <w:rFonts w:asciiTheme="minorHAnsi" w:hAnsiTheme="minorHAnsi" w:cstheme="minorHAnsi"/>
                <w:sz w:val="18"/>
                <w:szCs w:val="18"/>
              </w:rPr>
              <w:t>0</w:t>
            </w:r>
          </w:p>
        </w:tc>
        <w:tc>
          <w:tcPr>
            <w:tcW w:w="704" w:type="dxa"/>
            <w:tcBorders>
              <w:top w:val="nil"/>
              <w:left w:val="single" w:sz="8" w:space="0" w:color="auto"/>
              <w:bottom w:val="single" w:sz="8" w:space="0" w:color="auto"/>
              <w:right w:val="single" w:sz="8" w:space="0" w:color="auto"/>
            </w:tcBorders>
            <w:shd w:val="clear" w:color="auto" w:fill="auto"/>
            <w:vAlign w:val="center"/>
            <w:hideMark/>
          </w:tcPr>
          <w:p w14:paraId="27B28D93" w14:textId="77777777" w:rsidR="00D96B96" w:rsidRPr="00B82B7B" w:rsidRDefault="00D96B96" w:rsidP="00B82B7B">
            <w:pPr>
              <w:pStyle w:val="Tabletext"/>
              <w:jc w:val="center"/>
              <w:rPr>
                <w:rFonts w:asciiTheme="minorHAnsi" w:hAnsiTheme="minorHAnsi" w:cstheme="minorHAnsi"/>
                <w:sz w:val="18"/>
                <w:szCs w:val="18"/>
                <w:lang w:eastAsia="en-GB"/>
              </w:rPr>
            </w:pPr>
            <w:r w:rsidRPr="00B82B7B">
              <w:rPr>
                <w:rFonts w:asciiTheme="minorHAnsi" w:hAnsiTheme="minorHAnsi" w:cstheme="minorHAnsi"/>
                <w:sz w:val="18"/>
                <w:szCs w:val="18"/>
              </w:rPr>
              <w:t>0</w:t>
            </w:r>
          </w:p>
        </w:tc>
        <w:tc>
          <w:tcPr>
            <w:tcW w:w="581" w:type="dxa"/>
            <w:tcBorders>
              <w:top w:val="nil"/>
              <w:left w:val="nil"/>
              <w:bottom w:val="single" w:sz="8" w:space="0" w:color="auto"/>
              <w:right w:val="single" w:sz="8" w:space="0" w:color="auto"/>
            </w:tcBorders>
            <w:shd w:val="clear" w:color="auto" w:fill="auto"/>
            <w:vAlign w:val="center"/>
            <w:hideMark/>
          </w:tcPr>
          <w:p w14:paraId="07EDFD19" w14:textId="77777777" w:rsidR="00D96B96" w:rsidRPr="00B82B7B" w:rsidRDefault="00D96B96" w:rsidP="00B82B7B">
            <w:pPr>
              <w:pStyle w:val="Tabletext"/>
              <w:jc w:val="center"/>
              <w:rPr>
                <w:rFonts w:asciiTheme="minorHAnsi" w:hAnsiTheme="minorHAnsi" w:cstheme="minorHAnsi"/>
                <w:sz w:val="18"/>
                <w:szCs w:val="18"/>
                <w:lang w:eastAsia="en-GB"/>
              </w:rPr>
            </w:pPr>
            <w:r w:rsidRPr="00B82B7B">
              <w:rPr>
                <w:rFonts w:asciiTheme="minorHAnsi" w:hAnsiTheme="minorHAnsi" w:cstheme="minorHAnsi"/>
                <w:sz w:val="18"/>
                <w:szCs w:val="18"/>
              </w:rPr>
              <w:t>3</w:t>
            </w:r>
          </w:p>
        </w:tc>
        <w:tc>
          <w:tcPr>
            <w:tcW w:w="599" w:type="dxa"/>
            <w:tcBorders>
              <w:top w:val="nil"/>
              <w:left w:val="nil"/>
              <w:bottom w:val="single" w:sz="8" w:space="0" w:color="auto"/>
              <w:right w:val="single" w:sz="8" w:space="0" w:color="auto"/>
            </w:tcBorders>
            <w:shd w:val="clear" w:color="auto" w:fill="auto"/>
            <w:noWrap/>
            <w:vAlign w:val="center"/>
          </w:tcPr>
          <w:p w14:paraId="50136081" w14:textId="77777777" w:rsidR="00D96B96" w:rsidRPr="00B82B7B" w:rsidRDefault="00D96B96" w:rsidP="00B82B7B">
            <w:pPr>
              <w:pStyle w:val="Tabletext"/>
              <w:jc w:val="center"/>
              <w:rPr>
                <w:rFonts w:asciiTheme="minorHAnsi" w:hAnsiTheme="minorHAnsi" w:cstheme="minorHAnsi"/>
                <w:sz w:val="18"/>
                <w:szCs w:val="18"/>
                <w:lang w:eastAsia="en-GB"/>
              </w:rPr>
            </w:pPr>
            <w:r w:rsidRPr="00B82B7B">
              <w:rPr>
                <w:rFonts w:asciiTheme="minorHAnsi" w:hAnsiTheme="minorHAnsi" w:cstheme="minorHAnsi"/>
                <w:sz w:val="18"/>
                <w:szCs w:val="18"/>
              </w:rPr>
              <w:t>5</w:t>
            </w:r>
          </w:p>
        </w:tc>
        <w:tc>
          <w:tcPr>
            <w:tcW w:w="598" w:type="dxa"/>
            <w:tcBorders>
              <w:top w:val="nil"/>
              <w:left w:val="nil"/>
              <w:bottom w:val="single" w:sz="8" w:space="0" w:color="auto"/>
              <w:right w:val="single" w:sz="8" w:space="0" w:color="auto"/>
            </w:tcBorders>
            <w:shd w:val="clear" w:color="000000" w:fill="A6A6A6"/>
            <w:vAlign w:val="center"/>
          </w:tcPr>
          <w:p w14:paraId="126A0617" w14:textId="77777777" w:rsidR="00D96B96" w:rsidRPr="00B82B7B" w:rsidRDefault="00D96B96" w:rsidP="00B82B7B">
            <w:pPr>
              <w:pStyle w:val="Tabletext"/>
              <w:jc w:val="center"/>
              <w:rPr>
                <w:rFonts w:asciiTheme="minorHAnsi" w:hAnsiTheme="minorHAnsi" w:cstheme="minorHAnsi"/>
                <w:b/>
                <w:bCs/>
                <w:sz w:val="18"/>
                <w:szCs w:val="18"/>
                <w:lang w:eastAsia="en-GB"/>
              </w:rPr>
            </w:pPr>
            <w:r w:rsidRPr="00B82B7B">
              <w:rPr>
                <w:rFonts w:asciiTheme="minorHAnsi" w:hAnsiTheme="minorHAnsi" w:cstheme="minorHAnsi"/>
                <w:b/>
                <w:bCs/>
                <w:sz w:val="18"/>
                <w:szCs w:val="18"/>
                <w:lang w:eastAsia="en-GB"/>
              </w:rPr>
              <w:t>8</w:t>
            </w:r>
          </w:p>
        </w:tc>
      </w:tr>
      <w:tr w:rsidR="00150E9D" w:rsidRPr="00B82B7B" w14:paraId="20DB642E" w14:textId="77777777" w:rsidTr="00B82B7B">
        <w:trPr>
          <w:trHeight w:val="242"/>
        </w:trPr>
        <w:tc>
          <w:tcPr>
            <w:tcW w:w="1550" w:type="dxa"/>
            <w:tcBorders>
              <w:top w:val="nil"/>
              <w:left w:val="single" w:sz="8" w:space="0" w:color="auto"/>
              <w:bottom w:val="single" w:sz="8" w:space="0" w:color="auto"/>
              <w:right w:val="single" w:sz="8" w:space="0" w:color="auto"/>
            </w:tcBorders>
            <w:shd w:val="clear" w:color="auto" w:fill="auto"/>
            <w:noWrap/>
            <w:hideMark/>
          </w:tcPr>
          <w:p w14:paraId="0A9F6AC7" w14:textId="77777777" w:rsidR="00D96B96" w:rsidRPr="00B82B7B" w:rsidRDefault="00D96B96" w:rsidP="00B82B7B">
            <w:pPr>
              <w:pStyle w:val="Tabletext"/>
              <w:rPr>
                <w:rFonts w:asciiTheme="minorHAnsi" w:hAnsiTheme="minorHAnsi" w:cstheme="minorHAnsi"/>
                <w:sz w:val="18"/>
                <w:szCs w:val="18"/>
                <w:lang w:eastAsia="en-GB"/>
              </w:rPr>
            </w:pPr>
            <w:r w:rsidRPr="00B82B7B">
              <w:rPr>
                <w:rFonts w:asciiTheme="minorHAnsi" w:hAnsiTheme="minorHAnsi" w:cstheme="minorHAnsi"/>
                <w:sz w:val="18"/>
                <w:szCs w:val="18"/>
                <w:lang w:eastAsia="en-GB"/>
              </w:rPr>
              <w:t>Cerradas</w:t>
            </w:r>
          </w:p>
        </w:tc>
        <w:tc>
          <w:tcPr>
            <w:tcW w:w="619" w:type="dxa"/>
            <w:tcBorders>
              <w:top w:val="nil"/>
              <w:left w:val="nil"/>
              <w:bottom w:val="single" w:sz="8" w:space="0" w:color="auto"/>
              <w:right w:val="single" w:sz="8" w:space="0" w:color="auto"/>
            </w:tcBorders>
            <w:shd w:val="clear" w:color="000000" w:fill="FFFFFF"/>
            <w:noWrap/>
            <w:vAlign w:val="center"/>
            <w:hideMark/>
          </w:tcPr>
          <w:p w14:paraId="20D01DCD" w14:textId="77777777" w:rsidR="00D96B96" w:rsidRPr="00B82B7B" w:rsidRDefault="00D96B96" w:rsidP="00B82B7B">
            <w:pPr>
              <w:pStyle w:val="Tabletext"/>
              <w:jc w:val="center"/>
              <w:rPr>
                <w:rFonts w:asciiTheme="minorHAnsi" w:hAnsiTheme="minorHAnsi" w:cstheme="minorHAnsi"/>
                <w:sz w:val="18"/>
                <w:szCs w:val="18"/>
                <w:lang w:eastAsia="en-GB"/>
              </w:rPr>
            </w:pPr>
            <w:r w:rsidRPr="00B82B7B">
              <w:rPr>
                <w:rFonts w:asciiTheme="minorHAnsi" w:hAnsiTheme="minorHAnsi" w:cstheme="minorHAnsi"/>
                <w:sz w:val="18"/>
                <w:szCs w:val="18"/>
              </w:rPr>
              <w:t>17</w:t>
            </w:r>
          </w:p>
        </w:tc>
        <w:tc>
          <w:tcPr>
            <w:tcW w:w="581" w:type="dxa"/>
            <w:tcBorders>
              <w:top w:val="nil"/>
              <w:left w:val="nil"/>
              <w:bottom w:val="single" w:sz="8" w:space="0" w:color="auto"/>
              <w:right w:val="single" w:sz="8" w:space="0" w:color="auto"/>
            </w:tcBorders>
            <w:shd w:val="clear" w:color="auto" w:fill="auto"/>
            <w:noWrap/>
            <w:vAlign w:val="bottom"/>
            <w:hideMark/>
          </w:tcPr>
          <w:p w14:paraId="6B13FC37" w14:textId="3F8CD05E" w:rsidR="00D96B96" w:rsidRPr="00B82B7B" w:rsidRDefault="00D96B96" w:rsidP="00B82B7B">
            <w:pPr>
              <w:pStyle w:val="Tabletext"/>
              <w:jc w:val="center"/>
              <w:rPr>
                <w:rFonts w:asciiTheme="minorHAnsi" w:hAnsiTheme="minorHAnsi" w:cstheme="minorHAnsi"/>
                <w:sz w:val="18"/>
                <w:szCs w:val="18"/>
                <w:lang w:eastAsia="en-GB"/>
              </w:rPr>
            </w:pPr>
          </w:p>
        </w:tc>
        <w:tc>
          <w:tcPr>
            <w:tcW w:w="699" w:type="dxa"/>
            <w:tcBorders>
              <w:top w:val="nil"/>
              <w:left w:val="nil"/>
              <w:bottom w:val="single" w:sz="8" w:space="0" w:color="auto"/>
              <w:right w:val="single" w:sz="8" w:space="0" w:color="auto"/>
            </w:tcBorders>
            <w:shd w:val="clear" w:color="000000" w:fill="FFFFFF"/>
            <w:noWrap/>
            <w:vAlign w:val="center"/>
            <w:hideMark/>
          </w:tcPr>
          <w:p w14:paraId="78BFB367" w14:textId="77777777" w:rsidR="00D96B96" w:rsidRPr="00B82B7B" w:rsidRDefault="00D96B96" w:rsidP="00B82B7B">
            <w:pPr>
              <w:pStyle w:val="Tabletext"/>
              <w:jc w:val="center"/>
              <w:rPr>
                <w:rFonts w:asciiTheme="minorHAnsi" w:hAnsiTheme="minorHAnsi" w:cstheme="minorHAnsi"/>
                <w:sz w:val="18"/>
                <w:szCs w:val="18"/>
                <w:lang w:eastAsia="en-GB"/>
              </w:rPr>
            </w:pPr>
            <w:r w:rsidRPr="00B82B7B">
              <w:rPr>
                <w:rFonts w:asciiTheme="minorHAnsi" w:hAnsiTheme="minorHAnsi" w:cstheme="minorHAnsi"/>
                <w:sz w:val="18"/>
                <w:szCs w:val="18"/>
              </w:rPr>
              <w:t>113</w:t>
            </w:r>
          </w:p>
        </w:tc>
        <w:tc>
          <w:tcPr>
            <w:tcW w:w="619" w:type="dxa"/>
            <w:tcBorders>
              <w:top w:val="nil"/>
              <w:left w:val="nil"/>
              <w:bottom w:val="single" w:sz="8" w:space="0" w:color="auto"/>
              <w:right w:val="nil"/>
            </w:tcBorders>
            <w:shd w:val="clear" w:color="000000" w:fill="FFFFFF"/>
            <w:noWrap/>
            <w:vAlign w:val="center"/>
            <w:hideMark/>
          </w:tcPr>
          <w:p w14:paraId="6D526622" w14:textId="77777777" w:rsidR="00D96B96" w:rsidRPr="00B82B7B" w:rsidRDefault="00D96B96" w:rsidP="00B82B7B">
            <w:pPr>
              <w:pStyle w:val="Tabletext"/>
              <w:jc w:val="center"/>
              <w:rPr>
                <w:rFonts w:asciiTheme="minorHAnsi" w:hAnsiTheme="minorHAnsi" w:cstheme="minorHAnsi"/>
                <w:sz w:val="18"/>
                <w:szCs w:val="18"/>
                <w:lang w:eastAsia="en-GB"/>
              </w:rPr>
            </w:pPr>
            <w:r w:rsidRPr="00B82B7B">
              <w:rPr>
                <w:rFonts w:asciiTheme="minorHAnsi" w:hAnsiTheme="minorHAnsi" w:cstheme="minorHAnsi"/>
                <w:sz w:val="18"/>
                <w:szCs w:val="18"/>
              </w:rPr>
              <w:t>55</w:t>
            </w:r>
          </w:p>
        </w:tc>
        <w:tc>
          <w:tcPr>
            <w:tcW w:w="703" w:type="dxa"/>
            <w:tcBorders>
              <w:top w:val="nil"/>
              <w:left w:val="single" w:sz="8" w:space="0" w:color="auto"/>
              <w:bottom w:val="single" w:sz="8" w:space="0" w:color="auto"/>
              <w:right w:val="nil"/>
            </w:tcBorders>
            <w:shd w:val="clear" w:color="000000" w:fill="FFFFFF"/>
            <w:noWrap/>
            <w:vAlign w:val="center"/>
            <w:hideMark/>
          </w:tcPr>
          <w:p w14:paraId="0D251FF7" w14:textId="77777777" w:rsidR="00D96B96" w:rsidRPr="00B82B7B" w:rsidRDefault="00D96B96" w:rsidP="00B82B7B">
            <w:pPr>
              <w:pStyle w:val="Tabletext"/>
              <w:jc w:val="center"/>
              <w:rPr>
                <w:rFonts w:asciiTheme="minorHAnsi" w:hAnsiTheme="minorHAnsi" w:cstheme="minorHAnsi"/>
                <w:sz w:val="18"/>
                <w:szCs w:val="18"/>
                <w:lang w:eastAsia="en-GB"/>
              </w:rPr>
            </w:pPr>
            <w:r w:rsidRPr="00B82B7B">
              <w:rPr>
                <w:rFonts w:asciiTheme="minorHAnsi" w:hAnsiTheme="minorHAnsi" w:cstheme="minorHAnsi"/>
                <w:sz w:val="18"/>
                <w:szCs w:val="18"/>
              </w:rPr>
              <w:t>34</w:t>
            </w:r>
          </w:p>
        </w:tc>
        <w:tc>
          <w:tcPr>
            <w:tcW w:w="709" w:type="dxa"/>
            <w:tcBorders>
              <w:top w:val="nil"/>
              <w:left w:val="single" w:sz="8" w:space="0" w:color="auto"/>
              <w:bottom w:val="single" w:sz="8" w:space="0" w:color="auto"/>
              <w:right w:val="nil"/>
            </w:tcBorders>
            <w:shd w:val="clear" w:color="000000" w:fill="FFFFFF"/>
            <w:noWrap/>
            <w:vAlign w:val="center"/>
            <w:hideMark/>
          </w:tcPr>
          <w:p w14:paraId="6447F2B6" w14:textId="613764B6" w:rsidR="00D96B96" w:rsidRPr="00B82B7B" w:rsidRDefault="00D96B96" w:rsidP="00B82B7B">
            <w:pPr>
              <w:pStyle w:val="Tabletext"/>
              <w:jc w:val="center"/>
              <w:rPr>
                <w:rFonts w:asciiTheme="minorHAnsi" w:hAnsiTheme="minorHAnsi" w:cstheme="minorHAnsi"/>
                <w:sz w:val="18"/>
                <w:szCs w:val="18"/>
                <w:lang w:eastAsia="en-GB"/>
              </w:rPr>
            </w:pPr>
            <w:r w:rsidRPr="00B82B7B">
              <w:rPr>
                <w:rFonts w:asciiTheme="minorHAnsi" w:hAnsiTheme="minorHAnsi" w:cstheme="minorHAnsi"/>
                <w:sz w:val="18"/>
                <w:szCs w:val="18"/>
              </w:rPr>
              <w:t>1</w:t>
            </w:r>
            <w:r w:rsidR="00150E9D">
              <w:rPr>
                <w:rFonts w:asciiTheme="minorHAnsi" w:hAnsiTheme="minorHAnsi" w:cstheme="minorHAnsi"/>
                <w:sz w:val="18"/>
                <w:szCs w:val="18"/>
              </w:rPr>
              <w:t>3</w:t>
            </w:r>
          </w:p>
        </w:tc>
        <w:tc>
          <w:tcPr>
            <w:tcW w:w="581" w:type="dxa"/>
            <w:tcBorders>
              <w:top w:val="nil"/>
              <w:left w:val="single" w:sz="8" w:space="0" w:color="auto"/>
              <w:bottom w:val="single" w:sz="8" w:space="0" w:color="auto"/>
              <w:right w:val="nil"/>
            </w:tcBorders>
            <w:shd w:val="clear" w:color="000000" w:fill="FFFFFF"/>
            <w:noWrap/>
            <w:vAlign w:val="center"/>
            <w:hideMark/>
          </w:tcPr>
          <w:p w14:paraId="373721DC" w14:textId="4BA6594A" w:rsidR="00D96B96" w:rsidRPr="00B82B7B" w:rsidRDefault="00D96B96" w:rsidP="00B82B7B">
            <w:pPr>
              <w:pStyle w:val="Tabletext"/>
              <w:jc w:val="center"/>
              <w:rPr>
                <w:rFonts w:asciiTheme="minorHAnsi" w:hAnsiTheme="minorHAnsi" w:cstheme="minorHAnsi"/>
                <w:sz w:val="18"/>
                <w:szCs w:val="18"/>
                <w:lang w:eastAsia="en-GB"/>
              </w:rPr>
            </w:pPr>
            <w:r w:rsidRPr="00B82B7B">
              <w:rPr>
                <w:rFonts w:asciiTheme="minorHAnsi" w:hAnsiTheme="minorHAnsi" w:cstheme="minorHAnsi"/>
                <w:sz w:val="18"/>
                <w:szCs w:val="18"/>
              </w:rPr>
              <w:t>3</w:t>
            </w:r>
            <w:r w:rsidR="00150E9D">
              <w:rPr>
                <w:rFonts w:asciiTheme="minorHAnsi" w:hAnsiTheme="minorHAnsi" w:cstheme="minorHAnsi"/>
                <w:sz w:val="18"/>
                <w:szCs w:val="18"/>
              </w:rPr>
              <w:t>9</w:t>
            </w:r>
          </w:p>
        </w:tc>
        <w:tc>
          <w:tcPr>
            <w:tcW w:w="704" w:type="dxa"/>
            <w:tcBorders>
              <w:top w:val="nil"/>
              <w:left w:val="single" w:sz="8" w:space="0" w:color="auto"/>
              <w:bottom w:val="single" w:sz="8" w:space="0" w:color="auto"/>
              <w:right w:val="nil"/>
            </w:tcBorders>
            <w:shd w:val="clear" w:color="000000" w:fill="FFFFFF"/>
            <w:noWrap/>
            <w:vAlign w:val="center"/>
            <w:hideMark/>
          </w:tcPr>
          <w:p w14:paraId="591AC46B" w14:textId="77777777" w:rsidR="00D96B96" w:rsidRPr="00B82B7B" w:rsidRDefault="00D96B96" w:rsidP="00B82B7B">
            <w:pPr>
              <w:pStyle w:val="Tabletext"/>
              <w:jc w:val="center"/>
              <w:rPr>
                <w:rFonts w:asciiTheme="minorHAnsi" w:hAnsiTheme="minorHAnsi" w:cstheme="minorHAnsi"/>
                <w:sz w:val="18"/>
                <w:szCs w:val="18"/>
                <w:lang w:eastAsia="en-GB"/>
              </w:rPr>
            </w:pPr>
            <w:r w:rsidRPr="00B82B7B">
              <w:rPr>
                <w:rFonts w:asciiTheme="minorHAnsi" w:hAnsiTheme="minorHAnsi" w:cstheme="minorHAnsi"/>
                <w:sz w:val="18"/>
                <w:szCs w:val="18"/>
              </w:rPr>
              <w:t>23</w:t>
            </w:r>
          </w:p>
        </w:tc>
        <w:tc>
          <w:tcPr>
            <w:tcW w:w="619" w:type="dxa"/>
            <w:tcBorders>
              <w:top w:val="nil"/>
              <w:left w:val="single" w:sz="8" w:space="0" w:color="auto"/>
              <w:bottom w:val="single" w:sz="8" w:space="0" w:color="auto"/>
              <w:right w:val="nil"/>
            </w:tcBorders>
            <w:shd w:val="clear" w:color="000000" w:fill="FFFFFF"/>
            <w:noWrap/>
            <w:vAlign w:val="center"/>
            <w:hideMark/>
          </w:tcPr>
          <w:p w14:paraId="72EE325B" w14:textId="77777777" w:rsidR="00D96B96" w:rsidRPr="00B82B7B" w:rsidRDefault="00D96B96" w:rsidP="00B82B7B">
            <w:pPr>
              <w:pStyle w:val="Tabletext"/>
              <w:jc w:val="center"/>
              <w:rPr>
                <w:rFonts w:asciiTheme="minorHAnsi" w:hAnsiTheme="minorHAnsi" w:cstheme="minorHAnsi"/>
                <w:sz w:val="18"/>
                <w:szCs w:val="18"/>
                <w:lang w:eastAsia="en-GB"/>
              </w:rPr>
            </w:pPr>
            <w:r w:rsidRPr="00B82B7B">
              <w:rPr>
                <w:rFonts w:asciiTheme="minorHAnsi" w:hAnsiTheme="minorHAnsi" w:cstheme="minorHAnsi"/>
                <w:sz w:val="18"/>
                <w:szCs w:val="18"/>
              </w:rPr>
              <w:t>15</w:t>
            </w:r>
          </w:p>
        </w:tc>
        <w:tc>
          <w:tcPr>
            <w:tcW w:w="704" w:type="dxa"/>
            <w:tcBorders>
              <w:top w:val="nil"/>
              <w:left w:val="single" w:sz="8" w:space="0" w:color="auto"/>
              <w:bottom w:val="single" w:sz="8" w:space="0" w:color="auto"/>
              <w:right w:val="single" w:sz="8" w:space="0" w:color="auto"/>
            </w:tcBorders>
            <w:shd w:val="clear" w:color="auto" w:fill="auto"/>
            <w:vAlign w:val="center"/>
            <w:hideMark/>
          </w:tcPr>
          <w:p w14:paraId="370EC612" w14:textId="77777777" w:rsidR="00D96B96" w:rsidRPr="00B82B7B" w:rsidRDefault="00D96B96" w:rsidP="00B82B7B">
            <w:pPr>
              <w:pStyle w:val="Tabletext"/>
              <w:jc w:val="center"/>
              <w:rPr>
                <w:rFonts w:asciiTheme="minorHAnsi" w:hAnsiTheme="minorHAnsi" w:cstheme="minorHAnsi"/>
                <w:sz w:val="18"/>
                <w:szCs w:val="18"/>
                <w:lang w:eastAsia="en-GB"/>
              </w:rPr>
            </w:pPr>
            <w:r w:rsidRPr="00B82B7B">
              <w:rPr>
                <w:rFonts w:asciiTheme="minorHAnsi" w:hAnsiTheme="minorHAnsi" w:cstheme="minorHAnsi"/>
                <w:sz w:val="18"/>
                <w:szCs w:val="18"/>
              </w:rPr>
              <w:t>8</w:t>
            </w:r>
          </w:p>
        </w:tc>
        <w:tc>
          <w:tcPr>
            <w:tcW w:w="581" w:type="dxa"/>
            <w:tcBorders>
              <w:top w:val="nil"/>
              <w:left w:val="nil"/>
              <w:bottom w:val="single" w:sz="8" w:space="0" w:color="auto"/>
              <w:right w:val="single" w:sz="8" w:space="0" w:color="auto"/>
            </w:tcBorders>
            <w:shd w:val="clear" w:color="auto" w:fill="auto"/>
            <w:vAlign w:val="center"/>
            <w:hideMark/>
          </w:tcPr>
          <w:p w14:paraId="4CD16180" w14:textId="77777777" w:rsidR="00D96B96" w:rsidRPr="00B82B7B" w:rsidRDefault="00D96B96" w:rsidP="00B82B7B">
            <w:pPr>
              <w:pStyle w:val="Tabletext"/>
              <w:jc w:val="center"/>
              <w:rPr>
                <w:rFonts w:asciiTheme="minorHAnsi" w:hAnsiTheme="minorHAnsi" w:cstheme="minorHAnsi"/>
                <w:sz w:val="18"/>
                <w:szCs w:val="18"/>
                <w:lang w:eastAsia="en-GB"/>
              </w:rPr>
            </w:pPr>
            <w:r w:rsidRPr="00B82B7B">
              <w:rPr>
                <w:rFonts w:asciiTheme="minorHAnsi" w:hAnsiTheme="minorHAnsi" w:cstheme="minorHAnsi"/>
                <w:sz w:val="18"/>
                <w:szCs w:val="18"/>
              </w:rPr>
              <w:t>4</w:t>
            </w:r>
          </w:p>
        </w:tc>
        <w:tc>
          <w:tcPr>
            <w:tcW w:w="599" w:type="dxa"/>
            <w:tcBorders>
              <w:top w:val="nil"/>
              <w:left w:val="nil"/>
              <w:bottom w:val="single" w:sz="8" w:space="0" w:color="auto"/>
              <w:right w:val="single" w:sz="8" w:space="0" w:color="auto"/>
            </w:tcBorders>
            <w:shd w:val="clear" w:color="auto" w:fill="auto"/>
            <w:noWrap/>
            <w:vAlign w:val="center"/>
          </w:tcPr>
          <w:p w14:paraId="179657D9" w14:textId="77777777" w:rsidR="00D96B96" w:rsidRPr="00B82B7B" w:rsidRDefault="00D96B96" w:rsidP="00B82B7B">
            <w:pPr>
              <w:pStyle w:val="Tabletext"/>
              <w:jc w:val="center"/>
              <w:rPr>
                <w:rFonts w:asciiTheme="minorHAnsi" w:hAnsiTheme="minorHAnsi" w:cstheme="minorHAnsi"/>
                <w:sz w:val="18"/>
                <w:szCs w:val="18"/>
                <w:lang w:eastAsia="en-GB"/>
              </w:rPr>
            </w:pPr>
            <w:r w:rsidRPr="00B82B7B">
              <w:rPr>
                <w:rFonts w:asciiTheme="minorHAnsi" w:hAnsiTheme="minorHAnsi" w:cstheme="minorHAnsi"/>
                <w:sz w:val="18"/>
                <w:szCs w:val="18"/>
              </w:rPr>
              <w:t>18</w:t>
            </w:r>
          </w:p>
        </w:tc>
        <w:tc>
          <w:tcPr>
            <w:tcW w:w="598" w:type="dxa"/>
            <w:tcBorders>
              <w:top w:val="nil"/>
              <w:left w:val="nil"/>
              <w:bottom w:val="single" w:sz="8" w:space="0" w:color="auto"/>
              <w:right w:val="single" w:sz="8" w:space="0" w:color="auto"/>
            </w:tcBorders>
            <w:shd w:val="clear" w:color="000000" w:fill="A6A6A6"/>
            <w:vAlign w:val="center"/>
          </w:tcPr>
          <w:p w14:paraId="7DB4EC55" w14:textId="5403C1F1" w:rsidR="00D96B96" w:rsidRPr="00B82B7B" w:rsidRDefault="00D96B96" w:rsidP="00B82B7B">
            <w:pPr>
              <w:pStyle w:val="Tabletext"/>
              <w:jc w:val="center"/>
              <w:rPr>
                <w:rFonts w:asciiTheme="minorHAnsi" w:hAnsiTheme="minorHAnsi" w:cstheme="minorHAnsi"/>
                <w:b/>
                <w:bCs/>
                <w:sz w:val="18"/>
                <w:szCs w:val="18"/>
                <w:lang w:eastAsia="en-GB"/>
              </w:rPr>
            </w:pPr>
            <w:r w:rsidRPr="00B82B7B">
              <w:rPr>
                <w:rFonts w:asciiTheme="minorHAnsi" w:hAnsiTheme="minorHAnsi" w:cstheme="minorHAnsi"/>
                <w:b/>
                <w:bCs/>
                <w:sz w:val="18"/>
                <w:szCs w:val="18"/>
                <w:lang w:eastAsia="en-GB"/>
              </w:rPr>
              <w:t>33</w:t>
            </w:r>
            <w:r w:rsidR="00150E9D">
              <w:rPr>
                <w:rFonts w:asciiTheme="minorHAnsi" w:hAnsiTheme="minorHAnsi" w:cstheme="minorHAnsi"/>
                <w:b/>
                <w:bCs/>
                <w:sz w:val="18"/>
                <w:szCs w:val="18"/>
                <w:lang w:eastAsia="en-GB"/>
              </w:rPr>
              <w:t>9</w:t>
            </w:r>
          </w:p>
        </w:tc>
      </w:tr>
      <w:tr w:rsidR="00B82B7B" w:rsidRPr="00B82B7B" w14:paraId="433DF285" w14:textId="77777777" w:rsidTr="00B82B7B">
        <w:trPr>
          <w:trHeight w:val="242"/>
        </w:trPr>
        <w:tc>
          <w:tcPr>
            <w:tcW w:w="1550" w:type="dxa"/>
            <w:tcBorders>
              <w:top w:val="nil"/>
              <w:left w:val="nil"/>
              <w:bottom w:val="nil"/>
              <w:right w:val="nil"/>
            </w:tcBorders>
            <w:shd w:val="clear" w:color="auto" w:fill="auto"/>
            <w:noWrap/>
            <w:vAlign w:val="bottom"/>
            <w:hideMark/>
          </w:tcPr>
          <w:p w14:paraId="1B9EF063" w14:textId="77777777" w:rsidR="00D96B96" w:rsidRPr="00B82B7B" w:rsidRDefault="00D96B96" w:rsidP="00B82B7B">
            <w:pPr>
              <w:pStyle w:val="Tabletext"/>
              <w:rPr>
                <w:rFonts w:asciiTheme="minorHAnsi" w:hAnsiTheme="minorHAnsi" w:cstheme="minorHAnsi"/>
                <w:b/>
                <w:bCs/>
                <w:sz w:val="18"/>
                <w:szCs w:val="18"/>
                <w:lang w:eastAsia="en-GB"/>
              </w:rPr>
            </w:pPr>
          </w:p>
        </w:tc>
        <w:tc>
          <w:tcPr>
            <w:tcW w:w="619" w:type="dxa"/>
            <w:tcBorders>
              <w:top w:val="nil"/>
              <w:left w:val="nil"/>
              <w:bottom w:val="nil"/>
              <w:right w:val="nil"/>
            </w:tcBorders>
            <w:shd w:val="clear" w:color="000000" w:fill="FFFFFF"/>
            <w:noWrap/>
            <w:vAlign w:val="center"/>
          </w:tcPr>
          <w:p w14:paraId="3B78B7DE" w14:textId="77777777" w:rsidR="00D96B96" w:rsidRPr="00B82B7B" w:rsidRDefault="00D96B96" w:rsidP="00B82B7B">
            <w:pPr>
              <w:pStyle w:val="Tabletext"/>
              <w:jc w:val="center"/>
              <w:rPr>
                <w:rFonts w:asciiTheme="minorHAnsi" w:hAnsiTheme="minorHAnsi" w:cstheme="minorHAnsi"/>
                <w:sz w:val="18"/>
                <w:szCs w:val="18"/>
                <w:lang w:eastAsia="en-GB"/>
              </w:rPr>
            </w:pPr>
          </w:p>
        </w:tc>
        <w:tc>
          <w:tcPr>
            <w:tcW w:w="581" w:type="dxa"/>
            <w:tcBorders>
              <w:top w:val="nil"/>
              <w:left w:val="nil"/>
              <w:bottom w:val="nil"/>
              <w:right w:val="nil"/>
            </w:tcBorders>
            <w:shd w:val="clear" w:color="auto" w:fill="auto"/>
            <w:noWrap/>
            <w:vAlign w:val="bottom"/>
          </w:tcPr>
          <w:p w14:paraId="21329871" w14:textId="77777777" w:rsidR="00D96B96" w:rsidRPr="00B82B7B" w:rsidRDefault="00D96B96" w:rsidP="00B82B7B">
            <w:pPr>
              <w:pStyle w:val="Tabletext"/>
              <w:jc w:val="center"/>
              <w:rPr>
                <w:rFonts w:asciiTheme="minorHAnsi" w:hAnsiTheme="minorHAnsi" w:cstheme="minorHAnsi"/>
                <w:sz w:val="18"/>
                <w:szCs w:val="18"/>
                <w:lang w:eastAsia="en-GB"/>
              </w:rPr>
            </w:pPr>
          </w:p>
        </w:tc>
        <w:tc>
          <w:tcPr>
            <w:tcW w:w="699" w:type="dxa"/>
            <w:tcBorders>
              <w:top w:val="nil"/>
              <w:left w:val="nil"/>
              <w:bottom w:val="nil"/>
              <w:right w:val="nil"/>
            </w:tcBorders>
            <w:shd w:val="clear" w:color="000000" w:fill="FFFFFF"/>
            <w:noWrap/>
            <w:vAlign w:val="center"/>
          </w:tcPr>
          <w:p w14:paraId="2D0EE3E5" w14:textId="77777777" w:rsidR="00D96B96" w:rsidRPr="00B82B7B" w:rsidRDefault="00D96B96" w:rsidP="00B82B7B">
            <w:pPr>
              <w:pStyle w:val="Tabletext"/>
              <w:jc w:val="center"/>
              <w:rPr>
                <w:rFonts w:asciiTheme="minorHAnsi" w:hAnsiTheme="minorHAnsi" w:cstheme="minorHAnsi"/>
                <w:sz w:val="18"/>
                <w:szCs w:val="18"/>
                <w:lang w:eastAsia="en-GB"/>
              </w:rPr>
            </w:pPr>
          </w:p>
        </w:tc>
        <w:tc>
          <w:tcPr>
            <w:tcW w:w="619" w:type="dxa"/>
            <w:tcBorders>
              <w:top w:val="nil"/>
              <w:left w:val="nil"/>
              <w:bottom w:val="nil"/>
              <w:right w:val="nil"/>
            </w:tcBorders>
            <w:shd w:val="clear" w:color="000000" w:fill="FFFFFF"/>
            <w:noWrap/>
            <w:vAlign w:val="center"/>
          </w:tcPr>
          <w:p w14:paraId="2F498E8D" w14:textId="77777777" w:rsidR="00D96B96" w:rsidRPr="00B82B7B" w:rsidRDefault="00D96B96" w:rsidP="00B82B7B">
            <w:pPr>
              <w:pStyle w:val="Tabletext"/>
              <w:jc w:val="center"/>
              <w:rPr>
                <w:rFonts w:asciiTheme="minorHAnsi" w:hAnsiTheme="minorHAnsi" w:cstheme="minorHAnsi"/>
                <w:sz w:val="18"/>
                <w:szCs w:val="18"/>
                <w:lang w:eastAsia="en-GB"/>
              </w:rPr>
            </w:pPr>
          </w:p>
        </w:tc>
        <w:tc>
          <w:tcPr>
            <w:tcW w:w="703" w:type="dxa"/>
            <w:tcBorders>
              <w:top w:val="nil"/>
              <w:left w:val="nil"/>
              <w:bottom w:val="nil"/>
              <w:right w:val="nil"/>
            </w:tcBorders>
            <w:shd w:val="clear" w:color="000000" w:fill="FFFFFF"/>
            <w:noWrap/>
            <w:vAlign w:val="center"/>
          </w:tcPr>
          <w:p w14:paraId="33EE8034" w14:textId="77777777" w:rsidR="00D96B96" w:rsidRPr="00B82B7B" w:rsidRDefault="00D96B96" w:rsidP="00B82B7B">
            <w:pPr>
              <w:pStyle w:val="Tabletext"/>
              <w:jc w:val="center"/>
              <w:rPr>
                <w:rFonts w:asciiTheme="minorHAnsi" w:hAnsiTheme="minorHAnsi" w:cstheme="minorHAnsi"/>
                <w:sz w:val="18"/>
                <w:szCs w:val="18"/>
                <w:lang w:eastAsia="en-GB"/>
              </w:rPr>
            </w:pPr>
          </w:p>
        </w:tc>
        <w:tc>
          <w:tcPr>
            <w:tcW w:w="709" w:type="dxa"/>
            <w:tcBorders>
              <w:top w:val="nil"/>
              <w:left w:val="nil"/>
              <w:bottom w:val="nil"/>
              <w:right w:val="nil"/>
            </w:tcBorders>
            <w:shd w:val="clear" w:color="000000" w:fill="FFFFFF"/>
            <w:noWrap/>
            <w:vAlign w:val="center"/>
          </w:tcPr>
          <w:p w14:paraId="5FB92195" w14:textId="77777777" w:rsidR="00D96B96" w:rsidRPr="00B82B7B" w:rsidRDefault="00D96B96" w:rsidP="00B82B7B">
            <w:pPr>
              <w:pStyle w:val="Tabletext"/>
              <w:jc w:val="center"/>
              <w:rPr>
                <w:rFonts w:asciiTheme="minorHAnsi" w:hAnsiTheme="minorHAnsi" w:cstheme="minorHAnsi"/>
                <w:sz w:val="18"/>
                <w:szCs w:val="18"/>
                <w:lang w:eastAsia="en-GB"/>
              </w:rPr>
            </w:pPr>
          </w:p>
        </w:tc>
        <w:tc>
          <w:tcPr>
            <w:tcW w:w="581" w:type="dxa"/>
            <w:tcBorders>
              <w:top w:val="nil"/>
              <w:left w:val="nil"/>
              <w:bottom w:val="nil"/>
              <w:right w:val="nil"/>
            </w:tcBorders>
            <w:shd w:val="clear" w:color="000000" w:fill="FFFFFF"/>
            <w:noWrap/>
            <w:vAlign w:val="center"/>
          </w:tcPr>
          <w:p w14:paraId="5C4A3109" w14:textId="77777777" w:rsidR="00D96B96" w:rsidRPr="00B82B7B" w:rsidRDefault="00D96B96" w:rsidP="00B82B7B">
            <w:pPr>
              <w:pStyle w:val="Tabletext"/>
              <w:jc w:val="center"/>
              <w:rPr>
                <w:rFonts w:asciiTheme="minorHAnsi" w:hAnsiTheme="minorHAnsi" w:cstheme="minorHAnsi"/>
                <w:sz w:val="18"/>
                <w:szCs w:val="18"/>
                <w:lang w:eastAsia="en-GB"/>
              </w:rPr>
            </w:pPr>
          </w:p>
        </w:tc>
        <w:tc>
          <w:tcPr>
            <w:tcW w:w="704" w:type="dxa"/>
            <w:tcBorders>
              <w:top w:val="nil"/>
              <w:left w:val="nil"/>
              <w:bottom w:val="nil"/>
              <w:right w:val="nil"/>
            </w:tcBorders>
            <w:shd w:val="clear" w:color="000000" w:fill="FFFFFF"/>
            <w:noWrap/>
            <w:vAlign w:val="center"/>
          </w:tcPr>
          <w:p w14:paraId="2548134B" w14:textId="77777777" w:rsidR="00D96B96" w:rsidRPr="00B82B7B" w:rsidRDefault="00D96B96" w:rsidP="00B82B7B">
            <w:pPr>
              <w:pStyle w:val="Tabletext"/>
              <w:jc w:val="center"/>
              <w:rPr>
                <w:rFonts w:asciiTheme="minorHAnsi" w:hAnsiTheme="minorHAnsi" w:cstheme="minorHAnsi"/>
                <w:sz w:val="18"/>
                <w:szCs w:val="18"/>
                <w:lang w:eastAsia="en-GB"/>
              </w:rPr>
            </w:pPr>
          </w:p>
        </w:tc>
        <w:tc>
          <w:tcPr>
            <w:tcW w:w="619" w:type="dxa"/>
            <w:tcBorders>
              <w:top w:val="nil"/>
              <w:left w:val="nil"/>
              <w:bottom w:val="nil"/>
              <w:right w:val="nil"/>
            </w:tcBorders>
            <w:shd w:val="clear" w:color="000000" w:fill="FFFFFF"/>
            <w:noWrap/>
            <w:vAlign w:val="center"/>
          </w:tcPr>
          <w:p w14:paraId="5918E2BC" w14:textId="77777777" w:rsidR="00D96B96" w:rsidRPr="00B82B7B" w:rsidRDefault="00D96B96" w:rsidP="00B82B7B">
            <w:pPr>
              <w:pStyle w:val="Tabletext"/>
              <w:jc w:val="center"/>
              <w:rPr>
                <w:rFonts w:asciiTheme="minorHAnsi" w:hAnsiTheme="minorHAnsi" w:cstheme="minorHAnsi"/>
                <w:b/>
                <w:bCs/>
                <w:sz w:val="18"/>
                <w:szCs w:val="18"/>
                <w:lang w:eastAsia="en-GB"/>
              </w:rPr>
            </w:pPr>
          </w:p>
        </w:tc>
        <w:tc>
          <w:tcPr>
            <w:tcW w:w="704" w:type="dxa"/>
            <w:tcBorders>
              <w:top w:val="nil"/>
              <w:left w:val="nil"/>
              <w:bottom w:val="nil"/>
              <w:right w:val="nil"/>
            </w:tcBorders>
            <w:shd w:val="clear" w:color="000000" w:fill="FFFFFF"/>
            <w:vAlign w:val="center"/>
          </w:tcPr>
          <w:p w14:paraId="2ABF32DF" w14:textId="77777777" w:rsidR="00D96B96" w:rsidRPr="00B82B7B" w:rsidRDefault="00D96B96" w:rsidP="00B82B7B">
            <w:pPr>
              <w:pStyle w:val="Tabletext"/>
              <w:jc w:val="center"/>
              <w:rPr>
                <w:rFonts w:asciiTheme="minorHAnsi" w:hAnsiTheme="minorHAnsi" w:cstheme="minorHAnsi"/>
                <w:b/>
                <w:bCs/>
                <w:sz w:val="18"/>
                <w:szCs w:val="18"/>
                <w:lang w:eastAsia="en-GB"/>
              </w:rPr>
            </w:pPr>
          </w:p>
        </w:tc>
        <w:tc>
          <w:tcPr>
            <w:tcW w:w="581" w:type="dxa"/>
            <w:tcBorders>
              <w:top w:val="nil"/>
              <w:left w:val="nil"/>
              <w:bottom w:val="nil"/>
              <w:right w:val="nil"/>
            </w:tcBorders>
            <w:shd w:val="clear" w:color="000000" w:fill="FFFFFF"/>
            <w:vAlign w:val="center"/>
          </w:tcPr>
          <w:p w14:paraId="040F500F" w14:textId="77777777" w:rsidR="00D96B96" w:rsidRPr="00B82B7B" w:rsidRDefault="00D96B96" w:rsidP="00B82B7B">
            <w:pPr>
              <w:pStyle w:val="Tabletext"/>
              <w:jc w:val="center"/>
              <w:rPr>
                <w:rFonts w:asciiTheme="minorHAnsi" w:hAnsiTheme="minorHAnsi" w:cstheme="minorHAnsi"/>
                <w:b/>
                <w:bCs/>
                <w:sz w:val="18"/>
                <w:szCs w:val="18"/>
                <w:lang w:eastAsia="en-GB"/>
              </w:rPr>
            </w:pPr>
          </w:p>
        </w:tc>
        <w:tc>
          <w:tcPr>
            <w:tcW w:w="599" w:type="dxa"/>
            <w:tcBorders>
              <w:top w:val="nil"/>
              <w:left w:val="nil"/>
              <w:bottom w:val="nil"/>
              <w:right w:val="nil"/>
            </w:tcBorders>
            <w:shd w:val="clear" w:color="auto" w:fill="auto"/>
            <w:noWrap/>
            <w:vAlign w:val="center"/>
          </w:tcPr>
          <w:p w14:paraId="5A7F0805" w14:textId="77777777" w:rsidR="00D96B96" w:rsidRPr="00B82B7B" w:rsidRDefault="00D96B96" w:rsidP="00B82B7B">
            <w:pPr>
              <w:pStyle w:val="Tabletext"/>
              <w:jc w:val="center"/>
              <w:rPr>
                <w:rFonts w:asciiTheme="minorHAnsi" w:hAnsiTheme="minorHAnsi" w:cstheme="minorHAnsi"/>
                <w:sz w:val="18"/>
                <w:szCs w:val="18"/>
                <w:lang w:eastAsia="en-GB"/>
              </w:rPr>
            </w:pPr>
          </w:p>
        </w:tc>
        <w:tc>
          <w:tcPr>
            <w:tcW w:w="598" w:type="dxa"/>
            <w:tcBorders>
              <w:top w:val="nil"/>
              <w:left w:val="nil"/>
              <w:bottom w:val="nil"/>
              <w:right w:val="nil"/>
            </w:tcBorders>
            <w:shd w:val="clear" w:color="000000" w:fill="FFFFFF"/>
            <w:vAlign w:val="bottom"/>
          </w:tcPr>
          <w:p w14:paraId="566386F9" w14:textId="77777777" w:rsidR="00D96B96" w:rsidRPr="00B82B7B" w:rsidRDefault="00D96B96" w:rsidP="00B82B7B">
            <w:pPr>
              <w:pStyle w:val="Tabletext"/>
              <w:jc w:val="center"/>
              <w:rPr>
                <w:rFonts w:asciiTheme="minorHAnsi" w:hAnsiTheme="minorHAnsi" w:cstheme="minorHAnsi"/>
                <w:sz w:val="18"/>
                <w:szCs w:val="18"/>
                <w:lang w:eastAsia="en-GB"/>
              </w:rPr>
            </w:pPr>
          </w:p>
        </w:tc>
      </w:tr>
      <w:tr w:rsidR="00D96B96" w:rsidRPr="00B82B7B" w14:paraId="4BA27703" w14:textId="77777777" w:rsidTr="00B82B7B">
        <w:trPr>
          <w:trHeight w:val="242"/>
        </w:trPr>
        <w:tc>
          <w:tcPr>
            <w:tcW w:w="1550" w:type="dxa"/>
            <w:tcBorders>
              <w:top w:val="single" w:sz="8" w:space="0" w:color="auto"/>
              <w:left w:val="single" w:sz="8" w:space="0" w:color="auto"/>
              <w:bottom w:val="single" w:sz="8" w:space="0" w:color="auto"/>
              <w:right w:val="single" w:sz="8" w:space="0" w:color="auto"/>
            </w:tcBorders>
            <w:shd w:val="clear" w:color="auto" w:fill="auto"/>
            <w:noWrap/>
            <w:hideMark/>
          </w:tcPr>
          <w:p w14:paraId="3A8DC005" w14:textId="77777777" w:rsidR="00D96B96" w:rsidRPr="00B82B7B" w:rsidRDefault="00D96B96" w:rsidP="00B82B7B">
            <w:pPr>
              <w:pStyle w:val="Tabletext"/>
              <w:rPr>
                <w:rFonts w:asciiTheme="minorHAnsi" w:hAnsiTheme="minorHAnsi" w:cstheme="minorHAnsi"/>
                <w:sz w:val="18"/>
                <w:szCs w:val="18"/>
                <w:lang w:eastAsia="en-GB"/>
              </w:rPr>
            </w:pPr>
            <w:r w:rsidRPr="00B82B7B">
              <w:rPr>
                <w:rFonts w:asciiTheme="minorHAnsi" w:hAnsiTheme="minorHAnsi" w:cstheme="minorHAnsi"/>
                <w:sz w:val="18"/>
                <w:szCs w:val="18"/>
                <w:lang w:eastAsia="en-GB"/>
              </w:rPr>
              <w:t>% de recomendaciones en curso</w:t>
            </w:r>
          </w:p>
        </w:tc>
        <w:tc>
          <w:tcPr>
            <w:tcW w:w="619" w:type="dxa"/>
            <w:tcBorders>
              <w:top w:val="single" w:sz="8" w:space="0" w:color="auto"/>
              <w:left w:val="nil"/>
              <w:bottom w:val="single" w:sz="8" w:space="0" w:color="auto"/>
              <w:right w:val="single" w:sz="8" w:space="0" w:color="auto"/>
            </w:tcBorders>
            <w:shd w:val="clear" w:color="auto" w:fill="auto"/>
            <w:noWrap/>
            <w:vAlign w:val="center"/>
          </w:tcPr>
          <w:p w14:paraId="6B0C4247" w14:textId="77777777" w:rsidR="00D96B96" w:rsidRPr="00B82B7B" w:rsidRDefault="00D96B96" w:rsidP="00B82B7B">
            <w:pPr>
              <w:pStyle w:val="Tabletext"/>
              <w:jc w:val="center"/>
              <w:rPr>
                <w:rFonts w:asciiTheme="minorHAnsi" w:hAnsiTheme="minorHAnsi" w:cstheme="minorHAnsi"/>
                <w:sz w:val="18"/>
                <w:szCs w:val="18"/>
                <w:lang w:eastAsia="en-GB"/>
              </w:rPr>
            </w:pPr>
            <w:r w:rsidRPr="00B82B7B">
              <w:rPr>
                <w:rFonts w:asciiTheme="minorHAnsi" w:hAnsiTheme="minorHAnsi" w:cstheme="minorHAnsi"/>
                <w:sz w:val="18"/>
                <w:szCs w:val="18"/>
              </w:rPr>
              <w:t>0%</w:t>
            </w:r>
          </w:p>
        </w:tc>
        <w:tc>
          <w:tcPr>
            <w:tcW w:w="581" w:type="dxa"/>
            <w:tcBorders>
              <w:top w:val="single" w:sz="8" w:space="0" w:color="auto"/>
              <w:left w:val="nil"/>
              <w:bottom w:val="single" w:sz="8" w:space="0" w:color="auto"/>
              <w:right w:val="single" w:sz="8" w:space="0" w:color="auto"/>
            </w:tcBorders>
            <w:shd w:val="clear" w:color="auto" w:fill="auto"/>
            <w:noWrap/>
            <w:vAlign w:val="bottom"/>
          </w:tcPr>
          <w:p w14:paraId="50577C0D" w14:textId="77777777" w:rsidR="00D96B96" w:rsidRPr="00B82B7B" w:rsidRDefault="00D96B96" w:rsidP="00B82B7B">
            <w:pPr>
              <w:pStyle w:val="Tabletext"/>
              <w:jc w:val="center"/>
              <w:rPr>
                <w:rFonts w:asciiTheme="minorHAnsi" w:hAnsiTheme="minorHAnsi" w:cstheme="minorHAnsi"/>
                <w:sz w:val="18"/>
                <w:szCs w:val="18"/>
                <w:lang w:eastAsia="en-GB"/>
              </w:rPr>
            </w:pPr>
          </w:p>
        </w:tc>
        <w:tc>
          <w:tcPr>
            <w:tcW w:w="699" w:type="dxa"/>
            <w:tcBorders>
              <w:top w:val="single" w:sz="8" w:space="0" w:color="auto"/>
              <w:left w:val="nil"/>
              <w:bottom w:val="single" w:sz="8" w:space="0" w:color="auto"/>
              <w:right w:val="single" w:sz="8" w:space="0" w:color="auto"/>
            </w:tcBorders>
            <w:shd w:val="clear" w:color="auto" w:fill="auto"/>
            <w:noWrap/>
            <w:vAlign w:val="center"/>
          </w:tcPr>
          <w:p w14:paraId="473EEC0B" w14:textId="77777777" w:rsidR="00D96B96" w:rsidRPr="00B82B7B" w:rsidRDefault="00D96B96" w:rsidP="00B82B7B">
            <w:pPr>
              <w:pStyle w:val="Tabletext"/>
              <w:jc w:val="center"/>
              <w:rPr>
                <w:rFonts w:asciiTheme="minorHAnsi" w:hAnsiTheme="minorHAnsi" w:cstheme="minorHAnsi"/>
                <w:sz w:val="18"/>
                <w:szCs w:val="18"/>
                <w:lang w:eastAsia="en-GB"/>
              </w:rPr>
            </w:pPr>
            <w:r w:rsidRPr="00B82B7B">
              <w:rPr>
                <w:rFonts w:asciiTheme="minorHAnsi" w:hAnsiTheme="minorHAnsi" w:cstheme="minorHAnsi"/>
                <w:sz w:val="18"/>
                <w:szCs w:val="18"/>
              </w:rPr>
              <w:t>0%</w:t>
            </w:r>
          </w:p>
        </w:tc>
        <w:tc>
          <w:tcPr>
            <w:tcW w:w="619" w:type="dxa"/>
            <w:tcBorders>
              <w:top w:val="single" w:sz="8" w:space="0" w:color="auto"/>
              <w:left w:val="nil"/>
              <w:bottom w:val="single" w:sz="8" w:space="0" w:color="auto"/>
              <w:right w:val="single" w:sz="8" w:space="0" w:color="auto"/>
            </w:tcBorders>
            <w:shd w:val="clear" w:color="auto" w:fill="auto"/>
            <w:noWrap/>
            <w:vAlign w:val="center"/>
          </w:tcPr>
          <w:p w14:paraId="53F23C5C" w14:textId="77777777" w:rsidR="00D96B96" w:rsidRPr="00B82B7B" w:rsidRDefault="00D96B96" w:rsidP="00B82B7B">
            <w:pPr>
              <w:pStyle w:val="Tabletext"/>
              <w:jc w:val="center"/>
              <w:rPr>
                <w:rFonts w:asciiTheme="minorHAnsi" w:hAnsiTheme="minorHAnsi" w:cstheme="minorHAnsi"/>
                <w:sz w:val="18"/>
                <w:szCs w:val="18"/>
                <w:lang w:eastAsia="en-GB"/>
              </w:rPr>
            </w:pPr>
            <w:r w:rsidRPr="00B82B7B">
              <w:rPr>
                <w:rFonts w:asciiTheme="minorHAnsi" w:hAnsiTheme="minorHAnsi" w:cstheme="minorHAnsi"/>
                <w:sz w:val="18"/>
                <w:szCs w:val="18"/>
              </w:rPr>
              <w:t>0%</w:t>
            </w:r>
          </w:p>
        </w:tc>
        <w:tc>
          <w:tcPr>
            <w:tcW w:w="703" w:type="dxa"/>
            <w:tcBorders>
              <w:top w:val="single" w:sz="8" w:space="0" w:color="auto"/>
              <w:left w:val="nil"/>
              <w:bottom w:val="single" w:sz="8" w:space="0" w:color="auto"/>
              <w:right w:val="single" w:sz="8" w:space="0" w:color="auto"/>
            </w:tcBorders>
            <w:shd w:val="clear" w:color="auto" w:fill="auto"/>
            <w:noWrap/>
            <w:vAlign w:val="center"/>
          </w:tcPr>
          <w:p w14:paraId="0F027183" w14:textId="77777777" w:rsidR="00D96B96" w:rsidRPr="00B82B7B" w:rsidRDefault="00D96B96" w:rsidP="00B82B7B">
            <w:pPr>
              <w:pStyle w:val="Tabletext"/>
              <w:jc w:val="center"/>
              <w:rPr>
                <w:rFonts w:asciiTheme="minorHAnsi" w:hAnsiTheme="minorHAnsi" w:cstheme="minorHAnsi"/>
                <w:sz w:val="18"/>
                <w:szCs w:val="18"/>
                <w:lang w:eastAsia="en-GB"/>
              </w:rPr>
            </w:pPr>
            <w:r w:rsidRPr="00B82B7B">
              <w:rPr>
                <w:rFonts w:asciiTheme="minorHAnsi" w:hAnsiTheme="minorHAnsi" w:cstheme="minorHAnsi"/>
                <w:sz w:val="18"/>
                <w:szCs w:val="18"/>
              </w:rPr>
              <w:t>0%</w:t>
            </w:r>
          </w:p>
        </w:tc>
        <w:tc>
          <w:tcPr>
            <w:tcW w:w="709" w:type="dxa"/>
            <w:tcBorders>
              <w:top w:val="single" w:sz="8" w:space="0" w:color="auto"/>
              <w:left w:val="nil"/>
              <w:bottom w:val="single" w:sz="8" w:space="0" w:color="auto"/>
              <w:right w:val="single" w:sz="8" w:space="0" w:color="auto"/>
            </w:tcBorders>
            <w:shd w:val="clear" w:color="auto" w:fill="auto"/>
            <w:noWrap/>
            <w:vAlign w:val="center"/>
          </w:tcPr>
          <w:p w14:paraId="6BC96B21" w14:textId="448D85AC" w:rsidR="00D96B96" w:rsidRPr="00B82B7B" w:rsidRDefault="00150E9D" w:rsidP="00B82B7B">
            <w:pPr>
              <w:pStyle w:val="Tabletext"/>
              <w:jc w:val="center"/>
              <w:rPr>
                <w:rFonts w:asciiTheme="minorHAnsi" w:hAnsiTheme="minorHAnsi" w:cstheme="minorHAnsi"/>
                <w:sz w:val="18"/>
                <w:szCs w:val="18"/>
                <w:lang w:eastAsia="en-GB"/>
              </w:rPr>
            </w:pPr>
            <w:r>
              <w:rPr>
                <w:rFonts w:asciiTheme="minorHAnsi" w:hAnsiTheme="minorHAnsi" w:cstheme="minorHAnsi"/>
                <w:sz w:val="18"/>
                <w:szCs w:val="18"/>
              </w:rPr>
              <w:t>1</w:t>
            </w:r>
            <w:r w:rsidR="00D96B96" w:rsidRPr="00B82B7B">
              <w:rPr>
                <w:rFonts w:asciiTheme="minorHAnsi" w:hAnsiTheme="minorHAnsi" w:cstheme="minorHAnsi"/>
                <w:sz w:val="18"/>
                <w:szCs w:val="18"/>
              </w:rPr>
              <w:t>3%</w:t>
            </w:r>
          </w:p>
        </w:tc>
        <w:tc>
          <w:tcPr>
            <w:tcW w:w="581" w:type="dxa"/>
            <w:tcBorders>
              <w:top w:val="single" w:sz="8" w:space="0" w:color="auto"/>
              <w:left w:val="nil"/>
              <w:bottom w:val="single" w:sz="8" w:space="0" w:color="auto"/>
              <w:right w:val="single" w:sz="8" w:space="0" w:color="auto"/>
            </w:tcBorders>
            <w:shd w:val="clear" w:color="auto" w:fill="auto"/>
            <w:noWrap/>
            <w:vAlign w:val="center"/>
          </w:tcPr>
          <w:p w14:paraId="291FC833" w14:textId="0D5E4460" w:rsidR="00D96B96" w:rsidRPr="00B82B7B" w:rsidRDefault="00D96B96" w:rsidP="00B82B7B">
            <w:pPr>
              <w:pStyle w:val="Tabletext"/>
              <w:jc w:val="center"/>
              <w:rPr>
                <w:rFonts w:asciiTheme="minorHAnsi" w:hAnsiTheme="minorHAnsi" w:cstheme="minorHAnsi"/>
                <w:sz w:val="18"/>
                <w:szCs w:val="18"/>
                <w:lang w:eastAsia="en-GB"/>
              </w:rPr>
            </w:pPr>
            <w:r w:rsidRPr="00B82B7B">
              <w:rPr>
                <w:rFonts w:asciiTheme="minorHAnsi" w:hAnsiTheme="minorHAnsi" w:cstheme="minorHAnsi"/>
                <w:sz w:val="18"/>
                <w:szCs w:val="18"/>
              </w:rPr>
              <w:t>1</w:t>
            </w:r>
            <w:r w:rsidR="00150E9D">
              <w:rPr>
                <w:rFonts w:asciiTheme="minorHAnsi" w:hAnsiTheme="minorHAnsi" w:cstheme="minorHAnsi"/>
                <w:sz w:val="18"/>
                <w:szCs w:val="18"/>
              </w:rPr>
              <w:t>5</w:t>
            </w:r>
            <w:r w:rsidRPr="00B82B7B">
              <w:rPr>
                <w:rFonts w:asciiTheme="minorHAnsi" w:hAnsiTheme="minorHAnsi" w:cstheme="minorHAnsi"/>
                <w:sz w:val="18"/>
                <w:szCs w:val="18"/>
              </w:rPr>
              <w:t>%</w:t>
            </w:r>
          </w:p>
        </w:tc>
        <w:tc>
          <w:tcPr>
            <w:tcW w:w="704" w:type="dxa"/>
            <w:tcBorders>
              <w:top w:val="single" w:sz="8" w:space="0" w:color="auto"/>
              <w:left w:val="nil"/>
              <w:bottom w:val="single" w:sz="8" w:space="0" w:color="auto"/>
              <w:right w:val="single" w:sz="8" w:space="0" w:color="auto"/>
            </w:tcBorders>
            <w:shd w:val="clear" w:color="auto" w:fill="auto"/>
            <w:noWrap/>
            <w:vAlign w:val="center"/>
          </w:tcPr>
          <w:p w14:paraId="43502611" w14:textId="77777777" w:rsidR="00D96B96" w:rsidRPr="00B82B7B" w:rsidRDefault="00D96B96" w:rsidP="00B82B7B">
            <w:pPr>
              <w:pStyle w:val="Tabletext"/>
              <w:jc w:val="center"/>
              <w:rPr>
                <w:rFonts w:asciiTheme="minorHAnsi" w:hAnsiTheme="minorHAnsi" w:cstheme="minorHAnsi"/>
                <w:sz w:val="18"/>
                <w:szCs w:val="18"/>
                <w:lang w:eastAsia="en-GB"/>
              </w:rPr>
            </w:pPr>
            <w:r w:rsidRPr="00B82B7B">
              <w:rPr>
                <w:rFonts w:asciiTheme="minorHAnsi" w:hAnsiTheme="minorHAnsi" w:cstheme="minorHAnsi"/>
                <w:sz w:val="18"/>
                <w:szCs w:val="18"/>
              </w:rPr>
              <w:t>12%</w:t>
            </w:r>
          </w:p>
        </w:tc>
        <w:tc>
          <w:tcPr>
            <w:tcW w:w="619" w:type="dxa"/>
            <w:tcBorders>
              <w:top w:val="single" w:sz="8" w:space="0" w:color="auto"/>
              <w:left w:val="nil"/>
              <w:bottom w:val="single" w:sz="8" w:space="0" w:color="auto"/>
              <w:right w:val="single" w:sz="8" w:space="0" w:color="auto"/>
            </w:tcBorders>
            <w:shd w:val="clear" w:color="auto" w:fill="auto"/>
            <w:noWrap/>
            <w:vAlign w:val="center"/>
          </w:tcPr>
          <w:p w14:paraId="74D13656" w14:textId="77777777" w:rsidR="00D96B96" w:rsidRPr="00B82B7B" w:rsidRDefault="00D96B96" w:rsidP="00B82B7B">
            <w:pPr>
              <w:pStyle w:val="Tabletext"/>
              <w:jc w:val="center"/>
              <w:rPr>
                <w:rFonts w:asciiTheme="minorHAnsi" w:hAnsiTheme="minorHAnsi" w:cstheme="minorHAnsi"/>
                <w:sz w:val="18"/>
                <w:szCs w:val="18"/>
                <w:lang w:eastAsia="en-GB"/>
              </w:rPr>
            </w:pPr>
            <w:r w:rsidRPr="00B82B7B">
              <w:rPr>
                <w:rFonts w:asciiTheme="minorHAnsi" w:hAnsiTheme="minorHAnsi" w:cstheme="minorHAnsi"/>
                <w:sz w:val="18"/>
                <w:szCs w:val="18"/>
              </w:rPr>
              <w:t>0%</w:t>
            </w:r>
          </w:p>
        </w:tc>
        <w:tc>
          <w:tcPr>
            <w:tcW w:w="704" w:type="dxa"/>
            <w:tcBorders>
              <w:top w:val="single" w:sz="8" w:space="0" w:color="auto"/>
              <w:left w:val="nil"/>
              <w:bottom w:val="single" w:sz="8" w:space="0" w:color="auto"/>
              <w:right w:val="single" w:sz="8" w:space="0" w:color="auto"/>
            </w:tcBorders>
            <w:shd w:val="clear" w:color="auto" w:fill="auto"/>
            <w:noWrap/>
            <w:vAlign w:val="center"/>
          </w:tcPr>
          <w:p w14:paraId="191E6B1E" w14:textId="77777777" w:rsidR="00D96B96" w:rsidRPr="00B82B7B" w:rsidRDefault="00D96B96" w:rsidP="00B82B7B">
            <w:pPr>
              <w:pStyle w:val="Tabletext"/>
              <w:jc w:val="center"/>
              <w:rPr>
                <w:rFonts w:asciiTheme="minorHAnsi" w:hAnsiTheme="minorHAnsi" w:cstheme="minorHAnsi"/>
                <w:sz w:val="18"/>
                <w:szCs w:val="18"/>
                <w:lang w:eastAsia="en-GB"/>
              </w:rPr>
            </w:pPr>
            <w:r w:rsidRPr="00B82B7B">
              <w:rPr>
                <w:rFonts w:asciiTheme="minorHAnsi" w:hAnsiTheme="minorHAnsi" w:cstheme="minorHAnsi"/>
                <w:sz w:val="18"/>
                <w:szCs w:val="18"/>
              </w:rPr>
              <w:t>11%</w:t>
            </w:r>
          </w:p>
        </w:tc>
        <w:tc>
          <w:tcPr>
            <w:tcW w:w="581" w:type="dxa"/>
            <w:tcBorders>
              <w:top w:val="single" w:sz="8" w:space="0" w:color="auto"/>
              <w:left w:val="nil"/>
              <w:bottom w:val="single" w:sz="8" w:space="0" w:color="auto"/>
              <w:right w:val="single" w:sz="8" w:space="0" w:color="auto"/>
            </w:tcBorders>
            <w:shd w:val="clear" w:color="auto" w:fill="auto"/>
            <w:noWrap/>
            <w:vAlign w:val="center"/>
          </w:tcPr>
          <w:p w14:paraId="3F002AB3" w14:textId="77777777" w:rsidR="00D96B96" w:rsidRPr="00B82B7B" w:rsidRDefault="00D96B96" w:rsidP="00B82B7B">
            <w:pPr>
              <w:pStyle w:val="Tabletext"/>
              <w:jc w:val="center"/>
              <w:rPr>
                <w:rFonts w:asciiTheme="minorHAnsi" w:hAnsiTheme="minorHAnsi" w:cstheme="minorHAnsi"/>
                <w:sz w:val="18"/>
                <w:szCs w:val="18"/>
                <w:lang w:eastAsia="en-GB"/>
              </w:rPr>
            </w:pPr>
            <w:r w:rsidRPr="00B82B7B">
              <w:rPr>
                <w:rFonts w:asciiTheme="minorHAnsi" w:hAnsiTheme="minorHAnsi" w:cstheme="minorHAnsi"/>
                <w:sz w:val="18"/>
                <w:szCs w:val="18"/>
              </w:rPr>
              <w:t>63%</w:t>
            </w:r>
          </w:p>
        </w:tc>
        <w:tc>
          <w:tcPr>
            <w:tcW w:w="599" w:type="dxa"/>
            <w:tcBorders>
              <w:top w:val="single" w:sz="8" w:space="0" w:color="auto"/>
              <w:left w:val="nil"/>
              <w:bottom w:val="single" w:sz="8" w:space="0" w:color="auto"/>
              <w:right w:val="single" w:sz="8" w:space="0" w:color="auto"/>
            </w:tcBorders>
            <w:shd w:val="clear" w:color="auto" w:fill="auto"/>
            <w:noWrap/>
            <w:vAlign w:val="center"/>
          </w:tcPr>
          <w:p w14:paraId="0472F5D7" w14:textId="77777777" w:rsidR="00D96B96" w:rsidRPr="00B82B7B" w:rsidRDefault="00D96B96" w:rsidP="00B82B7B">
            <w:pPr>
              <w:pStyle w:val="Tabletext"/>
              <w:jc w:val="center"/>
              <w:rPr>
                <w:rFonts w:asciiTheme="minorHAnsi" w:hAnsiTheme="minorHAnsi" w:cstheme="minorHAnsi"/>
                <w:sz w:val="18"/>
                <w:szCs w:val="18"/>
                <w:lang w:eastAsia="en-GB"/>
              </w:rPr>
            </w:pPr>
            <w:r w:rsidRPr="00B82B7B">
              <w:rPr>
                <w:rFonts w:asciiTheme="minorHAnsi" w:hAnsiTheme="minorHAnsi" w:cstheme="minorHAnsi"/>
                <w:sz w:val="18"/>
                <w:szCs w:val="18"/>
              </w:rPr>
              <w:t>39%</w:t>
            </w:r>
          </w:p>
        </w:tc>
        <w:tc>
          <w:tcPr>
            <w:tcW w:w="598" w:type="dxa"/>
            <w:tcBorders>
              <w:top w:val="single" w:sz="8" w:space="0" w:color="auto"/>
              <w:left w:val="nil"/>
              <w:bottom w:val="single" w:sz="8" w:space="0" w:color="auto"/>
              <w:right w:val="single" w:sz="8" w:space="0" w:color="auto"/>
            </w:tcBorders>
            <w:shd w:val="clear" w:color="000000" w:fill="A6A6A6"/>
            <w:vAlign w:val="center"/>
          </w:tcPr>
          <w:p w14:paraId="494DE04B" w14:textId="77777777" w:rsidR="00D96B96" w:rsidRPr="00B82B7B" w:rsidRDefault="00D96B96" w:rsidP="00B82B7B">
            <w:pPr>
              <w:pStyle w:val="Tabletext"/>
              <w:jc w:val="center"/>
              <w:rPr>
                <w:rFonts w:asciiTheme="minorHAnsi" w:hAnsiTheme="minorHAnsi" w:cstheme="minorHAnsi"/>
                <w:b/>
                <w:bCs/>
                <w:sz w:val="18"/>
                <w:szCs w:val="18"/>
                <w:lang w:eastAsia="en-GB"/>
              </w:rPr>
            </w:pPr>
            <w:r w:rsidRPr="00B82B7B">
              <w:rPr>
                <w:rFonts w:asciiTheme="minorHAnsi" w:hAnsiTheme="minorHAnsi" w:cstheme="minorHAnsi"/>
                <w:b/>
                <w:bCs/>
                <w:sz w:val="18"/>
                <w:szCs w:val="18"/>
                <w:lang w:eastAsia="en-GB"/>
              </w:rPr>
              <w:t>10%</w:t>
            </w:r>
          </w:p>
        </w:tc>
      </w:tr>
      <w:tr w:rsidR="00D96B96" w:rsidRPr="00B82B7B" w14:paraId="0CB04B59" w14:textId="77777777" w:rsidTr="00B82B7B">
        <w:trPr>
          <w:trHeight w:val="242"/>
        </w:trPr>
        <w:tc>
          <w:tcPr>
            <w:tcW w:w="1550" w:type="dxa"/>
            <w:tcBorders>
              <w:top w:val="nil"/>
              <w:left w:val="single" w:sz="8" w:space="0" w:color="auto"/>
              <w:bottom w:val="single" w:sz="8" w:space="0" w:color="auto"/>
              <w:right w:val="single" w:sz="8" w:space="0" w:color="auto"/>
            </w:tcBorders>
            <w:shd w:val="clear" w:color="auto" w:fill="auto"/>
            <w:noWrap/>
            <w:hideMark/>
          </w:tcPr>
          <w:p w14:paraId="32BC78CB" w14:textId="77777777" w:rsidR="00D96B96" w:rsidRPr="00B82B7B" w:rsidRDefault="00D96B96" w:rsidP="00B82B7B">
            <w:pPr>
              <w:pStyle w:val="Tabletext"/>
              <w:rPr>
                <w:rFonts w:asciiTheme="minorHAnsi" w:hAnsiTheme="minorHAnsi" w:cstheme="minorHAnsi"/>
                <w:sz w:val="18"/>
                <w:szCs w:val="18"/>
                <w:lang w:eastAsia="en-GB"/>
              </w:rPr>
            </w:pPr>
            <w:r w:rsidRPr="00B82B7B">
              <w:rPr>
                <w:rFonts w:asciiTheme="minorHAnsi" w:hAnsiTheme="minorHAnsi" w:cstheme="minorHAnsi"/>
                <w:sz w:val="18"/>
                <w:szCs w:val="18"/>
                <w:lang w:eastAsia="en-GB"/>
              </w:rPr>
              <w:t>% de recomendaciones retrasadas</w:t>
            </w:r>
          </w:p>
        </w:tc>
        <w:tc>
          <w:tcPr>
            <w:tcW w:w="619" w:type="dxa"/>
            <w:tcBorders>
              <w:top w:val="nil"/>
              <w:left w:val="nil"/>
              <w:bottom w:val="single" w:sz="8" w:space="0" w:color="auto"/>
              <w:right w:val="single" w:sz="8" w:space="0" w:color="auto"/>
            </w:tcBorders>
            <w:shd w:val="clear" w:color="auto" w:fill="auto"/>
            <w:noWrap/>
            <w:vAlign w:val="center"/>
          </w:tcPr>
          <w:p w14:paraId="0372E143" w14:textId="77777777" w:rsidR="00D96B96" w:rsidRPr="00B82B7B" w:rsidRDefault="00D96B96" w:rsidP="00B82B7B">
            <w:pPr>
              <w:pStyle w:val="Tabletext"/>
              <w:jc w:val="center"/>
              <w:rPr>
                <w:rFonts w:asciiTheme="minorHAnsi" w:hAnsiTheme="minorHAnsi" w:cstheme="minorHAnsi"/>
                <w:sz w:val="18"/>
                <w:szCs w:val="18"/>
                <w:lang w:eastAsia="en-GB"/>
              </w:rPr>
            </w:pPr>
            <w:r w:rsidRPr="00B82B7B">
              <w:rPr>
                <w:rFonts w:asciiTheme="minorHAnsi" w:hAnsiTheme="minorHAnsi" w:cstheme="minorHAnsi"/>
                <w:sz w:val="18"/>
                <w:szCs w:val="18"/>
              </w:rPr>
              <w:t>0%</w:t>
            </w:r>
          </w:p>
        </w:tc>
        <w:tc>
          <w:tcPr>
            <w:tcW w:w="581" w:type="dxa"/>
            <w:tcBorders>
              <w:top w:val="nil"/>
              <w:left w:val="nil"/>
              <w:bottom w:val="single" w:sz="8" w:space="0" w:color="auto"/>
              <w:right w:val="single" w:sz="8" w:space="0" w:color="auto"/>
            </w:tcBorders>
            <w:shd w:val="clear" w:color="auto" w:fill="auto"/>
            <w:noWrap/>
            <w:vAlign w:val="bottom"/>
          </w:tcPr>
          <w:p w14:paraId="69386ED3" w14:textId="18227726" w:rsidR="00D96B96" w:rsidRPr="00B82B7B" w:rsidRDefault="00D96B96" w:rsidP="00B82B7B">
            <w:pPr>
              <w:pStyle w:val="Tabletext"/>
              <w:jc w:val="center"/>
              <w:rPr>
                <w:rFonts w:asciiTheme="minorHAnsi" w:hAnsiTheme="minorHAnsi" w:cstheme="minorHAnsi"/>
                <w:sz w:val="18"/>
                <w:szCs w:val="18"/>
                <w:lang w:eastAsia="en-GB"/>
              </w:rPr>
            </w:pPr>
          </w:p>
        </w:tc>
        <w:tc>
          <w:tcPr>
            <w:tcW w:w="699" w:type="dxa"/>
            <w:tcBorders>
              <w:top w:val="nil"/>
              <w:left w:val="nil"/>
              <w:bottom w:val="single" w:sz="8" w:space="0" w:color="auto"/>
              <w:right w:val="single" w:sz="8" w:space="0" w:color="auto"/>
            </w:tcBorders>
            <w:shd w:val="clear" w:color="auto" w:fill="auto"/>
            <w:noWrap/>
            <w:vAlign w:val="center"/>
          </w:tcPr>
          <w:p w14:paraId="35008A4A" w14:textId="77777777" w:rsidR="00D96B96" w:rsidRPr="00B82B7B" w:rsidRDefault="00D96B96" w:rsidP="00B82B7B">
            <w:pPr>
              <w:pStyle w:val="Tabletext"/>
              <w:jc w:val="center"/>
              <w:rPr>
                <w:rFonts w:asciiTheme="minorHAnsi" w:hAnsiTheme="minorHAnsi" w:cstheme="minorHAnsi"/>
                <w:sz w:val="18"/>
                <w:szCs w:val="18"/>
                <w:lang w:eastAsia="en-GB"/>
              </w:rPr>
            </w:pPr>
            <w:r w:rsidRPr="00B82B7B">
              <w:rPr>
                <w:rFonts w:asciiTheme="minorHAnsi" w:hAnsiTheme="minorHAnsi" w:cstheme="minorHAnsi"/>
                <w:sz w:val="18"/>
                <w:szCs w:val="18"/>
              </w:rPr>
              <w:t>0%</w:t>
            </w:r>
          </w:p>
        </w:tc>
        <w:tc>
          <w:tcPr>
            <w:tcW w:w="619" w:type="dxa"/>
            <w:tcBorders>
              <w:top w:val="nil"/>
              <w:left w:val="nil"/>
              <w:bottom w:val="single" w:sz="8" w:space="0" w:color="auto"/>
              <w:right w:val="single" w:sz="8" w:space="0" w:color="auto"/>
            </w:tcBorders>
            <w:shd w:val="clear" w:color="auto" w:fill="auto"/>
            <w:noWrap/>
            <w:vAlign w:val="center"/>
          </w:tcPr>
          <w:p w14:paraId="70C61976" w14:textId="77777777" w:rsidR="00D96B96" w:rsidRPr="00B82B7B" w:rsidRDefault="00D96B96" w:rsidP="00B82B7B">
            <w:pPr>
              <w:pStyle w:val="Tabletext"/>
              <w:jc w:val="center"/>
              <w:rPr>
                <w:rFonts w:asciiTheme="minorHAnsi" w:hAnsiTheme="minorHAnsi" w:cstheme="minorHAnsi"/>
                <w:sz w:val="18"/>
                <w:szCs w:val="18"/>
                <w:lang w:eastAsia="en-GB"/>
              </w:rPr>
            </w:pPr>
            <w:r w:rsidRPr="00B82B7B">
              <w:rPr>
                <w:rFonts w:asciiTheme="minorHAnsi" w:hAnsiTheme="minorHAnsi" w:cstheme="minorHAnsi"/>
                <w:sz w:val="18"/>
                <w:szCs w:val="18"/>
              </w:rPr>
              <w:t>0%</w:t>
            </w:r>
          </w:p>
        </w:tc>
        <w:tc>
          <w:tcPr>
            <w:tcW w:w="703" w:type="dxa"/>
            <w:tcBorders>
              <w:top w:val="nil"/>
              <w:left w:val="nil"/>
              <w:bottom w:val="single" w:sz="8" w:space="0" w:color="auto"/>
              <w:right w:val="single" w:sz="8" w:space="0" w:color="auto"/>
            </w:tcBorders>
            <w:shd w:val="clear" w:color="auto" w:fill="auto"/>
            <w:noWrap/>
            <w:vAlign w:val="center"/>
          </w:tcPr>
          <w:p w14:paraId="7ACBC93C" w14:textId="77777777" w:rsidR="00D96B96" w:rsidRPr="00B82B7B" w:rsidRDefault="00D96B96" w:rsidP="00B82B7B">
            <w:pPr>
              <w:pStyle w:val="Tabletext"/>
              <w:jc w:val="center"/>
              <w:rPr>
                <w:rFonts w:asciiTheme="minorHAnsi" w:hAnsiTheme="minorHAnsi" w:cstheme="minorHAnsi"/>
                <w:sz w:val="18"/>
                <w:szCs w:val="18"/>
                <w:lang w:eastAsia="en-GB"/>
              </w:rPr>
            </w:pPr>
            <w:r w:rsidRPr="00B82B7B">
              <w:rPr>
                <w:rFonts w:asciiTheme="minorHAnsi" w:hAnsiTheme="minorHAnsi" w:cstheme="minorHAnsi"/>
                <w:sz w:val="18"/>
                <w:szCs w:val="18"/>
              </w:rPr>
              <w:t>0%</w:t>
            </w:r>
          </w:p>
        </w:tc>
        <w:tc>
          <w:tcPr>
            <w:tcW w:w="709" w:type="dxa"/>
            <w:tcBorders>
              <w:top w:val="nil"/>
              <w:left w:val="nil"/>
              <w:bottom w:val="single" w:sz="8" w:space="0" w:color="auto"/>
              <w:right w:val="single" w:sz="8" w:space="0" w:color="auto"/>
            </w:tcBorders>
            <w:shd w:val="clear" w:color="auto" w:fill="auto"/>
            <w:noWrap/>
            <w:vAlign w:val="center"/>
          </w:tcPr>
          <w:p w14:paraId="76F40F49" w14:textId="77777777" w:rsidR="00D96B96" w:rsidRPr="00B82B7B" w:rsidRDefault="00D96B96" w:rsidP="00B82B7B">
            <w:pPr>
              <w:pStyle w:val="Tabletext"/>
              <w:jc w:val="center"/>
              <w:rPr>
                <w:rFonts w:asciiTheme="minorHAnsi" w:hAnsiTheme="minorHAnsi" w:cstheme="minorHAnsi"/>
                <w:sz w:val="18"/>
                <w:szCs w:val="18"/>
                <w:lang w:eastAsia="en-GB"/>
              </w:rPr>
            </w:pPr>
            <w:r w:rsidRPr="00B82B7B">
              <w:rPr>
                <w:rFonts w:asciiTheme="minorHAnsi" w:hAnsiTheme="minorHAnsi" w:cstheme="minorHAnsi"/>
                <w:sz w:val="18"/>
                <w:szCs w:val="18"/>
              </w:rPr>
              <w:t>0%</w:t>
            </w:r>
          </w:p>
        </w:tc>
        <w:tc>
          <w:tcPr>
            <w:tcW w:w="581" w:type="dxa"/>
            <w:tcBorders>
              <w:top w:val="nil"/>
              <w:left w:val="nil"/>
              <w:bottom w:val="single" w:sz="8" w:space="0" w:color="auto"/>
              <w:right w:val="single" w:sz="8" w:space="0" w:color="auto"/>
            </w:tcBorders>
            <w:shd w:val="clear" w:color="auto" w:fill="auto"/>
            <w:noWrap/>
            <w:vAlign w:val="center"/>
          </w:tcPr>
          <w:p w14:paraId="0BFB538A" w14:textId="77777777" w:rsidR="00D96B96" w:rsidRPr="00B82B7B" w:rsidRDefault="00D96B96" w:rsidP="00B82B7B">
            <w:pPr>
              <w:pStyle w:val="Tabletext"/>
              <w:jc w:val="center"/>
              <w:rPr>
                <w:rFonts w:asciiTheme="minorHAnsi" w:hAnsiTheme="minorHAnsi" w:cstheme="minorHAnsi"/>
                <w:sz w:val="18"/>
                <w:szCs w:val="18"/>
                <w:lang w:eastAsia="en-GB"/>
              </w:rPr>
            </w:pPr>
            <w:r w:rsidRPr="00B82B7B">
              <w:rPr>
                <w:rFonts w:asciiTheme="minorHAnsi" w:hAnsiTheme="minorHAnsi" w:cstheme="minorHAnsi"/>
                <w:sz w:val="18"/>
                <w:szCs w:val="18"/>
              </w:rPr>
              <w:t>0%</w:t>
            </w:r>
          </w:p>
        </w:tc>
        <w:tc>
          <w:tcPr>
            <w:tcW w:w="704" w:type="dxa"/>
            <w:tcBorders>
              <w:top w:val="nil"/>
              <w:left w:val="nil"/>
              <w:bottom w:val="single" w:sz="8" w:space="0" w:color="auto"/>
              <w:right w:val="single" w:sz="8" w:space="0" w:color="auto"/>
            </w:tcBorders>
            <w:shd w:val="clear" w:color="auto" w:fill="auto"/>
            <w:noWrap/>
            <w:vAlign w:val="center"/>
          </w:tcPr>
          <w:p w14:paraId="43C09DE3" w14:textId="77777777" w:rsidR="00D96B96" w:rsidRPr="00B82B7B" w:rsidRDefault="00D96B96" w:rsidP="00B82B7B">
            <w:pPr>
              <w:pStyle w:val="Tabletext"/>
              <w:jc w:val="center"/>
              <w:rPr>
                <w:rFonts w:asciiTheme="minorHAnsi" w:hAnsiTheme="minorHAnsi" w:cstheme="minorHAnsi"/>
                <w:sz w:val="18"/>
                <w:szCs w:val="18"/>
                <w:lang w:eastAsia="en-GB"/>
              </w:rPr>
            </w:pPr>
            <w:r w:rsidRPr="00B82B7B">
              <w:rPr>
                <w:rFonts w:asciiTheme="minorHAnsi" w:hAnsiTheme="minorHAnsi" w:cstheme="minorHAnsi"/>
                <w:sz w:val="18"/>
                <w:szCs w:val="18"/>
              </w:rPr>
              <w:t>0%</w:t>
            </w:r>
          </w:p>
        </w:tc>
        <w:tc>
          <w:tcPr>
            <w:tcW w:w="619" w:type="dxa"/>
            <w:tcBorders>
              <w:top w:val="nil"/>
              <w:left w:val="nil"/>
              <w:bottom w:val="single" w:sz="8" w:space="0" w:color="auto"/>
              <w:right w:val="single" w:sz="8" w:space="0" w:color="auto"/>
            </w:tcBorders>
            <w:shd w:val="clear" w:color="auto" w:fill="auto"/>
            <w:noWrap/>
            <w:vAlign w:val="center"/>
          </w:tcPr>
          <w:p w14:paraId="4F75F59D" w14:textId="77777777" w:rsidR="00D96B96" w:rsidRPr="00B82B7B" w:rsidRDefault="00D96B96" w:rsidP="00B82B7B">
            <w:pPr>
              <w:pStyle w:val="Tabletext"/>
              <w:jc w:val="center"/>
              <w:rPr>
                <w:rFonts w:asciiTheme="minorHAnsi" w:hAnsiTheme="minorHAnsi" w:cstheme="minorHAnsi"/>
                <w:sz w:val="18"/>
                <w:szCs w:val="18"/>
                <w:lang w:eastAsia="en-GB"/>
              </w:rPr>
            </w:pPr>
            <w:r w:rsidRPr="00B82B7B">
              <w:rPr>
                <w:rFonts w:asciiTheme="minorHAnsi" w:hAnsiTheme="minorHAnsi" w:cstheme="minorHAnsi"/>
                <w:sz w:val="18"/>
                <w:szCs w:val="18"/>
              </w:rPr>
              <w:t>0%</w:t>
            </w:r>
          </w:p>
        </w:tc>
        <w:tc>
          <w:tcPr>
            <w:tcW w:w="704" w:type="dxa"/>
            <w:tcBorders>
              <w:top w:val="nil"/>
              <w:left w:val="nil"/>
              <w:bottom w:val="single" w:sz="8" w:space="0" w:color="auto"/>
              <w:right w:val="single" w:sz="8" w:space="0" w:color="auto"/>
            </w:tcBorders>
            <w:shd w:val="clear" w:color="auto" w:fill="auto"/>
            <w:noWrap/>
            <w:vAlign w:val="center"/>
          </w:tcPr>
          <w:p w14:paraId="7B5C744E" w14:textId="77777777" w:rsidR="00D96B96" w:rsidRPr="00B82B7B" w:rsidRDefault="00D96B96" w:rsidP="00B82B7B">
            <w:pPr>
              <w:pStyle w:val="Tabletext"/>
              <w:jc w:val="center"/>
              <w:rPr>
                <w:rFonts w:asciiTheme="minorHAnsi" w:hAnsiTheme="minorHAnsi" w:cstheme="minorHAnsi"/>
                <w:sz w:val="18"/>
                <w:szCs w:val="18"/>
                <w:lang w:eastAsia="en-GB"/>
              </w:rPr>
            </w:pPr>
            <w:r w:rsidRPr="00B82B7B">
              <w:rPr>
                <w:rFonts w:asciiTheme="minorHAnsi" w:hAnsiTheme="minorHAnsi" w:cstheme="minorHAnsi"/>
                <w:sz w:val="18"/>
                <w:szCs w:val="18"/>
              </w:rPr>
              <w:t>0%</w:t>
            </w:r>
          </w:p>
        </w:tc>
        <w:tc>
          <w:tcPr>
            <w:tcW w:w="581" w:type="dxa"/>
            <w:tcBorders>
              <w:top w:val="nil"/>
              <w:left w:val="nil"/>
              <w:bottom w:val="single" w:sz="8" w:space="0" w:color="auto"/>
              <w:right w:val="single" w:sz="8" w:space="0" w:color="auto"/>
            </w:tcBorders>
            <w:shd w:val="clear" w:color="auto" w:fill="auto"/>
            <w:noWrap/>
            <w:vAlign w:val="center"/>
          </w:tcPr>
          <w:p w14:paraId="24E6C03C" w14:textId="77777777" w:rsidR="00D96B96" w:rsidRPr="00B82B7B" w:rsidRDefault="00D96B96" w:rsidP="00B82B7B">
            <w:pPr>
              <w:pStyle w:val="Tabletext"/>
              <w:jc w:val="center"/>
              <w:rPr>
                <w:rFonts w:asciiTheme="minorHAnsi" w:hAnsiTheme="minorHAnsi" w:cstheme="minorHAnsi"/>
                <w:sz w:val="18"/>
                <w:szCs w:val="18"/>
                <w:lang w:eastAsia="en-GB"/>
              </w:rPr>
            </w:pPr>
            <w:r w:rsidRPr="00B82B7B">
              <w:rPr>
                <w:rFonts w:asciiTheme="minorHAnsi" w:hAnsiTheme="minorHAnsi" w:cstheme="minorHAnsi"/>
                <w:sz w:val="18"/>
                <w:szCs w:val="18"/>
              </w:rPr>
              <w:t>16%</w:t>
            </w:r>
          </w:p>
        </w:tc>
        <w:tc>
          <w:tcPr>
            <w:tcW w:w="599" w:type="dxa"/>
            <w:tcBorders>
              <w:top w:val="nil"/>
              <w:left w:val="nil"/>
              <w:bottom w:val="single" w:sz="8" w:space="0" w:color="auto"/>
              <w:right w:val="single" w:sz="8" w:space="0" w:color="auto"/>
            </w:tcBorders>
            <w:shd w:val="clear" w:color="auto" w:fill="auto"/>
            <w:noWrap/>
            <w:vAlign w:val="center"/>
          </w:tcPr>
          <w:p w14:paraId="436986DA" w14:textId="77777777" w:rsidR="00D96B96" w:rsidRPr="00B82B7B" w:rsidRDefault="00D96B96" w:rsidP="00B82B7B">
            <w:pPr>
              <w:pStyle w:val="Tabletext"/>
              <w:jc w:val="center"/>
              <w:rPr>
                <w:rFonts w:asciiTheme="minorHAnsi" w:hAnsiTheme="minorHAnsi" w:cstheme="minorHAnsi"/>
                <w:sz w:val="18"/>
                <w:szCs w:val="18"/>
                <w:lang w:eastAsia="en-GB"/>
              </w:rPr>
            </w:pPr>
            <w:r w:rsidRPr="00B82B7B">
              <w:rPr>
                <w:rFonts w:asciiTheme="minorHAnsi" w:hAnsiTheme="minorHAnsi" w:cstheme="minorHAnsi"/>
                <w:sz w:val="18"/>
                <w:szCs w:val="18"/>
              </w:rPr>
              <w:t>13%</w:t>
            </w:r>
          </w:p>
        </w:tc>
        <w:tc>
          <w:tcPr>
            <w:tcW w:w="598" w:type="dxa"/>
            <w:tcBorders>
              <w:top w:val="nil"/>
              <w:left w:val="nil"/>
              <w:bottom w:val="single" w:sz="8" w:space="0" w:color="auto"/>
              <w:right w:val="single" w:sz="8" w:space="0" w:color="auto"/>
            </w:tcBorders>
            <w:shd w:val="clear" w:color="000000" w:fill="A6A6A6"/>
            <w:vAlign w:val="center"/>
          </w:tcPr>
          <w:p w14:paraId="426736DB" w14:textId="77777777" w:rsidR="00D96B96" w:rsidRPr="00B82B7B" w:rsidRDefault="00D96B96" w:rsidP="00B82B7B">
            <w:pPr>
              <w:pStyle w:val="Tabletext"/>
              <w:jc w:val="center"/>
              <w:rPr>
                <w:rFonts w:asciiTheme="minorHAnsi" w:hAnsiTheme="minorHAnsi" w:cstheme="minorHAnsi"/>
                <w:b/>
                <w:bCs/>
                <w:sz w:val="18"/>
                <w:szCs w:val="18"/>
                <w:lang w:eastAsia="en-GB"/>
              </w:rPr>
            </w:pPr>
            <w:r w:rsidRPr="00B82B7B">
              <w:rPr>
                <w:rFonts w:asciiTheme="minorHAnsi" w:hAnsiTheme="minorHAnsi" w:cstheme="minorHAnsi"/>
                <w:b/>
                <w:bCs/>
                <w:sz w:val="18"/>
                <w:szCs w:val="18"/>
                <w:lang w:eastAsia="en-GB"/>
              </w:rPr>
              <w:t>2%</w:t>
            </w:r>
          </w:p>
        </w:tc>
      </w:tr>
      <w:tr w:rsidR="00D96B96" w:rsidRPr="00B82B7B" w14:paraId="4C8FAE21" w14:textId="77777777" w:rsidTr="00B82B7B">
        <w:trPr>
          <w:trHeight w:val="242"/>
        </w:trPr>
        <w:tc>
          <w:tcPr>
            <w:tcW w:w="1550" w:type="dxa"/>
            <w:tcBorders>
              <w:top w:val="nil"/>
              <w:left w:val="single" w:sz="8" w:space="0" w:color="auto"/>
              <w:bottom w:val="single" w:sz="8" w:space="0" w:color="auto"/>
              <w:right w:val="single" w:sz="8" w:space="0" w:color="auto"/>
            </w:tcBorders>
            <w:shd w:val="clear" w:color="auto" w:fill="auto"/>
            <w:noWrap/>
            <w:hideMark/>
          </w:tcPr>
          <w:p w14:paraId="62475C5D" w14:textId="77777777" w:rsidR="00D96B96" w:rsidRPr="00B82B7B" w:rsidRDefault="00D96B96" w:rsidP="00B82B7B">
            <w:pPr>
              <w:pStyle w:val="Tabletext"/>
              <w:rPr>
                <w:rFonts w:asciiTheme="minorHAnsi" w:hAnsiTheme="minorHAnsi" w:cstheme="minorHAnsi"/>
                <w:sz w:val="18"/>
                <w:szCs w:val="18"/>
                <w:lang w:eastAsia="en-GB"/>
              </w:rPr>
            </w:pPr>
            <w:r w:rsidRPr="00B82B7B">
              <w:rPr>
                <w:rFonts w:asciiTheme="minorHAnsi" w:hAnsiTheme="minorHAnsi" w:cstheme="minorHAnsi"/>
                <w:sz w:val="18"/>
                <w:szCs w:val="18"/>
                <w:lang w:eastAsia="en-GB"/>
              </w:rPr>
              <w:t>% de recomendaciones cerradas</w:t>
            </w:r>
          </w:p>
        </w:tc>
        <w:tc>
          <w:tcPr>
            <w:tcW w:w="619" w:type="dxa"/>
            <w:tcBorders>
              <w:top w:val="nil"/>
              <w:left w:val="nil"/>
              <w:bottom w:val="single" w:sz="8" w:space="0" w:color="auto"/>
              <w:right w:val="single" w:sz="8" w:space="0" w:color="auto"/>
            </w:tcBorders>
            <w:shd w:val="clear" w:color="auto" w:fill="auto"/>
            <w:noWrap/>
            <w:vAlign w:val="center"/>
            <w:hideMark/>
          </w:tcPr>
          <w:p w14:paraId="66AF3D1D" w14:textId="77777777" w:rsidR="00D96B96" w:rsidRPr="00B82B7B" w:rsidRDefault="00D96B96" w:rsidP="00B82B7B">
            <w:pPr>
              <w:pStyle w:val="Tabletext"/>
              <w:jc w:val="center"/>
              <w:rPr>
                <w:rFonts w:asciiTheme="minorHAnsi" w:hAnsiTheme="minorHAnsi" w:cstheme="minorHAnsi"/>
                <w:sz w:val="18"/>
                <w:szCs w:val="18"/>
                <w:lang w:eastAsia="en-GB"/>
              </w:rPr>
            </w:pPr>
            <w:r w:rsidRPr="00B82B7B">
              <w:rPr>
                <w:rFonts w:asciiTheme="minorHAnsi" w:hAnsiTheme="minorHAnsi" w:cstheme="minorHAnsi"/>
                <w:sz w:val="18"/>
                <w:szCs w:val="18"/>
              </w:rPr>
              <w:t>100%</w:t>
            </w:r>
          </w:p>
        </w:tc>
        <w:tc>
          <w:tcPr>
            <w:tcW w:w="581" w:type="dxa"/>
            <w:tcBorders>
              <w:top w:val="nil"/>
              <w:left w:val="nil"/>
              <w:bottom w:val="single" w:sz="8" w:space="0" w:color="auto"/>
              <w:right w:val="single" w:sz="8" w:space="0" w:color="auto"/>
            </w:tcBorders>
            <w:shd w:val="clear" w:color="auto" w:fill="auto"/>
            <w:noWrap/>
            <w:vAlign w:val="bottom"/>
            <w:hideMark/>
          </w:tcPr>
          <w:p w14:paraId="6BC87FDD" w14:textId="77777777" w:rsidR="00D96B96" w:rsidRPr="00B82B7B" w:rsidRDefault="00D96B96" w:rsidP="00B82B7B">
            <w:pPr>
              <w:pStyle w:val="Tabletext"/>
              <w:jc w:val="center"/>
              <w:rPr>
                <w:rFonts w:asciiTheme="minorHAnsi" w:hAnsiTheme="minorHAnsi" w:cstheme="minorHAnsi"/>
                <w:sz w:val="18"/>
                <w:szCs w:val="18"/>
                <w:lang w:eastAsia="en-GB"/>
              </w:rPr>
            </w:pPr>
          </w:p>
        </w:tc>
        <w:tc>
          <w:tcPr>
            <w:tcW w:w="699" w:type="dxa"/>
            <w:tcBorders>
              <w:top w:val="nil"/>
              <w:left w:val="nil"/>
              <w:bottom w:val="single" w:sz="8" w:space="0" w:color="auto"/>
              <w:right w:val="single" w:sz="8" w:space="0" w:color="auto"/>
            </w:tcBorders>
            <w:shd w:val="clear" w:color="auto" w:fill="auto"/>
            <w:noWrap/>
            <w:vAlign w:val="center"/>
            <w:hideMark/>
          </w:tcPr>
          <w:p w14:paraId="05DE2492" w14:textId="77777777" w:rsidR="00D96B96" w:rsidRPr="00B82B7B" w:rsidRDefault="00D96B96" w:rsidP="00B82B7B">
            <w:pPr>
              <w:pStyle w:val="Tabletext"/>
              <w:jc w:val="center"/>
              <w:rPr>
                <w:rFonts w:asciiTheme="minorHAnsi" w:hAnsiTheme="minorHAnsi" w:cstheme="minorHAnsi"/>
                <w:sz w:val="18"/>
                <w:szCs w:val="18"/>
                <w:lang w:eastAsia="en-GB"/>
              </w:rPr>
            </w:pPr>
            <w:r w:rsidRPr="00B82B7B">
              <w:rPr>
                <w:rFonts w:asciiTheme="minorHAnsi" w:hAnsiTheme="minorHAnsi" w:cstheme="minorHAnsi"/>
                <w:sz w:val="18"/>
                <w:szCs w:val="18"/>
              </w:rPr>
              <w:t>100%</w:t>
            </w:r>
          </w:p>
        </w:tc>
        <w:tc>
          <w:tcPr>
            <w:tcW w:w="619" w:type="dxa"/>
            <w:tcBorders>
              <w:top w:val="nil"/>
              <w:left w:val="nil"/>
              <w:bottom w:val="single" w:sz="8" w:space="0" w:color="auto"/>
              <w:right w:val="single" w:sz="8" w:space="0" w:color="auto"/>
            </w:tcBorders>
            <w:shd w:val="clear" w:color="auto" w:fill="auto"/>
            <w:noWrap/>
            <w:vAlign w:val="center"/>
            <w:hideMark/>
          </w:tcPr>
          <w:p w14:paraId="362D9C14" w14:textId="77777777" w:rsidR="00D96B96" w:rsidRPr="00B82B7B" w:rsidRDefault="00D96B96" w:rsidP="00B82B7B">
            <w:pPr>
              <w:pStyle w:val="Tabletext"/>
              <w:jc w:val="center"/>
              <w:rPr>
                <w:rFonts w:asciiTheme="minorHAnsi" w:hAnsiTheme="minorHAnsi" w:cstheme="minorHAnsi"/>
                <w:sz w:val="18"/>
                <w:szCs w:val="18"/>
                <w:lang w:eastAsia="en-GB"/>
              </w:rPr>
            </w:pPr>
            <w:r w:rsidRPr="00B82B7B">
              <w:rPr>
                <w:rFonts w:asciiTheme="minorHAnsi" w:hAnsiTheme="minorHAnsi" w:cstheme="minorHAnsi"/>
                <w:sz w:val="18"/>
                <w:szCs w:val="18"/>
              </w:rPr>
              <w:t>100%</w:t>
            </w:r>
          </w:p>
        </w:tc>
        <w:tc>
          <w:tcPr>
            <w:tcW w:w="703" w:type="dxa"/>
            <w:tcBorders>
              <w:top w:val="nil"/>
              <w:left w:val="nil"/>
              <w:bottom w:val="single" w:sz="8" w:space="0" w:color="auto"/>
              <w:right w:val="single" w:sz="8" w:space="0" w:color="auto"/>
            </w:tcBorders>
            <w:shd w:val="clear" w:color="auto" w:fill="auto"/>
            <w:noWrap/>
            <w:vAlign w:val="center"/>
            <w:hideMark/>
          </w:tcPr>
          <w:p w14:paraId="0EC97719" w14:textId="77777777" w:rsidR="00D96B96" w:rsidRPr="00B82B7B" w:rsidRDefault="00D96B96" w:rsidP="00B82B7B">
            <w:pPr>
              <w:pStyle w:val="Tabletext"/>
              <w:jc w:val="center"/>
              <w:rPr>
                <w:rFonts w:asciiTheme="minorHAnsi" w:hAnsiTheme="minorHAnsi" w:cstheme="minorHAnsi"/>
                <w:sz w:val="18"/>
                <w:szCs w:val="18"/>
                <w:lang w:eastAsia="en-GB"/>
              </w:rPr>
            </w:pPr>
            <w:r w:rsidRPr="00B82B7B">
              <w:rPr>
                <w:rFonts w:asciiTheme="minorHAnsi" w:hAnsiTheme="minorHAnsi" w:cstheme="minorHAnsi"/>
                <w:sz w:val="18"/>
                <w:szCs w:val="18"/>
              </w:rPr>
              <w:t>100%</w:t>
            </w:r>
          </w:p>
        </w:tc>
        <w:tc>
          <w:tcPr>
            <w:tcW w:w="709" w:type="dxa"/>
            <w:tcBorders>
              <w:top w:val="nil"/>
              <w:left w:val="nil"/>
              <w:bottom w:val="single" w:sz="8" w:space="0" w:color="auto"/>
              <w:right w:val="single" w:sz="8" w:space="0" w:color="auto"/>
            </w:tcBorders>
            <w:shd w:val="clear" w:color="auto" w:fill="auto"/>
            <w:noWrap/>
            <w:vAlign w:val="center"/>
            <w:hideMark/>
          </w:tcPr>
          <w:p w14:paraId="61EAA6AA" w14:textId="3CE23251" w:rsidR="00D96B96" w:rsidRPr="00B82B7B" w:rsidRDefault="00150E9D" w:rsidP="00B82B7B">
            <w:pPr>
              <w:pStyle w:val="Tabletext"/>
              <w:jc w:val="center"/>
              <w:rPr>
                <w:rFonts w:asciiTheme="minorHAnsi" w:hAnsiTheme="minorHAnsi" w:cstheme="minorHAnsi"/>
                <w:sz w:val="18"/>
                <w:szCs w:val="18"/>
                <w:lang w:eastAsia="en-GB"/>
              </w:rPr>
            </w:pPr>
            <w:r>
              <w:rPr>
                <w:rFonts w:asciiTheme="minorHAnsi" w:hAnsiTheme="minorHAnsi" w:cstheme="minorHAnsi"/>
                <w:sz w:val="18"/>
                <w:szCs w:val="18"/>
              </w:rPr>
              <w:t>8</w:t>
            </w:r>
            <w:r w:rsidR="00D96B96" w:rsidRPr="00B82B7B">
              <w:rPr>
                <w:rFonts w:asciiTheme="minorHAnsi" w:hAnsiTheme="minorHAnsi" w:cstheme="minorHAnsi"/>
                <w:sz w:val="18"/>
                <w:szCs w:val="18"/>
              </w:rPr>
              <w:t>7%</w:t>
            </w:r>
          </w:p>
        </w:tc>
        <w:tc>
          <w:tcPr>
            <w:tcW w:w="581" w:type="dxa"/>
            <w:tcBorders>
              <w:top w:val="nil"/>
              <w:left w:val="nil"/>
              <w:bottom w:val="single" w:sz="8" w:space="0" w:color="auto"/>
              <w:right w:val="single" w:sz="8" w:space="0" w:color="auto"/>
            </w:tcBorders>
            <w:shd w:val="clear" w:color="auto" w:fill="auto"/>
            <w:noWrap/>
            <w:vAlign w:val="center"/>
            <w:hideMark/>
          </w:tcPr>
          <w:p w14:paraId="0208A486" w14:textId="429854BF" w:rsidR="00D96B96" w:rsidRPr="00B82B7B" w:rsidRDefault="00D96B96" w:rsidP="00B82B7B">
            <w:pPr>
              <w:pStyle w:val="Tabletext"/>
              <w:jc w:val="center"/>
              <w:rPr>
                <w:rFonts w:asciiTheme="minorHAnsi" w:hAnsiTheme="minorHAnsi" w:cstheme="minorHAnsi"/>
                <w:sz w:val="18"/>
                <w:szCs w:val="18"/>
                <w:lang w:eastAsia="en-GB"/>
              </w:rPr>
            </w:pPr>
            <w:r w:rsidRPr="00B82B7B">
              <w:rPr>
                <w:rFonts w:asciiTheme="minorHAnsi" w:hAnsiTheme="minorHAnsi" w:cstheme="minorHAnsi"/>
                <w:sz w:val="18"/>
                <w:szCs w:val="18"/>
              </w:rPr>
              <w:t>8</w:t>
            </w:r>
            <w:r w:rsidR="00150E9D">
              <w:rPr>
                <w:rFonts w:asciiTheme="minorHAnsi" w:hAnsiTheme="minorHAnsi" w:cstheme="minorHAnsi"/>
                <w:sz w:val="18"/>
                <w:szCs w:val="18"/>
              </w:rPr>
              <w:t>5</w:t>
            </w:r>
            <w:r w:rsidRPr="00B82B7B">
              <w:rPr>
                <w:rFonts w:asciiTheme="minorHAnsi" w:hAnsiTheme="minorHAnsi" w:cstheme="minorHAnsi"/>
                <w:sz w:val="18"/>
                <w:szCs w:val="18"/>
              </w:rPr>
              <w:t>%</w:t>
            </w:r>
          </w:p>
        </w:tc>
        <w:tc>
          <w:tcPr>
            <w:tcW w:w="704" w:type="dxa"/>
            <w:tcBorders>
              <w:top w:val="nil"/>
              <w:left w:val="nil"/>
              <w:bottom w:val="single" w:sz="8" w:space="0" w:color="auto"/>
              <w:right w:val="single" w:sz="8" w:space="0" w:color="auto"/>
            </w:tcBorders>
            <w:shd w:val="clear" w:color="auto" w:fill="auto"/>
            <w:noWrap/>
            <w:vAlign w:val="center"/>
            <w:hideMark/>
          </w:tcPr>
          <w:p w14:paraId="209C5736" w14:textId="77777777" w:rsidR="00D96B96" w:rsidRPr="00B82B7B" w:rsidRDefault="00D96B96" w:rsidP="00B82B7B">
            <w:pPr>
              <w:pStyle w:val="Tabletext"/>
              <w:jc w:val="center"/>
              <w:rPr>
                <w:rFonts w:asciiTheme="minorHAnsi" w:hAnsiTheme="minorHAnsi" w:cstheme="minorHAnsi"/>
                <w:sz w:val="18"/>
                <w:szCs w:val="18"/>
                <w:lang w:eastAsia="en-GB"/>
              </w:rPr>
            </w:pPr>
            <w:r w:rsidRPr="00B82B7B">
              <w:rPr>
                <w:rFonts w:asciiTheme="minorHAnsi" w:hAnsiTheme="minorHAnsi" w:cstheme="minorHAnsi"/>
                <w:sz w:val="18"/>
                <w:szCs w:val="18"/>
              </w:rPr>
              <w:t>88%</w:t>
            </w:r>
          </w:p>
        </w:tc>
        <w:tc>
          <w:tcPr>
            <w:tcW w:w="619" w:type="dxa"/>
            <w:tcBorders>
              <w:top w:val="nil"/>
              <w:left w:val="nil"/>
              <w:bottom w:val="single" w:sz="8" w:space="0" w:color="auto"/>
              <w:right w:val="single" w:sz="8" w:space="0" w:color="auto"/>
            </w:tcBorders>
            <w:shd w:val="clear" w:color="auto" w:fill="auto"/>
            <w:noWrap/>
            <w:vAlign w:val="center"/>
            <w:hideMark/>
          </w:tcPr>
          <w:p w14:paraId="28CA84BE" w14:textId="77777777" w:rsidR="00D96B96" w:rsidRPr="00B82B7B" w:rsidRDefault="00D96B96" w:rsidP="00B82B7B">
            <w:pPr>
              <w:pStyle w:val="Tabletext"/>
              <w:jc w:val="center"/>
              <w:rPr>
                <w:rFonts w:asciiTheme="minorHAnsi" w:hAnsiTheme="minorHAnsi" w:cstheme="minorHAnsi"/>
                <w:sz w:val="18"/>
                <w:szCs w:val="18"/>
                <w:lang w:eastAsia="en-GB"/>
              </w:rPr>
            </w:pPr>
            <w:r w:rsidRPr="00B82B7B">
              <w:rPr>
                <w:rFonts w:asciiTheme="minorHAnsi" w:hAnsiTheme="minorHAnsi" w:cstheme="minorHAnsi"/>
                <w:sz w:val="18"/>
                <w:szCs w:val="18"/>
              </w:rPr>
              <w:t>100%</w:t>
            </w:r>
          </w:p>
        </w:tc>
        <w:tc>
          <w:tcPr>
            <w:tcW w:w="704" w:type="dxa"/>
            <w:tcBorders>
              <w:top w:val="nil"/>
              <w:left w:val="nil"/>
              <w:bottom w:val="single" w:sz="8" w:space="0" w:color="auto"/>
              <w:right w:val="single" w:sz="8" w:space="0" w:color="auto"/>
            </w:tcBorders>
            <w:shd w:val="clear" w:color="auto" w:fill="auto"/>
            <w:noWrap/>
            <w:vAlign w:val="center"/>
            <w:hideMark/>
          </w:tcPr>
          <w:p w14:paraId="7C533A7F" w14:textId="77777777" w:rsidR="00D96B96" w:rsidRPr="00B82B7B" w:rsidRDefault="00D96B96" w:rsidP="00B82B7B">
            <w:pPr>
              <w:pStyle w:val="Tabletext"/>
              <w:jc w:val="center"/>
              <w:rPr>
                <w:rFonts w:asciiTheme="minorHAnsi" w:hAnsiTheme="minorHAnsi" w:cstheme="minorHAnsi"/>
                <w:sz w:val="18"/>
                <w:szCs w:val="18"/>
                <w:lang w:eastAsia="en-GB"/>
              </w:rPr>
            </w:pPr>
            <w:r w:rsidRPr="00B82B7B">
              <w:rPr>
                <w:rFonts w:asciiTheme="minorHAnsi" w:hAnsiTheme="minorHAnsi" w:cstheme="minorHAnsi"/>
                <w:sz w:val="18"/>
                <w:szCs w:val="18"/>
              </w:rPr>
              <w:t>89%</w:t>
            </w:r>
          </w:p>
        </w:tc>
        <w:tc>
          <w:tcPr>
            <w:tcW w:w="581" w:type="dxa"/>
            <w:tcBorders>
              <w:top w:val="nil"/>
              <w:left w:val="nil"/>
              <w:bottom w:val="single" w:sz="8" w:space="0" w:color="auto"/>
              <w:right w:val="single" w:sz="8" w:space="0" w:color="auto"/>
            </w:tcBorders>
            <w:shd w:val="clear" w:color="auto" w:fill="auto"/>
            <w:noWrap/>
            <w:vAlign w:val="center"/>
            <w:hideMark/>
          </w:tcPr>
          <w:p w14:paraId="1FF8134C" w14:textId="77777777" w:rsidR="00D96B96" w:rsidRPr="00B82B7B" w:rsidRDefault="00D96B96" w:rsidP="00B82B7B">
            <w:pPr>
              <w:pStyle w:val="Tabletext"/>
              <w:jc w:val="center"/>
              <w:rPr>
                <w:rFonts w:asciiTheme="minorHAnsi" w:hAnsiTheme="minorHAnsi" w:cstheme="minorHAnsi"/>
                <w:sz w:val="18"/>
                <w:szCs w:val="18"/>
                <w:lang w:eastAsia="en-GB"/>
              </w:rPr>
            </w:pPr>
            <w:r w:rsidRPr="00B82B7B">
              <w:rPr>
                <w:rFonts w:asciiTheme="minorHAnsi" w:hAnsiTheme="minorHAnsi" w:cstheme="minorHAnsi"/>
                <w:sz w:val="18"/>
                <w:szCs w:val="18"/>
              </w:rPr>
              <w:t>21%</w:t>
            </w:r>
          </w:p>
        </w:tc>
        <w:tc>
          <w:tcPr>
            <w:tcW w:w="599" w:type="dxa"/>
            <w:tcBorders>
              <w:top w:val="nil"/>
              <w:left w:val="nil"/>
              <w:bottom w:val="single" w:sz="8" w:space="0" w:color="auto"/>
              <w:right w:val="single" w:sz="8" w:space="0" w:color="auto"/>
            </w:tcBorders>
            <w:shd w:val="clear" w:color="auto" w:fill="auto"/>
            <w:noWrap/>
            <w:vAlign w:val="center"/>
          </w:tcPr>
          <w:p w14:paraId="0B091983" w14:textId="77777777" w:rsidR="00D96B96" w:rsidRPr="00B82B7B" w:rsidRDefault="00D96B96" w:rsidP="00B82B7B">
            <w:pPr>
              <w:pStyle w:val="Tabletext"/>
              <w:jc w:val="center"/>
              <w:rPr>
                <w:rFonts w:asciiTheme="minorHAnsi" w:hAnsiTheme="minorHAnsi" w:cstheme="minorHAnsi"/>
                <w:sz w:val="18"/>
                <w:szCs w:val="18"/>
                <w:lang w:eastAsia="en-GB"/>
              </w:rPr>
            </w:pPr>
            <w:r w:rsidRPr="00B82B7B">
              <w:rPr>
                <w:rFonts w:asciiTheme="minorHAnsi" w:hAnsiTheme="minorHAnsi" w:cstheme="minorHAnsi"/>
                <w:sz w:val="18"/>
                <w:szCs w:val="18"/>
              </w:rPr>
              <w:t>47%</w:t>
            </w:r>
          </w:p>
        </w:tc>
        <w:tc>
          <w:tcPr>
            <w:tcW w:w="598" w:type="dxa"/>
            <w:tcBorders>
              <w:top w:val="nil"/>
              <w:left w:val="nil"/>
              <w:bottom w:val="single" w:sz="8" w:space="0" w:color="auto"/>
              <w:right w:val="single" w:sz="8" w:space="0" w:color="auto"/>
            </w:tcBorders>
            <w:shd w:val="clear" w:color="000000" w:fill="A6A6A6"/>
            <w:vAlign w:val="center"/>
          </w:tcPr>
          <w:p w14:paraId="77247454" w14:textId="7D6F0171" w:rsidR="00D96B96" w:rsidRPr="00B82B7B" w:rsidRDefault="00D96B96" w:rsidP="00B82B7B">
            <w:pPr>
              <w:pStyle w:val="Tabletext"/>
              <w:jc w:val="center"/>
              <w:rPr>
                <w:rFonts w:asciiTheme="minorHAnsi" w:hAnsiTheme="minorHAnsi" w:cstheme="minorHAnsi"/>
                <w:b/>
                <w:bCs/>
                <w:sz w:val="18"/>
                <w:szCs w:val="18"/>
                <w:lang w:eastAsia="en-GB"/>
              </w:rPr>
            </w:pPr>
            <w:r w:rsidRPr="00B82B7B">
              <w:rPr>
                <w:rFonts w:asciiTheme="minorHAnsi" w:hAnsiTheme="minorHAnsi" w:cstheme="minorHAnsi"/>
                <w:b/>
                <w:bCs/>
                <w:sz w:val="18"/>
                <w:szCs w:val="18"/>
                <w:lang w:eastAsia="en-GB"/>
              </w:rPr>
              <w:t>8</w:t>
            </w:r>
            <w:r w:rsidR="00150E9D">
              <w:rPr>
                <w:rFonts w:asciiTheme="minorHAnsi" w:hAnsiTheme="minorHAnsi" w:cstheme="minorHAnsi"/>
                <w:b/>
                <w:bCs/>
                <w:sz w:val="18"/>
                <w:szCs w:val="18"/>
                <w:lang w:eastAsia="en-GB"/>
              </w:rPr>
              <w:t>8</w:t>
            </w:r>
            <w:r w:rsidRPr="00B82B7B">
              <w:rPr>
                <w:rFonts w:asciiTheme="minorHAnsi" w:hAnsiTheme="minorHAnsi" w:cstheme="minorHAnsi"/>
                <w:b/>
                <w:bCs/>
                <w:sz w:val="18"/>
                <w:szCs w:val="18"/>
                <w:lang w:eastAsia="en-GB"/>
              </w:rPr>
              <w:t>%</w:t>
            </w:r>
          </w:p>
        </w:tc>
      </w:tr>
    </w:tbl>
    <w:p w14:paraId="6720B560" w14:textId="22F0FB86" w:rsidR="00927F93" w:rsidRPr="000B0D00" w:rsidRDefault="00B82B7B" w:rsidP="00B82B7B">
      <w:pPr>
        <w:jc w:val="center"/>
      </w:pPr>
      <w:r>
        <w:t>______________</w:t>
      </w:r>
    </w:p>
    <w:sectPr w:rsidR="00927F93" w:rsidRPr="000B0D00" w:rsidSect="00C538FC">
      <w:footerReference w:type="default" r:id="rId10"/>
      <w:headerReference w:type="first" r:id="rId11"/>
      <w:footerReference w:type="first" r:id="rId12"/>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101395" w14:textId="77777777" w:rsidR="00D96B96" w:rsidRDefault="00D96B96">
      <w:r>
        <w:separator/>
      </w:r>
    </w:p>
  </w:endnote>
  <w:endnote w:type="continuationSeparator" w:id="0">
    <w:p w14:paraId="1C113981" w14:textId="77777777" w:rsidR="00D96B96" w:rsidRDefault="00D96B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venir Nxt2 W1G Medium">
    <w:panose1 w:val="00000000000000000000"/>
    <w:charset w:val="00"/>
    <w:family w:val="swiss"/>
    <w:notTrueType/>
    <w:pitch w:val="variable"/>
    <w:sig w:usb0="A00002EF"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3273A4" w:rsidRPr="00784011" w14:paraId="38C37C38" w14:textId="77777777" w:rsidTr="00E31DCE">
      <w:trPr>
        <w:jc w:val="center"/>
      </w:trPr>
      <w:tc>
        <w:tcPr>
          <w:tcW w:w="1803" w:type="dxa"/>
          <w:vAlign w:val="center"/>
        </w:tcPr>
        <w:p w14:paraId="00A10C19" w14:textId="7B351937" w:rsidR="003273A4" w:rsidRDefault="003273A4" w:rsidP="003273A4">
          <w:pPr>
            <w:pStyle w:val="Header"/>
            <w:jc w:val="left"/>
            <w:rPr>
              <w:noProof/>
            </w:rPr>
          </w:pPr>
          <w:r>
            <w:rPr>
              <w:noProof/>
            </w:rPr>
            <w:t xml:space="preserve">DPS </w:t>
          </w:r>
          <w:r w:rsidR="00D96B96">
            <w:rPr>
              <w:noProof/>
            </w:rPr>
            <w:t>521078</w:t>
          </w:r>
        </w:p>
      </w:tc>
      <w:tc>
        <w:tcPr>
          <w:tcW w:w="8261" w:type="dxa"/>
        </w:tcPr>
        <w:p w14:paraId="3D59CABD" w14:textId="75E120D4" w:rsidR="003273A4" w:rsidRPr="00E06FD5" w:rsidRDefault="003273A4" w:rsidP="003273A4">
          <w:pPr>
            <w:pStyle w:val="Header"/>
            <w:tabs>
              <w:tab w:val="left" w:pos="7070"/>
              <w:tab w:val="right" w:pos="8505"/>
              <w:tab w:val="right" w:pos="9639"/>
            </w:tabs>
            <w:jc w:val="left"/>
            <w:rPr>
              <w:rFonts w:ascii="Arial" w:hAnsi="Arial" w:cs="Arial"/>
              <w:b/>
              <w:bCs/>
              <w:szCs w:val="18"/>
            </w:rPr>
          </w:pPr>
          <w:r>
            <w:rPr>
              <w:bCs/>
            </w:rPr>
            <w:tab/>
          </w:r>
          <w:r w:rsidRPr="00623AE3">
            <w:rPr>
              <w:bCs/>
            </w:rPr>
            <w:t>C</w:t>
          </w:r>
          <w:r>
            <w:rPr>
              <w:bCs/>
            </w:rPr>
            <w:t>23</w:t>
          </w:r>
          <w:r w:rsidRPr="00623AE3">
            <w:rPr>
              <w:bCs/>
            </w:rPr>
            <w:t>/</w:t>
          </w:r>
          <w:r w:rsidR="00D96B96">
            <w:rPr>
              <w:bCs/>
            </w:rPr>
            <w:t>44</w:t>
          </w:r>
          <w:r w:rsidRPr="00623AE3">
            <w:rPr>
              <w:bCs/>
            </w:rPr>
            <w:t>-</w:t>
          </w:r>
          <w:r>
            <w:rPr>
              <w:bCs/>
            </w:rPr>
            <w:t>S</w:t>
          </w:r>
          <w:r>
            <w:rPr>
              <w:bCs/>
            </w:rPr>
            <w:tab/>
          </w:r>
          <w:r>
            <w:fldChar w:fldCharType="begin"/>
          </w:r>
          <w:r>
            <w:instrText>PAGE</w:instrText>
          </w:r>
          <w:r>
            <w:fldChar w:fldCharType="separate"/>
          </w:r>
          <w:r>
            <w:t>1</w:t>
          </w:r>
          <w:r>
            <w:rPr>
              <w:noProof/>
            </w:rPr>
            <w:fldChar w:fldCharType="end"/>
          </w:r>
        </w:p>
      </w:tc>
    </w:tr>
  </w:tbl>
  <w:p w14:paraId="3E814131" w14:textId="0B953129" w:rsidR="00760F1C" w:rsidRPr="00873F9A" w:rsidRDefault="00873F9A" w:rsidP="00873F9A">
    <w:pPr>
      <w:pStyle w:val="Footer"/>
      <w:rPr>
        <w:lang w:val="fr-FR"/>
      </w:rPr>
    </w:pPr>
    <w:r w:rsidRPr="00832D62">
      <w:rPr>
        <w:color w:val="F2F2F2" w:themeColor="background1" w:themeShade="F2"/>
      </w:rPr>
      <w:fldChar w:fldCharType="begin"/>
    </w:r>
    <w:r w:rsidRPr="00832D62">
      <w:rPr>
        <w:color w:val="F2F2F2" w:themeColor="background1" w:themeShade="F2"/>
        <w:lang w:val="fr-FR"/>
      </w:rPr>
      <w:instrText xml:space="preserve"> FILENAME \p  \* MERGEFORMAT </w:instrText>
    </w:r>
    <w:r w:rsidRPr="00832D62">
      <w:rPr>
        <w:color w:val="F2F2F2" w:themeColor="background1" w:themeShade="F2"/>
      </w:rPr>
      <w:fldChar w:fldCharType="separate"/>
    </w:r>
    <w:r w:rsidRPr="00832D62">
      <w:rPr>
        <w:color w:val="F2F2F2" w:themeColor="background1" w:themeShade="F2"/>
        <w:lang w:val="fr-FR"/>
      </w:rPr>
      <w:t>P:\ESP\SG\CONSEIL\C23\000\044S.docx</w:t>
    </w:r>
    <w:r w:rsidRPr="00832D62">
      <w:rPr>
        <w:color w:val="F2F2F2" w:themeColor="background1" w:themeShade="F2"/>
      </w:rPr>
      <w:fldChar w:fldCharType="end"/>
    </w:r>
    <w:r w:rsidRPr="00832D62">
      <w:rPr>
        <w:color w:val="F2F2F2" w:themeColor="background1" w:themeShade="F2"/>
        <w:lang w:val="fr-FR"/>
      </w:rPr>
      <w:t xml:space="preserve"> (521078)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F24B71" w:rsidRPr="00784011" w14:paraId="36478DCB" w14:textId="77777777" w:rsidTr="00E31DCE">
      <w:trPr>
        <w:jc w:val="center"/>
      </w:trPr>
      <w:tc>
        <w:tcPr>
          <w:tcW w:w="1803" w:type="dxa"/>
          <w:vAlign w:val="center"/>
        </w:tcPr>
        <w:p w14:paraId="36039FA3" w14:textId="77777777" w:rsidR="00F24B71" w:rsidRDefault="00832D62" w:rsidP="00F24B71">
          <w:pPr>
            <w:pStyle w:val="Header"/>
            <w:jc w:val="left"/>
            <w:rPr>
              <w:noProof/>
            </w:rPr>
          </w:pPr>
          <w:hyperlink r:id="rId1" w:history="1">
            <w:r w:rsidR="00F24B71" w:rsidRPr="00A514A4">
              <w:rPr>
                <w:rStyle w:val="Hyperlink"/>
                <w:szCs w:val="14"/>
              </w:rPr>
              <w:t>www.itu.int/council</w:t>
            </w:r>
          </w:hyperlink>
        </w:p>
      </w:tc>
      <w:tc>
        <w:tcPr>
          <w:tcW w:w="8261" w:type="dxa"/>
        </w:tcPr>
        <w:p w14:paraId="44100974" w14:textId="77E5C0F4" w:rsidR="00F24B71" w:rsidRPr="00E06FD5" w:rsidRDefault="00F24B71" w:rsidP="00F24B71">
          <w:pPr>
            <w:pStyle w:val="Header"/>
            <w:tabs>
              <w:tab w:val="left" w:pos="7070"/>
              <w:tab w:val="right" w:pos="8505"/>
              <w:tab w:val="right" w:pos="9639"/>
            </w:tabs>
            <w:jc w:val="left"/>
            <w:rPr>
              <w:rFonts w:ascii="Arial" w:hAnsi="Arial" w:cs="Arial"/>
              <w:b/>
              <w:bCs/>
              <w:szCs w:val="18"/>
            </w:rPr>
          </w:pPr>
          <w:r>
            <w:rPr>
              <w:bCs/>
            </w:rPr>
            <w:tab/>
          </w:r>
          <w:r w:rsidRPr="00623AE3">
            <w:rPr>
              <w:bCs/>
            </w:rPr>
            <w:t>C</w:t>
          </w:r>
          <w:r>
            <w:rPr>
              <w:bCs/>
            </w:rPr>
            <w:t>23</w:t>
          </w:r>
          <w:r w:rsidRPr="00623AE3">
            <w:rPr>
              <w:bCs/>
            </w:rPr>
            <w:t>/</w:t>
          </w:r>
          <w:r w:rsidR="00D96B96">
            <w:rPr>
              <w:bCs/>
            </w:rPr>
            <w:t>44</w:t>
          </w:r>
          <w:r w:rsidRPr="00623AE3">
            <w:rPr>
              <w:bCs/>
            </w:rPr>
            <w:t>-</w:t>
          </w:r>
          <w:r w:rsidR="003273A4">
            <w:rPr>
              <w:bCs/>
            </w:rPr>
            <w:t>S</w:t>
          </w:r>
          <w:r>
            <w:rPr>
              <w:bCs/>
            </w:rPr>
            <w:tab/>
          </w:r>
          <w:r>
            <w:fldChar w:fldCharType="begin"/>
          </w:r>
          <w:r>
            <w:instrText>PAGE</w:instrText>
          </w:r>
          <w:r>
            <w:fldChar w:fldCharType="separate"/>
          </w:r>
          <w:r>
            <w:t>1</w:t>
          </w:r>
          <w:r>
            <w:rPr>
              <w:noProof/>
            </w:rPr>
            <w:fldChar w:fldCharType="end"/>
          </w:r>
        </w:p>
      </w:tc>
    </w:tr>
  </w:tbl>
  <w:p w14:paraId="721778BD" w14:textId="0ACC8E3F" w:rsidR="00760F1C" w:rsidRPr="00873F9A" w:rsidRDefault="00873F9A" w:rsidP="00F24B71">
    <w:pPr>
      <w:pStyle w:val="Footer"/>
      <w:rPr>
        <w:lang w:val="fr-FR"/>
      </w:rPr>
    </w:pPr>
    <w:r w:rsidRPr="00832D62">
      <w:rPr>
        <w:color w:val="F2F2F2" w:themeColor="background1" w:themeShade="F2"/>
      </w:rPr>
      <w:fldChar w:fldCharType="begin"/>
    </w:r>
    <w:r w:rsidRPr="00832D62">
      <w:rPr>
        <w:color w:val="F2F2F2" w:themeColor="background1" w:themeShade="F2"/>
        <w:lang w:val="fr-FR"/>
      </w:rPr>
      <w:instrText xml:space="preserve"> FILENAME \p  \* MERGEFORMAT </w:instrText>
    </w:r>
    <w:r w:rsidRPr="00832D62">
      <w:rPr>
        <w:color w:val="F2F2F2" w:themeColor="background1" w:themeShade="F2"/>
      </w:rPr>
      <w:fldChar w:fldCharType="separate"/>
    </w:r>
    <w:r w:rsidRPr="00832D62">
      <w:rPr>
        <w:color w:val="F2F2F2" w:themeColor="background1" w:themeShade="F2"/>
        <w:lang w:val="fr-FR"/>
      </w:rPr>
      <w:t>P:\ESP\SG\CONSEIL\C23\000\044S.docx</w:t>
    </w:r>
    <w:r w:rsidRPr="00832D62">
      <w:rPr>
        <w:color w:val="F2F2F2" w:themeColor="background1" w:themeShade="F2"/>
      </w:rPr>
      <w:fldChar w:fldCharType="end"/>
    </w:r>
    <w:r w:rsidRPr="00832D62">
      <w:rPr>
        <w:color w:val="F2F2F2" w:themeColor="background1" w:themeShade="F2"/>
        <w:lang w:val="fr-FR"/>
      </w:rPr>
      <w:t xml:space="preserve"> (521078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DB1A09" w14:textId="77777777" w:rsidR="00D96B96" w:rsidRDefault="00D96B96">
      <w:r>
        <w:t>____________________</w:t>
      </w:r>
    </w:p>
  </w:footnote>
  <w:footnote w:type="continuationSeparator" w:id="0">
    <w:p w14:paraId="2D97373B" w14:textId="77777777" w:rsidR="00D96B96" w:rsidRDefault="00D96B96">
      <w:r>
        <w:continuationSeparator/>
      </w:r>
    </w:p>
  </w:footnote>
  <w:footnote w:id="1">
    <w:p w14:paraId="3F180C51" w14:textId="77777777" w:rsidR="00D96B96" w:rsidRPr="0006705B" w:rsidRDefault="00D96B96" w:rsidP="00D96B96">
      <w:pPr>
        <w:pStyle w:val="FootnoteText"/>
        <w:spacing w:before="0"/>
        <w:rPr>
          <w:lang w:val="es-ES"/>
        </w:rPr>
      </w:pPr>
      <w:r w:rsidRPr="003C0EC6">
        <w:rPr>
          <w:rStyle w:val="FootnoteReference"/>
          <w:sz w:val="18"/>
          <w:szCs w:val="18"/>
        </w:rPr>
        <w:footnoteRef/>
      </w:r>
      <w:r w:rsidRPr="0006705B">
        <w:rPr>
          <w:sz w:val="18"/>
          <w:lang w:val="es-ES"/>
        </w:rPr>
        <w:tab/>
      </w:r>
      <w:r w:rsidRPr="0006705B">
        <w:rPr>
          <w:lang w:val="es-ES"/>
        </w:rPr>
        <w:t>Nota de servicio 13/09, promulgada por el Secretario General el 27 de junio de 2013.</w:t>
      </w:r>
    </w:p>
  </w:footnote>
  <w:footnote w:id="2">
    <w:p w14:paraId="189D6196" w14:textId="77777777" w:rsidR="00D96B96" w:rsidRPr="0006705B" w:rsidRDefault="00D96B96" w:rsidP="00D96B96">
      <w:pPr>
        <w:pStyle w:val="FootnoteText"/>
        <w:spacing w:before="0"/>
        <w:rPr>
          <w:lang w:val="es-ES"/>
        </w:rPr>
      </w:pPr>
      <w:r w:rsidRPr="003C0EC6">
        <w:rPr>
          <w:rStyle w:val="FootnoteReference"/>
          <w:sz w:val="18"/>
          <w:szCs w:val="18"/>
        </w:rPr>
        <w:footnoteRef/>
      </w:r>
      <w:r w:rsidRPr="0006705B">
        <w:rPr>
          <w:sz w:val="18"/>
          <w:lang w:val="es-ES"/>
        </w:rPr>
        <w:tab/>
      </w:r>
      <w:r w:rsidRPr="0006705B">
        <w:rPr>
          <w:lang w:val="es-ES"/>
        </w:rPr>
        <w:t xml:space="preserve">Instituto de Auditores Internos, </w:t>
      </w:r>
      <w:hyperlink r:id="rId1" w:history="1">
        <w:r w:rsidRPr="0006705B">
          <w:rPr>
            <w:rStyle w:val="Hyperlink"/>
            <w:lang w:val="es-ES"/>
          </w:rPr>
          <w:t>www.theiia.org</w:t>
        </w:r>
      </w:hyperlink>
      <w:r w:rsidRPr="0006705B">
        <w:rPr>
          <w:lang w:val="es-ES"/>
        </w:rPr>
        <w:t>.</w:t>
      </w:r>
    </w:p>
  </w:footnote>
  <w:footnote w:id="3">
    <w:p w14:paraId="68B56905" w14:textId="2597CF3F" w:rsidR="00D96B96" w:rsidRPr="0006705B" w:rsidRDefault="00D96B96" w:rsidP="00D96B96">
      <w:pPr>
        <w:pStyle w:val="FootnoteText"/>
        <w:tabs>
          <w:tab w:val="clear" w:pos="256"/>
          <w:tab w:val="clear" w:pos="567"/>
          <w:tab w:val="clear" w:pos="1134"/>
          <w:tab w:val="clear" w:pos="1701"/>
          <w:tab w:val="clear" w:pos="2268"/>
          <w:tab w:val="clear" w:pos="2835"/>
        </w:tabs>
        <w:spacing w:before="0"/>
        <w:ind w:left="284" w:hanging="284"/>
        <w:rPr>
          <w:rFonts w:asciiTheme="minorHAnsi" w:hAnsiTheme="minorHAnsi" w:cstheme="minorHAnsi"/>
          <w:sz w:val="18"/>
          <w:szCs w:val="18"/>
          <w:lang w:val="es-ES"/>
        </w:rPr>
      </w:pPr>
      <w:r w:rsidRPr="003C0EC6">
        <w:rPr>
          <w:rStyle w:val="FootnoteReference"/>
          <w:rFonts w:asciiTheme="minorHAnsi" w:hAnsiTheme="minorHAnsi" w:cstheme="minorHAnsi"/>
          <w:sz w:val="18"/>
          <w:szCs w:val="18"/>
        </w:rPr>
        <w:footnoteRef/>
      </w:r>
      <w:r w:rsidRPr="003C0EC6">
        <w:rPr>
          <w:rFonts w:asciiTheme="minorHAnsi" w:hAnsiTheme="minorHAnsi" w:cstheme="minorHAnsi"/>
          <w:szCs w:val="24"/>
          <w:lang w:val="es-ES"/>
        </w:rPr>
        <w:tab/>
      </w:r>
      <w:r w:rsidRPr="003C0EC6">
        <w:rPr>
          <w:rFonts w:asciiTheme="minorHAnsi" w:hAnsiTheme="minorHAnsi" w:cstheme="minorHAnsi"/>
          <w:color w:val="202124"/>
          <w:szCs w:val="24"/>
          <w:shd w:val="clear" w:color="auto" w:fill="FFFFFF"/>
          <w:lang w:val="es-ES"/>
        </w:rPr>
        <w:t xml:space="preserve">2500. A1 </w:t>
      </w:r>
      <w:r w:rsidR="00325358" w:rsidRPr="003C0EC6">
        <w:rPr>
          <w:rFonts w:asciiTheme="minorHAnsi" w:hAnsiTheme="minorHAnsi" w:cstheme="minorHAnsi"/>
          <w:color w:val="202124"/>
          <w:szCs w:val="24"/>
          <w:shd w:val="clear" w:color="auto" w:fill="FFFFFF"/>
          <w:lang w:val="es-ES"/>
        </w:rPr>
        <w:t>–</w:t>
      </w:r>
      <w:r w:rsidRPr="003C0EC6">
        <w:rPr>
          <w:rFonts w:asciiTheme="minorHAnsi" w:hAnsiTheme="minorHAnsi" w:cstheme="minorHAnsi"/>
          <w:color w:val="202124"/>
          <w:szCs w:val="24"/>
          <w:shd w:val="clear" w:color="auto" w:fill="FFFFFF"/>
          <w:lang w:val="es-ES"/>
        </w:rPr>
        <w:t xml:space="preserve"> El director de auditoría debe establecer un proceso de seguimiento para supervisar y garantizar que las medidas de gestión se hayan aplicado efectivamente o que la dirección haya aceptado el riesgo de no tomar medidas.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5630"/>
    </w:tblGrid>
    <w:tr w:rsidR="001559F5" w:rsidRPr="00784011" w14:paraId="10FD1E66" w14:textId="77777777" w:rsidTr="00E31DCE">
      <w:trPr>
        <w:trHeight w:val="1104"/>
        <w:jc w:val="center"/>
      </w:trPr>
      <w:tc>
        <w:tcPr>
          <w:tcW w:w="4390" w:type="dxa"/>
          <w:vAlign w:val="center"/>
        </w:tcPr>
        <w:p w14:paraId="702BDBE5" w14:textId="77777777" w:rsidR="001559F5" w:rsidRPr="009621F8" w:rsidRDefault="001559F5" w:rsidP="001559F5">
          <w:pPr>
            <w:pStyle w:val="Header"/>
            <w:jc w:val="left"/>
            <w:rPr>
              <w:rFonts w:ascii="Arial" w:hAnsi="Arial" w:cs="Arial"/>
              <w:b/>
              <w:bCs/>
              <w:color w:val="009CD6"/>
              <w:sz w:val="36"/>
              <w:szCs w:val="36"/>
            </w:rPr>
          </w:pPr>
          <w:bookmarkStart w:id="2" w:name="_Hlk133422111"/>
          <w:r>
            <w:rPr>
              <w:noProof/>
            </w:rPr>
            <w:drawing>
              <wp:inline distT="0" distB="0" distL="0" distR="0" wp14:anchorId="47E974B7" wp14:editId="622F6260">
                <wp:extent cx="1887322" cy="530367"/>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2136" cy="548581"/>
                        </a:xfrm>
                        <a:prstGeom prst="rect">
                          <a:avLst/>
                        </a:prstGeom>
                        <a:noFill/>
                        <a:ln>
                          <a:noFill/>
                        </a:ln>
                      </pic:spPr>
                    </pic:pic>
                  </a:graphicData>
                </a:graphic>
              </wp:inline>
            </w:drawing>
          </w:r>
        </w:p>
      </w:tc>
      <w:tc>
        <w:tcPr>
          <w:tcW w:w="5630" w:type="dxa"/>
        </w:tcPr>
        <w:p w14:paraId="5D9FCE42" w14:textId="77777777" w:rsidR="001559F5" w:rsidRDefault="001559F5" w:rsidP="001559F5">
          <w:pPr>
            <w:pStyle w:val="Header"/>
            <w:jc w:val="right"/>
            <w:rPr>
              <w:rFonts w:ascii="Arial" w:hAnsi="Arial" w:cs="Arial"/>
              <w:b/>
              <w:bCs/>
              <w:color w:val="009CD6"/>
              <w:szCs w:val="18"/>
            </w:rPr>
          </w:pPr>
        </w:p>
        <w:p w14:paraId="56B8B3BC" w14:textId="77777777" w:rsidR="001559F5" w:rsidRDefault="001559F5" w:rsidP="001559F5">
          <w:pPr>
            <w:pStyle w:val="Header"/>
            <w:jc w:val="right"/>
            <w:rPr>
              <w:rFonts w:ascii="Arial" w:hAnsi="Arial" w:cs="Arial"/>
              <w:b/>
              <w:bCs/>
              <w:color w:val="009CD6"/>
              <w:szCs w:val="18"/>
            </w:rPr>
          </w:pPr>
        </w:p>
        <w:p w14:paraId="06D41382" w14:textId="77777777" w:rsidR="001559F5" w:rsidRPr="00784011" w:rsidRDefault="001559F5" w:rsidP="001559F5">
          <w:pPr>
            <w:pStyle w:val="Header"/>
            <w:jc w:val="right"/>
            <w:rPr>
              <w:rFonts w:ascii="Arial" w:hAnsi="Arial" w:cs="Arial"/>
              <w:color w:val="009CD6"/>
              <w:szCs w:val="18"/>
            </w:rPr>
          </w:pPr>
          <w:r w:rsidRPr="00BC6276">
            <w:rPr>
              <w:rFonts w:ascii="Arial" w:hAnsi="Arial" w:cs="Arial"/>
              <w:b/>
              <w:bCs/>
              <w:color w:val="009CD6"/>
              <w:szCs w:val="18"/>
            </w:rPr>
            <w:t xml:space="preserve"> </w:t>
          </w:r>
        </w:p>
      </w:tc>
    </w:tr>
  </w:tbl>
  <w:bookmarkEnd w:id="2"/>
  <w:p w14:paraId="5983DD0F" w14:textId="77777777" w:rsidR="001559F5" w:rsidRDefault="001559F5">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9264" behindDoc="0" locked="0" layoutInCell="1" allowOverlap="1" wp14:anchorId="4EDDEB2B" wp14:editId="3293B8D9">
              <wp:simplePos x="0" y="0"/>
              <wp:positionH relativeFrom="page">
                <wp:posOffset>13005</wp:posOffset>
              </wp:positionH>
              <wp:positionV relativeFrom="topMargin">
                <wp:posOffset>659765</wp:posOffset>
              </wp:positionV>
              <wp:extent cx="92075" cy="360680"/>
              <wp:effectExtent l="0" t="0" r="3175" b="127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75" cy="36068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725AAF" id="Rectangle 5" o:spid="_x0000_s1026" style="position:absolute;margin-left:1pt;margin-top:51.95pt;width:7.25pt;height:28.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" fillcolor="#009cd5" stroked="f">
              <w10:wrap anchorx="page"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4D548A"/>
    <w:multiLevelType w:val="hybridMultilevel"/>
    <w:tmpl w:val="A46AF6FC"/>
    <w:lvl w:ilvl="0" w:tplc="C902F800">
      <w:start w:val="1"/>
      <w:numFmt w:val="upperLetter"/>
      <w:lvlText w:val="%1."/>
      <w:lvlJc w:val="left"/>
      <w:pPr>
        <w:ind w:left="720" w:hanging="360"/>
      </w:pPr>
      <w:rPr>
        <w:rFonts w:hint="default"/>
        <w:b/>
        <w:bCs/>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68C314B"/>
    <w:multiLevelType w:val="hybridMultilevel"/>
    <w:tmpl w:val="3EB2A752"/>
    <w:lvl w:ilvl="0" w:tplc="790675D4">
      <w:start w:val="1"/>
      <w:numFmt w:val="decimal"/>
      <w:lvlText w:val="%1."/>
      <w:lvlJc w:val="left"/>
      <w:pPr>
        <w:ind w:left="502" w:hanging="360"/>
      </w:pPr>
      <w:rPr>
        <w:rFonts w:asciiTheme="minorHAnsi" w:hAnsiTheme="minorHAnsi" w:hint="default"/>
        <w:b w:val="0"/>
        <w:bCs w:val="0"/>
        <w:i w:val="0"/>
        <w:iCs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11062559">
    <w:abstractNumId w:val="1"/>
  </w:num>
  <w:num w:numId="2" w16cid:durableId="3010091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B96"/>
    <w:rsid w:val="000007D1"/>
    <w:rsid w:val="00093EEB"/>
    <w:rsid w:val="000B0D00"/>
    <w:rsid w:val="000B7C15"/>
    <w:rsid w:val="000D1D0F"/>
    <w:rsid w:val="000F5290"/>
    <w:rsid w:val="0010165C"/>
    <w:rsid w:val="00146BFB"/>
    <w:rsid w:val="00150E9D"/>
    <w:rsid w:val="001559F5"/>
    <w:rsid w:val="001F14A2"/>
    <w:rsid w:val="002801AA"/>
    <w:rsid w:val="0028629E"/>
    <w:rsid w:val="002C4676"/>
    <w:rsid w:val="002C70B0"/>
    <w:rsid w:val="002F3CC4"/>
    <w:rsid w:val="00325358"/>
    <w:rsid w:val="003273A4"/>
    <w:rsid w:val="003C0EC6"/>
    <w:rsid w:val="004B5D49"/>
    <w:rsid w:val="00513630"/>
    <w:rsid w:val="00560125"/>
    <w:rsid w:val="00585553"/>
    <w:rsid w:val="005B34D9"/>
    <w:rsid w:val="005D0CCF"/>
    <w:rsid w:val="005F3BCB"/>
    <w:rsid w:val="005F410F"/>
    <w:rsid w:val="0060149A"/>
    <w:rsid w:val="00601924"/>
    <w:rsid w:val="006447EA"/>
    <w:rsid w:val="0064731F"/>
    <w:rsid w:val="00664572"/>
    <w:rsid w:val="006710F6"/>
    <w:rsid w:val="00677A97"/>
    <w:rsid w:val="006C1B56"/>
    <w:rsid w:val="006D4761"/>
    <w:rsid w:val="00726872"/>
    <w:rsid w:val="007345E1"/>
    <w:rsid w:val="00760F1C"/>
    <w:rsid w:val="007657F0"/>
    <w:rsid w:val="0077252D"/>
    <w:rsid w:val="007955DA"/>
    <w:rsid w:val="007E5DD3"/>
    <w:rsid w:val="007F350B"/>
    <w:rsid w:val="00820BE4"/>
    <w:rsid w:val="00832D62"/>
    <w:rsid w:val="008451E8"/>
    <w:rsid w:val="00873F9A"/>
    <w:rsid w:val="00913B9C"/>
    <w:rsid w:val="00927F93"/>
    <w:rsid w:val="00956E77"/>
    <w:rsid w:val="009C0DBB"/>
    <w:rsid w:val="009F4811"/>
    <w:rsid w:val="00AA390C"/>
    <w:rsid w:val="00B0200A"/>
    <w:rsid w:val="00B574DB"/>
    <w:rsid w:val="00B826C2"/>
    <w:rsid w:val="00B8298E"/>
    <w:rsid w:val="00B82B7B"/>
    <w:rsid w:val="00BD0723"/>
    <w:rsid w:val="00BD2518"/>
    <w:rsid w:val="00BF1D1C"/>
    <w:rsid w:val="00C20C59"/>
    <w:rsid w:val="00C2727F"/>
    <w:rsid w:val="00C538FC"/>
    <w:rsid w:val="00C55B1F"/>
    <w:rsid w:val="00CF1A67"/>
    <w:rsid w:val="00D2750E"/>
    <w:rsid w:val="00D50A36"/>
    <w:rsid w:val="00D62446"/>
    <w:rsid w:val="00D96B96"/>
    <w:rsid w:val="00DA4EA2"/>
    <w:rsid w:val="00DC3D3E"/>
    <w:rsid w:val="00DE2C90"/>
    <w:rsid w:val="00DE3B24"/>
    <w:rsid w:val="00E06947"/>
    <w:rsid w:val="00E34072"/>
    <w:rsid w:val="00E3592D"/>
    <w:rsid w:val="00E92DE8"/>
    <w:rsid w:val="00EB1212"/>
    <w:rsid w:val="00ED65AB"/>
    <w:rsid w:val="00F12850"/>
    <w:rsid w:val="00F24B71"/>
    <w:rsid w:val="00F33BF4"/>
    <w:rsid w:val="00F7105E"/>
    <w:rsid w:val="00F75F57"/>
    <w:rsid w:val="00F82FEE"/>
    <w:rsid w:val="00FD57D3"/>
    <w:rsid w:val="00FE57F6"/>
    <w:rsid w:val="00FF11B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77EC88"/>
  <w15:docId w15:val="{F51648F6-9D30-4CDA-8C1F-5B31B379C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0D00"/>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s-ES_tradnl" w:eastAsia="en-US"/>
    </w:rPr>
  </w:style>
  <w:style w:type="paragraph" w:styleId="Heading1">
    <w:name w:val="heading 1"/>
    <w:basedOn w:val="Normal"/>
    <w:next w:val="Normal"/>
    <w:qFormat/>
    <w:rsid w:val="000B0D00"/>
    <w:pPr>
      <w:keepNext/>
      <w:keepLines/>
      <w:spacing w:before="480"/>
      <w:ind w:left="567" w:hanging="567"/>
      <w:outlineLvl w:val="0"/>
    </w:pPr>
    <w:rPr>
      <w:b/>
      <w:sz w:val="28"/>
    </w:rPr>
  </w:style>
  <w:style w:type="paragraph" w:styleId="Heading2">
    <w:name w:val="heading 2"/>
    <w:basedOn w:val="Heading1"/>
    <w:next w:val="Normal"/>
    <w:qFormat/>
    <w:rsid w:val="000B0D00"/>
    <w:pPr>
      <w:spacing w:before="320"/>
      <w:outlineLvl w:val="1"/>
    </w:pPr>
    <w:rPr>
      <w:sz w:val="24"/>
    </w:rPr>
  </w:style>
  <w:style w:type="paragraph" w:styleId="Heading3">
    <w:name w:val="heading 3"/>
    <w:basedOn w:val="Heading1"/>
    <w:next w:val="Normal"/>
    <w:qFormat/>
    <w:rsid w:val="000B0D00"/>
    <w:pPr>
      <w:spacing w:before="200"/>
      <w:outlineLvl w:val="2"/>
    </w:pPr>
    <w:rPr>
      <w:sz w:val="24"/>
    </w:rPr>
  </w:style>
  <w:style w:type="paragraph" w:styleId="Heading4">
    <w:name w:val="heading 4"/>
    <w:basedOn w:val="Heading3"/>
    <w:next w:val="Normal"/>
    <w:qFormat/>
    <w:rsid w:val="000B0D00"/>
    <w:pPr>
      <w:ind w:left="1134" w:hanging="1134"/>
      <w:outlineLvl w:val="3"/>
    </w:pPr>
  </w:style>
  <w:style w:type="paragraph" w:styleId="Heading5">
    <w:name w:val="heading 5"/>
    <w:basedOn w:val="Heading4"/>
    <w:next w:val="Normal"/>
    <w:qFormat/>
    <w:rsid w:val="000B0D00"/>
    <w:pPr>
      <w:outlineLvl w:val="4"/>
    </w:pPr>
  </w:style>
  <w:style w:type="paragraph" w:styleId="Heading6">
    <w:name w:val="heading 6"/>
    <w:basedOn w:val="Heading4"/>
    <w:next w:val="Normal"/>
    <w:qFormat/>
    <w:rsid w:val="000B0D00"/>
    <w:pPr>
      <w:outlineLvl w:val="5"/>
    </w:pPr>
  </w:style>
  <w:style w:type="paragraph" w:styleId="Heading7">
    <w:name w:val="heading 7"/>
    <w:basedOn w:val="Heading4"/>
    <w:next w:val="Normal"/>
    <w:qFormat/>
    <w:rsid w:val="000B0D00"/>
    <w:pPr>
      <w:ind w:left="1701" w:hanging="1701"/>
      <w:outlineLvl w:val="6"/>
    </w:pPr>
  </w:style>
  <w:style w:type="paragraph" w:styleId="Heading8">
    <w:name w:val="heading 8"/>
    <w:basedOn w:val="Heading4"/>
    <w:next w:val="Normal"/>
    <w:qFormat/>
    <w:rsid w:val="000B0D00"/>
    <w:pPr>
      <w:ind w:left="1701" w:hanging="1701"/>
      <w:outlineLvl w:val="7"/>
    </w:pPr>
  </w:style>
  <w:style w:type="paragraph" w:styleId="Heading9">
    <w:name w:val="heading 9"/>
    <w:basedOn w:val="Heading4"/>
    <w:next w:val="Normal"/>
    <w:qFormat/>
    <w:rsid w:val="000B0D00"/>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rsid w:val="006710F6"/>
  </w:style>
  <w:style w:type="paragraph" w:styleId="TOC4">
    <w:name w:val="toc 4"/>
    <w:basedOn w:val="Normal"/>
    <w:next w:val="Normal"/>
    <w:rsid w:val="000B0D00"/>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0B0D00"/>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6710F6"/>
    <w:pPr>
      <w:ind w:left="1698"/>
    </w:pPr>
  </w:style>
  <w:style w:type="paragraph" w:styleId="Index6">
    <w:name w:val="index 6"/>
    <w:basedOn w:val="Normal"/>
    <w:next w:val="Normal"/>
    <w:rsid w:val="006710F6"/>
    <w:pPr>
      <w:ind w:left="1415"/>
    </w:pPr>
  </w:style>
  <w:style w:type="paragraph" w:styleId="Index5">
    <w:name w:val="index 5"/>
    <w:basedOn w:val="Normal"/>
    <w:next w:val="Normal"/>
    <w:rsid w:val="006710F6"/>
    <w:pPr>
      <w:ind w:left="1132"/>
    </w:pPr>
  </w:style>
  <w:style w:type="paragraph" w:styleId="Index4">
    <w:name w:val="index 4"/>
    <w:basedOn w:val="Normal"/>
    <w:next w:val="Normal"/>
    <w:rsid w:val="006710F6"/>
    <w:pPr>
      <w:ind w:left="849"/>
    </w:pPr>
  </w:style>
  <w:style w:type="paragraph" w:styleId="Index3">
    <w:name w:val="index 3"/>
    <w:basedOn w:val="Normal"/>
    <w:next w:val="Normal"/>
    <w:rsid w:val="006710F6"/>
    <w:pPr>
      <w:ind w:left="566"/>
    </w:pPr>
  </w:style>
  <w:style w:type="paragraph" w:styleId="Index2">
    <w:name w:val="index 2"/>
    <w:basedOn w:val="Normal"/>
    <w:next w:val="Normal"/>
    <w:rsid w:val="006710F6"/>
    <w:pPr>
      <w:ind w:left="283"/>
    </w:pPr>
  </w:style>
  <w:style w:type="paragraph" w:styleId="Index1">
    <w:name w:val="index 1"/>
    <w:basedOn w:val="Normal"/>
    <w:next w:val="Normal"/>
    <w:rsid w:val="006710F6"/>
  </w:style>
  <w:style w:type="character" w:styleId="LineNumber">
    <w:name w:val="line number"/>
    <w:basedOn w:val="DefaultParagraphFont"/>
    <w:rsid w:val="006710F6"/>
  </w:style>
  <w:style w:type="paragraph" w:styleId="IndexHeading">
    <w:name w:val="index heading"/>
    <w:basedOn w:val="Normal"/>
    <w:next w:val="Index1"/>
    <w:rsid w:val="006710F6"/>
  </w:style>
  <w:style w:type="paragraph" w:styleId="Footer">
    <w:name w:val="footer"/>
    <w:basedOn w:val="Normal"/>
    <w:rsid w:val="000B0D00"/>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0B0D00"/>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uiPriority w:val="99"/>
    <w:rsid w:val="000B0D00"/>
    <w:rPr>
      <w:position w:val="6"/>
      <w:sz w:val="16"/>
    </w:rPr>
  </w:style>
  <w:style w:type="paragraph" w:styleId="FootnoteText">
    <w:name w:val="footnote text"/>
    <w:basedOn w:val="Normal"/>
    <w:link w:val="FootnoteTextChar"/>
    <w:uiPriority w:val="99"/>
    <w:rsid w:val="000B0D00"/>
    <w:pPr>
      <w:keepLines/>
      <w:tabs>
        <w:tab w:val="left" w:pos="256"/>
      </w:tabs>
      <w:ind w:left="256" w:hanging="256"/>
    </w:pPr>
  </w:style>
  <w:style w:type="paragraph" w:styleId="NormalIndent">
    <w:name w:val="Normal Indent"/>
    <w:basedOn w:val="Normal"/>
    <w:rsid w:val="000B0D00"/>
    <w:pPr>
      <w:ind w:left="567"/>
    </w:pPr>
  </w:style>
  <w:style w:type="paragraph" w:customStyle="1" w:styleId="AnnexNo">
    <w:name w:val="Annex_No"/>
    <w:basedOn w:val="Normal"/>
    <w:next w:val="Annexref"/>
    <w:rsid w:val="000B0D00"/>
    <w:pPr>
      <w:spacing w:before="720"/>
      <w:jc w:val="center"/>
    </w:pPr>
    <w:rPr>
      <w:caps/>
      <w:sz w:val="28"/>
    </w:rPr>
  </w:style>
  <w:style w:type="paragraph" w:customStyle="1" w:styleId="Annextitle">
    <w:name w:val="Annex_title"/>
    <w:basedOn w:val="Normal"/>
    <w:next w:val="Normal"/>
    <w:rsid w:val="000B0D00"/>
    <w:pPr>
      <w:spacing w:before="240" w:after="240"/>
      <w:jc w:val="center"/>
    </w:pPr>
    <w:rPr>
      <w:b/>
      <w:sz w:val="28"/>
    </w:rPr>
  </w:style>
  <w:style w:type="paragraph" w:customStyle="1" w:styleId="Annexref">
    <w:name w:val="Annex_ref"/>
    <w:basedOn w:val="Normal"/>
    <w:next w:val="Annextitle"/>
    <w:rsid w:val="000B0D00"/>
    <w:pPr>
      <w:jc w:val="center"/>
    </w:pPr>
    <w:rPr>
      <w:sz w:val="28"/>
    </w:rPr>
  </w:style>
  <w:style w:type="paragraph" w:customStyle="1" w:styleId="Normalaftertitle">
    <w:name w:val="Normal after title"/>
    <w:basedOn w:val="Normal"/>
    <w:next w:val="Normal"/>
    <w:rsid w:val="000B0D00"/>
    <w:pPr>
      <w:spacing w:before="240"/>
    </w:pPr>
  </w:style>
  <w:style w:type="paragraph" w:customStyle="1" w:styleId="AppendixNo">
    <w:name w:val="Appendix_No"/>
    <w:basedOn w:val="AnnexNo"/>
    <w:next w:val="Appendixref"/>
    <w:rsid w:val="000B0D00"/>
  </w:style>
  <w:style w:type="paragraph" w:customStyle="1" w:styleId="Appendixtitle">
    <w:name w:val="Appendix_title"/>
    <w:basedOn w:val="Annextitle"/>
    <w:next w:val="Normal"/>
    <w:rsid w:val="000B0D00"/>
  </w:style>
  <w:style w:type="paragraph" w:customStyle="1" w:styleId="Appendixref">
    <w:name w:val="Appendix_ref"/>
    <w:basedOn w:val="Annexref"/>
    <w:next w:val="Appendixtitle"/>
    <w:rsid w:val="000B0D00"/>
  </w:style>
  <w:style w:type="paragraph" w:customStyle="1" w:styleId="enumlev1">
    <w:name w:val="enumlev1"/>
    <w:basedOn w:val="Normal"/>
    <w:rsid w:val="000B0D00"/>
    <w:pPr>
      <w:spacing w:before="86"/>
      <w:ind w:left="567" w:hanging="567"/>
    </w:pPr>
  </w:style>
  <w:style w:type="paragraph" w:customStyle="1" w:styleId="enumlev2">
    <w:name w:val="enumlev2"/>
    <w:basedOn w:val="enumlev1"/>
    <w:rsid w:val="000B0D00"/>
    <w:pPr>
      <w:ind w:left="1134"/>
    </w:pPr>
  </w:style>
  <w:style w:type="paragraph" w:customStyle="1" w:styleId="enumlev3">
    <w:name w:val="enumlev3"/>
    <w:basedOn w:val="enumlev2"/>
    <w:rsid w:val="000B0D00"/>
    <w:pPr>
      <w:ind w:left="1701"/>
    </w:pPr>
  </w:style>
  <w:style w:type="paragraph" w:customStyle="1" w:styleId="Artheading">
    <w:name w:val="Art_heading"/>
    <w:basedOn w:val="Normal"/>
    <w:next w:val="Normalaftertitle"/>
    <w:rsid w:val="000B0D00"/>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0B0D00"/>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0B0D00"/>
    <w:pPr>
      <w:tabs>
        <w:tab w:val="clear" w:pos="567"/>
        <w:tab w:val="clear" w:pos="1134"/>
        <w:tab w:val="clear" w:pos="1701"/>
        <w:tab w:val="clear" w:pos="2268"/>
        <w:tab w:val="clear" w:pos="2835"/>
      </w:tabs>
      <w:spacing w:before="240" w:after="240"/>
      <w:jc w:val="center"/>
    </w:pPr>
    <w:rPr>
      <w:b/>
      <w:sz w:val="28"/>
    </w:rPr>
  </w:style>
  <w:style w:type="paragraph" w:customStyle="1" w:styleId="Call">
    <w:name w:val="Call"/>
    <w:basedOn w:val="Normal"/>
    <w:next w:val="Normal"/>
    <w:rsid w:val="000B0D00"/>
    <w:pPr>
      <w:keepNext/>
      <w:keepLines/>
      <w:tabs>
        <w:tab w:val="clear" w:pos="1134"/>
        <w:tab w:val="clear" w:pos="1701"/>
        <w:tab w:val="clear" w:pos="2268"/>
        <w:tab w:val="clear" w:pos="2835"/>
      </w:tabs>
      <w:spacing w:before="160"/>
      <w:ind w:left="567"/>
    </w:pPr>
    <w:rPr>
      <w:i/>
    </w:rPr>
  </w:style>
  <w:style w:type="paragraph" w:customStyle="1" w:styleId="ChapNo">
    <w:name w:val="Chap_No"/>
    <w:basedOn w:val="ArtNo"/>
    <w:next w:val="Chaptitle"/>
    <w:rsid w:val="000B0D00"/>
  </w:style>
  <w:style w:type="paragraph" w:customStyle="1" w:styleId="Chaptitle">
    <w:name w:val="Chap_title"/>
    <w:basedOn w:val="Arttitle"/>
    <w:next w:val="Normal"/>
    <w:rsid w:val="000B0D00"/>
  </w:style>
  <w:style w:type="paragraph" w:customStyle="1" w:styleId="Equationlegend">
    <w:name w:val="Equation_legend"/>
    <w:basedOn w:val="NormalIndent"/>
    <w:rsid w:val="006710F6"/>
    <w:pPr>
      <w:tabs>
        <w:tab w:val="right" w:pos="1531"/>
      </w:tabs>
      <w:spacing w:before="80"/>
      <w:ind w:left="1701" w:hanging="1701"/>
    </w:pPr>
  </w:style>
  <w:style w:type="paragraph" w:customStyle="1" w:styleId="Figure">
    <w:name w:val="Figure"/>
    <w:basedOn w:val="Normal"/>
    <w:next w:val="Figuretitle"/>
    <w:rsid w:val="006710F6"/>
    <w:pPr>
      <w:keepNext/>
      <w:keepLines/>
      <w:spacing w:after="120"/>
      <w:jc w:val="center"/>
    </w:pPr>
  </w:style>
  <w:style w:type="paragraph" w:customStyle="1" w:styleId="Figuretitle">
    <w:name w:val="Figure_title"/>
    <w:basedOn w:val="Tabletitle"/>
    <w:next w:val="Normalaftertitle"/>
    <w:rsid w:val="006710F6"/>
    <w:pPr>
      <w:spacing w:before="240" w:after="480"/>
    </w:pPr>
  </w:style>
  <w:style w:type="paragraph" w:customStyle="1" w:styleId="Tabletitle">
    <w:name w:val="Table_title"/>
    <w:basedOn w:val="TableNo"/>
    <w:next w:val="Tabletext"/>
    <w:rsid w:val="000B0D00"/>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0B0D00"/>
    <w:pPr>
      <w:keepNext/>
      <w:spacing w:before="560" w:after="120"/>
      <w:jc w:val="center"/>
    </w:pPr>
    <w:rPr>
      <w:caps/>
    </w:rPr>
  </w:style>
  <w:style w:type="paragraph" w:customStyle="1" w:styleId="Tabletext">
    <w:name w:val="Table_text"/>
    <w:basedOn w:val="Normal"/>
    <w:rsid w:val="000B0D00"/>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rsid w:val="006710F6"/>
    <w:pPr>
      <w:keepNext/>
      <w:keepLines/>
      <w:spacing w:before="20" w:after="20"/>
    </w:pPr>
    <w:rPr>
      <w:sz w:val="18"/>
    </w:rPr>
  </w:style>
  <w:style w:type="paragraph" w:customStyle="1" w:styleId="Equation">
    <w:name w:val="Equation"/>
    <w:basedOn w:val="Normal"/>
    <w:rsid w:val="006710F6"/>
    <w:pPr>
      <w:tabs>
        <w:tab w:val="center" w:pos="4820"/>
        <w:tab w:val="right" w:pos="9639"/>
      </w:tabs>
    </w:pPr>
  </w:style>
  <w:style w:type="paragraph" w:customStyle="1" w:styleId="Head">
    <w:name w:val="Head"/>
    <w:basedOn w:val="Normal"/>
    <w:rsid w:val="006710F6"/>
    <w:pPr>
      <w:tabs>
        <w:tab w:val="left" w:pos="6663"/>
      </w:tabs>
      <w:overflowPunct/>
      <w:autoSpaceDE/>
      <w:autoSpaceDN/>
      <w:adjustRightInd/>
      <w:spacing w:before="0"/>
      <w:textAlignment w:val="auto"/>
    </w:pPr>
  </w:style>
  <w:style w:type="paragraph" w:customStyle="1" w:styleId="toc0">
    <w:name w:val="toc 0"/>
    <w:basedOn w:val="Normal"/>
    <w:next w:val="TOC1"/>
    <w:rsid w:val="000B0D00"/>
    <w:pPr>
      <w:tabs>
        <w:tab w:val="clear" w:pos="567"/>
        <w:tab w:val="clear" w:pos="1134"/>
        <w:tab w:val="clear" w:pos="1701"/>
        <w:tab w:val="clear" w:pos="2268"/>
        <w:tab w:val="clear" w:pos="2835"/>
        <w:tab w:val="right" w:pos="9781"/>
      </w:tabs>
    </w:pPr>
    <w:rPr>
      <w:b/>
    </w:rPr>
  </w:style>
  <w:style w:type="paragraph" w:styleId="List">
    <w:name w:val="List"/>
    <w:basedOn w:val="Normal"/>
    <w:rsid w:val="006710F6"/>
    <w:pPr>
      <w:tabs>
        <w:tab w:val="left" w:pos="2127"/>
      </w:tabs>
      <w:ind w:left="2127" w:hanging="2127"/>
    </w:pPr>
  </w:style>
  <w:style w:type="paragraph" w:customStyle="1" w:styleId="Part">
    <w:name w:val="Part"/>
    <w:basedOn w:val="Normal"/>
    <w:rsid w:val="006710F6"/>
    <w:pPr>
      <w:tabs>
        <w:tab w:val="left" w:pos="1276"/>
      </w:tabs>
      <w:spacing w:before="199"/>
      <w:ind w:left="1701" w:hanging="1701"/>
    </w:pPr>
    <w:rPr>
      <w:caps/>
    </w:rPr>
  </w:style>
  <w:style w:type="paragraph" w:customStyle="1" w:styleId="Figurewithouttitle">
    <w:name w:val="Figure_without_title"/>
    <w:basedOn w:val="Figure"/>
    <w:next w:val="Normalaftertitle"/>
    <w:rsid w:val="006710F6"/>
    <w:pPr>
      <w:keepNext w:val="0"/>
      <w:spacing w:after="240"/>
    </w:pPr>
  </w:style>
  <w:style w:type="character" w:styleId="PageNumber">
    <w:name w:val="page number"/>
    <w:basedOn w:val="DefaultParagraphFont"/>
    <w:rsid w:val="000B0D00"/>
    <w:rPr>
      <w:rFonts w:ascii="Calibri" w:hAnsi="Calibri"/>
    </w:rPr>
  </w:style>
  <w:style w:type="paragraph" w:customStyle="1" w:styleId="meeting">
    <w:name w:val="meeting"/>
    <w:basedOn w:val="Head"/>
    <w:next w:val="Head"/>
    <w:rsid w:val="006710F6"/>
    <w:pPr>
      <w:tabs>
        <w:tab w:val="left" w:pos="7371"/>
      </w:tabs>
      <w:spacing w:after="567"/>
    </w:pPr>
  </w:style>
  <w:style w:type="paragraph" w:customStyle="1" w:styleId="PartNo">
    <w:name w:val="Part_No"/>
    <w:basedOn w:val="AnnexNo"/>
    <w:next w:val="Parttitle"/>
    <w:rsid w:val="006710F6"/>
  </w:style>
  <w:style w:type="paragraph" w:customStyle="1" w:styleId="Parttitle">
    <w:name w:val="Part_title"/>
    <w:basedOn w:val="Annextitle"/>
    <w:next w:val="Partref"/>
    <w:rsid w:val="006710F6"/>
  </w:style>
  <w:style w:type="paragraph" w:customStyle="1" w:styleId="Partref">
    <w:name w:val="Part_ref"/>
    <w:basedOn w:val="Annexref"/>
    <w:next w:val="Normalaftertitle"/>
    <w:rsid w:val="006710F6"/>
  </w:style>
  <w:style w:type="paragraph" w:customStyle="1" w:styleId="Headingb">
    <w:name w:val="Heading_b"/>
    <w:basedOn w:val="Heading3"/>
    <w:next w:val="Normal"/>
    <w:rsid w:val="000B0D00"/>
    <w:pPr>
      <w:spacing w:before="160"/>
      <w:outlineLvl w:val="0"/>
    </w:pPr>
  </w:style>
  <w:style w:type="paragraph" w:customStyle="1" w:styleId="Subject">
    <w:name w:val="Subject"/>
    <w:basedOn w:val="Normal"/>
    <w:next w:val="Source"/>
    <w:rsid w:val="006710F6"/>
    <w:pPr>
      <w:tabs>
        <w:tab w:val="left" w:pos="709"/>
      </w:tabs>
      <w:spacing w:before="0"/>
      <w:ind w:left="709" w:hanging="709"/>
    </w:pPr>
  </w:style>
  <w:style w:type="paragraph" w:customStyle="1" w:styleId="Source">
    <w:name w:val="Source"/>
    <w:basedOn w:val="Normal"/>
    <w:next w:val="Title1"/>
    <w:rsid w:val="000B0D00"/>
    <w:pPr>
      <w:spacing w:before="840"/>
      <w:jc w:val="center"/>
    </w:pPr>
    <w:rPr>
      <w:b/>
      <w:sz w:val="28"/>
    </w:rPr>
  </w:style>
  <w:style w:type="paragraph" w:customStyle="1" w:styleId="Data">
    <w:name w:val="Data"/>
    <w:basedOn w:val="Subject"/>
    <w:next w:val="Subject"/>
    <w:rsid w:val="006710F6"/>
  </w:style>
  <w:style w:type="character" w:styleId="Hyperlink">
    <w:name w:val="Hyperlink"/>
    <w:basedOn w:val="DefaultParagraphFont"/>
    <w:rsid w:val="000B0D00"/>
    <w:rPr>
      <w:color w:val="0000FF"/>
      <w:u w:val="single"/>
    </w:rPr>
  </w:style>
  <w:style w:type="character" w:styleId="FollowedHyperlink">
    <w:name w:val="FollowedHyperlink"/>
    <w:basedOn w:val="DefaultParagraphFont"/>
    <w:rsid w:val="006710F6"/>
    <w:rPr>
      <w:color w:val="800080"/>
      <w:u w:val="single"/>
    </w:rPr>
  </w:style>
  <w:style w:type="paragraph" w:customStyle="1" w:styleId="FirstFooter">
    <w:name w:val="FirstFooter"/>
    <w:basedOn w:val="Footer"/>
    <w:rsid w:val="000B0D00"/>
    <w:rPr>
      <w:caps w:val="0"/>
    </w:rPr>
  </w:style>
  <w:style w:type="paragraph" w:customStyle="1" w:styleId="Note">
    <w:name w:val="Note"/>
    <w:basedOn w:val="Normal"/>
    <w:rsid w:val="000B0D00"/>
    <w:pPr>
      <w:tabs>
        <w:tab w:val="clear" w:pos="567"/>
        <w:tab w:val="left" w:pos="851"/>
      </w:tabs>
    </w:pPr>
  </w:style>
  <w:style w:type="paragraph" w:styleId="TOC9">
    <w:name w:val="toc 9"/>
    <w:basedOn w:val="TOC4"/>
    <w:rsid w:val="006710F6"/>
  </w:style>
  <w:style w:type="paragraph" w:customStyle="1" w:styleId="Headingi">
    <w:name w:val="Heading_i"/>
    <w:basedOn w:val="Heading3"/>
    <w:next w:val="Normal"/>
    <w:rsid w:val="000B0D00"/>
    <w:pPr>
      <w:spacing w:before="160"/>
      <w:outlineLvl w:val="0"/>
    </w:pPr>
    <w:rPr>
      <w:b w:val="0"/>
      <w:i/>
    </w:rPr>
  </w:style>
  <w:style w:type="paragraph" w:customStyle="1" w:styleId="Title1">
    <w:name w:val="Title 1"/>
    <w:basedOn w:val="Source"/>
    <w:next w:val="Title2"/>
    <w:rsid w:val="000B0D00"/>
    <w:pPr>
      <w:spacing w:before="240"/>
    </w:pPr>
    <w:rPr>
      <w:b w:val="0"/>
      <w:caps/>
    </w:rPr>
  </w:style>
  <w:style w:type="paragraph" w:customStyle="1" w:styleId="Title2">
    <w:name w:val="Title 2"/>
    <w:basedOn w:val="Source"/>
    <w:next w:val="Title3"/>
    <w:rsid w:val="000B0D00"/>
    <w:pPr>
      <w:spacing w:before="240"/>
    </w:pPr>
    <w:rPr>
      <w:b w:val="0"/>
      <w:caps/>
    </w:rPr>
  </w:style>
  <w:style w:type="paragraph" w:customStyle="1" w:styleId="Title3">
    <w:name w:val="Title 3"/>
    <w:basedOn w:val="Title2"/>
    <w:next w:val="Normalaftertitle"/>
    <w:rsid w:val="000B0D00"/>
    <w:rPr>
      <w:caps w:val="0"/>
    </w:rPr>
  </w:style>
  <w:style w:type="paragraph" w:customStyle="1" w:styleId="Title4">
    <w:name w:val="Title 4"/>
    <w:basedOn w:val="Title3"/>
    <w:next w:val="Heading1"/>
    <w:rsid w:val="006710F6"/>
    <w:rPr>
      <w:b/>
    </w:rPr>
  </w:style>
  <w:style w:type="paragraph" w:customStyle="1" w:styleId="dnum">
    <w:name w:val="dnum"/>
    <w:basedOn w:val="Normal"/>
    <w:rsid w:val="006710F6"/>
    <w:pPr>
      <w:framePr w:hSpace="181" w:wrap="notBeside" w:vAnchor="page" w:hAnchor="margin" w:x="1" w:y="852"/>
      <w:shd w:val="solid" w:color="FFFFFF" w:fill="FFFFFF"/>
      <w:tabs>
        <w:tab w:val="left" w:pos="1871"/>
      </w:tabs>
    </w:pPr>
    <w:rPr>
      <w:b/>
      <w:bCs/>
    </w:rPr>
  </w:style>
  <w:style w:type="paragraph" w:customStyle="1" w:styleId="ddate">
    <w:name w:val="ddate"/>
    <w:basedOn w:val="Normal"/>
    <w:rsid w:val="006710F6"/>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6710F6"/>
    <w:pPr>
      <w:framePr w:hSpace="181" w:wrap="notBeside" w:vAnchor="page" w:hAnchor="margin" w:x="1" w:y="852"/>
      <w:shd w:val="solid" w:color="FFFFFF" w:fill="FFFFFF"/>
      <w:tabs>
        <w:tab w:val="left" w:pos="1871"/>
      </w:tabs>
      <w:spacing w:before="0"/>
    </w:pPr>
    <w:rPr>
      <w:b/>
      <w:bCs/>
    </w:rPr>
  </w:style>
  <w:style w:type="paragraph" w:customStyle="1" w:styleId="RecNo">
    <w:name w:val="Rec_No"/>
    <w:basedOn w:val="Normal"/>
    <w:next w:val="Rectitle"/>
    <w:rsid w:val="000B0D00"/>
    <w:pPr>
      <w:spacing w:before="720"/>
      <w:jc w:val="center"/>
    </w:pPr>
    <w:rPr>
      <w:caps/>
      <w:sz w:val="28"/>
    </w:rPr>
  </w:style>
  <w:style w:type="paragraph" w:customStyle="1" w:styleId="Rectitle">
    <w:name w:val="Rec_title"/>
    <w:basedOn w:val="Normal"/>
    <w:next w:val="Heading1"/>
    <w:rsid w:val="000B0D00"/>
    <w:pPr>
      <w:spacing w:before="240"/>
      <w:jc w:val="center"/>
    </w:pPr>
    <w:rPr>
      <w:b/>
      <w:sz w:val="28"/>
    </w:rPr>
  </w:style>
  <w:style w:type="paragraph" w:customStyle="1" w:styleId="Recref">
    <w:name w:val="Rec_ref"/>
    <w:basedOn w:val="Rectitle"/>
    <w:next w:val="Recdate"/>
    <w:rsid w:val="006710F6"/>
    <w:pPr>
      <w:spacing w:before="120"/>
    </w:pPr>
    <w:rPr>
      <w:rFonts w:ascii="Times New Roman" w:hAnsi="Times New Roman"/>
      <w:b w:val="0"/>
      <w:sz w:val="24"/>
    </w:rPr>
  </w:style>
  <w:style w:type="paragraph" w:customStyle="1" w:styleId="Recdate">
    <w:name w:val="Rec_date"/>
    <w:basedOn w:val="Recref"/>
    <w:next w:val="Normalaftertitle"/>
    <w:rsid w:val="006710F6"/>
    <w:pPr>
      <w:jc w:val="right"/>
    </w:pPr>
    <w:rPr>
      <w:sz w:val="22"/>
    </w:rPr>
  </w:style>
  <w:style w:type="paragraph" w:customStyle="1" w:styleId="Questiondate">
    <w:name w:val="Question_date"/>
    <w:basedOn w:val="Recdate"/>
    <w:next w:val="Normalaftertitle"/>
    <w:rsid w:val="006710F6"/>
  </w:style>
  <w:style w:type="paragraph" w:customStyle="1" w:styleId="QuestionNo">
    <w:name w:val="Question_No"/>
    <w:basedOn w:val="RecNo"/>
    <w:next w:val="Questiontitle"/>
    <w:rsid w:val="006710F6"/>
  </w:style>
  <w:style w:type="paragraph" w:customStyle="1" w:styleId="Questiontitle">
    <w:name w:val="Question_title"/>
    <w:basedOn w:val="Rectitle"/>
    <w:next w:val="Questionref"/>
    <w:rsid w:val="006710F6"/>
  </w:style>
  <w:style w:type="paragraph" w:customStyle="1" w:styleId="Questionref">
    <w:name w:val="Question_ref"/>
    <w:basedOn w:val="Recref"/>
    <w:next w:val="Questiondate"/>
    <w:rsid w:val="006710F6"/>
  </w:style>
  <w:style w:type="paragraph" w:customStyle="1" w:styleId="Reftext">
    <w:name w:val="Ref_text"/>
    <w:basedOn w:val="Normal"/>
    <w:rsid w:val="000B0D00"/>
    <w:pPr>
      <w:ind w:left="567" w:hanging="567"/>
    </w:pPr>
  </w:style>
  <w:style w:type="paragraph" w:customStyle="1" w:styleId="Reftitle">
    <w:name w:val="Ref_title"/>
    <w:basedOn w:val="Normal"/>
    <w:next w:val="Reftext"/>
    <w:rsid w:val="000B0D00"/>
    <w:pPr>
      <w:spacing w:before="480"/>
      <w:jc w:val="center"/>
    </w:pPr>
    <w:rPr>
      <w:caps/>
      <w:sz w:val="28"/>
    </w:rPr>
  </w:style>
  <w:style w:type="paragraph" w:customStyle="1" w:styleId="Repdate">
    <w:name w:val="Rep_date"/>
    <w:basedOn w:val="Recdate"/>
    <w:next w:val="Normalaftertitle"/>
    <w:rsid w:val="006710F6"/>
  </w:style>
  <w:style w:type="paragraph" w:customStyle="1" w:styleId="RepNo">
    <w:name w:val="Rep_No"/>
    <w:basedOn w:val="RecNo"/>
    <w:next w:val="Reptitle"/>
    <w:rsid w:val="006710F6"/>
  </w:style>
  <w:style w:type="paragraph" w:customStyle="1" w:styleId="Reptitle">
    <w:name w:val="Rep_title"/>
    <w:basedOn w:val="Rectitle"/>
    <w:next w:val="Repref"/>
    <w:rsid w:val="006710F6"/>
  </w:style>
  <w:style w:type="paragraph" w:customStyle="1" w:styleId="Repref">
    <w:name w:val="Rep_ref"/>
    <w:basedOn w:val="Recref"/>
    <w:next w:val="Repdate"/>
    <w:rsid w:val="006710F6"/>
  </w:style>
  <w:style w:type="paragraph" w:customStyle="1" w:styleId="Resdate">
    <w:name w:val="Res_date"/>
    <w:basedOn w:val="Recdate"/>
    <w:next w:val="Normalaftertitle"/>
    <w:rsid w:val="006710F6"/>
  </w:style>
  <w:style w:type="paragraph" w:customStyle="1" w:styleId="ResNo">
    <w:name w:val="Res_No"/>
    <w:basedOn w:val="AnnexNo"/>
    <w:next w:val="Restitle"/>
    <w:rsid w:val="000B0D00"/>
  </w:style>
  <w:style w:type="paragraph" w:customStyle="1" w:styleId="Restitle">
    <w:name w:val="Res_title"/>
    <w:basedOn w:val="Annextitle"/>
    <w:next w:val="Normal"/>
    <w:rsid w:val="000B0D00"/>
  </w:style>
  <w:style w:type="paragraph" w:customStyle="1" w:styleId="Resref">
    <w:name w:val="Res_ref"/>
    <w:basedOn w:val="Recref"/>
    <w:next w:val="Resdate"/>
    <w:rsid w:val="006710F6"/>
  </w:style>
  <w:style w:type="paragraph" w:customStyle="1" w:styleId="SectionNo">
    <w:name w:val="Section_No"/>
    <w:basedOn w:val="AnnexNo"/>
    <w:next w:val="Sectiontitle"/>
    <w:rsid w:val="006710F6"/>
  </w:style>
  <w:style w:type="paragraph" w:customStyle="1" w:styleId="Sectiontitle">
    <w:name w:val="Section_title"/>
    <w:basedOn w:val="Normal"/>
    <w:next w:val="Normalaftertitle"/>
    <w:rsid w:val="006710F6"/>
    <w:rPr>
      <w:sz w:val="28"/>
    </w:rPr>
  </w:style>
  <w:style w:type="paragraph" w:customStyle="1" w:styleId="SpecialFooter">
    <w:name w:val="Special Footer"/>
    <w:basedOn w:val="Footer"/>
    <w:rsid w:val="006710F6"/>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rsid w:val="000B0D00"/>
    <w:pPr>
      <w:spacing w:before="120" w:after="120"/>
      <w:jc w:val="center"/>
    </w:pPr>
    <w:rPr>
      <w:b/>
    </w:rPr>
  </w:style>
  <w:style w:type="paragraph" w:customStyle="1" w:styleId="Tablelegend">
    <w:name w:val="Table_legend"/>
    <w:basedOn w:val="Tabletext"/>
    <w:rsid w:val="006710F6"/>
    <w:pPr>
      <w:spacing w:before="120"/>
    </w:pPr>
  </w:style>
  <w:style w:type="paragraph" w:customStyle="1" w:styleId="Tableref">
    <w:name w:val="Table_ref"/>
    <w:basedOn w:val="Normal"/>
    <w:next w:val="Tabletitle"/>
    <w:rsid w:val="006710F6"/>
    <w:pPr>
      <w:keepNext/>
      <w:spacing w:before="567"/>
      <w:jc w:val="center"/>
    </w:pPr>
  </w:style>
  <w:style w:type="paragraph" w:customStyle="1" w:styleId="Reasons">
    <w:name w:val="Reasons"/>
    <w:basedOn w:val="Normal"/>
    <w:qFormat/>
    <w:rsid w:val="000B0D00"/>
  </w:style>
  <w:style w:type="paragraph" w:customStyle="1" w:styleId="FigureNo">
    <w:name w:val="Figure_No"/>
    <w:basedOn w:val="Normal"/>
    <w:next w:val="Figuretitle"/>
    <w:rsid w:val="006710F6"/>
    <w:pPr>
      <w:keepNext/>
      <w:keepLines/>
      <w:spacing w:before="240" w:after="120"/>
      <w:jc w:val="center"/>
    </w:pPr>
    <w:rPr>
      <w:caps/>
    </w:rPr>
  </w:style>
  <w:style w:type="paragraph" w:customStyle="1" w:styleId="Table">
    <w:name w:val="Table_#"/>
    <w:basedOn w:val="Normal"/>
    <w:next w:val="Normal"/>
    <w:rsid w:val="00093EEB"/>
    <w:pPr>
      <w:keepNext/>
      <w:overflowPunct/>
      <w:autoSpaceDE/>
      <w:autoSpaceDN/>
      <w:adjustRightInd/>
      <w:spacing w:before="560" w:after="120"/>
      <w:jc w:val="center"/>
      <w:textAlignment w:val="auto"/>
    </w:pPr>
    <w:rPr>
      <w:caps/>
      <w:lang w:val="en-GB"/>
    </w:rPr>
  </w:style>
  <w:style w:type="paragraph" w:customStyle="1" w:styleId="Subtitle">
    <w:name w:val="Sub_title"/>
    <w:basedOn w:val="Title1"/>
    <w:qFormat/>
    <w:rsid w:val="00FE57F6"/>
    <w:pPr>
      <w:framePr w:hSpace="180" w:wrap="around" w:hAnchor="page" w:x="1821" w:y="2317"/>
      <w:spacing w:before="120" w:after="160"/>
      <w:jc w:val="left"/>
    </w:pPr>
    <w:rPr>
      <w:caps w:val="0"/>
      <w:sz w:val="34"/>
      <w:lang w:val="en-GB"/>
    </w:rPr>
  </w:style>
  <w:style w:type="character" w:customStyle="1" w:styleId="HeaderChar">
    <w:name w:val="Header Char"/>
    <w:basedOn w:val="DefaultParagraphFont"/>
    <w:link w:val="Header"/>
    <w:uiPriority w:val="99"/>
    <w:rsid w:val="001559F5"/>
    <w:rPr>
      <w:rFonts w:ascii="Calibri" w:hAnsi="Calibri"/>
      <w:sz w:val="18"/>
      <w:lang w:val="es-ES_tradnl" w:eastAsia="en-US"/>
    </w:rPr>
  </w:style>
  <w:style w:type="table" w:styleId="TableGrid">
    <w:name w:val="Table Grid"/>
    <w:basedOn w:val="TableNormal"/>
    <w:uiPriority w:val="39"/>
    <w:rsid w:val="001559F5"/>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numbered (a)),WB Para,List Paragraph1,Bullets,Lapis Bulleted List,Dot pt,F5 List Paragraph,No Spacing1,List Paragraph Char Char Char,Indicator Text,Numbered Para 1,Bullet 1,List Paragraph12,Bullet Points,MAIN CONTENT,L"/>
    <w:basedOn w:val="Normal"/>
    <w:link w:val="ListParagraphChar"/>
    <w:uiPriority w:val="34"/>
    <w:qFormat/>
    <w:rsid w:val="00D96B96"/>
    <w:pPr>
      <w:tabs>
        <w:tab w:val="clear" w:pos="567"/>
        <w:tab w:val="clear" w:pos="1134"/>
        <w:tab w:val="clear" w:pos="1701"/>
        <w:tab w:val="clear" w:pos="2268"/>
        <w:tab w:val="clear" w:pos="2835"/>
      </w:tabs>
      <w:overflowPunct/>
      <w:autoSpaceDE/>
      <w:autoSpaceDN/>
      <w:adjustRightInd/>
      <w:spacing w:before="0" w:after="160" w:line="259" w:lineRule="auto"/>
      <w:ind w:left="720"/>
      <w:contextualSpacing/>
      <w:textAlignment w:val="auto"/>
    </w:pPr>
    <w:rPr>
      <w:rFonts w:asciiTheme="minorHAnsi" w:eastAsiaTheme="minorEastAsia" w:hAnsiTheme="minorHAnsi" w:cstheme="minorBidi"/>
      <w:sz w:val="22"/>
      <w:szCs w:val="22"/>
      <w:lang w:val="en-US" w:eastAsia="zh-CN"/>
    </w:rPr>
  </w:style>
  <w:style w:type="character" w:customStyle="1" w:styleId="ListParagraphChar">
    <w:name w:val="List Paragraph Char"/>
    <w:aliases w:val="List Paragraph (numbered (a)) Char,WB Para Char,List Paragraph1 Char,Bullets Char,Lapis Bulleted List Char,Dot pt Char,F5 List Paragraph Char,No Spacing1 Char,List Paragraph Char Char Char Char,Indicator Text Char,Bullet 1 Char"/>
    <w:basedOn w:val="DefaultParagraphFont"/>
    <w:link w:val="ListParagraph"/>
    <w:uiPriority w:val="34"/>
    <w:locked/>
    <w:rsid w:val="00D96B96"/>
    <w:rPr>
      <w:rFonts w:asciiTheme="minorHAnsi" w:eastAsiaTheme="minorEastAsia" w:hAnsiTheme="minorHAnsi" w:cstheme="minorBidi"/>
      <w:sz w:val="22"/>
      <w:szCs w:val="22"/>
    </w:rPr>
  </w:style>
  <w:style w:type="character" w:customStyle="1" w:styleId="FootnoteTextChar">
    <w:name w:val="Footnote Text Char"/>
    <w:basedOn w:val="DefaultParagraphFont"/>
    <w:link w:val="FootnoteText"/>
    <w:uiPriority w:val="99"/>
    <w:rsid w:val="00D96B96"/>
    <w:rPr>
      <w:rFonts w:ascii="Calibri" w:hAnsi="Calibri"/>
      <w:sz w:val="24"/>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md/S23-CL-INF-0005/e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itu.int/en/council/Documents/Financial-Regulations/S-GEN-REG_RGTFIN-2018-PDF-E.pdf"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itu.int/md/S22-CWGFHR15-C-0003/en"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itu.int/counci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theiia.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yala\AppData\Roaming\Microsoft\Templates\POOL%20S%20-%20ITU\GS\PS_Council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PS_Council23.dotx</Template>
  <TotalTime>0</TotalTime>
  <Pages>6</Pages>
  <Words>2209</Words>
  <Characters>11728</Characters>
  <Application>Microsoft Office Word</Application>
  <DocSecurity>4</DocSecurity>
  <Lines>97</Lines>
  <Paragraphs>27</Paragraphs>
  <ScaleCrop>false</ScaleCrop>
  <HeadingPairs>
    <vt:vector size="4" baseType="variant">
      <vt:variant>
        <vt:lpstr>Title</vt:lpstr>
      </vt:variant>
      <vt:variant>
        <vt:i4>1</vt:i4>
      </vt:variant>
      <vt:variant>
        <vt:lpstr>UNIÓN INTERNACIONAL DE TELECOMUNICACIONES	</vt:lpstr>
      </vt:variant>
      <vt:variant>
        <vt:i4>0</vt:i4>
      </vt:variant>
    </vt:vector>
  </HeadingPairs>
  <TitlesOfParts>
    <vt:vector size="1" baseType="lpstr">
      <vt:lpstr/>
    </vt:vector>
  </TitlesOfParts>
  <Manager>Secretaría General - Pool</Manager>
  <Company>Unión Internacional de Telecomunicaciones (UIT)</Company>
  <LinksUpToDate>false</LinksUpToDate>
  <CharactersWithSpaces>13910</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del auditor interno sobre las actividades de auditoría interna</dc:title>
  <dc:subject>Consejo 2023</dc:subject>
  <dc:creator>Spanish</dc:creator>
  <cp:keywords>C2023, C23, Council-23</cp:keywords>
  <dc:description/>
  <cp:lastModifiedBy>Xue, Kun</cp:lastModifiedBy>
  <cp:revision>2</cp:revision>
  <cp:lastPrinted>2006-03-24T09:51:00Z</cp:lastPrinted>
  <dcterms:created xsi:type="dcterms:W3CDTF">2023-06-14T08:15:00Z</dcterms:created>
  <dcterms:modified xsi:type="dcterms:W3CDTF">2023-06-14T08:15:00Z</dcterms:modified>
  <cp:category>Documento de conferencia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Documento C17/-S</vt:lpwstr>
  </property>
  <property fmtid="{D5CDD505-2E9C-101B-9397-08002B2CF9AE}" pid="3" name="Docdate">
    <vt:lpwstr>enero de 2017</vt:lpwstr>
  </property>
  <property fmtid="{D5CDD505-2E9C-101B-9397-08002B2CF9AE}" pid="4" name="Docorlang">
    <vt:lpwstr>Original: inglés</vt:lpwstr>
  </property>
  <property fmtid="{D5CDD505-2E9C-101B-9397-08002B2CF9AE}" pid="5" name="Docbluepink">
    <vt:lpwstr>Consejo 2017 Ginebra, 15-25 de mayo de 2017</vt:lpwstr>
  </property>
  <property fmtid="{D5CDD505-2E9C-101B-9397-08002B2CF9AE}" pid="6" name="Docdest">
    <vt:lpwstr/>
  </property>
  <property fmtid="{D5CDD505-2E9C-101B-9397-08002B2CF9AE}" pid="7" name="Docauthor">
    <vt:lpwstr/>
  </property>
</Properties>
</file>