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0A7F10C0"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903CA5">
              <w:rPr>
                <w:b/>
              </w:rPr>
              <w:t>ADM 2</w:t>
            </w:r>
          </w:p>
        </w:tc>
        <w:tc>
          <w:tcPr>
            <w:tcW w:w="5245" w:type="dxa"/>
          </w:tcPr>
          <w:p w14:paraId="2F0CB53A" w14:textId="71E89CD5" w:rsidR="00AD3606" w:rsidRPr="00E85629" w:rsidRDefault="00AD3606" w:rsidP="00472BAD">
            <w:pPr>
              <w:tabs>
                <w:tab w:val="left" w:pos="851"/>
              </w:tabs>
              <w:spacing w:before="0" w:line="240" w:lineRule="atLeast"/>
              <w:jc w:val="right"/>
              <w:rPr>
                <w:b/>
              </w:rPr>
            </w:pPr>
            <w:r>
              <w:rPr>
                <w:b/>
              </w:rPr>
              <w:t>Document C23/</w:t>
            </w:r>
            <w:r w:rsidR="00203CBD">
              <w:rPr>
                <w:b/>
              </w:rPr>
              <w:t>44</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6FFC8674" w:rsidR="00AD3606" w:rsidRPr="00E85629" w:rsidRDefault="003D1EE2" w:rsidP="00AD3606">
            <w:pPr>
              <w:tabs>
                <w:tab w:val="left" w:pos="851"/>
              </w:tabs>
              <w:spacing w:before="0"/>
              <w:jc w:val="right"/>
              <w:rPr>
                <w:b/>
              </w:rPr>
            </w:pPr>
            <w:r>
              <w:rPr>
                <w:b/>
              </w:rPr>
              <w:t>9</w:t>
            </w:r>
            <w:r w:rsidR="007F2810">
              <w:rPr>
                <w:b/>
              </w:rPr>
              <w:t xml:space="preserve">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175FA308" w:rsidR="00203CBD" w:rsidRPr="00203CBD" w:rsidRDefault="00AD3606" w:rsidP="00C006BC">
            <w:pPr>
              <w:pStyle w:val="Source"/>
              <w:framePr w:hSpace="0" w:wrap="auto" w:vAnchor="margin" w:hAnchor="text" w:xAlign="lef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4E613C08" w:rsidR="00AD3606" w:rsidRPr="00203CBD" w:rsidRDefault="00203CBD" w:rsidP="00C006BC">
            <w:pPr>
              <w:pStyle w:val="Subtitle"/>
              <w:framePr w:hSpace="0" w:wrap="auto" w:xAlign="left" w:yAlign="inline"/>
            </w:pPr>
            <w:bookmarkStart w:id="5" w:name="_Hlk38976514"/>
            <w:bookmarkStart w:id="6" w:name="dtitle1" w:colFirst="0" w:colLast="0"/>
            <w:bookmarkEnd w:id="4"/>
            <w:r w:rsidRPr="00203CBD">
              <w:t>REPORT OF THE INTERNAL AUDITOR ON INTERNAL AUDIT ACTIVITIES</w:t>
            </w:r>
            <w:bookmarkEnd w:id="5"/>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6D75EEFA" w:rsidR="00AD3606" w:rsidRPr="00F16BAB" w:rsidRDefault="00F16BAB" w:rsidP="00F16BAB">
            <w:pPr>
              <w:spacing w:before="160"/>
              <w:rPr>
                <w:b/>
                <w:bCs/>
                <w:sz w:val="26"/>
                <w:szCs w:val="26"/>
              </w:rPr>
            </w:pPr>
            <w:r w:rsidRPr="00F16BAB">
              <w:rPr>
                <w:b/>
                <w:bCs/>
                <w:sz w:val="26"/>
                <w:szCs w:val="26"/>
              </w:rPr>
              <w:t>Purpose</w:t>
            </w:r>
          </w:p>
          <w:p w14:paraId="01EEEAC5" w14:textId="536D5824" w:rsidR="00AD3606" w:rsidRPr="00813E5E" w:rsidRDefault="00203CBD" w:rsidP="00F16BAB">
            <w:r w:rsidRPr="00CF2765">
              <w:rPr>
                <w:szCs w:val="24"/>
              </w:rPr>
              <w:t xml:space="preserve">This report covers internal audit activities for the period from </w:t>
            </w:r>
            <w:r>
              <w:rPr>
                <w:szCs w:val="24"/>
              </w:rPr>
              <w:t xml:space="preserve">February 2022 </w:t>
            </w:r>
            <w:r w:rsidRPr="00CF2765">
              <w:rPr>
                <w:szCs w:val="24"/>
              </w:rPr>
              <w:t xml:space="preserve">to </w:t>
            </w:r>
            <w:r>
              <w:rPr>
                <w:szCs w:val="24"/>
              </w:rPr>
              <w:t>April 2023.</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5C39B9D9" w14:textId="45BB7A3F" w:rsidR="00203CBD" w:rsidRPr="00CF2765" w:rsidRDefault="00203CBD" w:rsidP="00203CBD">
            <w:pPr>
              <w:snapToGrid w:val="0"/>
              <w:spacing w:after="120"/>
              <w:jc w:val="both"/>
              <w:rPr>
                <w:szCs w:val="24"/>
              </w:rPr>
            </w:pPr>
            <w:r w:rsidRPr="00CF2765">
              <w:rPr>
                <w:szCs w:val="24"/>
              </w:rPr>
              <w:t>Th</w:t>
            </w:r>
            <w:r w:rsidR="00903CA5">
              <w:rPr>
                <w:szCs w:val="24"/>
              </w:rPr>
              <w:t xml:space="preserve">e </w:t>
            </w:r>
            <w:r w:rsidR="00A36779">
              <w:rPr>
                <w:szCs w:val="24"/>
              </w:rPr>
              <w:t xml:space="preserve">ITU </w:t>
            </w:r>
            <w:r w:rsidRPr="00CF2765">
              <w:rPr>
                <w:szCs w:val="24"/>
              </w:rPr>
              <w:t>Council</w:t>
            </w:r>
            <w:r w:rsidR="00903CA5">
              <w:rPr>
                <w:szCs w:val="24"/>
              </w:rPr>
              <w:t xml:space="preserve"> is invited</w:t>
            </w:r>
            <w:r w:rsidRPr="00CF2765">
              <w:rPr>
                <w:szCs w:val="24"/>
              </w:rPr>
              <w:t xml:space="preserve"> </w:t>
            </w:r>
            <w:r w:rsidR="007701C4">
              <w:rPr>
                <w:b/>
                <w:bCs/>
                <w:szCs w:val="24"/>
              </w:rPr>
              <w:t>to take note</w:t>
            </w:r>
            <w:r w:rsidR="00903CA5">
              <w:rPr>
                <w:b/>
                <w:bCs/>
                <w:szCs w:val="24"/>
              </w:rPr>
              <w:t xml:space="preserve"> </w:t>
            </w:r>
            <w:r w:rsidR="00903CA5" w:rsidRPr="00903CA5">
              <w:rPr>
                <w:szCs w:val="24"/>
              </w:rPr>
              <w:t>of the report</w:t>
            </w:r>
            <w:r w:rsidRPr="00903CA5">
              <w:rPr>
                <w:szCs w:val="24"/>
              </w:rPr>
              <w:t>.</w:t>
            </w:r>
          </w:p>
          <w:p w14:paraId="71511FA1" w14:textId="1F544385" w:rsidR="00F16BAB" w:rsidRDefault="00F16BAB" w:rsidP="00F16BAB">
            <w:pPr>
              <w:spacing w:before="160"/>
              <w:rPr>
                <w:b/>
                <w:bCs/>
                <w:sz w:val="26"/>
                <w:szCs w:val="26"/>
              </w:rPr>
            </w:pPr>
            <w:r>
              <w:rPr>
                <w:b/>
                <w:bCs/>
                <w:sz w:val="26"/>
                <w:szCs w:val="26"/>
              </w:rPr>
              <w:t>Relevant link</w:t>
            </w:r>
            <w:r w:rsidR="00A54171">
              <w:rPr>
                <w:b/>
                <w:bCs/>
                <w:sz w:val="26"/>
                <w:szCs w:val="26"/>
              </w:rPr>
              <w:t>(s)</w:t>
            </w:r>
            <w:r>
              <w:rPr>
                <w:b/>
                <w:bCs/>
                <w:sz w:val="26"/>
                <w:szCs w:val="26"/>
              </w:rPr>
              <w:t xml:space="preserve"> with </w:t>
            </w:r>
            <w:r w:rsidRPr="005113C0">
              <w:rPr>
                <w:b/>
                <w:bCs/>
                <w:sz w:val="26"/>
                <w:szCs w:val="26"/>
              </w:rPr>
              <w:t>the Strategic Plan</w:t>
            </w:r>
          </w:p>
          <w:p w14:paraId="503749D7" w14:textId="7775DDC8" w:rsidR="00F16BAB" w:rsidRPr="00F16BAB" w:rsidRDefault="00C15B26" w:rsidP="00F16BAB">
            <w:r>
              <w:t>Excellence in human resources and organizational innovation</w:t>
            </w:r>
            <w:r w:rsidR="00A717F1">
              <w:t>.</w:t>
            </w:r>
          </w:p>
          <w:p w14:paraId="45BFB922" w14:textId="77777777" w:rsidR="001749D9" w:rsidRDefault="00F16BAB" w:rsidP="00F16BAB">
            <w:pPr>
              <w:spacing w:before="160"/>
              <w:rPr>
                <w:b/>
                <w:bCs/>
                <w:sz w:val="26"/>
                <w:szCs w:val="26"/>
              </w:rPr>
            </w:pPr>
            <w:r>
              <w:rPr>
                <w:b/>
                <w:bCs/>
                <w:sz w:val="26"/>
                <w:szCs w:val="26"/>
              </w:rPr>
              <w:t>Financial implications</w:t>
            </w:r>
          </w:p>
          <w:p w14:paraId="74189BBD" w14:textId="76029E36" w:rsidR="00F16BAB" w:rsidRDefault="001749D9" w:rsidP="00F16BAB">
            <w:pPr>
              <w:spacing w:before="160"/>
              <w:rPr>
                <w:b/>
                <w:bCs/>
                <w:sz w:val="26"/>
                <w:szCs w:val="26"/>
              </w:rPr>
            </w:pPr>
            <w:r>
              <w:rPr>
                <w:szCs w:val="24"/>
              </w:rPr>
              <w:t>N</w:t>
            </w:r>
            <w:r w:rsidR="00F16BAB" w:rsidRPr="00C006BC">
              <w:rPr>
                <w:szCs w:val="24"/>
              </w:rPr>
              <w:t>one</w:t>
            </w:r>
            <w:r w:rsidR="00A717F1">
              <w:rPr>
                <w:szCs w:val="24"/>
              </w:rPr>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563741C2" w14:textId="66485FC5" w:rsidR="00203CBD" w:rsidRPr="00813E5E" w:rsidRDefault="003D1EE2" w:rsidP="00203CBD">
            <w:pPr>
              <w:rPr>
                <w:i/>
                <w:iCs/>
              </w:rPr>
            </w:pPr>
            <w:hyperlink r:id="rId8" w:history="1">
              <w:r w:rsidR="00203CBD" w:rsidRPr="00CF2765">
                <w:rPr>
                  <w:rStyle w:val="Hyperlink"/>
                  <w:i/>
                  <w:iCs/>
                  <w:szCs w:val="24"/>
                </w:rPr>
                <w:t xml:space="preserve">ITU Financial Regulations and </w:t>
              </w:r>
              <w:r w:rsidR="00A717F1">
                <w:rPr>
                  <w:rStyle w:val="Hyperlink"/>
                  <w:i/>
                  <w:iCs/>
                  <w:szCs w:val="24"/>
                </w:rPr>
                <w:t xml:space="preserve">Financial </w:t>
              </w:r>
              <w:r w:rsidR="00203CBD" w:rsidRPr="00CF2765">
                <w:rPr>
                  <w:rStyle w:val="Hyperlink"/>
                  <w:i/>
                  <w:iCs/>
                  <w:szCs w:val="24"/>
                </w:rPr>
                <w:t>Rules (2018), Article 29</w:t>
              </w:r>
            </w:hyperlink>
          </w:p>
          <w:p w14:paraId="65250B1E" w14:textId="77777777" w:rsidR="00AD3606" w:rsidRDefault="00AD3606" w:rsidP="00F16BAB">
            <w:pPr>
              <w:spacing w:after="160"/>
            </w:pPr>
          </w:p>
        </w:tc>
      </w:tr>
      <w:bookmarkEnd w:id="6"/>
    </w:tbl>
    <w:p w14:paraId="7FE52F59" w14:textId="77777777" w:rsidR="0090147A" w:rsidRPr="001749D9"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749D9">
        <w:br w:type="page"/>
      </w:r>
    </w:p>
    <w:p w14:paraId="201EDCE6" w14:textId="77777777" w:rsidR="00056D81" w:rsidRPr="00F01F21" w:rsidRDefault="00056D81" w:rsidP="00430C06">
      <w:pPr>
        <w:pStyle w:val="Heading1"/>
        <w:keepNext w:val="0"/>
        <w:keepLines w:val="0"/>
        <w:tabs>
          <w:tab w:val="clear" w:pos="567"/>
          <w:tab w:val="clear" w:pos="1134"/>
          <w:tab w:val="clear" w:pos="1701"/>
          <w:tab w:val="clear" w:pos="2268"/>
          <w:tab w:val="clear" w:pos="2835"/>
        </w:tabs>
        <w:snapToGrid w:val="0"/>
        <w:spacing w:before="0" w:after="120"/>
        <w:ind w:left="0" w:firstLine="0"/>
        <w:rPr>
          <w:rFonts w:asciiTheme="minorHAnsi" w:hAnsiTheme="minorHAnsi" w:cstheme="minorHAnsi"/>
          <w:szCs w:val="28"/>
        </w:rPr>
      </w:pPr>
      <w:r w:rsidRPr="00F01F21">
        <w:rPr>
          <w:rFonts w:asciiTheme="minorHAnsi" w:hAnsiTheme="minorHAnsi" w:cstheme="minorHAnsi"/>
          <w:szCs w:val="28"/>
        </w:rPr>
        <w:lastRenderedPageBreak/>
        <w:t>Introduction</w:t>
      </w:r>
    </w:p>
    <w:p w14:paraId="5B0D1EAC" w14:textId="5037AADF" w:rsidR="00056D81" w:rsidRPr="00E30743" w:rsidRDefault="00056D81" w:rsidP="00056D81">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theme="minorHAnsi"/>
          <w:sz w:val="24"/>
          <w:szCs w:val="24"/>
        </w:rPr>
        <w:t xml:space="preserve">This report is transmitted to the ITU Council and </w:t>
      </w:r>
      <w:r w:rsidR="00A717F1">
        <w:rPr>
          <w:rFonts w:cstheme="minorHAnsi"/>
          <w:sz w:val="24"/>
          <w:szCs w:val="24"/>
        </w:rPr>
        <w:t>conforms with</w:t>
      </w:r>
      <w:r w:rsidRPr="00E30743">
        <w:rPr>
          <w:rFonts w:cstheme="minorHAnsi"/>
          <w:sz w:val="24"/>
          <w:szCs w:val="24"/>
        </w:rPr>
        <w:t xml:space="preserve"> Article 29 of the </w:t>
      </w:r>
      <w:r w:rsidR="00A717F1">
        <w:rPr>
          <w:rFonts w:cstheme="minorHAnsi"/>
          <w:sz w:val="24"/>
          <w:szCs w:val="24"/>
        </w:rPr>
        <w:t xml:space="preserve">ITU </w:t>
      </w:r>
      <w:r w:rsidRPr="00E30743">
        <w:rPr>
          <w:rFonts w:cstheme="minorHAnsi"/>
          <w:sz w:val="24"/>
          <w:szCs w:val="24"/>
        </w:rPr>
        <w:t>Financial Regulations</w:t>
      </w:r>
      <w:r w:rsidR="00A717F1">
        <w:rPr>
          <w:rFonts w:cstheme="minorHAnsi"/>
          <w:sz w:val="24"/>
          <w:szCs w:val="24"/>
        </w:rPr>
        <w:t xml:space="preserve"> and Financial Rules</w:t>
      </w:r>
      <w:r w:rsidRPr="00E30743">
        <w:rPr>
          <w:rFonts w:cstheme="minorHAnsi"/>
          <w:sz w:val="24"/>
          <w:szCs w:val="24"/>
        </w:rPr>
        <w:t xml:space="preserve"> (2018). In accordance with the ITU Internal Audit charter</w:t>
      </w:r>
      <w:r w:rsidR="00A717F1">
        <w:rPr>
          <w:rFonts w:cstheme="minorHAnsi"/>
          <w:sz w:val="24"/>
          <w:szCs w:val="24"/>
        </w:rPr>
        <w:t>,</w:t>
      </w:r>
      <w:r>
        <w:rPr>
          <w:rStyle w:val="FootnoteReference"/>
          <w:rFonts w:cstheme="minorHAnsi"/>
        </w:rPr>
        <w:footnoteReference w:id="1"/>
      </w:r>
      <w:r w:rsidRPr="00E30743">
        <w:rPr>
          <w:rFonts w:cstheme="minorHAnsi"/>
          <w:sz w:val="24"/>
          <w:szCs w:val="24"/>
        </w:rPr>
        <w:t xml:space="preserve"> this report is submitted to the Secretary-General and presented to the Council for consideration. The current report covers activities fo</w:t>
      </w:r>
      <w:r w:rsidR="00A717F1">
        <w:rPr>
          <w:rFonts w:cstheme="minorHAnsi"/>
          <w:sz w:val="24"/>
          <w:szCs w:val="24"/>
        </w:rPr>
        <w:t xml:space="preserve">r </w:t>
      </w:r>
      <w:r w:rsidRPr="00E30743">
        <w:rPr>
          <w:rFonts w:cstheme="minorHAnsi"/>
          <w:sz w:val="24"/>
          <w:szCs w:val="24"/>
        </w:rPr>
        <w:t xml:space="preserve">the period </w:t>
      </w:r>
      <w:r w:rsidR="00A717F1">
        <w:rPr>
          <w:rFonts w:cstheme="minorHAnsi"/>
          <w:sz w:val="24"/>
          <w:szCs w:val="24"/>
        </w:rPr>
        <w:t>from</w:t>
      </w:r>
      <w:r w:rsidR="00A717F1" w:rsidRPr="00E30743">
        <w:rPr>
          <w:rFonts w:cstheme="minorHAnsi"/>
          <w:sz w:val="24"/>
          <w:szCs w:val="24"/>
        </w:rPr>
        <w:t xml:space="preserve"> </w:t>
      </w:r>
      <w:r w:rsidRPr="00E30743">
        <w:rPr>
          <w:rFonts w:cstheme="minorHAnsi"/>
          <w:sz w:val="24"/>
          <w:szCs w:val="24"/>
        </w:rPr>
        <w:t xml:space="preserve">February 2022 </w:t>
      </w:r>
      <w:r w:rsidR="00A717F1">
        <w:rPr>
          <w:rFonts w:cstheme="minorHAnsi"/>
          <w:sz w:val="24"/>
          <w:szCs w:val="24"/>
        </w:rPr>
        <w:t>to</w:t>
      </w:r>
      <w:r w:rsidR="00A717F1" w:rsidRPr="00E30743">
        <w:rPr>
          <w:rFonts w:cstheme="minorHAnsi"/>
          <w:sz w:val="24"/>
          <w:szCs w:val="24"/>
        </w:rPr>
        <w:t xml:space="preserve"> </w:t>
      </w:r>
      <w:r w:rsidRPr="00E30743">
        <w:rPr>
          <w:rFonts w:cstheme="minorHAnsi"/>
          <w:sz w:val="24"/>
          <w:szCs w:val="24"/>
        </w:rPr>
        <w:t>April 2023.</w:t>
      </w:r>
    </w:p>
    <w:p w14:paraId="215E9264" w14:textId="4542C7CA" w:rsidR="00056D81" w:rsidRPr="00F01F21" w:rsidRDefault="00056D81" w:rsidP="00056D81">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E30743">
        <w:rPr>
          <w:rFonts w:cstheme="minorHAnsi"/>
          <w:sz w:val="24"/>
          <w:szCs w:val="24"/>
        </w:rPr>
        <w:t xml:space="preserve">For the </w:t>
      </w:r>
      <w:r w:rsidR="00A717F1">
        <w:rPr>
          <w:rFonts w:cstheme="minorHAnsi"/>
          <w:sz w:val="24"/>
          <w:szCs w:val="24"/>
        </w:rPr>
        <w:t xml:space="preserve">reporting </w:t>
      </w:r>
      <w:r w:rsidRPr="00E30743">
        <w:rPr>
          <w:rFonts w:cstheme="minorHAnsi"/>
          <w:sz w:val="24"/>
          <w:szCs w:val="24"/>
        </w:rPr>
        <w:t xml:space="preserve">period, </w:t>
      </w:r>
      <w:r w:rsidR="009931AD" w:rsidRPr="001555A7">
        <w:rPr>
          <w:rFonts w:cstheme="minorHAnsi"/>
          <w:sz w:val="24"/>
          <w:szCs w:val="24"/>
        </w:rPr>
        <w:t xml:space="preserve">ITU </w:t>
      </w:r>
      <w:r w:rsidRPr="001555A7">
        <w:rPr>
          <w:rFonts w:cstheme="minorHAnsi"/>
          <w:sz w:val="24"/>
          <w:szCs w:val="24"/>
        </w:rPr>
        <w:t>Internal Audit</w:t>
      </w:r>
      <w:r w:rsidR="00E80707" w:rsidRPr="001555A7">
        <w:rPr>
          <w:rFonts w:cstheme="minorHAnsi"/>
          <w:sz w:val="24"/>
          <w:szCs w:val="24"/>
        </w:rPr>
        <w:t xml:space="preserve"> (IA) </w:t>
      </w:r>
      <w:r w:rsidRPr="001555A7">
        <w:rPr>
          <w:rFonts w:cstheme="minorHAnsi"/>
          <w:sz w:val="24"/>
          <w:szCs w:val="24"/>
        </w:rPr>
        <w:t>comprised</w:t>
      </w:r>
      <w:r w:rsidRPr="00E30743">
        <w:rPr>
          <w:rFonts w:cstheme="minorHAnsi"/>
          <w:sz w:val="24"/>
          <w:szCs w:val="24"/>
        </w:rPr>
        <w:t xml:space="preserve"> </w:t>
      </w:r>
      <w:r w:rsidR="0086476D" w:rsidRPr="00E30743">
        <w:rPr>
          <w:rFonts w:cstheme="minorHAnsi"/>
          <w:sz w:val="24"/>
          <w:szCs w:val="24"/>
        </w:rPr>
        <w:t>four</w:t>
      </w:r>
      <w:r w:rsidRPr="00E30743">
        <w:rPr>
          <w:rFonts w:cstheme="minorHAnsi"/>
          <w:sz w:val="24"/>
          <w:szCs w:val="24"/>
        </w:rPr>
        <w:t xml:space="preserve"> staff </w:t>
      </w:r>
      <w:r w:rsidR="0086476D" w:rsidRPr="00E30743">
        <w:rPr>
          <w:rFonts w:cstheme="minorHAnsi"/>
          <w:sz w:val="24"/>
          <w:szCs w:val="24"/>
        </w:rPr>
        <w:t xml:space="preserve">positions </w:t>
      </w:r>
      <w:r w:rsidR="00A717F1">
        <w:rPr>
          <w:rFonts w:cstheme="minorHAnsi"/>
          <w:sz w:val="24"/>
          <w:szCs w:val="24"/>
        </w:rPr>
        <w:t xml:space="preserve">in the Professional category: </w:t>
      </w:r>
      <w:r w:rsidRPr="00E30743">
        <w:rPr>
          <w:rFonts w:cstheme="minorHAnsi"/>
          <w:sz w:val="24"/>
          <w:szCs w:val="24"/>
        </w:rPr>
        <w:t>a</w:t>
      </w:r>
      <w:r w:rsidR="00A717F1">
        <w:rPr>
          <w:rFonts w:cstheme="minorHAnsi"/>
          <w:sz w:val="24"/>
          <w:szCs w:val="24"/>
        </w:rPr>
        <w:t xml:space="preserve"> </w:t>
      </w:r>
      <w:r w:rsidRPr="00E30743">
        <w:rPr>
          <w:rFonts w:cstheme="minorHAnsi"/>
          <w:sz w:val="24"/>
          <w:szCs w:val="24"/>
        </w:rPr>
        <w:t>Head</w:t>
      </w:r>
      <w:r w:rsidR="00A717F1">
        <w:rPr>
          <w:rFonts w:cstheme="minorHAnsi"/>
          <w:sz w:val="24"/>
          <w:szCs w:val="24"/>
        </w:rPr>
        <w:t xml:space="preserve"> (P5</w:t>
      </w:r>
      <w:r w:rsidRPr="00E30743">
        <w:rPr>
          <w:rFonts w:cstheme="minorHAnsi"/>
          <w:sz w:val="24"/>
          <w:szCs w:val="24"/>
        </w:rPr>
        <w:t xml:space="preserve">), a </w:t>
      </w:r>
      <w:r w:rsidR="0086476D" w:rsidRPr="00E30743">
        <w:rPr>
          <w:rFonts w:cstheme="minorHAnsi"/>
          <w:sz w:val="24"/>
          <w:szCs w:val="24"/>
        </w:rPr>
        <w:t>Senior Auditor</w:t>
      </w:r>
      <w:r w:rsidR="00A717F1">
        <w:rPr>
          <w:rFonts w:cstheme="minorHAnsi"/>
          <w:sz w:val="24"/>
          <w:szCs w:val="24"/>
        </w:rPr>
        <w:t xml:space="preserve"> (P4</w:t>
      </w:r>
      <w:r w:rsidR="0086476D" w:rsidRPr="00E30743">
        <w:rPr>
          <w:rFonts w:cstheme="minorHAnsi"/>
          <w:sz w:val="24"/>
          <w:szCs w:val="24"/>
        </w:rPr>
        <w:t>), a</w:t>
      </w:r>
      <w:r w:rsidR="00A717F1">
        <w:rPr>
          <w:rFonts w:cstheme="minorHAnsi"/>
          <w:sz w:val="24"/>
          <w:szCs w:val="24"/>
        </w:rPr>
        <w:t>n</w:t>
      </w:r>
      <w:r w:rsidR="0086476D" w:rsidRPr="00E30743">
        <w:rPr>
          <w:rFonts w:cstheme="minorHAnsi"/>
          <w:sz w:val="24"/>
          <w:szCs w:val="24"/>
        </w:rPr>
        <w:t xml:space="preserve"> </w:t>
      </w:r>
      <w:r w:rsidRPr="00E30743">
        <w:rPr>
          <w:rFonts w:cstheme="minorHAnsi"/>
          <w:sz w:val="24"/>
          <w:szCs w:val="24"/>
        </w:rPr>
        <w:t>Internal Auditor</w:t>
      </w:r>
      <w:r w:rsidR="00A717F1">
        <w:rPr>
          <w:rFonts w:cstheme="minorHAnsi"/>
          <w:sz w:val="24"/>
          <w:szCs w:val="24"/>
        </w:rPr>
        <w:t xml:space="preserve"> (P3</w:t>
      </w:r>
      <w:r w:rsidRPr="00E30743">
        <w:rPr>
          <w:rFonts w:cstheme="minorHAnsi"/>
          <w:sz w:val="24"/>
          <w:szCs w:val="24"/>
        </w:rPr>
        <w:t>), and a Junior Internal Auditor</w:t>
      </w:r>
      <w:r w:rsidR="00A717F1">
        <w:rPr>
          <w:rFonts w:cstheme="minorHAnsi"/>
          <w:sz w:val="24"/>
          <w:szCs w:val="24"/>
        </w:rPr>
        <w:t xml:space="preserve"> (P2</w:t>
      </w:r>
      <w:r w:rsidRPr="00E30743">
        <w:rPr>
          <w:rFonts w:cstheme="minorHAnsi"/>
          <w:sz w:val="24"/>
          <w:szCs w:val="24"/>
        </w:rPr>
        <w:t xml:space="preserve">). </w:t>
      </w:r>
      <w:r w:rsidR="0086476D" w:rsidRPr="00E30743">
        <w:rPr>
          <w:rFonts w:cstheme="minorHAnsi"/>
          <w:sz w:val="24"/>
          <w:szCs w:val="24"/>
        </w:rPr>
        <w:t>In early 2022</w:t>
      </w:r>
      <w:r w:rsidR="00A717F1">
        <w:rPr>
          <w:rFonts w:cstheme="minorHAnsi"/>
          <w:sz w:val="24"/>
          <w:szCs w:val="24"/>
        </w:rPr>
        <w:t>,</w:t>
      </w:r>
      <w:r w:rsidR="0086476D" w:rsidRPr="00E30743">
        <w:rPr>
          <w:rFonts w:cstheme="minorHAnsi"/>
          <w:sz w:val="24"/>
          <w:szCs w:val="24"/>
        </w:rPr>
        <w:t xml:space="preserve"> t</w:t>
      </w:r>
      <w:r w:rsidRPr="00E30743">
        <w:rPr>
          <w:rFonts w:cstheme="minorHAnsi"/>
          <w:sz w:val="24"/>
          <w:szCs w:val="24"/>
        </w:rPr>
        <w:t>he vacan</w:t>
      </w:r>
      <w:r w:rsidR="0086476D" w:rsidRPr="00E30743">
        <w:rPr>
          <w:rFonts w:cstheme="minorHAnsi"/>
          <w:sz w:val="24"/>
          <w:szCs w:val="24"/>
        </w:rPr>
        <w:t>t</w:t>
      </w:r>
      <w:r w:rsidRPr="00E30743">
        <w:rPr>
          <w:rFonts w:cstheme="minorHAnsi"/>
          <w:sz w:val="24"/>
          <w:szCs w:val="24"/>
        </w:rPr>
        <w:t xml:space="preserve"> </w:t>
      </w:r>
      <w:r w:rsidR="00A717F1" w:rsidRPr="00E30743">
        <w:rPr>
          <w:rFonts w:cstheme="minorHAnsi"/>
          <w:sz w:val="24"/>
          <w:szCs w:val="24"/>
        </w:rPr>
        <w:t>fixed</w:t>
      </w:r>
      <w:r w:rsidR="00A717F1">
        <w:rPr>
          <w:rFonts w:cstheme="minorHAnsi"/>
          <w:sz w:val="24"/>
          <w:szCs w:val="24"/>
        </w:rPr>
        <w:t>-</w:t>
      </w:r>
      <w:r w:rsidR="00A717F1" w:rsidRPr="00E30743">
        <w:rPr>
          <w:rFonts w:cstheme="minorHAnsi"/>
          <w:sz w:val="24"/>
          <w:szCs w:val="24"/>
        </w:rPr>
        <w:t xml:space="preserve">term </w:t>
      </w:r>
      <w:r w:rsidRPr="00E30743">
        <w:rPr>
          <w:rFonts w:cstheme="minorHAnsi"/>
          <w:sz w:val="24"/>
          <w:szCs w:val="24"/>
        </w:rPr>
        <w:t xml:space="preserve">P3 post was published </w:t>
      </w:r>
      <w:r w:rsidR="0086476D" w:rsidRPr="00E30743">
        <w:rPr>
          <w:rFonts w:cstheme="minorHAnsi"/>
          <w:sz w:val="24"/>
          <w:szCs w:val="24"/>
        </w:rPr>
        <w:t xml:space="preserve">for recruitment </w:t>
      </w:r>
      <w:r w:rsidRPr="00E30743">
        <w:rPr>
          <w:rFonts w:cstheme="minorHAnsi"/>
          <w:sz w:val="24"/>
          <w:szCs w:val="24"/>
        </w:rPr>
        <w:t>and</w:t>
      </w:r>
      <w:r w:rsidR="0086476D" w:rsidRPr="00E30743">
        <w:rPr>
          <w:rFonts w:cstheme="minorHAnsi"/>
          <w:sz w:val="24"/>
          <w:szCs w:val="24"/>
        </w:rPr>
        <w:t xml:space="preserve"> a temporary P3 staff </w:t>
      </w:r>
      <w:r w:rsidR="00A717F1">
        <w:rPr>
          <w:rFonts w:cstheme="minorHAnsi"/>
          <w:sz w:val="24"/>
          <w:szCs w:val="24"/>
        </w:rPr>
        <w:t xml:space="preserve">member </w:t>
      </w:r>
      <w:r w:rsidR="00E80707" w:rsidRPr="00E30743">
        <w:rPr>
          <w:rFonts w:cstheme="minorHAnsi"/>
          <w:sz w:val="24"/>
          <w:szCs w:val="24"/>
        </w:rPr>
        <w:t>joined</w:t>
      </w:r>
      <w:r w:rsidR="0086476D" w:rsidRPr="00E30743">
        <w:rPr>
          <w:rFonts w:cstheme="minorHAnsi"/>
          <w:sz w:val="24"/>
          <w:szCs w:val="24"/>
        </w:rPr>
        <w:t xml:space="preserve"> I</w:t>
      </w:r>
      <w:r w:rsidR="00E80707" w:rsidRPr="00E30743">
        <w:rPr>
          <w:rFonts w:cstheme="minorHAnsi"/>
          <w:sz w:val="24"/>
          <w:szCs w:val="24"/>
        </w:rPr>
        <w:t>A</w:t>
      </w:r>
      <w:r w:rsidR="0086476D" w:rsidRPr="00E30743">
        <w:rPr>
          <w:rFonts w:cstheme="minorHAnsi"/>
          <w:sz w:val="24"/>
          <w:szCs w:val="24"/>
        </w:rPr>
        <w:t>, pending the selection of the incumbent</w:t>
      </w:r>
      <w:r w:rsidR="00A717F1">
        <w:rPr>
          <w:rFonts w:cstheme="minorHAnsi"/>
          <w:sz w:val="24"/>
          <w:szCs w:val="24"/>
        </w:rPr>
        <w:t>,</w:t>
      </w:r>
      <w:r w:rsidR="0086476D" w:rsidRPr="00E30743">
        <w:rPr>
          <w:rFonts w:cstheme="minorHAnsi"/>
          <w:sz w:val="24"/>
          <w:szCs w:val="24"/>
        </w:rPr>
        <w:t xml:space="preserve"> who joined on 1 November 2022. </w:t>
      </w:r>
    </w:p>
    <w:p w14:paraId="16566EB5" w14:textId="086AD61B" w:rsidR="00A514A4" w:rsidRPr="002F2902" w:rsidRDefault="00056D81" w:rsidP="0086476D">
      <w:pPr>
        <w:pStyle w:val="ListParagraph"/>
        <w:numPr>
          <w:ilvl w:val="0"/>
          <w:numId w:val="2"/>
        </w:numPr>
        <w:adjustRightInd w:val="0"/>
        <w:snapToGrid w:val="0"/>
        <w:spacing w:before="120" w:after="120" w:line="240" w:lineRule="auto"/>
        <w:ind w:left="0" w:firstLine="0"/>
        <w:contextualSpacing w:val="0"/>
        <w:jc w:val="both"/>
        <w:rPr>
          <w:lang w:val="en-GB"/>
        </w:rPr>
      </w:pPr>
      <w:r w:rsidRPr="00E30743">
        <w:rPr>
          <w:rFonts w:cstheme="minorHAnsi"/>
          <w:sz w:val="24"/>
          <w:szCs w:val="24"/>
        </w:rPr>
        <w:t>IA confirms that it conducts its audits in accordance with the International Standards for the Professional Practice of Internal Auditing and the Code of Ethics established by the Institute of Internal Auditors (IIA)</w:t>
      </w:r>
      <w:r w:rsidR="00FA25D7">
        <w:rPr>
          <w:rFonts w:cstheme="minorHAnsi"/>
          <w:sz w:val="24"/>
          <w:szCs w:val="24"/>
        </w:rPr>
        <w:t>,</w:t>
      </w:r>
      <w:r w:rsidRPr="0086476D">
        <w:rPr>
          <w:vertAlign w:val="superscript"/>
        </w:rPr>
        <w:footnoteReference w:id="2"/>
      </w:r>
      <w:r w:rsidRPr="00E30743">
        <w:rPr>
          <w:rFonts w:cstheme="minorHAnsi"/>
          <w:sz w:val="24"/>
          <w:szCs w:val="24"/>
        </w:rPr>
        <w:t xml:space="preserve"> as well as with the provisions of the ITU Internal Audit </w:t>
      </w:r>
      <w:r w:rsidR="000F1EDB">
        <w:rPr>
          <w:rFonts w:cstheme="minorHAnsi"/>
          <w:sz w:val="24"/>
          <w:szCs w:val="24"/>
        </w:rPr>
        <w:t>c</w:t>
      </w:r>
      <w:r w:rsidRPr="00E30743">
        <w:rPr>
          <w:rFonts w:cstheme="minorHAnsi"/>
          <w:sz w:val="24"/>
          <w:szCs w:val="24"/>
        </w:rPr>
        <w:t>harter</w:t>
      </w:r>
      <w:r w:rsidR="0086476D" w:rsidRPr="00E30743">
        <w:rPr>
          <w:rFonts w:cstheme="minorHAnsi"/>
          <w:sz w:val="24"/>
          <w:szCs w:val="24"/>
        </w:rPr>
        <w:t>.</w:t>
      </w:r>
      <w:r w:rsidRPr="00E30743">
        <w:rPr>
          <w:rFonts w:cstheme="minorHAnsi"/>
          <w:sz w:val="24"/>
          <w:szCs w:val="24"/>
        </w:rPr>
        <w:t xml:space="preserve"> In addition, IA confirms that,</w:t>
      </w:r>
      <w:r w:rsidR="0086476D" w:rsidRPr="00E30743">
        <w:rPr>
          <w:rFonts w:cstheme="minorHAnsi"/>
          <w:sz w:val="24"/>
          <w:szCs w:val="24"/>
        </w:rPr>
        <w:t xml:space="preserve"> for the </w:t>
      </w:r>
      <w:r w:rsidR="00FA25D7">
        <w:rPr>
          <w:rFonts w:cstheme="minorHAnsi"/>
          <w:sz w:val="24"/>
          <w:szCs w:val="24"/>
        </w:rPr>
        <w:t xml:space="preserve">reporting </w:t>
      </w:r>
      <w:r w:rsidR="0086476D" w:rsidRPr="00E30743">
        <w:rPr>
          <w:rFonts w:cstheme="minorHAnsi"/>
          <w:sz w:val="24"/>
          <w:szCs w:val="24"/>
        </w:rPr>
        <w:t>period, its staff had no managerial authority over, nor responsibility for</w:t>
      </w:r>
      <w:r w:rsidR="00FA25D7">
        <w:rPr>
          <w:rFonts w:cstheme="minorHAnsi"/>
          <w:sz w:val="24"/>
          <w:szCs w:val="24"/>
        </w:rPr>
        <w:t>,</w:t>
      </w:r>
      <w:r w:rsidR="0086476D" w:rsidRPr="00E30743">
        <w:rPr>
          <w:rFonts w:cstheme="minorHAnsi"/>
          <w:sz w:val="24"/>
          <w:szCs w:val="24"/>
        </w:rPr>
        <w:t xml:space="preserve"> any of the activities audited and did not perform accounting or operational functions within ITU.</w:t>
      </w:r>
    </w:p>
    <w:p w14:paraId="17C98625" w14:textId="65CBC953" w:rsidR="0086476D" w:rsidRPr="00F01F21" w:rsidRDefault="0086476D" w:rsidP="0086476D">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Cs w:val="28"/>
          <w:lang w:val="en-CA"/>
        </w:rPr>
      </w:pPr>
      <w:r w:rsidRPr="00F01F21">
        <w:rPr>
          <w:rFonts w:asciiTheme="minorHAnsi" w:hAnsiTheme="minorHAnsi" w:cstheme="minorHAnsi"/>
          <w:szCs w:val="28"/>
          <w:lang w:val="en-CA"/>
        </w:rPr>
        <w:t>Orientation and scope of internal audit activities</w:t>
      </w:r>
    </w:p>
    <w:p w14:paraId="40028CF7" w14:textId="376E68D8" w:rsidR="002906F8" w:rsidRPr="00E30743" w:rsidRDefault="0086476D" w:rsidP="0086476D">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theme="minorHAnsi"/>
          <w:sz w:val="24"/>
          <w:szCs w:val="24"/>
        </w:rPr>
        <w:t>I</w:t>
      </w:r>
      <w:r w:rsidRPr="00E30743">
        <w:rPr>
          <w:rFonts w:cstheme="minorHAnsi"/>
          <w:sz w:val="24"/>
          <w:szCs w:val="24"/>
          <w:lang w:val="en-CA"/>
        </w:rPr>
        <w:t xml:space="preserve">n line with the Internal Audit </w:t>
      </w:r>
      <w:r w:rsidR="000F1EDB">
        <w:rPr>
          <w:rFonts w:cstheme="minorHAnsi"/>
          <w:sz w:val="24"/>
          <w:szCs w:val="24"/>
          <w:lang w:val="en-CA"/>
        </w:rPr>
        <w:t>c</w:t>
      </w:r>
      <w:r w:rsidRPr="00E30743">
        <w:rPr>
          <w:rFonts w:cstheme="minorHAnsi"/>
          <w:sz w:val="24"/>
          <w:szCs w:val="24"/>
          <w:lang w:val="en-CA"/>
        </w:rPr>
        <w:t>harter</w:t>
      </w:r>
      <w:r w:rsidRPr="00E30743">
        <w:rPr>
          <w:rFonts w:cstheme="minorHAnsi"/>
          <w:sz w:val="24"/>
          <w:szCs w:val="24"/>
        </w:rPr>
        <w:t xml:space="preserve">, the 2022 annual audit plan was reviewed by the Independent Management Advisory Committee (IMAC) at its 31st meeting and </w:t>
      </w:r>
      <w:r w:rsidR="00FA25D7">
        <w:rPr>
          <w:rFonts w:cstheme="minorHAnsi"/>
          <w:sz w:val="24"/>
          <w:szCs w:val="24"/>
        </w:rPr>
        <w:t xml:space="preserve">was </w:t>
      </w:r>
      <w:r w:rsidRPr="00E30743">
        <w:rPr>
          <w:rFonts w:cstheme="minorHAnsi"/>
          <w:spacing w:val="-2"/>
          <w:sz w:val="24"/>
          <w:szCs w:val="24"/>
        </w:rPr>
        <w:t>approved by the Secretary-General</w:t>
      </w:r>
      <w:r w:rsidR="00FA25D7" w:rsidRPr="00FA25D7">
        <w:rPr>
          <w:rFonts w:cstheme="minorHAnsi"/>
          <w:sz w:val="24"/>
          <w:szCs w:val="24"/>
        </w:rPr>
        <w:t xml:space="preserve"> </w:t>
      </w:r>
      <w:r w:rsidR="00FA25D7" w:rsidRPr="00E30743">
        <w:rPr>
          <w:rFonts w:cstheme="minorHAnsi"/>
          <w:sz w:val="24"/>
          <w:szCs w:val="24"/>
        </w:rPr>
        <w:t xml:space="preserve">on 1 April </w:t>
      </w:r>
      <w:r w:rsidR="00FA25D7" w:rsidRPr="00E30743">
        <w:rPr>
          <w:rFonts w:cstheme="minorHAnsi"/>
          <w:spacing w:val="-2"/>
          <w:sz w:val="24"/>
          <w:szCs w:val="24"/>
        </w:rPr>
        <w:t>2022</w:t>
      </w:r>
      <w:r w:rsidRPr="00E30743">
        <w:rPr>
          <w:rFonts w:cstheme="minorHAnsi"/>
          <w:spacing w:val="-2"/>
          <w:sz w:val="24"/>
          <w:szCs w:val="24"/>
        </w:rPr>
        <w:t>.</w:t>
      </w:r>
    </w:p>
    <w:p w14:paraId="15CADDEF" w14:textId="30387999" w:rsidR="0086476D" w:rsidRPr="00E30743" w:rsidRDefault="00E80707" w:rsidP="0086476D">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theme="minorHAnsi"/>
          <w:spacing w:val="-2"/>
          <w:sz w:val="24"/>
          <w:szCs w:val="24"/>
        </w:rPr>
        <w:t>IA</w:t>
      </w:r>
      <w:r w:rsidR="0086476D" w:rsidRPr="00E30743">
        <w:rPr>
          <w:rFonts w:cstheme="minorHAnsi"/>
          <w:sz w:val="24"/>
          <w:szCs w:val="24"/>
        </w:rPr>
        <w:t xml:space="preserve"> systematically shares copies of internal audit reports with the ITU External Auditor and with IMAC. In accordance with </w:t>
      </w:r>
      <w:r w:rsidR="00FA25D7">
        <w:rPr>
          <w:rFonts w:cstheme="minorHAnsi"/>
          <w:sz w:val="24"/>
          <w:szCs w:val="24"/>
        </w:rPr>
        <w:t xml:space="preserve">§ 5 of Article 29 of the </w:t>
      </w:r>
      <w:r w:rsidR="0086476D" w:rsidRPr="00E30743">
        <w:rPr>
          <w:rFonts w:cstheme="minorHAnsi"/>
          <w:sz w:val="24"/>
          <w:szCs w:val="24"/>
        </w:rPr>
        <w:t>Financial Regulation</w:t>
      </w:r>
      <w:r w:rsidR="00FA25D7">
        <w:rPr>
          <w:rFonts w:cstheme="minorHAnsi"/>
          <w:sz w:val="24"/>
          <w:szCs w:val="24"/>
        </w:rPr>
        <w:t>s and Financial Rules</w:t>
      </w:r>
      <w:r w:rsidR="0086476D" w:rsidRPr="00E30743">
        <w:rPr>
          <w:rFonts w:cstheme="minorHAnsi"/>
          <w:sz w:val="24"/>
          <w:szCs w:val="24"/>
        </w:rPr>
        <w:t xml:space="preserve">, final internal audit reports can be made available to Member States or their designated representatives. A facilitated mechanism for accessing internal audit reports has been in place since October 2015. During the </w:t>
      </w:r>
      <w:r w:rsidR="00FA25D7">
        <w:rPr>
          <w:rFonts w:cstheme="minorHAnsi"/>
          <w:sz w:val="24"/>
          <w:szCs w:val="24"/>
        </w:rPr>
        <w:t xml:space="preserve">reporting </w:t>
      </w:r>
      <w:r w:rsidR="0086476D" w:rsidRPr="00E30743">
        <w:rPr>
          <w:rFonts w:cstheme="minorHAnsi"/>
          <w:sz w:val="24"/>
          <w:szCs w:val="24"/>
        </w:rPr>
        <w:t xml:space="preserve">period, no requests for accessing internal audit reports were received via the online mechanism. </w:t>
      </w:r>
    </w:p>
    <w:p w14:paraId="0DF9C6F2" w14:textId="77777777" w:rsidR="0086476D" w:rsidRPr="00F01F21" w:rsidRDefault="0086476D" w:rsidP="0086476D">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Cs w:val="28"/>
          <w:lang w:val="en-CA"/>
        </w:rPr>
      </w:pPr>
      <w:r w:rsidRPr="00F01F21">
        <w:rPr>
          <w:rFonts w:asciiTheme="minorHAnsi" w:hAnsiTheme="minorHAnsi" w:cstheme="minorHAnsi"/>
          <w:szCs w:val="28"/>
          <w:lang w:val="en-CA"/>
        </w:rPr>
        <w:t>Objectives and conclusions of the assurance engagements</w:t>
      </w:r>
    </w:p>
    <w:p w14:paraId="4251DF05" w14:textId="4B24079D" w:rsidR="0086476D" w:rsidRPr="00E30743" w:rsidRDefault="0086476D" w:rsidP="0086476D">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theme="minorHAnsi"/>
          <w:sz w:val="24"/>
          <w:szCs w:val="24"/>
        </w:rPr>
        <w:t xml:space="preserve">The objectives of the assurance engagements are to assess: (i) governance aspects </w:t>
      </w:r>
      <w:r w:rsidRPr="00430C06">
        <w:rPr>
          <w:rFonts w:cstheme="minorHAnsi"/>
          <w:spacing w:val="-2"/>
          <w:sz w:val="24"/>
          <w:szCs w:val="24"/>
        </w:rPr>
        <w:t>of the Union’s operations audited; (ii) risk</w:t>
      </w:r>
      <w:r w:rsidR="00FA25D7">
        <w:rPr>
          <w:rFonts w:cstheme="minorHAnsi"/>
          <w:spacing w:val="-2"/>
          <w:sz w:val="24"/>
          <w:szCs w:val="24"/>
        </w:rPr>
        <w:t>-</w:t>
      </w:r>
      <w:r w:rsidRPr="00430C06">
        <w:rPr>
          <w:rFonts w:cstheme="minorHAnsi"/>
          <w:spacing w:val="-2"/>
          <w:sz w:val="24"/>
          <w:szCs w:val="24"/>
        </w:rPr>
        <w:t>management practices; and (iii) effectiveness of</w:t>
      </w:r>
      <w:r w:rsidRPr="00E30743">
        <w:rPr>
          <w:rFonts w:cstheme="minorHAnsi"/>
          <w:sz w:val="24"/>
          <w:szCs w:val="24"/>
        </w:rPr>
        <w:t xml:space="preserve"> (internal) controls. The priority of the recommendations resulting from the audit work is classified according to the impact and likelihood of the deficiency (high, medium, low).</w:t>
      </w:r>
    </w:p>
    <w:p w14:paraId="59E5A9FE" w14:textId="514419DD" w:rsidR="0086476D" w:rsidRDefault="0086476D" w:rsidP="0086476D">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E30743">
        <w:rPr>
          <w:rFonts w:cstheme="minorHAnsi"/>
          <w:sz w:val="24"/>
          <w:szCs w:val="24"/>
        </w:rPr>
        <w:t xml:space="preserve">The implementation of recommended actions is followed up </w:t>
      </w:r>
      <w:r w:rsidR="00FA25D7">
        <w:rPr>
          <w:rFonts w:cstheme="minorHAnsi"/>
          <w:sz w:val="24"/>
          <w:szCs w:val="24"/>
        </w:rPr>
        <w:t xml:space="preserve">on </w:t>
      </w:r>
      <w:r w:rsidRPr="00E30743">
        <w:rPr>
          <w:rFonts w:cstheme="minorHAnsi"/>
          <w:sz w:val="24"/>
          <w:szCs w:val="24"/>
        </w:rPr>
        <w:t>by I</w:t>
      </w:r>
      <w:r w:rsidR="00E80707" w:rsidRPr="00E30743">
        <w:rPr>
          <w:rFonts w:cstheme="minorHAnsi"/>
          <w:sz w:val="24"/>
          <w:szCs w:val="24"/>
        </w:rPr>
        <w:t>A</w:t>
      </w:r>
      <w:r w:rsidRPr="00E30743">
        <w:rPr>
          <w:rFonts w:cstheme="minorHAnsi"/>
          <w:sz w:val="24"/>
          <w:szCs w:val="24"/>
        </w:rPr>
        <w:t xml:space="preserve"> as and when required. Since early 2021</w:t>
      </w:r>
      <w:r w:rsidR="00FA25D7">
        <w:rPr>
          <w:rFonts w:cstheme="minorHAnsi"/>
          <w:sz w:val="24"/>
          <w:szCs w:val="24"/>
        </w:rPr>
        <w:t>,</w:t>
      </w:r>
      <w:r w:rsidRPr="00E30743">
        <w:rPr>
          <w:rFonts w:cstheme="minorHAnsi"/>
          <w:sz w:val="24"/>
          <w:szCs w:val="24"/>
        </w:rPr>
        <w:t xml:space="preserve"> a compliance dashboard is </w:t>
      </w:r>
      <w:r w:rsidR="00FA25D7" w:rsidRPr="00E30743">
        <w:rPr>
          <w:rFonts w:cstheme="minorHAnsi"/>
          <w:sz w:val="24"/>
          <w:szCs w:val="24"/>
        </w:rPr>
        <w:t xml:space="preserve">available Union-wide </w:t>
      </w:r>
      <w:r w:rsidRPr="00E30743">
        <w:rPr>
          <w:rFonts w:cstheme="minorHAnsi"/>
          <w:sz w:val="24"/>
          <w:szCs w:val="24"/>
        </w:rPr>
        <w:t xml:space="preserve">for that purpose and facilitates the tracking of </w:t>
      </w:r>
      <w:r w:rsidR="00FA25D7">
        <w:rPr>
          <w:rFonts w:cstheme="minorHAnsi"/>
          <w:sz w:val="24"/>
          <w:szCs w:val="24"/>
        </w:rPr>
        <w:t xml:space="preserve">implementation of </w:t>
      </w:r>
      <w:r w:rsidRPr="00E30743">
        <w:rPr>
          <w:rFonts w:cstheme="minorHAnsi"/>
          <w:sz w:val="24"/>
          <w:szCs w:val="24"/>
        </w:rPr>
        <w:t>recommendation</w:t>
      </w:r>
      <w:r w:rsidR="00FA25D7">
        <w:rPr>
          <w:rFonts w:cstheme="minorHAnsi"/>
          <w:sz w:val="24"/>
          <w:szCs w:val="24"/>
        </w:rPr>
        <w:t>s</w:t>
      </w:r>
      <w:r w:rsidRPr="00E30743">
        <w:rPr>
          <w:rFonts w:cstheme="minorHAnsi"/>
          <w:sz w:val="24"/>
          <w:szCs w:val="24"/>
        </w:rPr>
        <w:t xml:space="preserve"> for managers</w:t>
      </w:r>
      <w:r w:rsidR="00FA25D7" w:rsidRPr="00FA25D7">
        <w:rPr>
          <w:rFonts w:cstheme="minorHAnsi"/>
          <w:sz w:val="24"/>
          <w:szCs w:val="24"/>
        </w:rPr>
        <w:t xml:space="preserve"> </w:t>
      </w:r>
      <w:r w:rsidR="00FA25D7" w:rsidRPr="00E30743">
        <w:rPr>
          <w:rFonts w:cstheme="minorHAnsi"/>
          <w:sz w:val="24"/>
          <w:szCs w:val="24"/>
        </w:rPr>
        <w:t>concerned</w:t>
      </w:r>
      <w:r w:rsidRPr="00E30743">
        <w:rPr>
          <w:rFonts w:cstheme="minorHAnsi"/>
          <w:sz w:val="24"/>
          <w:szCs w:val="24"/>
        </w:rPr>
        <w:t>, yet does not relieve I</w:t>
      </w:r>
      <w:r w:rsidR="00E80707" w:rsidRPr="00E30743">
        <w:rPr>
          <w:rFonts w:cstheme="minorHAnsi"/>
          <w:sz w:val="24"/>
          <w:szCs w:val="24"/>
        </w:rPr>
        <w:t>A</w:t>
      </w:r>
      <w:r w:rsidRPr="00E30743">
        <w:rPr>
          <w:rFonts w:cstheme="minorHAnsi"/>
          <w:sz w:val="24"/>
          <w:szCs w:val="24"/>
        </w:rPr>
        <w:t>’s responsibility to follow up on its earlier made recommendations, as per IIA Standard 2500</w:t>
      </w:r>
      <w:r w:rsidR="00FA25D7">
        <w:rPr>
          <w:rFonts w:cstheme="minorHAnsi"/>
          <w:sz w:val="24"/>
          <w:szCs w:val="24"/>
        </w:rPr>
        <w:t>.</w:t>
      </w:r>
      <w:r w:rsidRPr="009D4AF4">
        <w:rPr>
          <w:rStyle w:val="FootnoteReference"/>
          <w:rFonts w:cstheme="minorHAnsi"/>
          <w:sz w:val="18"/>
          <w:szCs w:val="18"/>
        </w:rPr>
        <w:footnoteReference w:id="3"/>
      </w:r>
      <w:r w:rsidRPr="00E30743">
        <w:rPr>
          <w:rFonts w:cstheme="minorHAnsi"/>
          <w:sz w:val="24"/>
          <w:szCs w:val="24"/>
        </w:rPr>
        <w:t xml:space="preserve"> </w:t>
      </w:r>
      <w:r w:rsidR="002906F8" w:rsidRPr="00E30743">
        <w:rPr>
          <w:rFonts w:cstheme="minorHAnsi"/>
          <w:sz w:val="24"/>
          <w:szCs w:val="24"/>
        </w:rPr>
        <w:t xml:space="preserve">A separate </w:t>
      </w:r>
      <w:r w:rsidR="00E30743" w:rsidRPr="00E30743">
        <w:rPr>
          <w:rFonts w:cstheme="minorHAnsi"/>
          <w:sz w:val="24"/>
          <w:szCs w:val="24"/>
        </w:rPr>
        <w:t>information</w:t>
      </w:r>
      <w:r w:rsidR="002906F8" w:rsidRPr="00E30743">
        <w:rPr>
          <w:rFonts w:cstheme="minorHAnsi"/>
          <w:sz w:val="24"/>
          <w:szCs w:val="24"/>
        </w:rPr>
        <w:t xml:space="preserve"> document</w:t>
      </w:r>
      <w:r w:rsidR="00E30743" w:rsidRPr="00E30743">
        <w:rPr>
          <w:rFonts w:cstheme="minorHAnsi"/>
          <w:sz w:val="24"/>
          <w:szCs w:val="24"/>
        </w:rPr>
        <w:t xml:space="preserve"> (</w:t>
      </w:r>
      <w:hyperlink r:id="rId9" w:history="1">
        <w:r w:rsidR="00E30743" w:rsidRPr="00E30743">
          <w:rPr>
            <w:rStyle w:val="Hyperlink"/>
            <w:rFonts w:cstheme="minorHAnsi"/>
            <w:sz w:val="24"/>
            <w:szCs w:val="24"/>
          </w:rPr>
          <w:t>C23/INF/5</w:t>
        </w:r>
      </w:hyperlink>
      <w:r w:rsidR="00E30743" w:rsidRPr="00E30743">
        <w:rPr>
          <w:rFonts w:cstheme="minorHAnsi"/>
          <w:sz w:val="24"/>
          <w:szCs w:val="24"/>
        </w:rPr>
        <w:t>)</w:t>
      </w:r>
      <w:r w:rsidR="002906F8" w:rsidRPr="00E30743">
        <w:rPr>
          <w:rFonts w:cstheme="minorHAnsi"/>
          <w:sz w:val="24"/>
          <w:szCs w:val="24"/>
        </w:rPr>
        <w:t xml:space="preserve"> is </w:t>
      </w:r>
      <w:r w:rsidR="00FA25D7">
        <w:rPr>
          <w:rFonts w:cstheme="minorHAnsi"/>
          <w:sz w:val="24"/>
          <w:szCs w:val="24"/>
        </w:rPr>
        <w:t>submitted</w:t>
      </w:r>
      <w:r w:rsidR="00FA25D7" w:rsidRPr="00E30743">
        <w:rPr>
          <w:rFonts w:cstheme="minorHAnsi"/>
          <w:sz w:val="24"/>
          <w:szCs w:val="24"/>
        </w:rPr>
        <w:t xml:space="preserve"> </w:t>
      </w:r>
      <w:r w:rsidR="00FA25D7">
        <w:rPr>
          <w:rFonts w:cstheme="minorHAnsi"/>
          <w:sz w:val="24"/>
          <w:szCs w:val="24"/>
        </w:rPr>
        <w:t xml:space="preserve">to the </w:t>
      </w:r>
      <w:r w:rsidR="00FA25D7">
        <w:rPr>
          <w:rFonts w:cstheme="minorHAnsi"/>
          <w:sz w:val="24"/>
          <w:szCs w:val="24"/>
        </w:rPr>
        <w:lastRenderedPageBreak/>
        <w:t xml:space="preserve">2023 session of the Council </w:t>
      </w:r>
      <w:r w:rsidR="002906F8" w:rsidRPr="00E30743">
        <w:rPr>
          <w:rFonts w:cstheme="minorHAnsi"/>
          <w:sz w:val="24"/>
          <w:szCs w:val="24"/>
        </w:rPr>
        <w:t>to reflect follow</w:t>
      </w:r>
      <w:r w:rsidR="00FA25D7">
        <w:rPr>
          <w:rFonts w:cstheme="minorHAnsi"/>
          <w:sz w:val="24"/>
          <w:szCs w:val="24"/>
        </w:rPr>
        <w:t>-</w:t>
      </w:r>
      <w:r w:rsidR="002906F8" w:rsidRPr="00E30743">
        <w:rPr>
          <w:rFonts w:cstheme="minorHAnsi"/>
          <w:sz w:val="24"/>
          <w:szCs w:val="24"/>
        </w:rPr>
        <w:t>up o</w:t>
      </w:r>
      <w:r w:rsidR="00FA25D7">
        <w:rPr>
          <w:rFonts w:cstheme="minorHAnsi"/>
          <w:sz w:val="24"/>
          <w:szCs w:val="24"/>
        </w:rPr>
        <w:t>n</w:t>
      </w:r>
      <w:r w:rsidR="002906F8" w:rsidRPr="00E30743">
        <w:rPr>
          <w:rFonts w:cstheme="minorHAnsi"/>
          <w:sz w:val="24"/>
          <w:szCs w:val="24"/>
        </w:rPr>
        <w:t xml:space="preserve"> internal audit recommendations </w:t>
      </w:r>
      <w:r w:rsidR="00FA25D7">
        <w:rPr>
          <w:rFonts w:cstheme="minorHAnsi"/>
          <w:sz w:val="24"/>
          <w:szCs w:val="24"/>
        </w:rPr>
        <w:t xml:space="preserve">and </w:t>
      </w:r>
      <w:r w:rsidR="002906F8" w:rsidRPr="00E30743">
        <w:rPr>
          <w:rFonts w:cstheme="minorHAnsi"/>
          <w:sz w:val="24"/>
          <w:szCs w:val="24"/>
        </w:rPr>
        <w:t>o</w:t>
      </w:r>
      <w:r w:rsidR="00FA25D7">
        <w:rPr>
          <w:rFonts w:cstheme="minorHAnsi"/>
          <w:sz w:val="24"/>
          <w:szCs w:val="24"/>
        </w:rPr>
        <w:t>n</w:t>
      </w:r>
      <w:r w:rsidR="002906F8" w:rsidRPr="00E30743">
        <w:rPr>
          <w:rFonts w:cstheme="minorHAnsi"/>
          <w:sz w:val="24"/>
          <w:szCs w:val="24"/>
        </w:rPr>
        <w:t xml:space="preserve"> forensic audit </w:t>
      </w:r>
      <w:r w:rsidR="00E30743" w:rsidRPr="00E30743">
        <w:rPr>
          <w:rFonts w:cstheme="minorHAnsi"/>
          <w:sz w:val="24"/>
          <w:szCs w:val="24"/>
        </w:rPr>
        <w:t>recommendations</w:t>
      </w:r>
      <w:r w:rsidR="002906F8" w:rsidRPr="00E30743">
        <w:rPr>
          <w:rFonts w:cstheme="minorHAnsi"/>
          <w:sz w:val="24"/>
          <w:szCs w:val="24"/>
        </w:rPr>
        <w:t xml:space="preserve"> (see also </w:t>
      </w:r>
      <w:r w:rsidR="00FA25D7">
        <w:rPr>
          <w:rFonts w:cstheme="minorHAnsi"/>
          <w:sz w:val="24"/>
          <w:szCs w:val="24"/>
        </w:rPr>
        <w:t>D</w:t>
      </w:r>
      <w:r w:rsidR="002906F8" w:rsidRPr="00E30743">
        <w:rPr>
          <w:rFonts w:cstheme="minorHAnsi"/>
          <w:sz w:val="24"/>
          <w:szCs w:val="24"/>
        </w:rPr>
        <w:t xml:space="preserve">ocument </w:t>
      </w:r>
      <w:hyperlink r:id="rId10" w:history="1">
        <w:r w:rsidR="0039178A" w:rsidRPr="0039178A">
          <w:rPr>
            <w:rStyle w:val="Hyperlink"/>
            <w:rFonts w:cstheme="minorHAnsi"/>
            <w:sz w:val="24"/>
            <w:szCs w:val="24"/>
          </w:rPr>
          <w:t>CWG-FHR-15/3</w:t>
        </w:r>
      </w:hyperlink>
      <w:r w:rsidR="0039178A">
        <w:rPr>
          <w:rFonts w:cstheme="minorHAnsi"/>
          <w:sz w:val="24"/>
          <w:szCs w:val="24"/>
        </w:rPr>
        <w:t xml:space="preserve"> from 2021, </w:t>
      </w:r>
      <w:r w:rsidR="002906F8" w:rsidRPr="00E30743">
        <w:rPr>
          <w:rFonts w:cstheme="minorHAnsi"/>
          <w:sz w:val="24"/>
          <w:szCs w:val="24"/>
        </w:rPr>
        <w:t xml:space="preserve">on </w:t>
      </w:r>
      <w:r w:rsidR="0039178A">
        <w:rPr>
          <w:sz w:val="24"/>
          <w:szCs w:val="24"/>
        </w:rPr>
        <w:t>s</w:t>
      </w:r>
      <w:r w:rsidR="0039178A" w:rsidRPr="002F2902">
        <w:t xml:space="preserve">ummary of </w:t>
      </w:r>
      <w:r w:rsidR="0039178A">
        <w:rPr>
          <w:sz w:val="24"/>
          <w:szCs w:val="24"/>
        </w:rPr>
        <w:t xml:space="preserve">the </w:t>
      </w:r>
      <w:r w:rsidR="0039178A" w:rsidRPr="002F2902">
        <w:t xml:space="preserve">status of PwC recommendations on </w:t>
      </w:r>
      <w:r w:rsidR="0039178A">
        <w:rPr>
          <w:sz w:val="24"/>
          <w:szCs w:val="24"/>
        </w:rPr>
        <w:t xml:space="preserve">the </w:t>
      </w:r>
      <w:r w:rsidR="0039178A" w:rsidRPr="002F2902">
        <w:t>ITU forensic audit</w:t>
      </w:r>
      <w:r w:rsidR="002906F8" w:rsidRPr="00E30743">
        <w:rPr>
          <w:rFonts w:cstheme="minorHAnsi"/>
          <w:sz w:val="24"/>
          <w:szCs w:val="24"/>
        </w:rPr>
        <w:t xml:space="preserve">). </w:t>
      </w:r>
    </w:p>
    <w:p w14:paraId="5AB753AF" w14:textId="77777777" w:rsidR="0086476D" w:rsidRPr="00E30743" w:rsidRDefault="0086476D" w:rsidP="00430C06">
      <w:pPr>
        <w:tabs>
          <w:tab w:val="clear" w:pos="567"/>
          <w:tab w:val="clear" w:pos="1134"/>
          <w:tab w:val="clear" w:pos="1701"/>
          <w:tab w:val="clear" w:pos="2268"/>
          <w:tab w:val="clear" w:pos="2835"/>
        </w:tabs>
        <w:snapToGrid w:val="0"/>
        <w:spacing w:before="360"/>
        <w:jc w:val="both"/>
        <w:rPr>
          <w:rFonts w:asciiTheme="minorHAnsi" w:hAnsiTheme="minorHAnsi" w:cstheme="minorHAnsi"/>
          <w:i/>
          <w:iCs/>
          <w:szCs w:val="24"/>
        </w:rPr>
      </w:pPr>
      <w:r w:rsidRPr="00E30743">
        <w:rPr>
          <w:rFonts w:asciiTheme="minorHAnsi" w:hAnsiTheme="minorHAnsi" w:cstheme="minorHAnsi"/>
          <w:i/>
          <w:iCs/>
          <w:szCs w:val="24"/>
        </w:rPr>
        <w:t>The following assurance engagements have been conducted:</w:t>
      </w:r>
    </w:p>
    <w:p w14:paraId="5062EC82" w14:textId="15EA253D" w:rsidR="002906F8" w:rsidRPr="00E30743" w:rsidRDefault="002906F8" w:rsidP="00430C06">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240"/>
        <w:ind w:left="450" w:firstLine="0"/>
        <w:jc w:val="both"/>
        <w:textAlignment w:val="auto"/>
        <w:rPr>
          <w:rFonts w:asciiTheme="minorHAnsi" w:hAnsiTheme="minorHAnsi" w:cstheme="minorHAnsi"/>
          <w:szCs w:val="24"/>
        </w:rPr>
      </w:pPr>
      <w:r w:rsidRPr="00E30743">
        <w:rPr>
          <w:rFonts w:asciiTheme="minorHAnsi" w:hAnsiTheme="minorHAnsi" w:cstheme="minorHAnsi"/>
          <w:b/>
          <w:i/>
          <w:szCs w:val="24"/>
        </w:rPr>
        <w:t>Environmental Management System</w:t>
      </w:r>
    </w:p>
    <w:p w14:paraId="7E181B67" w14:textId="58CBF4EF" w:rsidR="002906F8" w:rsidRPr="00E30743" w:rsidRDefault="002906F8" w:rsidP="002906F8">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theme="minorHAnsi"/>
          <w:sz w:val="24"/>
          <w:szCs w:val="24"/>
        </w:rPr>
        <w:t xml:space="preserve">IA </w:t>
      </w:r>
      <w:r w:rsidRPr="00E30743">
        <w:rPr>
          <w:rFonts w:cstheme="minorHAnsi"/>
          <w:sz w:val="24"/>
          <w:szCs w:val="24"/>
          <w:lang w:val="en-GB"/>
        </w:rPr>
        <w:t xml:space="preserve">conducted an audit of </w:t>
      </w:r>
      <w:r w:rsidR="00E80707" w:rsidRPr="00E30743">
        <w:rPr>
          <w:sz w:val="24"/>
          <w:szCs w:val="24"/>
        </w:rPr>
        <w:t>the</w:t>
      </w:r>
      <w:r w:rsidR="0039178A">
        <w:rPr>
          <w:sz w:val="24"/>
          <w:szCs w:val="24"/>
        </w:rPr>
        <w:t xml:space="preserve"> ITU</w:t>
      </w:r>
      <w:r w:rsidR="00E80707" w:rsidRPr="00E30743">
        <w:rPr>
          <w:sz w:val="24"/>
          <w:szCs w:val="24"/>
        </w:rPr>
        <w:t xml:space="preserve"> Environmental Management System (EMS), particularly but not solely </w:t>
      </w:r>
      <w:r w:rsidR="0039178A">
        <w:rPr>
          <w:sz w:val="24"/>
          <w:szCs w:val="24"/>
        </w:rPr>
        <w:t xml:space="preserve">on </w:t>
      </w:r>
      <w:r w:rsidR="00E80707" w:rsidRPr="00E30743">
        <w:rPr>
          <w:sz w:val="24"/>
          <w:szCs w:val="24"/>
        </w:rPr>
        <w:t xml:space="preserve">the </w:t>
      </w:r>
      <w:r w:rsidR="00E80707" w:rsidRPr="00E30743">
        <w:rPr>
          <w:sz w:val="24"/>
          <w:szCs w:val="24"/>
          <w:u w:val="single"/>
        </w:rPr>
        <w:t>progress of proposed actions</w:t>
      </w:r>
      <w:r w:rsidR="00E80707" w:rsidRPr="00E30743">
        <w:rPr>
          <w:sz w:val="24"/>
          <w:szCs w:val="24"/>
        </w:rPr>
        <w:t xml:space="preserve"> covering the period from January 2020 to December 2021. The audit has</w:t>
      </w:r>
      <w:r w:rsidR="0039178A">
        <w:rPr>
          <w:sz w:val="24"/>
          <w:szCs w:val="24"/>
        </w:rPr>
        <w:t>,</w:t>
      </w:r>
      <w:r w:rsidR="00E80707" w:rsidRPr="00E30743">
        <w:rPr>
          <w:sz w:val="24"/>
          <w:szCs w:val="24"/>
        </w:rPr>
        <w:t xml:space="preserve"> however</w:t>
      </w:r>
      <w:r w:rsidR="0039178A">
        <w:rPr>
          <w:sz w:val="24"/>
          <w:szCs w:val="24"/>
        </w:rPr>
        <w:t>,</w:t>
      </w:r>
      <w:r w:rsidR="00E80707" w:rsidRPr="00E30743">
        <w:rPr>
          <w:sz w:val="24"/>
          <w:szCs w:val="24"/>
        </w:rPr>
        <w:t xml:space="preserve"> not reviewed the effectiveness of the implemented actions towards environmental sustainability. </w:t>
      </w:r>
    </w:p>
    <w:p w14:paraId="6E125143" w14:textId="1CFC481C" w:rsidR="00C3017D" w:rsidRPr="00E30743" w:rsidRDefault="002F7AC8" w:rsidP="002906F8">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sz w:val="24"/>
          <w:szCs w:val="24"/>
        </w:rPr>
        <w:t>Although IA recognize</w:t>
      </w:r>
      <w:r w:rsidR="001A75C7" w:rsidRPr="00E30743">
        <w:rPr>
          <w:sz w:val="24"/>
          <w:szCs w:val="24"/>
        </w:rPr>
        <w:t>d</w:t>
      </w:r>
      <w:r w:rsidRPr="00E30743">
        <w:rPr>
          <w:sz w:val="24"/>
          <w:szCs w:val="24"/>
        </w:rPr>
        <w:t xml:space="preserve"> that </w:t>
      </w:r>
      <w:r w:rsidR="0039178A">
        <w:rPr>
          <w:sz w:val="24"/>
          <w:szCs w:val="24"/>
        </w:rPr>
        <w:t>EMS</w:t>
      </w:r>
      <w:r w:rsidRPr="00E30743">
        <w:rPr>
          <w:sz w:val="24"/>
          <w:szCs w:val="24"/>
        </w:rPr>
        <w:t xml:space="preserve"> and the EMS </w:t>
      </w:r>
      <w:r w:rsidR="0039178A">
        <w:rPr>
          <w:sz w:val="24"/>
          <w:szCs w:val="24"/>
        </w:rPr>
        <w:t>a</w:t>
      </w:r>
      <w:r w:rsidRPr="00E30743">
        <w:rPr>
          <w:sz w:val="24"/>
          <w:szCs w:val="24"/>
        </w:rPr>
        <w:t xml:space="preserve">ction </w:t>
      </w:r>
      <w:r w:rsidR="0039178A">
        <w:rPr>
          <w:sz w:val="24"/>
          <w:szCs w:val="24"/>
        </w:rPr>
        <w:t>p</w:t>
      </w:r>
      <w:r w:rsidRPr="00E30743">
        <w:rPr>
          <w:sz w:val="24"/>
          <w:szCs w:val="24"/>
        </w:rPr>
        <w:t>lan to</w:t>
      </w:r>
      <w:r w:rsidR="0039178A">
        <w:rPr>
          <w:sz w:val="24"/>
          <w:szCs w:val="24"/>
        </w:rPr>
        <w:t>wards</w:t>
      </w:r>
      <w:r w:rsidRPr="00E30743">
        <w:rPr>
          <w:sz w:val="24"/>
          <w:szCs w:val="24"/>
        </w:rPr>
        <w:t xml:space="preserve"> achieving ITU’s </w:t>
      </w:r>
      <w:r w:rsidR="0039178A">
        <w:rPr>
          <w:sz w:val="24"/>
          <w:szCs w:val="24"/>
        </w:rPr>
        <w:t xml:space="preserve">environmental sustainability </w:t>
      </w:r>
      <w:r w:rsidRPr="00E30743">
        <w:rPr>
          <w:sz w:val="24"/>
          <w:szCs w:val="24"/>
        </w:rPr>
        <w:t xml:space="preserve">goals </w:t>
      </w:r>
      <w:r w:rsidR="0039178A">
        <w:rPr>
          <w:sz w:val="24"/>
          <w:szCs w:val="24"/>
        </w:rPr>
        <w:t>are</w:t>
      </w:r>
      <w:r w:rsidRPr="00E30743">
        <w:rPr>
          <w:sz w:val="24"/>
          <w:szCs w:val="24"/>
        </w:rPr>
        <w:t xml:space="preserve"> relatively new initiative</w:t>
      </w:r>
      <w:r w:rsidR="0039178A">
        <w:rPr>
          <w:sz w:val="24"/>
          <w:szCs w:val="24"/>
        </w:rPr>
        <w:t>s</w:t>
      </w:r>
      <w:r w:rsidRPr="00E30743">
        <w:rPr>
          <w:sz w:val="24"/>
          <w:szCs w:val="24"/>
        </w:rPr>
        <w:t xml:space="preserve">, the overall assessment after the audit </w:t>
      </w:r>
      <w:r w:rsidR="001A75C7" w:rsidRPr="00E30743">
        <w:rPr>
          <w:sz w:val="24"/>
          <w:szCs w:val="24"/>
        </w:rPr>
        <w:t>wa</w:t>
      </w:r>
      <w:r w:rsidRPr="00E30743">
        <w:rPr>
          <w:sz w:val="24"/>
          <w:szCs w:val="24"/>
        </w:rPr>
        <w:t xml:space="preserve">s that </w:t>
      </w:r>
      <w:r w:rsidRPr="00E30743">
        <w:rPr>
          <w:rFonts w:cstheme="minorHAnsi"/>
          <w:sz w:val="24"/>
          <w:szCs w:val="24"/>
          <w:lang w:eastAsia="en-US"/>
        </w:rPr>
        <w:t xml:space="preserve">governance (roles and responsibilities, </w:t>
      </w:r>
      <w:r w:rsidRPr="00E30743">
        <w:rPr>
          <w:rFonts w:eastAsia="Times New Roman"/>
          <w:sz w:val="24"/>
          <w:szCs w:val="24"/>
        </w:rPr>
        <w:t>policies and regulations</w:t>
      </w:r>
      <w:r w:rsidRPr="00E30743">
        <w:rPr>
          <w:sz w:val="24"/>
          <w:szCs w:val="24"/>
        </w:rPr>
        <w:t xml:space="preserve">) and control activities </w:t>
      </w:r>
      <w:r w:rsidRPr="00E30743">
        <w:rPr>
          <w:rFonts w:cstheme="minorHAnsi"/>
          <w:sz w:val="24"/>
          <w:szCs w:val="24"/>
          <w:lang w:eastAsia="en-US"/>
        </w:rPr>
        <w:t>(</w:t>
      </w:r>
      <w:r w:rsidR="0039178A">
        <w:rPr>
          <w:rFonts w:cstheme="minorHAnsi"/>
          <w:sz w:val="24"/>
          <w:szCs w:val="24"/>
          <w:lang w:eastAsia="en-US"/>
        </w:rPr>
        <w:t xml:space="preserve">action plan </w:t>
      </w:r>
      <w:r w:rsidRPr="00E30743">
        <w:rPr>
          <w:rFonts w:cstheme="minorHAnsi"/>
          <w:sz w:val="24"/>
          <w:szCs w:val="24"/>
          <w:lang w:eastAsia="en-US"/>
        </w:rPr>
        <w:t>oversight and monitoring mechanism) need some improvement. Further,</w:t>
      </w:r>
      <w:r w:rsidR="0039178A">
        <w:rPr>
          <w:rFonts w:cstheme="minorHAnsi"/>
          <w:sz w:val="24"/>
          <w:szCs w:val="24"/>
          <w:lang w:eastAsia="en-US"/>
        </w:rPr>
        <w:t xml:space="preserve"> its</w:t>
      </w:r>
      <w:r w:rsidRPr="00E30743">
        <w:rPr>
          <w:rFonts w:cstheme="minorHAnsi"/>
          <w:sz w:val="24"/>
          <w:szCs w:val="24"/>
          <w:lang w:eastAsia="en-US"/>
        </w:rPr>
        <w:t xml:space="preserve"> information and communication (progress of implementation) and risk assessment (achievement of </w:t>
      </w:r>
      <w:r w:rsidR="0039178A">
        <w:rPr>
          <w:rFonts w:cstheme="minorHAnsi"/>
          <w:sz w:val="24"/>
          <w:szCs w:val="24"/>
          <w:lang w:eastAsia="en-US"/>
        </w:rPr>
        <w:t>a</w:t>
      </w:r>
      <w:r w:rsidRPr="00E30743">
        <w:rPr>
          <w:rFonts w:cstheme="minorHAnsi"/>
          <w:sz w:val="24"/>
          <w:szCs w:val="24"/>
          <w:lang w:eastAsia="en-US"/>
        </w:rPr>
        <w:t xml:space="preserve">ction </w:t>
      </w:r>
      <w:r w:rsidR="0039178A">
        <w:rPr>
          <w:rFonts w:cstheme="minorHAnsi"/>
          <w:sz w:val="24"/>
          <w:szCs w:val="24"/>
          <w:lang w:eastAsia="en-US"/>
        </w:rPr>
        <w:t>p</w:t>
      </w:r>
      <w:r w:rsidRPr="00E30743">
        <w:rPr>
          <w:rFonts w:cstheme="minorHAnsi"/>
          <w:sz w:val="24"/>
          <w:szCs w:val="24"/>
          <w:lang w:eastAsia="en-US"/>
        </w:rPr>
        <w:t xml:space="preserve">lan) were found to be insufficient. The monitoring activities (coordination with other related initiatives) and information and communication with respect to reporting on </w:t>
      </w:r>
      <w:r w:rsidR="00467158" w:rsidRPr="00E30743">
        <w:rPr>
          <w:rFonts w:cstheme="minorHAnsi"/>
          <w:sz w:val="24"/>
          <w:szCs w:val="24"/>
          <w:lang w:eastAsia="en-US"/>
        </w:rPr>
        <w:t>progress</w:t>
      </w:r>
      <w:r w:rsidRPr="00E30743">
        <w:rPr>
          <w:rFonts w:cstheme="minorHAnsi"/>
          <w:sz w:val="24"/>
          <w:szCs w:val="24"/>
          <w:lang w:eastAsia="en-US"/>
        </w:rPr>
        <w:t xml:space="preserve"> were</w:t>
      </w:r>
      <w:r w:rsidR="0039178A">
        <w:rPr>
          <w:rFonts w:cstheme="minorHAnsi"/>
          <w:sz w:val="24"/>
          <w:szCs w:val="24"/>
          <w:lang w:eastAsia="en-US"/>
        </w:rPr>
        <w:t>,</w:t>
      </w:r>
      <w:r w:rsidRPr="00E30743">
        <w:rPr>
          <w:rFonts w:cstheme="minorHAnsi"/>
          <w:sz w:val="24"/>
          <w:szCs w:val="24"/>
          <w:lang w:eastAsia="en-US"/>
        </w:rPr>
        <w:t xml:space="preserve"> however</w:t>
      </w:r>
      <w:r w:rsidR="0039178A">
        <w:rPr>
          <w:rFonts w:cstheme="minorHAnsi"/>
          <w:sz w:val="24"/>
          <w:szCs w:val="24"/>
          <w:lang w:eastAsia="en-US"/>
        </w:rPr>
        <w:t>,</w:t>
      </w:r>
      <w:r w:rsidRPr="00E30743">
        <w:rPr>
          <w:rFonts w:cstheme="minorHAnsi"/>
          <w:sz w:val="24"/>
          <w:szCs w:val="24"/>
          <w:lang w:eastAsia="en-US"/>
        </w:rPr>
        <w:t xml:space="preserve"> found to be adequate.</w:t>
      </w:r>
    </w:p>
    <w:p w14:paraId="7DE038FF" w14:textId="15252FA5" w:rsidR="002906F8" w:rsidRPr="00E30743" w:rsidRDefault="00C3017D" w:rsidP="002906F8">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sz w:val="24"/>
          <w:szCs w:val="24"/>
        </w:rPr>
        <w:t xml:space="preserve">The audit report was shared and discussed with the EMS </w:t>
      </w:r>
      <w:r w:rsidR="0039178A">
        <w:rPr>
          <w:sz w:val="24"/>
          <w:szCs w:val="24"/>
        </w:rPr>
        <w:t>c</w:t>
      </w:r>
      <w:r w:rsidRPr="00E30743">
        <w:rPr>
          <w:sz w:val="24"/>
          <w:szCs w:val="24"/>
        </w:rPr>
        <w:t xml:space="preserve">oordinator and relevant ITU officials and includes comments </w:t>
      </w:r>
      <w:r w:rsidR="00467158" w:rsidRPr="00E30743">
        <w:rPr>
          <w:sz w:val="24"/>
          <w:szCs w:val="24"/>
        </w:rPr>
        <w:t>on</w:t>
      </w:r>
      <w:r w:rsidRPr="00E30743">
        <w:rPr>
          <w:sz w:val="24"/>
          <w:szCs w:val="24"/>
        </w:rPr>
        <w:t xml:space="preserve"> the findings and recommendations. Management agreed to the recommendations and indicated </w:t>
      </w:r>
      <w:r w:rsidR="0039178A">
        <w:rPr>
          <w:sz w:val="24"/>
          <w:szCs w:val="24"/>
        </w:rPr>
        <w:t xml:space="preserve">a </w:t>
      </w:r>
      <w:r w:rsidR="000F1EDB" w:rsidRPr="00E30743">
        <w:rPr>
          <w:sz w:val="24"/>
          <w:szCs w:val="24"/>
        </w:rPr>
        <w:t>commitm</w:t>
      </w:r>
      <w:r w:rsidR="000F1EDB">
        <w:rPr>
          <w:sz w:val="24"/>
          <w:szCs w:val="24"/>
        </w:rPr>
        <w:t>ent</w:t>
      </w:r>
      <w:r w:rsidRPr="00E30743">
        <w:rPr>
          <w:sz w:val="24"/>
          <w:szCs w:val="24"/>
        </w:rPr>
        <w:t xml:space="preserve"> to </w:t>
      </w:r>
      <w:r w:rsidR="00467158" w:rsidRPr="00E30743">
        <w:rPr>
          <w:sz w:val="24"/>
          <w:szCs w:val="24"/>
        </w:rPr>
        <w:t>implementing</w:t>
      </w:r>
      <w:r w:rsidRPr="00E30743">
        <w:rPr>
          <w:sz w:val="24"/>
          <w:szCs w:val="24"/>
        </w:rPr>
        <w:t xml:space="preserve"> them promptly.</w:t>
      </w:r>
      <w:r w:rsidR="002906F8" w:rsidRPr="00E30743">
        <w:rPr>
          <w:rFonts w:cstheme="minorHAnsi"/>
          <w:sz w:val="24"/>
          <w:szCs w:val="24"/>
        </w:rPr>
        <w:t xml:space="preserve"> </w:t>
      </w:r>
    </w:p>
    <w:p w14:paraId="3596FC6B" w14:textId="3A37C0F4" w:rsidR="002906F8" w:rsidRPr="00E30743" w:rsidRDefault="002906F8" w:rsidP="00E30743">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240"/>
        <w:ind w:left="450" w:firstLine="0"/>
        <w:jc w:val="both"/>
        <w:textAlignment w:val="auto"/>
        <w:rPr>
          <w:rFonts w:asciiTheme="minorHAnsi" w:hAnsiTheme="minorHAnsi" w:cstheme="minorHAnsi"/>
          <w:szCs w:val="24"/>
        </w:rPr>
      </w:pPr>
      <w:r w:rsidRPr="00E30743">
        <w:rPr>
          <w:rFonts w:asciiTheme="minorHAnsi" w:hAnsiTheme="minorHAnsi" w:cstheme="minorHAnsi"/>
          <w:b/>
          <w:i/>
          <w:szCs w:val="24"/>
        </w:rPr>
        <w:t xml:space="preserve">New </w:t>
      </w:r>
      <w:r w:rsidR="006E038F">
        <w:rPr>
          <w:rFonts w:asciiTheme="minorHAnsi" w:hAnsiTheme="minorHAnsi" w:cstheme="minorHAnsi"/>
          <w:b/>
          <w:i/>
          <w:szCs w:val="24"/>
        </w:rPr>
        <w:t>h</w:t>
      </w:r>
      <w:r w:rsidRPr="00E30743">
        <w:rPr>
          <w:rFonts w:asciiTheme="minorHAnsi" w:hAnsiTheme="minorHAnsi" w:cstheme="minorHAnsi"/>
          <w:b/>
          <w:i/>
          <w:szCs w:val="24"/>
        </w:rPr>
        <w:t>eadquarter</w:t>
      </w:r>
      <w:r w:rsidR="00467158" w:rsidRPr="00E30743">
        <w:rPr>
          <w:rFonts w:asciiTheme="minorHAnsi" w:hAnsiTheme="minorHAnsi" w:cstheme="minorHAnsi"/>
          <w:b/>
          <w:i/>
          <w:szCs w:val="24"/>
        </w:rPr>
        <w:t>s</w:t>
      </w:r>
      <w:r w:rsidRPr="00E30743">
        <w:rPr>
          <w:rFonts w:asciiTheme="minorHAnsi" w:hAnsiTheme="minorHAnsi" w:cstheme="minorHAnsi"/>
          <w:b/>
          <w:i/>
          <w:szCs w:val="24"/>
        </w:rPr>
        <w:t xml:space="preserve"> project</w:t>
      </w:r>
    </w:p>
    <w:p w14:paraId="7C5E7513" w14:textId="2A9CF3B4" w:rsidR="002906F8" w:rsidRPr="00E30743" w:rsidRDefault="002906F8" w:rsidP="002906F8">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theme="minorHAnsi"/>
          <w:sz w:val="24"/>
          <w:szCs w:val="24"/>
        </w:rPr>
        <w:t xml:space="preserve">IA </w:t>
      </w:r>
      <w:r w:rsidRPr="00E30743">
        <w:rPr>
          <w:rFonts w:cstheme="minorHAnsi"/>
          <w:sz w:val="24"/>
          <w:szCs w:val="24"/>
          <w:lang w:val="en-GB"/>
        </w:rPr>
        <w:t xml:space="preserve">conducted an audit </w:t>
      </w:r>
      <w:r w:rsidR="00467158" w:rsidRPr="00E30743">
        <w:rPr>
          <w:sz w:val="24"/>
          <w:szCs w:val="24"/>
        </w:rPr>
        <w:t>of the new</w:t>
      </w:r>
      <w:r w:rsidR="006E038F" w:rsidRPr="00E30743">
        <w:rPr>
          <w:sz w:val="24"/>
          <w:szCs w:val="24"/>
        </w:rPr>
        <w:t xml:space="preserve"> ITU</w:t>
      </w:r>
      <w:r w:rsidR="00467158" w:rsidRPr="00E30743">
        <w:rPr>
          <w:sz w:val="24"/>
          <w:szCs w:val="24"/>
        </w:rPr>
        <w:t xml:space="preserve"> </w:t>
      </w:r>
      <w:r w:rsidR="006E038F">
        <w:rPr>
          <w:sz w:val="24"/>
          <w:szCs w:val="24"/>
        </w:rPr>
        <w:t>h</w:t>
      </w:r>
      <w:r w:rsidR="00467158" w:rsidRPr="00E30743">
        <w:rPr>
          <w:sz w:val="24"/>
          <w:szCs w:val="24"/>
        </w:rPr>
        <w:t>eadquarters project (HQP)</w:t>
      </w:r>
      <w:r w:rsidR="006E038F">
        <w:rPr>
          <w:sz w:val="24"/>
          <w:szCs w:val="24"/>
        </w:rPr>
        <w:t>, which</w:t>
      </w:r>
      <w:r w:rsidR="00467158" w:rsidRPr="00E30743">
        <w:rPr>
          <w:sz w:val="24"/>
          <w:szCs w:val="24"/>
        </w:rPr>
        <w:t xml:space="preserve"> cover</w:t>
      </w:r>
      <w:r w:rsidR="006E038F">
        <w:rPr>
          <w:sz w:val="24"/>
          <w:szCs w:val="24"/>
        </w:rPr>
        <w:t>ed</w:t>
      </w:r>
      <w:r w:rsidR="00467158" w:rsidRPr="00E30743">
        <w:rPr>
          <w:sz w:val="24"/>
          <w:szCs w:val="24"/>
        </w:rPr>
        <w:t xml:space="preserve"> project activities from September 2019 </w:t>
      </w:r>
      <w:r w:rsidR="006E038F">
        <w:rPr>
          <w:sz w:val="24"/>
          <w:szCs w:val="24"/>
        </w:rPr>
        <w:t>to</w:t>
      </w:r>
      <w:r w:rsidR="00467158" w:rsidRPr="00E30743">
        <w:rPr>
          <w:sz w:val="24"/>
          <w:szCs w:val="24"/>
        </w:rPr>
        <w:t xml:space="preserve"> December 2021.</w:t>
      </w:r>
    </w:p>
    <w:p w14:paraId="4EBE62CC" w14:textId="06F438B1" w:rsidR="002906F8" w:rsidRPr="00E30743" w:rsidRDefault="001A75C7" w:rsidP="002906F8">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Calibri"/>
          <w:color w:val="242424"/>
          <w:sz w:val="24"/>
          <w:szCs w:val="24"/>
          <w:shd w:val="clear" w:color="auto" w:fill="FFFFFF"/>
        </w:rPr>
        <w:t xml:space="preserve">IA assessed </w:t>
      </w:r>
      <w:r w:rsidRPr="00E30743">
        <w:rPr>
          <w:rFonts w:cs="Calibri"/>
          <w:i/>
          <w:iCs/>
          <w:color w:val="242424"/>
          <w:sz w:val="24"/>
          <w:szCs w:val="24"/>
          <w:shd w:val="clear" w:color="auto" w:fill="FFFFFF"/>
        </w:rPr>
        <w:t>information and communication</w:t>
      </w:r>
      <w:r w:rsidRPr="00E30743">
        <w:rPr>
          <w:rFonts w:cs="Calibri"/>
          <w:color w:val="242424"/>
          <w:sz w:val="24"/>
          <w:szCs w:val="24"/>
          <w:shd w:val="clear" w:color="auto" w:fill="FFFFFF"/>
        </w:rPr>
        <w:t xml:space="preserve"> pertaining to HQP to be </w:t>
      </w:r>
      <w:r w:rsidRPr="00E30743">
        <w:rPr>
          <w:rFonts w:cs="Calibri"/>
          <w:color w:val="242424"/>
          <w:sz w:val="24"/>
          <w:szCs w:val="24"/>
          <w:u w:val="single"/>
          <w:shd w:val="clear" w:color="auto" w:fill="FFFFFF"/>
        </w:rPr>
        <w:t>adequate</w:t>
      </w:r>
      <w:r w:rsidRPr="00E30743">
        <w:rPr>
          <w:rFonts w:cs="Calibri"/>
          <w:color w:val="242424"/>
          <w:sz w:val="24"/>
          <w:szCs w:val="24"/>
          <w:shd w:val="clear" w:color="auto" w:fill="FFFFFF"/>
        </w:rPr>
        <w:t xml:space="preserve"> and the </w:t>
      </w:r>
      <w:r w:rsidRPr="00E30743">
        <w:rPr>
          <w:rFonts w:cs="Calibri"/>
          <w:i/>
          <w:iCs/>
          <w:color w:val="242424"/>
          <w:sz w:val="24"/>
          <w:szCs w:val="24"/>
          <w:shd w:val="clear" w:color="auto" w:fill="FFFFFF"/>
        </w:rPr>
        <w:t>monitoring activities</w:t>
      </w:r>
      <w:r w:rsidRPr="00E30743">
        <w:rPr>
          <w:rFonts w:cs="Calibri"/>
          <w:color w:val="242424"/>
          <w:sz w:val="24"/>
          <w:szCs w:val="24"/>
          <w:shd w:val="clear" w:color="auto" w:fill="FFFFFF"/>
        </w:rPr>
        <w:t xml:space="preserve"> pertaining to HQP </w:t>
      </w:r>
      <w:r w:rsidR="006E038F">
        <w:rPr>
          <w:rFonts w:cs="Calibri"/>
          <w:color w:val="242424"/>
          <w:sz w:val="24"/>
          <w:szCs w:val="24"/>
          <w:shd w:val="clear" w:color="auto" w:fill="FFFFFF"/>
        </w:rPr>
        <w:t>to be</w:t>
      </w:r>
      <w:r w:rsidRPr="00E30743">
        <w:rPr>
          <w:rFonts w:cs="Calibri"/>
          <w:color w:val="242424"/>
          <w:sz w:val="24"/>
          <w:szCs w:val="24"/>
          <w:shd w:val="clear" w:color="auto" w:fill="FFFFFF"/>
        </w:rPr>
        <w:t xml:space="preserve"> </w:t>
      </w:r>
      <w:r w:rsidRPr="00E30743">
        <w:rPr>
          <w:rFonts w:cs="Calibri"/>
          <w:color w:val="242424"/>
          <w:sz w:val="24"/>
          <w:szCs w:val="24"/>
          <w:u w:val="single"/>
          <w:shd w:val="clear" w:color="auto" w:fill="FFFFFF"/>
        </w:rPr>
        <w:t>effective</w:t>
      </w:r>
      <w:r w:rsidRPr="00E30743">
        <w:rPr>
          <w:rFonts w:cs="Calibri"/>
          <w:color w:val="242424"/>
          <w:sz w:val="24"/>
          <w:szCs w:val="24"/>
          <w:shd w:val="clear" w:color="auto" w:fill="FFFFFF"/>
        </w:rPr>
        <w:t xml:space="preserve">. Furthermore, it was concluded that the HQP </w:t>
      </w:r>
      <w:r w:rsidRPr="00E30743">
        <w:rPr>
          <w:rFonts w:cs="Calibri"/>
          <w:i/>
          <w:iCs/>
          <w:color w:val="242424"/>
          <w:sz w:val="24"/>
          <w:szCs w:val="24"/>
          <w:shd w:val="clear" w:color="auto" w:fill="FFFFFF"/>
        </w:rPr>
        <w:t>risk assessment</w:t>
      </w:r>
      <w:r w:rsidRPr="00E30743">
        <w:rPr>
          <w:rFonts w:cs="Calibri"/>
          <w:color w:val="242424"/>
          <w:sz w:val="24"/>
          <w:szCs w:val="24"/>
          <w:shd w:val="clear" w:color="auto" w:fill="FFFFFF"/>
        </w:rPr>
        <w:t xml:space="preserve">, </w:t>
      </w:r>
      <w:r w:rsidR="009931AD">
        <w:rPr>
          <w:rFonts w:cs="Calibri"/>
          <w:color w:val="242424"/>
          <w:sz w:val="24"/>
          <w:szCs w:val="24"/>
          <w:shd w:val="clear" w:color="auto" w:fill="FFFFFF"/>
        </w:rPr>
        <w:t xml:space="preserve">its </w:t>
      </w:r>
      <w:r w:rsidRPr="00E30743">
        <w:rPr>
          <w:rFonts w:cs="Calibri"/>
          <w:color w:val="242424"/>
          <w:sz w:val="24"/>
          <w:szCs w:val="24"/>
          <w:shd w:val="clear" w:color="auto" w:fill="FFFFFF"/>
        </w:rPr>
        <w:t xml:space="preserve">activities and outputs’ </w:t>
      </w:r>
      <w:r w:rsidRPr="00E30743">
        <w:rPr>
          <w:rFonts w:cs="Calibri"/>
          <w:i/>
          <w:iCs/>
          <w:color w:val="242424"/>
          <w:sz w:val="24"/>
          <w:szCs w:val="24"/>
          <w:shd w:val="clear" w:color="auto" w:fill="FFFFFF"/>
        </w:rPr>
        <w:t>consideration of Sustainable Development Goals</w:t>
      </w:r>
      <w:r w:rsidR="009931AD">
        <w:rPr>
          <w:rFonts w:cs="Calibri"/>
          <w:i/>
          <w:iCs/>
          <w:color w:val="242424"/>
          <w:sz w:val="24"/>
          <w:szCs w:val="24"/>
          <w:shd w:val="clear" w:color="auto" w:fill="FFFFFF"/>
        </w:rPr>
        <w:t>,</w:t>
      </w:r>
      <w:r w:rsidRPr="002F2902">
        <w:rPr>
          <w:rFonts w:cs="Calibri"/>
          <w:color w:val="242424"/>
          <w:sz w:val="24"/>
          <w:szCs w:val="24"/>
          <w:shd w:val="clear" w:color="auto" w:fill="FFFFFF"/>
        </w:rPr>
        <w:t xml:space="preserve"> </w:t>
      </w:r>
      <w:r w:rsidRPr="009931AD">
        <w:rPr>
          <w:rFonts w:cs="Calibri"/>
          <w:color w:val="242424"/>
          <w:sz w:val="24"/>
          <w:szCs w:val="24"/>
          <w:shd w:val="clear" w:color="auto" w:fill="FFFFFF"/>
        </w:rPr>
        <w:t>of</w:t>
      </w:r>
      <w:r w:rsidRPr="009931AD">
        <w:rPr>
          <w:rFonts w:cs="Calibri"/>
          <w:i/>
          <w:iCs/>
          <w:color w:val="242424"/>
          <w:sz w:val="24"/>
          <w:szCs w:val="24"/>
          <w:shd w:val="clear" w:color="auto" w:fill="FFFFFF"/>
        </w:rPr>
        <w:t xml:space="preserve"> </w:t>
      </w:r>
      <w:r w:rsidRPr="00E30743">
        <w:rPr>
          <w:rFonts w:cs="Calibri"/>
          <w:i/>
          <w:iCs/>
          <w:color w:val="242424"/>
          <w:sz w:val="24"/>
          <w:szCs w:val="24"/>
          <w:shd w:val="clear" w:color="auto" w:fill="FFFFFF"/>
        </w:rPr>
        <w:t>gender equality and mainstreaming</w:t>
      </w:r>
      <w:r w:rsidRPr="00E30743">
        <w:rPr>
          <w:rFonts w:cs="Calibri"/>
          <w:color w:val="242424"/>
          <w:sz w:val="24"/>
          <w:szCs w:val="24"/>
          <w:shd w:val="clear" w:color="auto" w:fill="FFFFFF"/>
        </w:rPr>
        <w:t xml:space="preserve"> a</w:t>
      </w:r>
      <w:r w:rsidR="009931AD">
        <w:rPr>
          <w:rFonts w:cs="Calibri"/>
          <w:color w:val="242424"/>
          <w:sz w:val="24"/>
          <w:szCs w:val="24"/>
          <w:shd w:val="clear" w:color="auto" w:fill="FFFFFF"/>
        </w:rPr>
        <w:t xml:space="preserve">nd </w:t>
      </w:r>
      <w:r w:rsidRPr="00E30743">
        <w:rPr>
          <w:rFonts w:cs="Calibri"/>
          <w:color w:val="242424"/>
          <w:sz w:val="24"/>
          <w:szCs w:val="24"/>
          <w:shd w:val="clear" w:color="auto" w:fill="FFFFFF"/>
        </w:rPr>
        <w:t xml:space="preserve">of </w:t>
      </w:r>
      <w:r w:rsidRPr="00E30743">
        <w:rPr>
          <w:rFonts w:cs="Calibri"/>
          <w:i/>
          <w:iCs/>
          <w:color w:val="242424"/>
          <w:sz w:val="24"/>
          <w:szCs w:val="24"/>
          <w:shd w:val="clear" w:color="auto" w:fill="FFFFFF"/>
        </w:rPr>
        <w:t>accessibility</w:t>
      </w:r>
      <w:r w:rsidRPr="00E30743">
        <w:rPr>
          <w:rFonts w:cs="Calibri"/>
          <w:color w:val="242424"/>
          <w:sz w:val="24"/>
          <w:szCs w:val="24"/>
          <w:shd w:val="clear" w:color="auto" w:fill="FFFFFF"/>
        </w:rPr>
        <w:t xml:space="preserve"> </w:t>
      </w:r>
      <w:r w:rsidR="009931AD">
        <w:rPr>
          <w:rFonts w:cs="Calibri"/>
          <w:color w:val="242424"/>
          <w:sz w:val="24"/>
          <w:szCs w:val="24"/>
          <w:shd w:val="clear" w:color="auto" w:fill="FFFFFF"/>
        </w:rPr>
        <w:t>we</w:t>
      </w:r>
      <w:r w:rsidR="009931AD" w:rsidRPr="00E30743">
        <w:rPr>
          <w:rFonts w:cs="Calibri"/>
          <w:color w:val="242424"/>
          <w:sz w:val="24"/>
          <w:szCs w:val="24"/>
          <w:shd w:val="clear" w:color="auto" w:fill="FFFFFF"/>
        </w:rPr>
        <w:t xml:space="preserve">re </w:t>
      </w:r>
      <w:r w:rsidRPr="00E30743">
        <w:rPr>
          <w:rFonts w:cs="Calibri"/>
          <w:color w:val="242424"/>
          <w:sz w:val="24"/>
          <w:szCs w:val="24"/>
          <w:u w:val="single"/>
          <w:shd w:val="clear" w:color="auto" w:fill="FFFFFF"/>
        </w:rPr>
        <w:t>reasonably adequate</w:t>
      </w:r>
      <w:r w:rsidRPr="00E30743">
        <w:rPr>
          <w:rFonts w:cs="Calibri"/>
          <w:color w:val="242424"/>
          <w:sz w:val="24"/>
          <w:szCs w:val="24"/>
          <w:shd w:val="clear" w:color="auto" w:fill="FFFFFF"/>
        </w:rPr>
        <w:t>. However, IA assessed the</w:t>
      </w:r>
      <w:r w:rsidR="009931AD">
        <w:rPr>
          <w:rFonts w:cs="Calibri"/>
          <w:color w:val="242424"/>
          <w:sz w:val="24"/>
          <w:szCs w:val="24"/>
          <w:shd w:val="clear" w:color="auto" w:fill="FFFFFF"/>
        </w:rPr>
        <w:t xml:space="preserve"> HQP</w:t>
      </w:r>
      <w:r w:rsidRPr="00E30743">
        <w:rPr>
          <w:rFonts w:cs="Calibri"/>
          <w:color w:val="242424"/>
          <w:sz w:val="24"/>
          <w:szCs w:val="24"/>
          <w:shd w:val="clear" w:color="auto" w:fill="FFFFFF"/>
        </w:rPr>
        <w:t xml:space="preserve"> </w:t>
      </w:r>
      <w:r w:rsidRPr="00E30743">
        <w:rPr>
          <w:rFonts w:cs="Calibri"/>
          <w:i/>
          <w:iCs/>
          <w:color w:val="242424"/>
          <w:sz w:val="24"/>
          <w:szCs w:val="24"/>
          <w:shd w:val="clear" w:color="auto" w:fill="FFFFFF"/>
        </w:rPr>
        <w:t>governance and control environment</w:t>
      </w:r>
      <w:r w:rsidRPr="00E30743">
        <w:rPr>
          <w:rFonts w:cs="Calibri"/>
          <w:color w:val="242424"/>
          <w:sz w:val="24"/>
          <w:szCs w:val="24"/>
          <w:shd w:val="clear" w:color="auto" w:fill="FFFFFF"/>
        </w:rPr>
        <w:t xml:space="preserve"> to be </w:t>
      </w:r>
      <w:r w:rsidRPr="00E30743">
        <w:rPr>
          <w:rFonts w:cs="Calibri"/>
          <w:color w:val="242424"/>
          <w:sz w:val="24"/>
          <w:szCs w:val="24"/>
          <w:u w:val="single"/>
          <w:shd w:val="clear" w:color="auto" w:fill="FFFFFF"/>
        </w:rPr>
        <w:t>partially adequate</w:t>
      </w:r>
      <w:r w:rsidRPr="00E30743">
        <w:rPr>
          <w:rFonts w:cs="Calibri"/>
          <w:color w:val="242424"/>
          <w:sz w:val="24"/>
          <w:szCs w:val="24"/>
          <w:shd w:val="clear" w:color="auto" w:fill="FFFFFF"/>
        </w:rPr>
        <w:t xml:space="preserve"> and the </w:t>
      </w:r>
      <w:r w:rsidRPr="00E30743">
        <w:rPr>
          <w:rFonts w:cs="Calibri"/>
          <w:i/>
          <w:iCs/>
          <w:color w:val="242424"/>
          <w:sz w:val="24"/>
          <w:szCs w:val="24"/>
          <w:shd w:val="clear" w:color="auto" w:fill="FFFFFF"/>
        </w:rPr>
        <w:t>controls</w:t>
      </w:r>
      <w:r w:rsidRPr="00E30743">
        <w:rPr>
          <w:rFonts w:cs="Calibri"/>
          <w:color w:val="242424"/>
          <w:sz w:val="24"/>
          <w:szCs w:val="24"/>
          <w:shd w:val="clear" w:color="auto" w:fill="FFFFFF"/>
        </w:rPr>
        <w:t xml:space="preserve"> pertaining to the HQP to be </w:t>
      </w:r>
      <w:r w:rsidRPr="00E30743">
        <w:rPr>
          <w:rFonts w:cs="Calibri"/>
          <w:color w:val="242424"/>
          <w:sz w:val="24"/>
          <w:szCs w:val="24"/>
          <w:u w:val="single"/>
          <w:shd w:val="clear" w:color="auto" w:fill="FFFFFF"/>
        </w:rPr>
        <w:t>partially effective</w:t>
      </w:r>
      <w:r w:rsidRPr="00E30743">
        <w:rPr>
          <w:rFonts w:cs="Calibri"/>
          <w:color w:val="242424"/>
          <w:sz w:val="24"/>
          <w:szCs w:val="24"/>
          <w:shd w:val="clear" w:color="auto" w:fill="FFFFFF"/>
        </w:rPr>
        <w:t xml:space="preserve">. Also, the </w:t>
      </w:r>
      <w:r w:rsidRPr="00E30743">
        <w:rPr>
          <w:rFonts w:cs="Calibri"/>
          <w:i/>
          <w:iCs/>
          <w:color w:val="242424"/>
          <w:sz w:val="24"/>
          <w:szCs w:val="24"/>
          <w:shd w:val="clear" w:color="auto" w:fill="FFFFFF"/>
        </w:rPr>
        <w:t>fraud and corruption risks</w:t>
      </w:r>
      <w:r w:rsidRPr="00E30743">
        <w:rPr>
          <w:rFonts w:cs="Calibri"/>
          <w:color w:val="242424"/>
          <w:sz w:val="24"/>
          <w:szCs w:val="24"/>
          <w:shd w:val="clear" w:color="auto" w:fill="FFFFFF"/>
        </w:rPr>
        <w:t xml:space="preserve"> assessment and monitoring activities pertaining to HQP were found to be only </w:t>
      </w:r>
      <w:r w:rsidRPr="00E30743">
        <w:rPr>
          <w:rFonts w:cs="Calibri"/>
          <w:color w:val="242424"/>
          <w:sz w:val="24"/>
          <w:szCs w:val="24"/>
          <w:u w:val="single"/>
          <w:shd w:val="clear" w:color="auto" w:fill="FFFFFF"/>
        </w:rPr>
        <w:t>partially adequate.</w:t>
      </w:r>
      <w:r w:rsidR="002906F8" w:rsidRPr="00E30743">
        <w:rPr>
          <w:rFonts w:cstheme="minorHAnsi"/>
          <w:sz w:val="24"/>
          <w:szCs w:val="24"/>
        </w:rPr>
        <w:t xml:space="preserve"> </w:t>
      </w:r>
    </w:p>
    <w:p w14:paraId="5C91BDE4" w14:textId="1275DB47" w:rsidR="001A75C7" w:rsidRPr="00E30743" w:rsidRDefault="001A75C7" w:rsidP="002906F8">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Calibri"/>
          <w:color w:val="242424"/>
          <w:sz w:val="24"/>
          <w:szCs w:val="24"/>
          <w:shd w:val="clear" w:color="auto" w:fill="FFFFFF"/>
        </w:rPr>
        <w:t xml:space="preserve">The audit report was shared </w:t>
      </w:r>
      <w:r w:rsidRPr="00E30743">
        <w:rPr>
          <w:sz w:val="24"/>
          <w:szCs w:val="24"/>
          <w:lang w:val="en-GB"/>
        </w:rPr>
        <w:t xml:space="preserve">and discussed with the </w:t>
      </w:r>
      <w:r w:rsidR="000F1EDB" w:rsidRPr="00E30743">
        <w:rPr>
          <w:sz w:val="24"/>
          <w:szCs w:val="24"/>
          <w:lang w:val="en-GB"/>
        </w:rPr>
        <w:t>General Secretariat</w:t>
      </w:r>
      <w:r w:rsidR="000F1EDB" w:rsidRPr="00E30743" w:rsidDel="009931AD">
        <w:rPr>
          <w:sz w:val="24"/>
          <w:szCs w:val="24"/>
          <w:lang w:val="en-GB"/>
        </w:rPr>
        <w:t xml:space="preserve"> </w:t>
      </w:r>
      <w:r w:rsidRPr="00E30743">
        <w:rPr>
          <w:sz w:val="24"/>
          <w:szCs w:val="24"/>
          <w:lang w:val="en-GB"/>
        </w:rPr>
        <w:t xml:space="preserve">officials </w:t>
      </w:r>
      <w:r w:rsidR="009931AD" w:rsidRPr="00E30743">
        <w:rPr>
          <w:sz w:val="24"/>
          <w:szCs w:val="24"/>
          <w:lang w:val="en-GB"/>
        </w:rPr>
        <w:t>concerned</w:t>
      </w:r>
      <w:r w:rsidRPr="00E30743">
        <w:rPr>
          <w:sz w:val="24"/>
          <w:szCs w:val="24"/>
          <w:lang w:val="en-GB"/>
        </w:rPr>
        <w:t xml:space="preserve"> . The report includes their comments o</w:t>
      </w:r>
      <w:r w:rsidR="007F522C">
        <w:rPr>
          <w:sz w:val="24"/>
          <w:szCs w:val="24"/>
          <w:lang w:val="en-GB"/>
        </w:rPr>
        <w:t>n</w:t>
      </w:r>
      <w:r w:rsidRPr="00E30743">
        <w:rPr>
          <w:sz w:val="24"/>
          <w:szCs w:val="24"/>
          <w:lang w:val="en-GB"/>
        </w:rPr>
        <w:t xml:space="preserve"> the findings and recommendations</w:t>
      </w:r>
      <w:r w:rsidRPr="00E30743">
        <w:rPr>
          <w:sz w:val="24"/>
          <w:szCs w:val="24"/>
        </w:rPr>
        <w:t>. On 20 June 2022, IA present</w:t>
      </w:r>
      <w:r w:rsidR="003F481B" w:rsidRPr="00E30743">
        <w:rPr>
          <w:sz w:val="24"/>
          <w:szCs w:val="24"/>
        </w:rPr>
        <w:t>ed</w:t>
      </w:r>
      <w:r w:rsidRPr="00E30743">
        <w:rPr>
          <w:sz w:val="24"/>
          <w:szCs w:val="24"/>
        </w:rPr>
        <w:t xml:space="preserve"> the audit findings and conclusions to the Member States </w:t>
      </w:r>
      <w:r w:rsidRPr="00430C06">
        <w:rPr>
          <w:spacing w:val="-4"/>
          <w:sz w:val="24"/>
          <w:szCs w:val="24"/>
        </w:rPr>
        <w:t>Advisory Group</w:t>
      </w:r>
      <w:r w:rsidR="009931AD">
        <w:rPr>
          <w:spacing w:val="-4"/>
          <w:sz w:val="24"/>
          <w:szCs w:val="24"/>
        </w:rPr>
        <w:t>,</w:t>
      </w:r>
      <w:r w:rsidRPr="00430C06">
        <w:rPr>
          <w:spacing w:val="-4"/>
          <w:sz w:val="24"/>
          <w:szCs w:val="24"/>
        </w:rPr>
        <w:t xml:space="preserve"> which is overseeing HQP</w:t>
      </w:r>
      <w:r w:rsidR="009931AD" w:rsidRPr="009931AD">
        <w:rPr>
          <w:spacing w:val="-4"/>
          <w:sz w:val="24"/>
          <w:szCs w:val="24"/>
        </w:rPr>
        <w:t xml:space="preserve"> </w:t>
      </w:r>
      <w:r w:rsidR="009931AD" w:rsidRPr="00430C06">
        <w:rPr>
          <w:spacing w:val="-4"/>
          <w:sz w:val="24"/>
          <w:szCs w:val="24"/>
        </w:rPr>
        <w:t xml:space="preserve">on behalf of </w:t>
      </w:r>
      <w:r w:rsidR="009931AD">
        <w:rPr>
          <w:spacing w:val="-4"/>
          <w:sz w:val="24"/>
          <w:szCs w:val="24"/>
        </w:rPr>
        <w:t xml:space="preserve">the </w:t>
      </w:r>
      <w:r w:rsidR="009931AD" w:rsidRPr="00430C06">
        <w:rPr>
          <w:spacing w:val="-4"/>
          <w:sz w:val="24"/>
          <w:szCs w:val="24"/>
        </w:rPr>
        <w:t>ITU Member States</w:t>
      </w:r>
      <w:r w:rsidRPr="00430C06">
        <w:rPr>
          <w:spacing w:val="-4"/>
          <w:sz w:val="24"/>
          <w:szCs w:val="24"/>
        </w:rPr>
        <w:t>.</w:t>
      </w:r>
      <w:r w:rsidRPr="00E30743">
        <w:rPr>
          <w:sz w:val="24"/>
          <w:szCs w:val="24"/>
        </w:rPr>
        <w:t xml:space="preserve"> </w:t>
      </w:r>
    </w:p>
    <w:p w14:paraId="742A4390" w14:textId="1065C5B6" w:rsidR="002906F8" w:rsidRPr="00E30743" w:rsidRDefault="002906F8" w:rsidP="00430C06">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240"/>
        <w:ind w:left="450" w:firstLine="0"/>
        <w:jc w:val="both"/>
        <w:textAlignment w:val="auto"/>
        <w:rPr>
          <w:rFonts w:asciiTheme="minorHAnsi" w:hAnsiTheme="minorHAnsi" w:cstheme="minorHAnsi"/>
          <w:szCs w:val="24"/>
        </w:rPr>
      </w:pPr>
      <w:r w:rsidRPr="00E30743">
        <w:rPr>
          <w:rFonts w:asciiTheme="minorHAnsi" w:hAnsiTheme="minorHAnsi" w:cstheme="minorHAnsi"/>
          <w:b/>
          <w:i/>
          <w:szCs w:val="24"/>
        </w:rPr>
        <w:t xml:space="preserve">Working Group </w:t>
      </w:r>
      <w:r w:rsidR="007F522C">
        <w:rPr>
          <w:rFonts w:asciiTheme="minorHAnsi" w:hAnsiTheme="minorHAnsi" w:cstheme="minorHAnsi"/>
          <w:b/>
          <w:i/>
          <w:szCs w:val="24"/>
        </w:rPr>
        <w:t>on</w:t>
      </w:r>
      <w:r w:rsidRPr="00E30743">
        <w:rPr>
          <w:rFonts w:asciiTheme="minorHAnsi" w:hAnsiTheme="minorHAnsi" w:cstheme="minorHAnsi"/>
          <w:b/>
          <w:i/>
          <w:szCs w:val="24"/>
        </w:rPr>
        <w:t xml:space="preserve"> </w:t>
      </w:r>
      <w:r w:rsidR="009931AD">
        <w:rPr>
          <w:rFonts w:asciiTheme="minorHAnsi" w:hAnsiTheme="minorHAnsi" w:cstheme="minorHAnsi"/>
          <w:b/>
          <w:i/>
          <w:szCs w:val="24"/>
        </w:rPr>
        <w:t>i</w:t>
      </w:r>
      <w:r w:rsidRPr="00E30743">
        <w:rPr>
          <w:rFonts w:asciiTheme="minorHAnsi" w:hAnsiTheme="minorHAnsi" w:cstheme="minorHAnsi"/>
          <w:b/>
          <w:i/>
          <w:szCs w:val="24"/>
        </w:rPr>
        <w:t xml:space="preserve">nternal </w:t>
      </w:r>
      <w:r w:rsidR="009931AD">
        <w:rPr>
          <w:rFonts w:asciiTheme="minorHAnsi" w:hAnsiTheme="minorHAnsi" w:cstheme="minorHAnsi"/>
          <w:b/>
          <w:i/>
          <w:szCs w:val="24"/>
        </w:rPr>
        <w:t>c</w:t>
      </w:r>
      <w:r w:rsidRPr="00E30743">
        <w:rPr>
          <w:rFonts w:asciiTheme="minorHAnsi" w:hAnsiTheme="minorHAnsi" w:cstheme="minorHAnsi"/>
          <w:b/>
          <w:i/>
          <w:szCs w:val="24"/>
        </w:rPr>
        <w:t>ontrols</w:t>
      </w:r>
    </w:p>
    <w:p w14:paraId="461DF490" w14:textId="3E2E9D31" w:rsidR="003F481B" w:rsidRPr="00E30743" w:rsidRDefault="002906F8" w:rsidP="002906F8">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theme="minorHAnsi"/>
          <w:sz w:val="24"/>
          <w:szCs w:val="24"/>
        </w:rPr>
        <w:t xml:space="preserve">IA </w:t>
      </w:r>
      <w:r w:rsidRPr="00E30743">
        <w:rPr>
          <w:rFonts w:cstheme="minorHAnsi"/>
          <w:sz w:val="24"/>
          <w:szCs w:val="24"/>
          <w:lang w:val="en-GB"/>
        </w:rPr>
        <w:t xml:space="preserve">conducted an audit </w:t>
      </w:r>
      <w:r w:rsidR="0093538E" w:rsidRPr="00E30743">
        <w:rPr>
          <w:rFonts w:cstheme="minorHAnsi"/>
          <w:sz w:val="24"/>
          <w:szCs w:val="24"/>
          <w:lang w:val="en-GB"/>
        </w:rPr>
        <w:t>of</w:t>
      </w:r>
      <w:r w:rsidR="003F481B" w:rsidRPr="00E30743">
        <w:rPr>
          <w:rFonts w:cstheme="minorHAnsi"/>
          <w:sz w:val="24"/>
          <w:szCs w:val="24"/>
          <w:lang w:val="en-GB"/>
        </w:rPr>
        <w:t xml:space="preserve"> </w:t>
      </w:r>
      <w:r w:rsidR="003F481B" w:rsidRPr="00E30743">
        <w:rPr>
          <w:rFonts w:cs="Calibri"/>
          <w:sz w:val="24"/>
          <w:szCs w:val="24"/>
        </w:rPr>
        <w:t xml:space="preserve">the </w:t>
      </w:r>
      <w:r w:rsidR="007F522C">
        <w:rPr>
          <w:rFonts w:cs="Calibri"/>
          <w:sz w:val="24"/>
          <w:szCs w:val="24"/>
        </w:rPr>
        <w:t xml:space="preserve">actions of the </w:t>
      </w:r>
      <w:r w:rsidR="003F481B" w:rsidRPr="00E30743">
        <w:rPr>
          <w:rFonts w:cs="Calibri"/>
          <w:sz w:val="24"/>
          <w:szCs w:val="24"/>
        </w:rPr>
        <w:t xml:space="preserve">Working Group </w:t>
      </w:r>
      <w:r w:rsidR="007F522C">
        <w:rPr>
          <w:rFonts w:cs="Calibri"/>
          <w:sz w:val="24"/>
          <w:szCs w:val="24"/>
        </w:rPr>
        <w:t>on</w:t>
      </w:r>
      <w:r w:rsidR="003F481B" w:rsidRPr="00E30743">
        <w:rPr>
          <w:rFonts w:cs="Calibri"/>
          <w:sz w:val="24"/>
          <w:szCs w:val="24"/>
        </w:rPr>
        <w:t xml:space="preserve"> </w:t>
      </w:r>
      <w:r w:rsidR="009931AD">
        <w:rPr>
          <w:rFonts w:cs="Calibri"/>
          <w:sz w:val="24"/>
          <w:szCs w:val="24"/>
        </w:rPr>
        <w:t>i</w:t>
      </w:r>
      <w:r w:rsidR="003F481B" w:rsidRPr="00E30743">
        <w:rPr>
          <w:rFonts w:cs="Calibri"/>
          <w:sz w:val="24"/>
          <w:szCs w:val="24"/>
        </w:rPr>
        <w:t xml:space="preserve">nternal </w:t>
      </w:r>
      <w:r w:rsidR="009931AD">
        <w:rPr>
          <w:rFonts w:cs="Calibri"/>
          <w:sz w:val="24"/>
          <w:szCs w:val="24"/>
        </w:rPr>
        <w:t>c</w:t>
      </w:r>
      <w:r w:rsidR="003F481B" w:rsidRPr="00E30743">
        <w:rPr>
          <w:rFonts w:cs="Calibri"/>
          <w:sz w:val="24"/>
          <w:szCs w:val="24"/>
        </w:rPr>
        <w:t xml:space="preserve">ontrols. The audit was conducted using the COSO </w:t>
      </w:r>
      <w:r w:rsidR="009931AD">
        <w:rPr>
          <w:rFonts w:cs="Calibri"/>
          <w:sz w:val="24"/>
          <w:szCs w:val="24"/>
        </w:rPr>
        <w:t>I</w:t>
      </w:r>
      <w:r w:rsidR="003F481B" w:rsidRPr="00E30743">
        <w:rPr>
          <w:rFonts w:cs="Calibri"/>
          <w:sz w:val="24"/>
          <w:szCs w:val="24"/>
        </w:rPr>
        <w:t xml:space="preserve">nternal </w:t>
      </w:r>
      <w:r w:rsidR="009931AD">
        <w:rPr>
          <w:rFonts w:cs="Calibri"/>
          <w:sz w:val="24"/>
          <w:szCs w:val="24"/>
        </w:rPr>
        <w:t>C</w:t>
      </w:r>
      <w:r w:rsidR="003F481B" w:rsidRPr="00E30743">
        <w:rPr>
          <w:rFonts w:cs="Calibri"/>
          <w:sz w:val="24"/>
          <w:szCs w:val="24"/>
        </w:rPr>
        <w:t>ontrol</w:t>
      </w:r>
      <w:r w:rsidR="009931AD">
        <w:rPr>
          <w:rFonts w:cs="Calibri"/>
          <w:sz w:val="24"/>
          <w:szCs w:val="24"/>
        </w:rPr>
        <w:t>-Integrated</w:t>
      </w:r>
      <w:r w:rsidR="003F481B" w:rsidRPr="00E30743">
        <w:rPr>
          <w:rFonts w:cs="Calibri"/>
          <w:sz w:val="24"/>
          <w:szCs w:val="24"/>
        </w:rPr>
        <w:t xml:space="preserve"> </w:t>
      </w:r>
      <w:r w:rsidR="009931AD">
        <w:rPr>
          <w:rFonts w:cs="Calibri"/>
          <w:sz w:val="24"/>
          <w:szCs w:val="24"/>
        </w:rPr>
        <w:t>F</w:t>
      </w:r>
      <w:r w:rsidR="003F481B" w:rsidRPr="00E30743">
        <w:rPr>
          <w:rFonts w:cs="Calibri"/>
          <w:sz w:val="24"/>
          <w:szCs w:val="24"/>
        </w:rPr>
        <w:t>ramework</w:t>
      </w:r>
      <w:r w:rsidR="001555A7">
        <w:rPr>
          <w:rFonts w:cs="Calibri"/>
          <w:sz w:val="24"/>
          <w:szCs w:val="24"/>
        </w:rPr>
        <w:t xml:space="preserve"> (ICIF)</w:t>
      </w:r>
      <w:r w:rsidR="003F481B" w:rsidRPr="00E30743">
        <w:rPr>
          <w:rFonts w:cs="Calibri"/>
          <w:sz w:val="24"/>
          <w:szCs w:val="24"/>
        </w:rPr>
        <w:t xml:space="preserve"> as the basis for the assessment of internal controls (governance, risk assessment, information </w:t>
      </w:r>
      <w:r w:rsidR="009931AD">
        <w:rPr>
          <w:rFonts w:cs="Calibri"/>
          <w:sz w:val="24"/>
          <w:szCs w:val="24"/>
        </w:rPr>
        <w:t>and</w:t>
      </w:r>
      <w:r w:rsidR="009931AD" w:rsidRPr="00E30743">
        <w:rPr>
          <w:rFonts w:cs="Calibri"/>
          <w:sz w:val="24"/>
          <w:szCs w:val="24"/>
        </w:rPr>
        <w:t xml:space="preserve"> </w:t>
      </w:r>
      <w:r w:rsidR="003F481B" w:rsidRPr="00E30743">
        <w:rPr>
          <w:rFonts w:cs="Calibri"/>
          <w:sz w:val="24"/>
          <w:szCs w:val="24"/>
        </w:rPr>
        <w:t>communication, internal controls,</w:t>
      </w:r>
      <w:r w:rsidR="009931AD">
        <w:rPr>
          <w:rFonts w:cs="Calibri"/>
          <w:sz w:val="24"/>
          <w:szCs w:val="24"/>
        </w:rPr>
        <w:t xml:space="preserve"> and</w:t>
      </w:r>
      <w:r w:rsidR="003F481B" w:rsidRPr="00E30743">
        <w:rPr>
          <w:rFonts w:cs="Calibri"/>
          <w:sz w:val="24"/>
          <w:szCs w:val="24"/>
        </w:rPr>
        <w:t xml:space="preserve"> monitoring activities). The audit primarily covered actions reported as completed in 2019-2021</w:t>
      </w:r>
      <w:r w:rsidR="009931AD">
        <w:rPr>
          <w:rFonts w:cs="Calibri"/>
          <w:sz w:val="24"/>
          <w:szCs w:val="24"/>
        </w:rPr>
        <w:t>,</w:t>
      </w:r>
      <w:r w:rsidR="003F481B" w:rsidRPr="00E30743">
        <w:rPr>
          <w:rFonts w:cs="Calibri"/>
          <w:sz w:val="24"/>
          <w:szCs w:val="24"/>
        </w:rPr>
        <w:t xml:space="preserve"> as identified in </w:t>
      </w:r>
      <w:r w:rsidR="009931AD">
        <w:rPr>
          <w:rFonts w:cs="Calibri"/>
          <w:sz w:val="24"/>
          <w:szCs w:val="24"/>
        </w:rPr>
        <w:t>Council D</w:t>
      </w:r>
      <w:r w:rsidR="009931AD" w:rsidRPr="00E30743">
        <w:rPr>
          <w:rFonts w:cs="Calibri"/>
          <w:sz w:val="24"/>
          <w:szCs w:val="24"/>
        </w:rPr>
        <w:t xml:space="preserve">ocument </w:t>
      </w:r>
      <w:r w:rsidR="003F481B" w:rsidRPr="00E30743">
        <w:rPr>
          <w:rFonts w:cs="Calibri"/>
          <w:sz w:val="24"/>
          <w:szCs w:val="24"/>
        </w:rPr>
        <w:t xml:space="preserve">C22/20. IA </w:t>
      </w:r>
      <w:r w:rsidR="003F481B" w:rsidRPr="00E30743">
        <w:rPr>
          <w:rFonts w:cs="Calibri"/>
          <w:sz w:val="24"/>
          <w:szCs w:val="24"/>
        </w:rPr>
        <w:lastRenderedPageBreak/>
        <w:t xml:space="preserve">also briefly reviewed the progress on actions being implemented </w:t>
      </w:r>
      <w:r w:rsidR="00434A9B">
        <w:rPr>
          <w:rFonts w:cs="Calibri"/>
          <w:sz w:val="24"/>
          <w:szCs w:val="24"/>
        </w:rPr>
        <w:t>during</w:t>
      </w:r>
      <w:r w:rsidR="003F481B" w:rsidRPr="00E30743">
        <w:rPr>
          <w:rFonts w:cs="Calibri"/>
          <w:sz w:val="24"/>
          <w:szCs w:val="24"/>
        </w:rPr>
        <w:t xml:space="preserve"> 2022, noted the status of advancement and assessed (based on the advancement reported) to what extent the risks </w:t>
      </w:r>
      <w:r w:rsidR="00434A9B" w:rsidRPr="00E30743">
        <w:rPr>
          <w:rFonts w:cs="Calibri"/>
          <w:sz w:val="24"/>
          <w:szCs w:val="24"/>
        </w:rPr>
        <w:t xml:space="preserve">initially </w:t>
      </w:r>
      <w:r w:rsidR="003F481B" w:rsidRPr="00E30743">
        <w:rPr>
          <w:rFonts w:cs="Calibri"/>
          <w:sz w:val="24"/>
          <w:szCs w:val="24"/>
        </w:rPr>
        <w:t xml:space="preserve">identified would be sufficiently mitigated once the action </w:t>
      </w:r>
      <w:r w:rsidR="00434A9B">
        <w:rPr>
          <w:rFonts w:cs="Calibri"/>
          <w:sz w:val="24"/>
          <w:szCs w:val="24"/>
        </w:rPr>
        <w:t>has been completed</w:t>
      </w:r>
      <w:r w:rsidR="003F481B" w:rsidRPr="00E30743">
        <w:rPr>
          <w:rFonts w:cs="Calibri"/>
          <w:sz w:val="24"/>
          <w:szCs w:val="24"/>
        </w:rPr>
        <w:t>/is complete.</w:t>
      </w:r>
    </w:p>
    <w:p w14:paraId="1F310B99" w14:textId="2B5E9037" w:rsidR="003F481B" w:rsidRPr="00E30743" w:rsidRDefault="003F481B" w:rsidP="002906F8">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Calibri"/>
          <w:sz w:val="24"/>
          <w:szCs w:val="24"/>
          <w:shd w:val="clear" w:color="auto" w:fill="FFFFFF"/>
        </w:rPr>
        <w:t xml:space="preserve">IA assessed </w:t>
      </w:r>
      <w:r w:rsidR="00434A9B">
        <w:rPr>
          <w:rFonts w:cs="Calibri"/>
          <w:i/>
          <w:iCs/>
          <w:sz w:val="24"/>
          <w:szCs w:val="24"/>
          <w:shd w:val="clear" w:color="auto" w:fill="FFFFFF"/>
        </w:rPr>
        <w:t>g</w:t>
      </w:r>
      <w:r w:rsidRPr="00E30743">
        <w:rPr>
          <w:rFonts w:cs="Calibri"/>
          <w:i/>
          <w:iCs/>
          <w:sz w:val="24"/>
          <w:szCs w:val="24"/>
          <w:shd w:val="clear" w:color="auto" w:fill="FFFFFF"/>
        </w:rPr>
        <w:t>overnance</w:t>
      </w:r>
      <w:r w:rsidRPr="00E30743">
        <w:rPr>
          <w:rFonts w:cs="Calibri"/>
          <w:sz w:val="24"/>
          <w:szCs w:val="24"/>
          <w:shd w:val="clear" w:color="auto" w:fill="FFFFFF"/>
        </w:rPr>
        <w:t xml:space="preserve"> and </w:t>
      </w:r>
      <w:r w:rsidR="00434A9B">
        <w:rPr>
          <w:rFonts w:cs="Calibri"/>
          <w:i/>
          <w:iCs/>
          <w:sz w:val="24"/>
          <w:szCs w:val="24"/>
          <w:shd w:val="clear" w:color="auto" w:fill="FFFFFF"/>
        </w:rPr>
        <w:t>r</w:t>
      </w:r>
      <w:r w:rsidRPr="00E30743">
        <w:rPr>
          <w:rFonts w:cs="Calibri"/>
          <w:i/>
          <w:iCs/>
          <w:sz w:val="24"/>
          <w:szCs w:val="24"/>
          <w:shd w:val="clear" w:color="auto" w:fill="FFFFFF"/>
        </w:rPr>
        <w:t xml:space="preserve">isk </w:t>
      </w:r>
      <w:r w:rsidR="00434A9B">
        <w:rPr>
          <w:rFonts w:cs="Calibri"/>
          <w:i/>
          <w:iCs/>
          <w:sz w:val="24"/>
          <w:szCs w:val="24"/>
          <w:shd w:val="clear" w:color="auto" w:fill="FFFFFF"/>
        </w:rPr>
        <w:t>a</w:t>
      </w:r>
      <w:r w:rsidRPr="00E30743">
        <w:rPr>
          <w:rFonts w:cs="Calibri"/>
          <w:i/>
          <w:iCs/>
          <w:sz w:val="24"/>
          <w:szCs w:val="24"/>
          <w:shd w:val="clear" w:color="auto" w:fill="FFFFFF"/>
        </w:rPr>
        <w:t>ssessment</w:t>
      </w:r>
      <w:r w:rsidRPr="00E30743">
        <w:rPr>
          <w:rFonts w:cs="Calibri"/>
          <w:sz w:val="24"/>
          <w:szCs w:val="24"/>
          <w:shd w:val="clear" w:color="auto" w:fill="FFFFFF"/>
        </w:rPr>
        <w:t xml:space="preserve"> to be adequate in 16 out of 20 </w:t>
      </w:r>
      <w:r w:rsidR="00434A9B">
        <w:rPr>
          <w:rFonts w:cs="Calibri"/>
          <w:sz w:val="24"/>
          <w:szCs w:val="24"/>
          <w:shd w:val="clear" w:color="auto" w:fill="FFFFFF"/>
        </w:rPr>
        <w:t>a</w:t>
      </w:r>
      <w:r w:rsidRPr="00E30743">
        <w:rPr>
          <w:rFonts w:cs="Calibri"/>
          <w:sz w:val="24"/>
          <w:szCs w:val="24"/>
          <w:shd w:val="clear" w:color="auto" w:fill="FFFFFF"/>
        </w:rPr>
        <w:t xml:space="preserve">ctions, with four </w:t>
      </w:r>
      <w:r w:rsidR="00434A9B">
        <w:rPr>
          <w:rFonts w:cs="Calibri"/>
          <w:sz w:val="24"/>
          <w:szCs w:val="24"/>
          <w:shd w:val="clear" w:color="auto" w:fill="FFFFFF"/>
        </w:rPr>
        <w:t>a</w:t>
      </w:r>
      <w:r w:rsidRPr="00E30743">
        <w:rPr>
          <w:rFonts w:cs="Calibri"/>
          <w:sz w:val="24"/>
          <w:szCs w:val="24"/>
          <w:shd w:val="clear" w:color="auto" w:fill="FFFFFF"/>
        </w:rPr>
        <w:t xml:space="preserve">ctions being partially adequate for </w:t>
      </w:r>
      <w:r w:rsidR="00434A9B">
        <w:rPr>
          <w:rFonts w:cs="Calibri"/>
          <w:sz w:val="24"/>
          <w:szCs w:val="24"/>
          <w:shd w:val="clear" w:color="auto" w:fill="FFFFFF"/>
        </w:rPr>
        <w:t>g</w:t>
      </w:r>
      <w:r w:rsidRPr="00E30743">
        <w:rPr>
          <w:rFonts w:cs="Calibri"/>
          <w:i/>
          <w:iCs/>
          <w:sz w:val="24"/>
          <w:szCs w:val="24"/>
          <w:shd w:val="clear" w:color="auto" w:fill="FFFFFF"/>
        </w:rPr>
        <w:t>overnance</w:t>
      </w:r>
      <w:r w:rsidRPr="00E30743">
        <w:rPr>
          <w:rFonts w:cs="Calibri"/>
          <w:sz w:val="24"/>
          <w:szCs w:val="24"/>
          <w:shd w:val="clear" w:color="auto" w:fill="FFFFFF"/>
        </w:rPr>
        <w:t xml:space="preserve"> and two partially adequate for </w:t>
      </w:r>
      <w:r w:rsidR="00434A9B">
        <w:rPr>
          <w:rFonts w:cs="Calibri"/>
          <w:i/>
          <w:iCs/>
          <w:sz w:val="24"/>
          <w:szCs w:val="24"/>
          <w:shd w:val="clear" w:color="auto" w:fill="FFFFFF"/>
        </w:rPr>
        <w:t>r</w:t>
      </w:r>
      <w:r w:rsidRPr="00E30743">
        <w:rPr>
          <w:rFonts w:cs="Calibri"/>
          <w:i/>
          <w:iCs/>
          <w:sz w:val="24"/>
          <w:szCs w:val="24"/>
          <w:shd w:val="clear" w:color="auto" w:fill="FFFFFF"/>
        </w:rPr>
        <w:t xml:space="preserve">isk </w:t>
      </w:r>
      <w:r w:rsidR="00434A9B">
        <w:rPr>
          <w:rFonts w:cs="Calibri"/>
          <w:i/>
          <w:iCs/>
          <w:sz w:val="24"/>
          <w:szCs w:val="24"/>
          <w:shd w:val="clear" w:color="auto" w:fill="FFFFFF"/>
        </w:rPr>
        <w:t>a</w:t>
      </w:r>
      <w:r w:rsidRPr="00E30743">
        <w:rPr>
          <w:rFonts w:cs="Calibri"/>
          <w:i/>
          <w:iCs/>
          <w:sz w:val="24"/>
          <w:szCs w:val="24"/>
          <w:shd w:val="clear" w:color="auto" w:fill="FFFFFF"/>
        </w:rPr>
        <w:t>ssessment</w:t>
      </w:r>
      <w:r w:rsidRPr="00E30743">
        <w:rPr>
          <w:rFonts w:cs="Calibri"/>
          <w:sz w:val="24"/>
          <w:szCs w:val="24"/>
          <w:shd w:val="clear" w:color="auto" w:fill="FFFFFF"/>
        </w:rPr>
        <w:t xml:space="preserve">. </w:t>
      </w:r>
      <w:r w:rsidRPr="00E30743">
        <w:rPr>
          <w:rFonts w:cs="Calibri"/>
          <w:i/>
          <w:iCs/>
          <w:sz w:val="24"/>
          <w:szCs w:val="24"/>
          <w:shd w:val="clear" w:color="auto" w:fill="FFFFFF"/>
        </w:rPr>
        <w:t>Information and Communication</w:t>
      </w:r>
      <w:r w:rsidRPr="00E30743">
        <w:rPr>
          <w:rFonts w:cs="Calibri"/>
          <w:sz w:val="24"/>
          <w:szCs w:val="24"/>
          <w:shd w:val="clear" w:color="auto" w:fill="FFFFFF"/>
        </w:rPr>
        <w:t xml:space="preserve"> was assessed as being fully adequate, except for one </w:t>
      </w:r>
      <w:r w:rsidR="00434A9B">
        <w:rPr>
          <w:rFonts w:cs="Calibri"/>
          <w:sz w:val="24"/>
          <w:szCs w:val="24"/>
          <w:shd w:val="clear" w:color="auto" w:fill="FFFFFF"/>
        </w:rPr>
        <w:t>a</w:t>
      </w:r>
      <w:r w:rsidRPr="00E30743">
        <w:rPr>
          <w:rFonts w:cs="Calibri"/>
          <w:sz w:val="24"/>
          <w:szCs w:val="24"/>
          <w:shd w:val="clear" w:color="auto" w:fill="FFFFFF"/>
        </w:rPr>
        <w:t xml:space="preserve">ction. Out of the 20 </w:t>
      </w:r>
      <w:r w:rsidR="00434A9B">
        <w:rPr>
          <w:rFonts w:cs="Calibri"/>
          <w:sz w:val="24"/>
          <w:szCs w:val="24"/>
          <w:shd w:val="clear" w:color="auto" w:fill="FFFFFF"/>
        </w:rPr>
        <w:t>a</w:t>
      </w:r>
      <w:r w:rsidRPr="00E30743">
        <w:rPr>
          <w:rFonts w:cs="Calibri"/>
          <w:sz w:val="24"/>
          <w:szCs w:val="24"/>
          <w:shd w:val="clear" w:color="auto" w:fill="FFFFFF"/>
        </w:rPr>
        <w:t xml:space="preserve">ctions, 13 were assessed as fully/largely effective with respect to </w:t>
      </w:r>
      <w:r w:rsidR="00434A9B">
        <w:rPr>
          <w:rFonts w:cs="Calibri"/>
          <w:i/>
          <w:iCs/>
          <w:sz w:val="24"/>
          <w:szCs w:val="24"/>
          <w:shd w:val="clear" w:color="auto" w:fill="FFFFFF"/>
        </w:rPr>
        <w:t>m</w:t>
      </w:r>
      <w:r w:rsidRPr="00E30743">
        <w:rPr>
          <w:rFonts w:cs="Calibri"/>
          <w:i/>
          <w:iCs/>
          <w:sz w:val="24"/>
          <w:szCs w:val="24"/>
          <w:shd w:val="clear" w:color="auto" w:fill="FFFFFF"/>
        </w:rPr>
        <w:t xml:space="preserve">onitoring </w:t>
      </w:r>
      <w:r w:rsidR="00434A9B">
        <w:rPr>
          <w:rFonts w:cs="Calibri"/>
          <w:i/>
          <w:iCs/>
          <w:sz w:val="24"/>
          <w:szCs w:val="24"/>
          <w:shd w:val="clear" w:color="auto" w:fill="FFFFFF"/>
        </w:rPr>
        <w:t>a</w:t>
      </w:r>
      <w:r w:rsidRPr="00E30743">
        <w:rPr>
          <w:rFonts w:cs="Calibri"/>
          <w:i/>
          <w:iCs/>
          <w:sz w:val="24"/>
          <w:szCs w:val="24"/>
          <w:shd w:val="clear" w:color="auto" w:fill="FFFFFF"/>
        </w:rPr>
        <w:t>ctivities</w:t>
      </w:r>
      <w:r w:rsidRPr="00E30743">
        <w:rPr>
          <w:rFonts w:cs="Calibri"/>
          <w:sz w:val="24"/>
          <w:szCs w:val="24"/>
          <w:shd w:val="clear" w:color="auto" w:fill="FFFFFF"/>
        </w:rPr>
        <w:t>, whil</w:t>
      </w:r>
      <w:r w:rsidR="00434A9B">
        <w:rPr>
          <w:rFonts w:cs="Calibri"/>
          <w:sz w:val="24"/>
          <w:szCs w:val="24"/>
          <w:shd w:val="clear" w:color="auto" w:fill="FFFFFF"/>
        </w:rPr>
        <w:t>e</w:t>
      </w:r>
      <w:r w:rsidRPr="00E30743">
        <w:rPr>
          <w:rFonts w:cs="Calibri"/>
          <w:sz w:val="24"/>
          <w:szCs w:val="24"/>
          <w:shd w:val="clear" w:color="auto" w:fill="FFFFFF"/>
        </w:rPr>
        <w:t xml:space="preserve"> two were found to be partially effective. Finally, 15 out of 20 </w:t>
      </w:r>
      <w:r w:rsidR="00434A9B">
        <w:rPr>
          <w:rFonts w:cs="Calibri"/>
          <w:sz w:val="24"/>
          <w:szCs w:val="24"/>
          <w:shd w:val="clear" w:color="auto" w:fill="FFFFFF"/>
        </w:rPr>
        <w:t>a</w:t>
      </w:r>
      <w:r w:rsidRPr="00E30743">
        <w:rPr>
          <w:rFonts w:cs="Calibri"/>
          <w:sz w:val="24"/>
          <w:szCs w:val="24"/>
          <w:shd w:val="clear" w:color="auto" w:fill="FFFFFF"/>
        </w:rPr>
        <w:t xml:space="preserve">ctions have fully/largely effective </w:t>
      </w:r>
      <w:r w:rsidR="00434A9B">
        <w:rPr>
          <w:rFonts w:cs="Calibri"/>
          <w:i/>
          <w:iCs/>
          <w:sz w:val="24"/>
          <w:szCs w:val="24"/>
          <w:shd w:val="clear" w:color="auto" w:fill="FFFFFF"/>
        </w:rPr>
        <w:t>i</w:t>
      </w:r>
      <w:r w:rsidRPr="00E30743">
        <w:rPr>
          <w:rFonts w:cs="Calibri"/>
          <w:i/>
          <w:iCs/>
          <w:sz w:val="24"/>
          <w:szCs w:val="24"/>
          <w:shd w:val="clear" w:color="auto" w:fill="FFFFFF"/>
        </w:rPr>
        <w:t xml:space="preserve">nternal </w:t>
      </w:r>
      <w:r w:rsidR="00434A9B">
        <w:rPr>
          <w:rFonts w:cs="Calibri"/>
          <w:i/>
          <w:iCs/>
          <w:sz w:val="24"/>
          <w:szCs w:val="24"/>
          <w:shd w:val="clear" w:color="auto" w:fill="FFFFFF"/>
        </w:rPr>
        <w:t>c</w:t>
      </w:r>
      <w:r w:rsidRPr="00E30743">
        <w:rPr>
          <w:rFonts w:cs="Calibri"/>
          <w:i/>
          <w:iCs/>
          <w:sz w:val="24"/>
          <w:szCs w:val="24"/>
          <w:shd w:val="clear" w:color="auto" w:fill="FFFFFF"/>
        </w:rPr>
        <w:t>ontrols</w:t>
      </w:r>
      <w:r w:rsidRPr="00E30743">
        <w:rPr>
          <w:rFonts w:cs="Calibri"/>
          <w:sz w:val="24"/>
          <w:szCs w:val="24"/>
          <w:shd w:val="clear" w:color="auto" w:fill="FFFFFF"/>
        </w:rPr>
        <w:t xml:space="preserve">, with </w:t>
      </w:r>
      <w:r w:rsidR="00434A9B">
        <w:rPr>
          <w:rFonts w:cs="Calibri"/>
          <w:sz w:val="24"/>
          <w:szCs w:val="24"/>
          <w:shd w:val="clear" w:color="auto" w:fill="FFFFFF"/>
        </w:rPr>
        <w:t>those being</w:t>
      </w:r>
      <w:r w:rsidR="00434A9B" w:rsidRPr="00E30743">
        <w:rPr>
          <w:rFonts w:cs="Calibri"/>
          <w:sz w:val="24"/>
          <w:szCs w:val="24"/>
          <w:shd w:val="clear" w:color="auto" w:fill="FFFFFF"/>
        </w:rPr>
        <w:t xml:space="preserve"> </w:t>
      </w:r>
      <w:r w:rsidR="00434A9B">
        <w:rPr>
          <w:rFonts w:cs="Calibri"/>
          <w:sz w:val="24"/>
          <w:szCs w:val="24"/>
          <w:shd w:val="clear" w:color="auto" w:fill="FFFFFF"/>
        </w:rPr>
        <w:t xml:space="preserve">assessed as </w:t>
      </w:r>
      <w:r w:rsidRPr="00E30743">
        <w:rPr>
          <w:rFonts w:cs="Calibri"/>
          <w:sz w:val="24"/>
          <w:szCs w:val="24"/>
          <w:shd w:val="clear" w:color="auto" w:fill="FFFFFF"/>
        </w:rPr>
        <w:t>partially effective</w:t>
      </w:r>
      <w:r w:rsidR="00434A9B">
        <w:rPr>
          <w:rFonts w:cs="Calibri"/>
          <w:sz w:val="24"/>
          <w:szCs w:val="24"/>
          <w:shd w:val="clear" w:color="auto" w:fill="FFFFFF"/>
        </w:rPr>
        <w:t xml:space="preserve"> for one action</w:t>
      </w:r>
      <w:r w:rsidRPr="00E30743">
        <w:rPr>
          <w:rFonts w:cs="Calibri"/>
          <w:sz w:val="24"/>
          <w:szCs w:val="24"/>
          <w:shd w:val="clear" w:color="auto" w:fill="FFFFFF"/>
        </w:rPr>
        <w:t xml:space="preserve"> and fully ineffective</w:t>
      </w:r>
      <w:r w:rsidR="00434A9B">
        <w:rPr>
          <w:rFonts w:cs="Calibri"/>
          <w:sz w:val="24"/>
          <w:szCs w:val="24"/>
          <w:shd w:val="clear" w:color="auto" w:fill="FFFFFF"/>
        </w:rPr>
        <w:t xml:space="preserve"> for two</w:t>
      </w:r>
      <w:r w:rsidRPr="00E30743">
        <w:rPr>
          <w:rFonts w:cs="Calibri"/>
          <w:sz w:val="24"/>
          <w:szCs w:val="24"/>
          <w:shd w:val="clear" w:color="auto" w:fill="FFFFFF"/>
        </w:rPr>
        <w:t>. The latter relate to Action 15 (strengthened travel procedures) and Action 18 (strengthened sponsorship policies), for which IA had issued two high</w:t>
      </w:r>
      <w:r w:rsidR="00434A9B">
        <w:rPr>
          <w:rFonts w:cs="Calibri"/>
          <w:sz w:val="24"/>
          <w:szCs w:val="24"/>
          <w:shd w:val="clear" w:color="auto" w:fill="FFFFFF"/>
        </w:rPr>
        <w:t>-</w:t>
      </w:r>
      <w:r w:rsidRPr="00E30743">
        <w:rPr>
          <w:rFonts w:cs="Calibri"/>
          <w:sz w:val="24"/>
          <w:szCs w:val="24"/>
          <w:shd w:val="clear" w:color="auto" w:fill="FFFFFF"/>
        </w:rPr>
        <w:t>priority recommendations.</w:t>
      </w:r>
    </w:p>
    <w:p w14:paraId="7E87761C" w14:textId="76CB97CE" w:rsidR="002906F8" w:rsidRPr="00E30743" w:rsidRDefault="003F481B" w:rsidP="002906F8">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Calibri"/>
          <w:sz w:val="24"/>
          <w:szCs w:val="24"/>
        </w:rPr>
        <w:t>The audit report ha</w:t>
      </w:r>
      <w:r w:rsidR="00EE4CEC">
        <w:rPr>
          <w:rFonts w:cs="Calibri"/>
          <w:sz w:val="24"/>
          <w:szCs w:val="24"/>
        </w:rPr>
        <w:t>s</w:t>
      </w:r>
      <w:r w:rsidRPr="00E30743">
        <w:rPr>
          <w:rFonts w:cs="Calibri"/>
          <w:sz w:val="24"/>
          <w:szCs w:val="24"/>
        </w:rPr>
        <w:t xml:space="preserve"> been shared and discussed with the </w:t>
      </w:r>
      <w:r w:rsidR="00434A9B">
        <w:rPr>
          <w:rFonts w:cs="Calibri"/>
          <w:sz w:val="24"/>
          <w:szCs w:val="24"/>
        </w:rPr>
        <w:t xml:space="preserve">General Secretariat </w:t>
      </w:r>
      <w:r w:rsidRPr="00E30743">
        <w:rPr>
          <w:rFonts w:cs="Calibri"/>
          <w:sz w:val="24"/>
          <w:szCs w:val="24"/>
        </w:rPr>
        <w:t xml:space="preserve">officials </w:t>
      </w:r>
      <w:r w:rsidR="00434A9B" w:rsidRPr="00E30743">
        <w:rPr>
          <w:rFonts w:cs="Calibri"/>
          <w:sz w:val="24"/>
          <w:szCs w:val="24"/>
        </w:rPr>
        <w:t>concerned</w:t>
      </w:r>
      <w:r w:rsidRPr="00E30743">
        <w:rPr>
          <w:rFonts w:cs="Calibri"/>
          <w:sz w:val="24"/>
          <w:szCs w:val="24"/>
        </w:rPr>
        <w:t xml:space="preserve">, as well as with other relevant units </w:t>
      </w:r>
      <w:r w:rsidR="00434A9B">
        <w:rPr>
          <w:rFonts w:cs="Calibri"/>
          <w:sz w:val="24"/>
          <w:szCs w:val="24"/>
        </w:rPr>
        <w:t>of</w:t>
      </w:r>
      <w:r w:rsidR="00434A9B" w:rsidRPr="00E30743">
        <w:rPr>
          <w:rFonts w:cs="Calibri"/>
          <w:sz w:val="24"/>
          <w:szCs w:val="24"/>
        </w:rPr>
        <w:t xml:space="preserve"> </w:t>
      </w:r>
      <w:r w:rsidRPr="00E30743">
        <w:rPr>
          <w:rFonts w:cs="Calibri"/>
          <w:sz w:val="24"/>
          <w:szCs w:val="24"/>
        </w:rPr>
        <w:t>the Bureaux. Where comments</w:t>
      </w:r>
      <w:r w:rsidR="00434A9B">
        <w:rPr>
          <w:rFonts w:cs="Calibri"/>
          <w:sz w:val="24"/>
          <w:szCs w:val="24"/>
        </w:rPr>
        <w:t xml:space="preserve"> on</w:t>
      </w:r>
      <w:r w:rsidRPr="00E30743">
        <w:rPr>
          <w:rFonts w:cs="Calibri"/>
          <w:sz w:val="24"/>
          <w:szCs w:val="24"/>
        </w:rPr>
        <w:t xml:space="preserve">/concurrence </w:t>
      </w:r>
      <w:r w:rsidR="00434A9B">
        <w:rPr>
          <w:rFonts w:cs="Calibri"/>
          <w:sz w:val="24"/>
          <w:szCs w:val="24"/>
        </w:rPr>
        <w:t>wi</w:t>
      </w:r>
      <w:r w:rsidRPr="00E30743">
        <w:rPr>
          <w:rFonts w:cs="Calibri"/>
          <w:sz w:val="24"/>
          <w:szCs w:val="24"/>
        </w:rPr>
        <w:t>t</w:t>
      </w:r>
      <w:r w:rsidR="00434A9B">
        <w:rPr>
          <w:rFonts w:cs="Calibri"/>
          <w:sz w:val="24"/>
          <w:szCs w:val="24"/>
        </w:rPr>
        <w:t>h</w:t>
      </w:r>
      <w:r w:rsidRPr="00E30743">
        <w:rPr>
          <w:rFonts w:cs="Calibri"/>
          <w:sz w:val="24"/>
          <w:szCs w:val="24"/>
        </w:rPr>
        <w:t xml:space="preserve"> the findings and recommendations </w:t>
      </w:r>
      <w:r w:rsidR="00EE4CEC">
        <w:rPr>
          <w:rFonts w:cs="Calibri"/>
          <w:sz w:val="24"/>
          <w:szCs w:val="24"/>
        </w:rPr>
        <w:t>have been</w:t>
      </w:r>
      <w:r w:rsidR="00EE4CEC" w:rsidRPr="00E30743">
        <w:rPr>
          <w:rFonts w:cs="Calibri"/>
          <w:sz w:val="24"/>
          <w:szCs w:val="24"/>
        </w:rPr>
        <w:t xml:space="preserve"> </w:t>
      </w:r>
      <w:r w:rsidRPr="00E30743">
        <w:rPr>
          <w:rFonts w:cs="Calibri"/>
          <w:sz w:val="24"/>
          <w:szCs w:val="24"/>
        </w:rPr>
        <w:t>submitted by the managers</w:t>
      </w:r>
      <w:r w:rsidR="00434A9B" w:rsidRPr="00E30743">
        <w:rPr>
          <w:rFonts w:cs="Calibri"/>
          <w:sz w:val="24"/>
          <w:szCs w:val="24"/>
        </w:rPr>
        <w:t xml:space="preserve"> concerned</w:t>
      </w:r>
      <w:r w:rsidRPr="00E30743">
        <w:rPr>
          <w:rFonts w:cs="Calibri"/>
          <w:sz w:val="24"/>
          <w:szCs w:val="24"/>
        </w:rPr>
        <w:t xml:space="preserve">, these </w:t>
      </w:r>
      <w:r w:rsidR="00434A9B">
        <w:rPr>
          <w:rFonts w:cs="Calibri"/>
          <w:sz w:val="24"/>
          <w:szCs w:val="24"/>
        </w:rPr>
        <w:t>have been</w:t>
      </w:r>
      <w:r w:rsidR="00434A9B" w:rsidRPr="00E30743">
        <w:rPr>
          <w:rFonts w:cs="Calibri"/>
          <w:sz w:val="24"/>
          <w:szCs w:val="24"/>
        </w:rPr>
        <w:t xml:space="preserve"> </w:t>
      </w:r>
      <w:r w:rsidRPr="00E30743">
        <w:rPr>
          <w:rFonts w:cs="Calibri"/>
          <w:sz w:val="24"/>
          <w:szCs w:val="24"/>
        </w:rPr>
        <w:t>included in the audit report.</w:t>
      </w:r>
      <w:r w:rsidR="002906F8" w:rsidRPr="00E30743">
        <w:rPr>
          <w:rFonts w:cstheme="minorHAnsi"/>
          <w:sz w:val="24"/>
          <w:szCs w:val="24"/>
        </w:rPr>
        <w:t xml:space="preserve"> </w:t>
      </w:r>
    </w:p>
    <w:p w14:paraId="4142B254" w14:textId="51887FCF" w:rsidR="002906F8" w:rsidRPr="00E30743" w:rsidRDefault="00862377" w:rsidP="00430C06">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240"/>
        <w:ind w:left="450" w:firstLine="0"/>
        <w:jc w:val="both"/>
        <w:textAlignment w:val="auto"/>
        <w:rPr>
          <w:rFonts w:asciiTheme="minorHAnsi" w:hAnsiTheme="minorHAnsi" w:cstheme="minorHAnsi"/>
          <w:szCs w:val="24"/>
        </w:rPr>
      </w:pPr>
      <w:r w:rsidRPr="00E30743">
        <w:rPr>
          <w:rFonts w:asciiTheme="minorHAnsi" w:hAnsiTheme="minorHAnsi" w:cstheme="minorHAnsi"/>
          <w:b/>
          <w:i/>
          <w:szCs w:val="24"/>
        </w:rPr>
        <w:t>D</w:t>
      </w:r>
      <w:r w:rsidR="0093538E" w:rsidRPr="00E30743">
        <w:rPr>
          <w:rFonts w:asciiTheme="minorHAnsi" w:hAnsiTheme="minorHAnsi" w:cstheme="minorHAnsi"/>
          <w:b/>
          <w:i/>
          <w:szCs w:val="24"/>
        </w:rPr>
        <w:t xml:space="preserve">onor-funded mHealth project </w:t>
      </w:r>
      <w:r w:rsidRPr="00E30743">
        <w:rPr>
          <w:rFonts w:asciiTheme="minorHAnsi" w:hAnsiTheme="minorHAnsi" w:cstheme="minorHAnsi"/>
          <w:b/>
          <w:i/>
          <w:szCs w:val="24"/>
        </w:rPr>
        <w:t>– final financial report</w:t>
      </w:r>
    </w:p>
    <w:p w14:paraId="36C01629" w14:textId="5A4B3FEC" w:rsidR="002906F8" w:rsidRPr="00E30743" w:rsidRDefault="00862377" w:rsidP="00862377">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theme="minorHAnsi"/>
          <w:sz w:val="24"/>
          <w:szCs w:val="24"/>
        </w:rPr>
        <w:t>In 2017</w:t>
      </w:r>
      <w:r w:rsidR="00434A9B">
        <w:rPr>
          <w:rFonts w:cstheme="minorHAnsi"/>
          <w:sz w:val="24"/>
          <w:szCs w:val="24"/>
        </w:rPr>
        <w:t>,</w:t>
      </w:r>
      <w:r w:rsidRPr="00E30743">
        <w:rPr>
          <w:rFonts w:cstheme="minorHAnsi"/>
          <w:sz w:val="24"/>
          <w:szCs w:val="24"/>
        </w:rPr>
        <w:t xml:space="preserve"> </w:t>
      </w:r>
      <w:r w:rsidR="002906F8" w:rsidRPr="00E30743">
        <w:rPr>
          <w:rFonts w:cstheme="minorHAnsi"/>
          <w:sz w:val="24"/>
          <w:szCs w:val="24"/>
        </w:rPr>
        <w:t>I</w:t>
      </w:r>
      <w:r w:rsidRPr="00E30743">
        <w:rPr>
          <w:rFonts w:cstheme="minorHAnsi"/>
          <w:sz w:val="24"/>
          <w:szCs w:val="24"/>
        </w:rPr>
        <w:t xml:space="preserve">TU signed a grant agreement with the European Commission </w:t>
      </w:r>
      <w:r w:rsidR="00434A9B">
        <w:rPr>
          <w:rFonts w:cstheme="minorHAnsi"/>
          <w:sz w:val="24"/>
          <w:szCs w:val="24"/>
        </w:rPr>
        <w:t>for</w:t>
      </w:r>
      <w:r w:rsidR="00434A9B" w:rsidRPr="00E30743">
        <w:rPr>
          <w:rFonts w:cstheme="minorHAnsi"/>
          <w:sz w:val="24"/>
          <w:szCs w:val="24"/>
        </w:rPr>
        <w:t xml:space="preserve"> </w:t>
      </w:r>
      <w:r w:rsidRPr="00E30743">
        <w:rPr>
          <w:rFonts w:cstheme="minorHAnsi"/>
          <w:sz w:val="24"/>
          <w:szCs w:val="24"/>
        </w:rPr>
        <w:t xml:space="preserve">the latter </w:t>
      </w:r>
      <w:r w:rsidR="00434A9B">
        <w:rPr>
          <w:rFonts w:cstheme="minorHAnsi"/>
          <w:sz w:val="24"/>
          <w:szCs w:val="24"/>
        </w:rPr>
        <w:t xml:space="preserve">to </w:t>
      </w:r>
      <w:r w:rsidRPr="00E30743">
        <w:rPr>
          <w:rFonts w:cstheme="minorHAnsi"/>
          <w:sz w:val="24"/>
          <w:szCs w:val="24"/>
        </w:rPr>
        <w:t xml:space="preserve">fund a </w:t>
      </w:r>
      <w:r w:rsidR="00434A9B">
        <w:rPr>
          <w:rFonts w:cstheme="minorHAnsi"/>
          <w:sz w:val="24"/>
          <w:szCs w:val="24"/>
        </w:rPr>
        <w:t xml:space="preserve">mobile-health </w:t>
      </w:r>
      <w:r w:rsidRPr="00E30743">
        <w:rPr>
          <w:rFonts w:cstheme="minorHAnsi"/>
          <w:sz w:val="24"/>
          <w:szCs w:val="24"/>
        </w:rPr>
        <w:t>project</w:t>
      </w:r>
      <w:r w:rsidR="00434A9B">
        <w:rPr>
          <w:rFonts w:cstheme="minorHAnsi"/>
          <w:sz w:val="24"/>
          <w:szCs w:val="24"/>
        </w:rPr>
        <w:t>,</w:t>
      </w:r>
      <w:r w:rsidRPr="00E30743">
        <w:rPr>
          <w:rFonts w:cstheme="minorHAnsi"/>
          <w:sz w:val="24"/>
          <w:szCs w:val="24"/>
        </w:rPr>
        <w:t xml:space="preserve"> mHealth, </w:t>
      </w:r>
      <w:r w:rsidR="00434A9B">
        <w:rPr>
          <w:rFonts w:cstheme="minorHAnsi"/>
          <w:sz w:val="24"/>
          <w:szCs w:val="24"/>
        </w:rPr>
        <w:t xml:space="preserve">with </w:t>
      </w:r>
      <w:r w:rsidRPr="00E30743">
        <w:rPr>
          <w:rFonts w:cstheme="minorHAnsi"/>
          <w:sz w:val="24"/>
          <w:szCs w:val="24"/>
        </w:rPr>
        <w:t xml:space="preserve">ITU being </w:t>
      </w:r>
      <w:r w:rsidR="00434A9B">
        <w:rPr>
          <w:rFonts w:cstheme="minorHAnsi"/>
          <w:sz w:val="24"/>
          <w:szCs w:val="24"/>
        </w:rPr>
        <w:t xml:space="preserve">identified as </w:t>
      </w:r>
      <w:r w:rsidRPr="00E30743">
        <w:rPr>
          <w:rFonts w:cstheme="minorHAnsi"/>
          <w:sz w:val="24"/>
          <w:szCs w:val="24"/>
        </w:rPr>
        <w:t xml:space="preserve">the </w:t>
      </w:r>
      <w:r w:rsidR="00434A9B">
        <w:rPr>
          <w:rFonts w:cstheme="minorHAnsi"/>
          <w:sz w:val="24"/>
          <w:szCs w:val="24"/>
        </w:rPr>
        <w:t>c</w:t>
      </w:r>
      <w:r w:rsidRPr="00E30743">
        <w:rPr>
          <w:rFonts w:cstheme="minorHAnsi"/>
          <w:sz w:val="24"/>
          <w:szCs w:val="24"/>
        </w:rPr>
        <w:t>oordinator/</w:t>
      </w:r>
      <w:r w:rsidR="00434A9B">
        <w:rPr>
          <w:rFonts w:cstheme="minorHAnsi"/>
          <w:sz w:val="24"/>
          <w:szCs w:val="24"/>
        </w:rPr>
        <w:t>b</w:t>
      </w:r>
      <w:r w:rsidRPr="00E30743">
        <w:rPr>
          <w:rFonts w:cstheme="minorHAnsi"/>
          <w:sz w:val="24"/>
          <w:szCs w:val="24"/>
        </w:rPr>
        <w:t xml:space="preserve">eneficiary and the World Health Organization </w:t>
      </w:r>
      <w:r w:rsidR="00434A9B">
        <w:rPr>
          <w:rFonts w:cstheme="minorHAnsi"/>
          <w:sz w:val="24"/>
          <w:szCs w:val="24"/>
        </w:rPr>
        <w:t xml:space="preserve">as </w:t>
      </w:r>
      <w:r w:rsidRPr="00E30743">
        <w:rPr>
          <w:rFonts w:cstheme="minorHAnsi"/>
          <w:sz w:val="24"/>
          <w:szCs w:val="24"/>
        </w:rPr>
        <w:t xml:space="preserve">an additional beneficiary. As per the provisions of the grant agreement, the final financial report needed to include a </w:t>
      </w:r>
      <w:r w:rsidR="00434A9B">
        <w:rPr>
          <w:rFonts w:cstheme="minorHAnsi"/>
          <w:i/>
          <w:iCs/>
          <w:sz w:val="24"/>
          <w:szCs w:val="24"/>
        </w:rPr>
        <w:t>c</w:t>
      </w:r>
      <w:r w:rsidRPr="00E30743">
        <w:rPr>
          <w:rFonts w:cstheme="minorHAnsi"/>
          <w:i/>
          <w:iCs/>
          <w:sz w:val="24"/>
          <w:szCs w:val="24"/>
        </w:rPr>
        <w:t xml:space="preserve">ertificate on the </w:t>
      </w:r>
      <w:r w:rsidR="00434A9B">
        <w:rPr>
          <w:rFonts w:cstheme="minorHAnsi"/>
          <w:i/>
          <w:iCs/>
          <w:sz w:val="24"/>
          <w:szCs w:val="24"/>
        </w:rPr>
        <w:t>f</w:t>
      </w:r>
      <w:r w:rsidRPr="00E30743">
        <w:rPr>
          <w:rFonts w:cstheme="minorHAnsi"/>
          <w:i/>
          <w:iCs/>
          <w:sz w:val="24"/>
          <w:szCs w:val="24"/>
        </w:rPr>
        <w:t xml:space="preserve">inancial </w:t>
      </w:r>
      <w:r w:rsidR="00434A9B">
        <w:rPr>
          <w:rFonts w:cstheme="minorHAnsi"/>
          <w:i/>
          <w:iCs/>
          <w:sz w:val="24"/>
          <w:szCs w:val="24"/>
        </w:rPr>
        <w:t>s</w:t>
      </w:r>
      <w:r w:rsidRPr="00E30743">
        <w:rPr>
          <w:rFonts w:cstheme="minorHAnsi"/>
          <w:i/>
          <w:iCs/>
          <w:sz w:val="24"/>
          <w:szCs w:val="24"/>
        </w:rPr>
        <w:t>tatements</w:t>
      </w:r>
      <w:r w:rsidRPr="00E30743">
        <w:rPr>
          <w:rFonts w:cstheme="minorHAnsi"/>
          <w:sz w:val="24"/>
          <w:szCs w:val="24"/>
        </w:rPr>
        <w:t xml:space="preserve">. </w:t>
      </w:r>
      <w:r w:rsidRPr="00E30743">
        <w:rPr>
          <w:rFonts w:eastAsia="Times New Roman" w:cstheme="minorHAnsi"/>
          <w:sz w:val="24"/>
          <w:szCs w:val="24"/>
          <w:lang w:eastAsia="en-US"/>
        </w:rPr>
        <w:t xml:space="preserve">BDT requested </w:t>
      </w:r>
      <w:r w:rsidR="00434A9B">
        <w:rPr>
          <w:rFonts w:eastAsia="Times New Roman" w:cstheme="minorHAnsi"/>
          <w:sz w:val="24"/>
          <w:szCs w:val="24"/>
          <w:lang w:eastAsia="en-US"/>
        </w:rPr>
        <w:t xml:space="preserve">that </w:t>
      </w:r>
      <w:r w:rsidRPr="00E30743">
        <w:rPr>
          <w:rFonts w:eastAsia="Times New Roman" w:cstheme="minorHAnsi"/>
          <w:sz w:val="24"/>
          <w:szCs w:val="24"/>
          <w:lang w:eastAsia="en-US"/>
        </w:rPr>
        <w:t xml:space="preserve">IA carry out this </w:t>
      </w:r>
      <w:r w:rsidR="00434A9B">
        <w:rPr>
          <w:rFonts w:eastAsia="Times New Roman" w:cstheme="minorHAnsi"/>
          <w:sz w:val="24"/>
          <w:szCs w:val="24"/>
          <w:lang w:eastAsia="en-US"/>
        </w:rPr>
        <w:t>undertaking</w:t>
      </w:r>
      <w:r w:rsidRPr="00E30743">
        <w:rPr>
          <w:rFonts w:eastAsia="Times New Roman" w:cstheme="minorHAnsi"/>
          <w:sz w:val="24"/>
          <w:szCs w:val="24"/>
          <w:lang w:eastAsia="en-US"/>
        </w:rPr>
        <w:t xml:space="preserve">, which included </w:t>
      </w:r>
      <w:r w:rsidRPr="00E30743">
        <w:rPr>
          <w:rFonts w:cstheme="minorHAnsi"/>
          <w:sz w:val="24"/>
          <w:szCs w:val="24"/>
        </w:rPr>
        <w:t xml:space="preserve">(i) </w:t>
      </w:r>
      <w:r w:rsidRPr="00E30743">
        <w:rPr>
          <w:rFonts w:eastAsia="Times New Roman" w:cstheme="minorHAnsi"/>
          <w:sz w:val="24"/>
          <w:szCs w:val="24"/>
          <w:lang w:eastAsia="en-US"/>
        </w:rPr>
        <w:t>produc</w:t>
      </w:r>
      <w:r w:rsidR="00434A9B">
        <w:rPr>
          <w:rFonts w:eastAsia="Times New Roman" w:cstheme="minorHAnsi"/>
          <w:sz w:val="24"/>
          <w:szCs w:val="24"/>
          <w:lang w:eastAsia="en-US"/>
        </w:rPr>
        <w:t>ing</w:t>
      </w:r>
      <w:r w:rsidRPr="00E30743">
        <w:rPr>
          <w:rFonts w:eastAsia="Times New Roman" w:cstheme="minorHAnsi"/>
          <w:sz w:val="24"/>
          <w:szCs w:val="24"/>
          <w:lang w:eastAsia="en-US"/>
        </w:rPr>
        <w:t xml:space="preserve"> an independent report of factual findings and </w:t>
      </w:r>
      <w:r w:rsidRPr="00E30743">
        <w:rPr>
          <w:rFonts w:cstheme="minorHAnsi"/>
          <w:sz w:val="24"/>
          <w:szCs w:val="24"/>
        </w:rPr>
        <w:t xml:space="preserve">(ii) </w:t>
      </w:r>
      <w:r w:rsidRPr="00E30743">
        <w:rPr>
          <w:rFonts w:eastAsia="Times New Roman" w:cstheme="minorHAnsi"/>
          <w:sz w:val="24"/>
          <w:szCs w:val="24"/>
          <w:lang w:eastAsia="en-US"/>
        </w:rPr>
        <w:t>issu</w:t>
      </w:r>
      <w:r w:rsidR="00434A9B">
        <w:rPr>
          <w:rFonts w:eastAsia="Times New Roman" w:cstheme="minorHAnsi"/>
          <w:sz w:val="24"/>
          <w:szCs w:val="24"/>
          <w:lang w:eastAsia="en-US"/>
        </w:rPr>
        <w:t>ing</w:t>
      </w:r>
      <w:r w:rsidRPr="00E30743">
        <w:rPr>
          <w:rFonts w:eastAsia="Times New Roman" w:cstheme="minorHAnsi"/>
          <w:sz w:val="24"/>
          <w:szCs w:val="24"/>
          <w:lang w:eastAsia="en-US"/>
        </w:rPr>
        <w:t xml:space="preserve"> a </w:t>
      </w:r>
      <w:r w:rsidR="00434A9B">
        <w:rPr>
          <w:rFonts w:cstheme="minorHAnsi"/>
          <w:i/>
          <w:iCs/>
          <w:sz w:val="24"/>
          <w:szCs w:val="24"/>
        </w:rPr>
        <w:t>c</w:t>
      </w:r>
      <w:r w:rsidRPr="00E30743">
        <w:rPr>
          <w:rFonts w:cstheme="minorHAnsi"/>
          <w:i/>
          <w:iCs/>
          <w:sz w:val="24"/>
          <w:szCs w:val="24"/>
        </w:rPr>
        <w:t xml:space="preserve">ertificate on the </w:t>
      </w:r>
      <w:r w:rsidR="00434A9B">
        <w:rPr>
          <w:rFonts w:cstheme="minorHAnsi"/>
          <w:i/>
          <w:iCs/>
          <w:sz w:val="24"/>
          <w:szCs w:val="24"/>
        </w:rPr>
        <w:t>f</w:t>
      </w:r>
      <w:r w:rsidRPr="00E30743">
        <w:rPr>
          <w:rFonts w:cstheme="minorHAnsi"/>
          <w:i/>
          <w:iCs/>
          <w:sz w:val="24"/>
          <w:szCs w:val="24"/>
        </w:rPr>
        <w:t xml:space="preserve">inancial </w:t>
      </w:r>
      <w:r w:rsidR="00434A9B">
        <w:rPr>
          <w:rFonts w:cstheme="minorHAnsi"/>
          <w:i/>
          <w:iCs/>
          <w:sz w:val="24"/>
          <w:szCs w:val="24"/>
        </w:rPr>
        <w:t>s</w:t>
      </w:r>
      <w:r w:rsidRPr="00E30743">
        <w:rPr>
          <w:rFonts w:cstheme="minorHAnsi"/>
          <w:i/>
          <w:iCs/>
          <w:sz w:val="24"/>
          <w:szCs w:val="24"/>
        </w:rPr>
        <w:t>tatements</w:t>
      </w:r>
      <w:r w:rsidRPr="00E30743">
        <w:rPr>
          <w:rFonts w:cstheme="minorHAnsi"/>
          <w:sz w:val="24"/>
          <w:szCs w:val="24"/>
        </w:rPr>
        <w:t>.</w:t>
      </w:r>
    </w:p>
    <w:p w14:paraId="021EEDFA" w14:textId="05622DA6" w:rsidR="002906F8" w:rsidRPr="00E30743" w:rsidRDefault="00DE01DB" w:rsidP="002906F8">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theme="minorHAnsi"/>
          <w:sz w:val="24"/>
          <w:szCs w:val="24"/>
        </w:rPr>
        <w:t>Upon completion of the audit</w:t>
      </w:r>
      <w:r w:rsidR="00434A9B">
        <w:rPr>
          <w:rFonts w:cstheme="minorHAnsi"/>
          <w:sz w:val="24"/>
          <w:szCs w:val="24"/>
        </w:rPr>
        <w:t>,</w:t>
      </w:r>
      <w:r w:rsidRPr="00E30743">
        <w:rPr>
          <w:rFonts w:cstheme="minorHAnsi"/>
          <w:sz w:val="24"/>
          <w:szCs w:val="24"/>
        </w:rPr>
        <w:t xml:space="preserve"> </w:t>
      </w:r>
      <w:r w:rsidR="002906F8" w:rsidRPr="00E30743">
        <w:rPr>
          <w:rFonts w:cstheme="minorHAnsi"/>
          <w:sz w:val="24"/>
          <w:szCs w:val="24"/>
        </w:rPr>
        <w:t>IA concluded</w:t>
      </w:r>
      <w:r w:rsidRPr="00E30743">
        <w:rPr>
          <w:rFonts w:cstheme="minorHAnsi"/>
          <w:sz w:val="24"/>
          <w:szCs w:val="24"/>
        </w:rPr>
        <w:t xml:space="preserve"> that </w:t>
      </w:r>
      <w:r w:rsidR="00434A9B">
        <w:rPr>
          <w:rFonts w:cstheme="minorHAnsi"/>
          <w:sz w:val="24"/>
          <w:szCs w:val="24"/>
        </w:rPr>
        <w:t xml:space="preserve">there were </w:t>
      </w:r>
      <w:r w:rsidRPr="00E30743">
        <w:rPr>
          <w:rFonts w:ascii="Calibri" w:eastAsia="Times New Roman" w:hAnsi="Calibri"/>
          <w:sz w:val="24"/>
          <w:szCs w:val="24"/>
          <w:lang w:eastAsia="en-US"/>
        </w:rPr>
        <w:t xml:space="preserve">inconsistencies in the administrative and financial reporting aspects of the project. It was recommended that </w:t>
      </w:r>
      <w:r w:rsidRPr="00E30743">
        <w:rPr>
          <w:rFonts w:ascii="Calibri" w:eastAsia="Times New Roman" w:hAnsi="Calibri" w:cs="Arial"/>
          <w:sz w:val="24"/>
          <w:szCs w:val="24"/>
          <w:lang w:eastAsia="en-US"/>
        </w:rPr>
        <w:t xml:space="preserve">reviews and checks of all </w:t>
      </w:r>
      <w:r w:rsidRPr="00E30743">
        <w:rPr>
          <w:rFonts w:ascii="Calibri" w:hAnsi="Calibri" w:cs="Calibri"/>
          <w:color w:val="000000"/>
          <w:sz w:val="24"/>
          <w:szCs w:val="24"/>
          <w:lang w:eastAsia="en-US"/>
        </w:rPr>
        <w:t>financial information</w:t>
      </w:r>
      <w:r w:rsidR="001555A7">
        <w:rPr>
          <w:rFonts w:ascii="Calibri" w:hAnsi="Calibri" w:cs="Calibri"/>
          <w:color w:val="000000"/>
          <w:sz w:val="24"/>
          <w:szCs w:val="24"/>
          <w:lang w:eastAsia="en-US"/>
        </w:rPr>
        <w:t>, prior to</w:t>
      </w:r>
      <w:r w:rsidRPr="00E30743">
        <w:rPr>
          <w:rFonts w:ascii="Calibri" w:hAnsi="Calibri" w:cs="Calibri"/>
          <w:color w:val="000000"/>
          <w:sz w:val="24"/>
          <w:szCs w:val="24"/>
          <w:lang w:eastAsia="en-US"/>
        </w:rPr>
        <w:t xml:space="preserve"> </w:t>
      </w:r>
      <w:r w:rsidR="001555A7" w:rsidRPr="00E30743">
        <w:rPr>
          <w:rFonts w:ascii="Calibri" w:hAnsi="Calibri" w:cs="Calibri"/>
          <w:color w:val="000000"/>
          <w:sz w:val="24"/>
          <w:szCs w:val="24"/>
          <w:lang w:eastAsia="en-US"/>
        </w:rPr>
        <w:t xml:space="preserve">such information </w:t>
      </w:r>
      <w:r w:rsidR="001555A7">
        <w:rPr>
          <w:rFonts w:ascii="Calibri" w:hAnsi="Calibri" w:cs="Calibri"/>
          <w:color w:val="000000"/>
          <w:sz w:val="24"/>
          <w:szCs w:val="24"/>
          <w:lang w:eastAsia="en-US"/>
        </w:rPr>
        <w:t xml:space="preserve">being </w:t>
      </w:r>
      <w:r w:rsidRPr="00E30743">
        <w:rPr>
          <w:rFonts w:ascii="Calibri" w:hAnsi="Calibri" w:cs="Calibri"/>
          <w:color w:val="000000"/>
          <w:sz w:val="24"/>
          <w:szCs w:val="24"/>
          <w:lang w:eastAsia="en-US"/>
        </w:rPr>
        <w:t>submi</w:t>
      </w:r>
      <w:r w:rsidR="001555A7">
        <w:rPr>
          <w:rFonts w:ascii="Calibri" w:hAnsi="Calibri" w:cs="Calibri"/>
          <w:color w:val="000000"/>
          <w:sz w:val="24"/>
          <w:szCs w:val="24"/>
          <w:lang w:eastAsia="en-US"/>
        </w:rPr>
        <w:t>tted</w:t>
      </w:r>
      <w:r w:rsidRPr="00E30743">
        <w:rPr>
          <w:rFonts w:ascii="Calibri" w:hAnsi="Calibri" w:cs="Calibri"/>
          <w:color w:val="000000"/>
          <w:sz w:val="24"/>
          <w:szCs w:val="24"/>
          <w:lang w:eastAsia="en-US"/>
        </w:rPr>
        <w:t xml:space="preserve"> to donors</w:t>
      </w:r>
      <w:r w:rsidR="001555A7">
        <w:rPr>
          <w:rFonts w:ascii="Calibri" w:hAnsi="Calibri" w:cs="Calibri"/>
          <w:color w:val="000000"/>
          <w:sz w:val="24"/>
          <w:szCs w:val="24"/>
          <w:lang w:eastAsia="en-US"/>
        </w:rPr>
        <w:t>,</w:t>
      </w:r>
      <w:r w:rsidRPr="00E30743">
        <w:rPr>
          <w:rFonts w:ascii="Calibri" w:hAnsi="Calibri" w:cs="Calibri"/>
          <w:color w:val="000000"/>
          <w:sz w:val="24"/>
          <w:szCs w:val="24"/>
          <w:lang w:eastAsia="en-US"/>
        </w:rPr>
        <w:t xml:space="preserve"> needed to be conducted. In agreement with the Financial Resources Management Department (FRMD), IA sent a memorandum to the three Bureaux and all </w:t>
      </w:r>
      <w:r w:rsidR="001555A7">
        <w:rPr>
          <w:rFonts w:ascii="Calibri" w:hAnsi="Calibri" w:cs="Calibri"/>
          <w:color w:val="000000"/>
          <w:sz w:val="24"/>
          <w:szCs w:val="24"/>
          <w:lang w:eastAsia="en-US"/>
        </w:rPr>
        <w:t xml:space="preserve">departments of the </w:t>
      </w:r>
      <w:r w:rsidRPr="00E30743">
        <w:rPr>
          <w:rFonts w:ascii="Calibri" w:hAnsi="Calibri" w:cs="Calibri"/>
          <w:color w:val="000000"/>
          <w:sz w:val="24"/>
          <w:szCs w:val="24"/>
          <w:lang w:eastAsia="en-US"/>
        </w:rPr>
        <w:t xml:space="preserve">General Secretariat to inform them of the obligation to submit to FRMD </w:t>
      </w:r>
      <w:r w:rsidR="001F6CFA" w:rsidRPr="00E30743">
        <w:rPr>
          <w:rFonts w:ascii="Calibri" w:eastAsia="Times New Roman" w:hAnsi="Calibri"/>
          <w:bCs/>
          <w:sz w:val="24"/>
          <w:szCs w:val="24"/>
          <w:lang w:eastAsia="en-US"/>
        </w:rPr>
        <w:t>for verification and certification</w:t>
      </w:r>
      <w:r w:rsidR="001F6CFA" w:rsidRPr="00E30743" w:rsidDel="001555A7">
        <w:rPr>
          <w:rFonts w:ascii="Calibri" w:hAnsi="Calibri" w:cs="Calibri"/>
          <w:color w:val="000000"/>
          <w:sz w:val="24"/>
          <w:szCs w:val="24"/>
          <w:lang w:eastAsia="en-US"/>
        </w:rPr>
        <w:t xml:space="preserve"> </w:t>
      </w:r>
      <w:r w:rsidRPr="00E30743">
        <w:rPr>
          <w:rFonts w:ascii="Calibri" w:hAnsi="Calibri" w:cs="Calibri"/>
          <w:color w:val="000000"/>
          <w:sz w:val="24"/>
          <w:szCs w:val="24"/>
          <w:lang w:eastAsia="en-US"/>
        </w:rPr>
        <w:t>any periodic/interim and final financial summaries, statements</w:t>
      </w:r>
      <w:r w:rsidR="001555A7">
        <w:rPr>
          <w:rFonts w:ascii="Calibri" w:hAnsi="Calibri" w:cs="Calibri"/>
          <w:color w:val="000000"/>
          <w:sz w:val="24"/>
          <w:szCs w:val="24"/>
          <w:lang w:eastAsia="en-US"/>
        </w:rPr>
        <w:t xml:space="preserve"> and</w:t>
      </w:r>
      <w:r w:rsidR="001555A7" w:rsidRPr="00E30743">
        <w:rPr>
          <w:rFonts w:ascii="Calibri" w:hAnsi="Calibri" w:cs="Calibri"/>
          <w:color w:val="000000"/>
          <w:sz w:val="24"/>
          <w:szCs w:val="24"/>
          <w:lang w:eastAsia="en-US"/>
        </w:rPr>
        <w:t xml:space="preserve"> </w:t>
      </w:r>
      <w:r w:rsidRPr="00E30743">
        <w:rPr>
          <w:rFonts w:ascii="Calibri" w:hAnsi="Calibri" w:cs="Calibri"/>
          <w:color w:val="000000"/>
          <w:sz w:val="24"/>
          <w:szCs w:val="24"/>
          <w:lang w:eastAsia="en-US"/>
        </w:rPr>
        <w:t>reports</w:t>
      </w:r>
      <w:r w:rsidRPr="00E30743">
        <w:rPr>
          <w:rFonts w:ascii="Calibri" w:eastAsia="Times New Roman" w:hAnsi="Calibri"/>
          <w:bCs/>
          <w:sz w:val="24"/>
          <w:szCs w:val="24"/>
          <w:lang w:eastAsia="en-US"/>
        </w:rPr>
        <w:t xml:space="preserve"> to be sent to donor(s).</w:t>
      </w:r>
    </w:p>
    <w:p w14:paraId="71F6FB1F" w14:textId="2C1C07AF" w:rsidR="002906F8" w:rsidRPr="00E30743" w:rsidRDefault="0093538E" w:rsidP="00430C06">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240"/>
        <w:ind w:left="450" w:firstLine="0"/>
        <w:jc w:val="both"/>
        <w:textAlignment w:val="auto"/>
        <w:rPr>
          <w:rFonts w:asciiTheme="minorHAnsi" w:hAnsiTheme="minorHAnsi" w:cstheme="minorHAnsi"/>
          <w:szCs w:val="24"/>
        </w:rPr>
      </w:pPr>
      <w:r w:rsidRPr="00E30743">
        <w:rPr>
          <w:rFonts w:asciiTheme="minorHAnsi" w:hAnsiTheme="minorHAnsi" w:cstheme="minorHAnsi"/>
          <w:b/>
          <w:i/>
          <w:szCs w:val="24"/>
        </w:rPr>
        <w:t>Regional and Area Offices for the Africa region</w:t>
      </w:r>
    </w:p>
    <w:p w14:paraId="2B0CBBBD" w14:textId="166CFC52" w:rsidR="002906F8" w:rsidRPr="00E30743" w:rsidRDefault="002906F8" w:rsidP="002906F8">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E30743">
        <w:rPr>
          <w:rFonts w:cstheme="minorHAnsi"/>
          <w:sz w:val="24"/>
          <w:szCs w:val="24"/>
        </w:rPr>
        <w:t xml:space="preserve">IA </w:t>
      </w:r>
      <w:r w:rsidR="00EE4CEC">
        <w:rPr>
          <w:rFonts w:cstheme="minorHAnsi"/>
          <w:sz w:val="24"/>
          <w:szCs w:val="24"/>
        </w:rPr>
        <w:t xml:space="preserve">has </w:t>
      </w:r>
      <w:r w:rsidRPr="00E30743">
        <w:rPr>
          <w:rFonts w:cstheme="minorHAnsi"/>
          <w:sz w:val="24"/>
          <w:szCs w:val="24"/>
          <w:lang w:val="en-GB"/>
        </w:rPr>
        <w:t xml:space="preserve">conducted an </w:t>
      </w:r>
      <w:r w:rsidRPr="00E30743">
        <w:rPr>
          <w:sz w:val="24"/>
          <w:szCs w:val="24"/>
          <w:lang w:val="en-GB"/>
        </w:rPr>
        <w:t>audit of</w:t>
      </w:r>
      <w:r w:rsidR="00F363A6" w:rsidRPr="00E30743">
        <w:rPr>
          <w:sz w:val="24"/>
          <w:szCs w:val="24"/>
          <w:lang w:val="en-GB"/>
        </w:rPr>
        <w:t xml:space="preserve"> the Regional and Area Offices for the Africa region</w:t>
      </w:r>
      <w:r w:rsidR="007070D7" w:rsidRPr="00E30743">
        <w:rPr>
          <w:sz w:val="24"/>
          <w:szCs w:val="24"/>
          <w:lang w:val="en-GB"/>
        </w:rPr>
        <w:t>.</w:t>
      </w:r>
      <w:r w:rsidR="00F363A6" w:rsidRPr="00E30743">
        <w:rPr>
          <w:sz w:val="24"/>
          <w:szCs w:val="24"/>
          <w:lang w:val="en-GB"/>
        </w:rPr>
        <w:t xml:space="preserve"> </w:t>
      </w:r>
      <w:r w:rsidR="00F363A6" w:rsidRPr="00E30743">
        <w:rPr>
          <w:rFonts w:cs="Calibri"/>
          <w:sz w:val="24"/>
          <w:szCs w:val="24"/>
        </w:rPr>
        <w:t xml:space="preserve">The audit was conducted using the COSO </w:t>
      </w:r>
      <w:r w:rsidR="001555A7">
        <w:rPr>
          <w:rFonts w:cs="Calibri"/>
          <w:sz w:val="24"/>
          <w:szCs w:val="24"/>
        </w:rPr>
        <w:t>ICIF</w:t>
      </w:r>
      <w:r w:rsidR="00F363A6" w:rsidRPr="00E30743">
        <w:rPr>
          <w:rFonts w:cs="Calibri"/>
          <w:sz w:val="24"/>
          <w:szCs w:val="24"/>
        </w:rPr>
        <w:t xml:space="preserve"> as the basis for the assessment of internal controls (governance, risk assessment, information </w:t>
      </w:r>
      <w:r w:rsidR="001555A7">
        <w:rPr>
          <w:rFonts w:cs="Calibri"/>
          <w:sz w:val="24"/>
          <w:szCs w:val="24"/>
        </w:rPr>
        <w:t>and</w:t>
      </w:r>
      <w:r w:rsidR="001555A7" w:rsidRPr="00E30743">
        <w:rPr>
          <w:rFonts w:cs="Calibri"/>
          <w:sz w:val="24"/>
          <w:szCs w:val="24"/>
        </w:rPr>
        <w:t xml:space="preserve"> </w:t>
      </w:r>
      <w:r w:rsidR="00F363A6" w:rsidRPr="00E30743">
        <w:rPr>
          <w:rFonts w:cs="Calibri"/>
          <w:sz w:val="24"/>
          <w:szCs w:val="24"/>
        </w:rPr>
        <w:t xml:space="preserve">communication, internal controls, </w:t>
      </w:r>
      <w:r w:rsidR="001555A7">
        <w:rPr>
          <w:rFonts w:cs="Calibri"/>
          <w:sz w:val="24"/>
          <w:szCs w:val="24"/>
        </w:rPr>
        <w:t xml:space="preserve">and </w:t>
      </w:r>
      <w:r w:rsidR="00F363A6" w:rsidRPr="00E30743">
        <w:rPr>
          <w:rFonts w:cs="Calibri"/>
          <w:sz w:val="24"/>
          <w:szCs w:val="24"/>
        </w:rPr>
        <w:t>monitoring activities)</w:t>
      </w:r>
      <w:r w:rsidR="007070D7" w:rsidRPr="00E30743">
        <w:rPr>
          <w:rFonts w:cs="Calibri"/>
          <w:sz w:val="24"/>
          <w:szCs w:val="24"/>
        </w:rPr>
        <w:t xml:space="preserve">. The audit work </w:t>
      </w:r>
      <w:r w:rsidR="00EE4CEC">
        <w:rPr>
          <w:rFonts w:cs="Calibri"/>
          <w:sz w:val="24"/>
          <w:szCs w:val="24"/>
        </w:rPr>
        <w:t>has been</w:t>
      </w:r>
      <w:r w:rsidR="00EE4CEC" w:rsidRPr="00E30743">
        <w:rPr>
          <w:rFonts w:cs="Calibri"/>
          <w:sz w:val="24"/>
          <w:szCs w:val="24"/>
        </w:rPr>
        <w:t xml:space="preserve"> </w:t>
      </w:r>
      <w:r w:rsidR="007070D7" w:rsidRPr="00E30743">
        <w:rPr>
          <w:rFonts w:cs="Calibri"/>
          <w:sz w:val="24"/>
          <w:szCs w:val="24"/>
        </w:rPr>
        <w:t xml:space="preserve">completed and the draft audit report shared </w:t>
      </w:r>
      <w:r w:rsidR="00EE4CEC">
        <w:rPr>
          <w:rFonts w:cs="Calibri"/>
          <w:sz w:val="24"/>
          <w:szCs w:val="24"/>
        </w:rPr>
        <w:t xml:space="preserve">with </w:t>
      </w:r>
      <w:r w:rsidR="001555A7">
        <w:rPr>
          <w:rFonts w:cs="Calibri"/>
          <w:sz w:val="24"/>
          <w:szCs w:val="24"/>
        </w:rPr>
        <w:t xml:space="preserve">managers concerned </w:t>
      </w:r>
      <w:r w:rsidR="007070D7" w:rsidRPr="00E30743">
        <w:rPr>
          <w:rFonts w:cs="Calibri"/>
          <w:sz w:val="24"/>
          <w:szCs w:val="24"/>
        </w:rPr>
        <w:t xml:space="preserve">for </w:t>
      </w:r>
      <w:r w:rsidR="001555A7">
        <w:rPr>
          <w:rFonts w:cs="Calibri"/>
          <w:sz w:val="24"/>
          <w:szCs w:val="24"/>
        </w:rPr>
        <w:t xml:space="preserve">their </w:t>
      </w:r>
      <w:r w:rsidR="007070D7" w:rsidRPr="00E30743">
        <w:rPr>
          <w:rFonts w:cs="Calibri"/>
          <w:sz w:val="24"/>
          <w:szCs w:val="24"/>
        </w:rPr>
        <w:t xml:space="preserve">observations. The final audit report, including recommendations and formal management comments, is expected to be issued before the end of the second quarter of 2023. </w:t>
      </w:r>
    </w:p>
    <w:p w14:paraId="7EBBE121" w14:textId="53BE565E" w:rsidR="00491542" w:rsidRDefault="00491542" w:rsidP="00430C06">
      <w:pPr>
        <w:pStyle w:val="Heading1"/>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Cs w:val="28"/>
          <w:lang w:val="en-CA"/>
        </w:rPr>
      </w:pPr>
      <w:r>
        <w:rPr>
          <w:rFonts w:asciiTheme="minorHAnsi" w:hAnsiTheme="minorHAnsi" w:cstheme="minorHAnsi"/>
          <w:szCs w:val="28"/>
          <w:lang w:val="en-CA"/>
        </w:rPr>
        <w:lastRenderedPageBreak/>
        <w:t>Special assignments</w:t>
      </w:r>
    </w:p>
    <w:p w14:paraId="0730CFDE" w14:textId="5DF02FC6" w:rsidR="00491542" w:rsidRPr="00E30743" w:rsidRDefault="00491542" w:rsidP="00430C06">
      <w:pPr>
        <w:pStyle w:val="ListParagraph"/>
        <w:keepNext/>
        <w:keepLines/>
        <w:numPr>
          <w:ilvl w:val="0"/>
          <w:numId w:val="2"/>
        </w:numPr>
        <w:adjustRightInd w:val="0"/>
        <w:snapToGrid w:val="0"/>
        <w:spacing w:before="120" w:after="120" w:line="240" w:lineRule="auto"/>
        <w:ind w:left="0" w:firstLine="0"/>
        <w:contextualSpacing w:val="0"/>
        <w:jc w:val="both"/>
        <w:rPr>
          <w:sz w:val="24"/>
          <w:szCs w:val="24"/>
          <w:lang w:val="en-GB"/>
        </w:rPr>
      </w:pPr>
      <w:r w:rsidRPr="00E30743">
        <w:rPr>
          <w:rFonts w:ascii="Calibri" w:hAnsi="Calibri" w:cs="Calibri"/>
          <w:bCs/>
          <w:sz w:val="24"/>
          <w:szCs w:val="24"/>
        </w:rPr>
        <w:t xml:space="preserve">At the request of the previous ITU External Auditor and with the </w:t>
      </w:r>
      <w:r w:rsidR="001555A7">
        <w:rPr>
          <w:rFonts w:ascii="Calibri" w:hAnsi="Calibri" w:cs="Calibri"/>
          <w:bCs/>
          <w:sz w:val="24"/>
          <w:szCs w:val="24"/>
        </w:rPr>
        <w:t>agreement of the Secretary-General</w:t>
      </w:r>
      <w:r w:rsidRPr="00E30743">
        <w:rPr>
          <w:rFonts w:ascii="Calibri" w:hAnsi="Calibri" w:cs="Calibri"/>
          <w:bCs/>
          <w:sz w:val="24"/>
          <w:szCs w:val="24"/>
        </w:rPr>
        <w:t xml:space="preserve">, the </w:t>
      </w:r>
      <w:r w:rsidR="001555A7">
        <w:rPr>
          <w:rFonts w:ascii="Calibri" w:hAnsi="Calibri" w:cs="Calibri"/>
          <w:bCs/>
          <w:sz w:val="24"/>
          <w:szCs w:val="24"/>
        </w:rPr>
        <w:t xml:space="preserve">IA </w:t>
      </w:r>
      <w:r w:rsidRPr="00E30743">
        <w:rPr>
          <w:rFonts w:ascii="Calibri" w:hAnsi="Calibri" w:cs="Calibri"/>
          <w:bCs/>
          <w:sz w:val="24"/>
          <w:szCs w:val="24"/>
        </w:rPr>
        <w:t xml:space="preserve">Senior Auditor conducted a specific and detailed quantification </w:t>
      </w:r>
      <w:r w:rsidR="001555A7">
        <w:rPr>
          <w:rFonts w:ascii="Calibri" w:hAnsi="Calibri" w:cs="Calibri"/>
          <w:bCs/>
          <w:sz w:val="24"/>
          <w:szCs w:val="24"/>
        </w:rPr>
        <w:t>of</w:t>
      </w:r>
      <w:r w:rsidRPr="00E30743">
        <w:rPr>
          <w:rFonts w:ascii="Calibri" w:hAnsi="Calibri" w:cs="Calibri"/>
          <w:bCs/>
          <w:sz w:val="24"/>
          <w:szCs w:val="24"/>
        </w:rPr>
        <w:t xml:space="preserve"> the financial loss suffered by ITU </w:t>
      </w:r>
      <w:r w:rsidR="001555A7">
        <w:rPr>
          <w:rFonts w:ascii="Calibri" w:hAnsi="Calibri" w:cs="Calibri"/>
          <w:bCs/>
          <w:sz w:val="24"/>
          <w:szCs w:val="24"/>
        </w:rPr>
        <w:t>from</w:t>
      </w:r>
      <w:r w:rsidRPr="00E30743">
        <w:rPr>
          <w:rFonts w:ascii="Calibri" w:hAnsi="Calibri" w:cs="Calibri"/>
          <w:bCs/>
          <w:sz w:val="24"/>
          <w:szCs w:val="24"/>
        </w:rPr>
        <w:t xml:space="preserve"> the fraud case reported and investigated in 2018.</w:t>
      </w:r>
      <w:r w:rsidRPr="00E30743">
        <w:rPr>
          <w:sz w:val="24"/>
          <w:szCs w:val="24"/>
        </w:rPr>
        <w:t xml:space="preserve"> </w:t>
      </w:r>
      <w:r w:rsidR="00694D55" w:rsidRPr="00E30743">
        <w:rPr>
          <w:sz w:val="24"/>
          <w:szCs w:val="24"/>
        </w:rPr>
        <w:t>In relation to that same case</w:t>
      </w:r>
      <w:r w:rsidR="00694D55" w:rsidRPr="00E30743">
        <w:rPr>
          <w:rFonts w:ascii="Calibri" w:hAnsi="Calibri" w:cs="Calibri"/>
          <w:bCs/>
          <w:sz w:val="24"/>
          <w:szCs w:val="24"/>
        </w:rPr>
        <w:t xml:space="preserve"> and at the S</w:t>
      </w:r>
      <w:r w:rsidR="001555A7">
        <w:rPr>
          <w:rFonts w:ascii="Calibri" w:hAnsi="Calibri" w:cs="Calibri"/>
          <w:bCs/>
          <w:sz w:val="24"/>
          <w:szCs w:val="24"/>
        </w:rPr>
        <w:t>ecretary-</w:t>
      </w:r>
      <w:r w:rsidR="00694D55" w:rsidRPr="00E30743">
        <w:rPr>
          <w:rFonts w:ascii="Calibri" w:hAnsi="Calibri" w:cs="Calibri"/>
          <w:bCs/>
          <w:sz w:val="24"/>
          <w:szCs w:val="24"/>
        </w:rPr>
        <w:t>G</w:t>
      </w:r>
      <w:r w:rsidR="001555A7">
        <w:rPr>
          <w:rFonts w:ascii="Calibri" w:hAnsi="Calibri" w:cs="Calibri"/>
          <w:bCs/>
          <w:sz w:val="24"/>
          <w:szCs w:val="24"/>
        </w:rPr>
        <w:t>eneral</w:t>
      </w:r>
      <w:r w:rsidR="00694D55" w:rsidRPr="00E30743">
        <w:rPr>
          <w:rFonts w:ascii="Calibri" w:hAnsi="Calibri" w:cs="Calibri"/>
          <w:bCs/>
          <w:sz w:val="24"/>
          <w:szCs w:val="24"/>
        </w:rPr>
        <w:t>’s request</w:t>
      </w:r>
      <w:r w:rsidR="00694D55" w:rsidRPr="00E30743">
        <w:rPr>
          <w:sz w:val="24"/>
          <w:szCs w:val="24"/>
        </w:rPr>
        <w:t>,</w:t>
      </w:r>
      <w:r w:rsidRPr="00E30743">
        <w:rPr>
          <w:sz w:val="24"/>
          <w:szCs w:val="24"/>
        </w:rPr>
        <w:t xml:space="preserve"> </w:t>
      </w:r>
      <w:r w:rsidRPr="00E30743">
        <w:rPr>
          <w:rFonts w:ascii="Calibri" w:hAnsi="Calibri" w:cs="Calibri"/>
          <w:bCs/>
          <w:sz w:val="24"/>
          <w:szCs w:val="24"/>
        </w:rPr>
        <w:t xml:space="preserve">the Senior Auditor </w:t>
      </w:r>
      <w:r w:rsidR="00694D55" w:rsidRPr="00E30743">
        <w:rPr>
          <w:rFonts w:ascii="Calibri" w:hAnsi="Calibri" w:cs="Calibri"/>
          <w:sz w:val="24"/>
          <w:szCs w:val="24"/>
        </w:rPr>
        <w:t>provided all requested detailed documentary evidence to</w:t>
      </w:r>
      <w:r w:rsidRPr="00E30743">
        <w:rPr>
          <w:rFonts w:ascii="Calibri" w:hAnsi="Calibri" w:cs="Calibri"/>
          <w:sz w:val="24"/>
          <w:szCs w:val="24"/>
        </w:rPr>
        <w:t xml:space="preserve"> the </w:t>
      </w:r>
      <w:r w:rsidR="00694D55" w:rsidRPr="00E30743">
        <w:rPr>
          <w:rFonts w:ascii="Calibri" w:hAnsi="Calibri" w:cs="Calibri"/>
          <w:sz w:val="24"/>
          <w:szCs w:val="24"/>
        </w:rPr>
        <w:t>Member State</w:t>
      </w:r>
      <w:r w:rsidRPr="00E30743">
        <w:rPr>
          <w:rFonts w:ascii="Calibri" w:hAnsi="Calibri" w:cs="Calibri"/>
          <w:sz w:val="24"/>
          <w:szCs w:val="24"/>
        </w:rPr>
        <w:t xml:space="preserve"> authorities </w:t>
      </w:r>
      <w:r w:rsidR="00694D55" w:rsidRPr="00E30743">
        <w:rPr>
          <w:rFonts w:ascii="Calibri" w:hAnsi="Calibri" w:cs="Calibri"/>
          <w:sz w:val="24"/>
          <w:szCs w:val="24"/>
        </w:rPr>
        <w:t>in charge of the case at the national level.</w:t>
      </w:r>
    </w:p>
    <w:p w14:paraId="4FC49384" w14:textId="1E5B32B9" w:rsidR="00A13AC5" w:rsidRPr="00F01F21" w:rsidRDefault="00A13AC5" w:rsidP="00A13AC5">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Cs w:val="28"/>
          <w:lang w:val="en-CA"/>
        </w:rPr>
      </w:pPr>
      <w:r w:rsidRPr="00F01F21">
        <w:rPr>
          <w:rFonts w:asciiTheme="minorHAnsi" w:hAnsiTheme="minorHAnsi" w:cstheme="minorHAnsi"/>
          <w:szCs w:val="28"/>
          <w:lang w:val="en-CA"/>
        </w:rPr>
        <w:t>Follow-up o</w:t>
      </w:r>
      <w:r w:rsidR="001555A7">
        <w:rPr>
          <w:rFonts w:asciiTheme="minorHAnsi" w:hAnsiTheme="minorHAnsi" w:cstheme="minorHAnsi"/>
          <w:szCs w:val="28"/>
          <w:lang w:val="en-CA"/>
        </w:rPr>
        <w:t>n</w:t>
      </w:r>
      <w:r w:rsidRPr="00F01F21">
        <w:rPr>
          <w:rFonts w:asciiTheme="minorHAnsi" w:hAnsiTheme="minorHAnsi" w:cstheme="minorHAnsi"/>
          <w:szCs w:val="28"/>
          <w:lang w:val="en-CA"/>
        </w:rPr>
        <w:t xml:space="preserve"> internal audit recommendations</w:t>
      </w:r>
    </w:p>
    <w:p w14:paraId="6EABCC2C" w14:textId="39159DE5" w:rsidR="00A13AC5" w:rsidRPr="00E30743" w:rsidRDefault="00A13AC5" w:rsidP="002D5B71">
      <w:pPr>
        <w:pStyle w:val="ListParagraph"/>
        <w:numPr>
          <w:ilvl w:val="0"/>
          <w:numId w:val="2"/>
        </w:numPr>
        <w:adjustRightInd w:val="0"/>
        <w:snapToGrid w:val="0"/>
        <w:spacing w:after="0" w:line="240" w:lineRule="auto"/>
        <w:ind w:left="0" w:firstLine="0"/>
        <w:contextualSpacing w:val="0"/>
        <w:jc w:val="both"/>
        <w:rPr>
          <w:sz w:val="24"/>
          <w:szCs w:val="24"/>
        </w:rPr>
      </w:pPr>
      <w:r w:rsidRPr="00E30743">
        <w:rPr>
          <w:rFonts w:cstheme="minorHAnsi"/>
          <w:sz w:val="24"/>
          <w:szCs w:val="24"/>
          <w:lang w:val="en-CA"/>
        </w:rPr>
        <w:t xml:space="preserve">Throughout the </w:t>
      </w:r>
      <w:r w:rsidR="001555A7">
        <w:rPr>
          <w:rFonts w:cstheme="minorHAnsi"/>
          <w:sz w:val="24"/>
          <w:szCs w:val="24"/>
          <w:lang w:val="en-CA"/>
        </w:rPr>
        <w:t xml:space="preserve">reporting </w:t>
      </w:r>
      <w:r w:rsidRPr="00E30743">
        <w:rPr>
          <w:rFonts w:cstheme="minorHAnsi"/>
          <w:sz w:val="24"/>
          <w:szCs w:val="24"/>
          <w:lang w:val="en-CA"/>
        </w:rPr>
        <w:t>period, IA continued to follow up on recommendations made in previous audit reports. IA also regularly discussed these follow</w:t>
      </w:r>
      <w:r w:rsidR="001555A7">
        <w:rPr>
          <w:rFonts w:cstheme="minorHAnsi"/>
          <w:sz w:val="24"/>
          <w:szCs w:val="24"/>
          <w:lang w:val="en-CA"/>
        </w:rPr>
        <w:t>-</w:t>
      </w:r>
      <w:r w:rsidRPr="00E30743">
        <w:rPr>
          <w:rFonts w:cstheme="minorHAnsi"/>
          <w:sz w:val="24"/>
          <w:szCs w:val="24"/>
          <w:lang w:val="en-CA"/>
        </w:rPr>
        <w:t xml:space="preserve">up outcomes at its meeting with IMAC. As mentioned above, a </w:t>
      </w:r>
      <w:r w:rsidRPr="00E30743">
        <w:rPr>
          <w:rFonts w:cstheme="minorHAnsi"/>
          <w:sz w:val="24"/>
          <w:szCs w:val="24"/>
        </w:rPr>
        <w:t xml:space="preserve">separate </w:t>
      </w:r>
      <w:r w:rsidR="001555A7">
        <w:rPr>
          <w:rFonts w:cstheme="minorHAnsi"/>
          <w:sz w:val="24"/>
          <w:szCs w:val="24"/>
        </w:rPr>
        <w:t>information</w:t>
      </w:r>
      <w:r w:rsidRPr="00E30743">
        <w:rPr>
          <w:rFonts w:cstheme="minorHAnsi"/>
          <w:sz w:val="24"/>
          <w:szCs w:val="24"/>
        </w:rPr>
        <w:t xml:space="preserve"> document </w:t>
      </w:r>
      <w:r w:rsidR="001555A7">
        <w:rPr>
          <w:rFonts w:cstheme="minorHAnsi"/>
          <w:sz w:val="24"/>
          <w:szCs w:val="24"/>
        </w:rPr>
        <w:t>ha</w:t>
      </w:r>
      <w:r w:rsidRPr="00E30743">
        <w:rPr>
          <w:rFonts w:cstheme="minorHAnsi"/>
          <w:sz w:val="24"/>
          <w:szCs w:val="24"/>
        </w:rPr>
        <w:t>s</w:t>
      </w:r>
      <w:r w:rsidR="001555A7">
        <w:rPr>
          <w:rFonts w:cstheme="minorHAnsi"/>
          <w:sz w:val="24"/>
          <w:szCs w:val="24"/>
        </w:rPr>
        <w:t xml:space="preserve"> been submitted to the 2023 session of the Council</w:t>
      </w:r>
      <w:r w:rsidRPr="00E30743">
        <w:rPr>
          <w:rFonts w:cstheme="minorHAnsi"/>
          <w:sz w:val="24"/>
          <w:szCs w:val="24"/>
        </w:rPr>
        <w:t xml:space="preserve"> to reflect the follow</w:t>
      </w:r>
      <w:r w:rsidR="001555A7">
        <w:rPr>
          <w:rFonts w:cstheme="minorHAnsi"/>
          <w:sz w:val="24"/>
          <w:szCs w:val="24"/>
        </w:rPr>
        <w:t>-</w:t>
      </w:r>
      <w:r w:rsidRPr="00E30743">
        <w:rPr>
          <w:rFonts w:cstheme="minorHAnsi"/>
          <w:sz w:val="24"/>
          <w:szCs w:val="24"/>
        </w:rPr>
        <w:t>up o</w:t>
      </w:r>
      <w:r w:rsidR="001555A7">
        <w:rPr>
          <w:rFonts w:cstheme="minorHAnsi"/>
          <w:sz w:val="24"/>
          <w:szCs w:val="24"/>
        </w:rPr>
        <w:t>n</w:t>
      </w:r>
      <w:r w:rsidRPr="00E30743">
        <w:rPr>
          <w:rFonts w:cstheme="minorHAnsi"/>
          <w:sz w:val="24"/>
          <w:szCs w:val="24"/>
        </w:rPr>
        <w:t xml:space="preserve"> internal audit recommendations a</w:t>
      </w:r>
      <w:r w:rsidR="001555A7">
        <w:rPr>
          <w:rFonts w:cstheme="minorHAnsi"/>
          <w:sz w:val="24"/>
          <w:szCs w:val="24"/>
        </w:rPr>
        <w:t>nd on</w:t>
      </w:r>
      <w:r w:rsidRPr="00E30743">
        <w:rPr>
          <w:rFonts w:cstheme="minorHAnsi"/>
          <w:sz w:val="24"/>
          <w:szCs w:val="24"/>
        </w:rPr>
        <w:t xml:space="preserve"> forensic</w:t>
      </w:r>
      <w:r w:rsidR="001555A7">
        <w:rPr>
          <w:rFonts w:cstheme="minorHAnsi"/>
          <w:sz w:val="24"/>
          <w:szCs w:val="24"/>
        </w:rPr>
        <w:t>-</w:t>
      </w:r>
      <w:r w:rsidRPr="00E30743">
        <w:rPr>
          <w:rFonts w:cstheme="minorHAnsi"/>
          <w:sz w:val="24"/>
          <w:szCs w:val="24"/>
        </w:rPr>
        <w:t>audit actions.</w:t>
      </w:r>
      <w:r w:rsidR="0039230D" w:rsidRPr="00E30743">
        <w:rPr>
          <w:rFonts w:cstheme="minorHAnsi"/>
          <w:sz w:val="24"/>
          <w:szCs w:val="24"/>
        </w:rPr>
        <w:t xml:space="preserve"> </w:t>
      </w:r>
      <w:r w:rsidR="0039230D" w:rsidRPr="00E30743">
        <w:rPr>
          <w:rFonts w:cstheme="minorHAnsi"/>
          <w:sz w:val="24"/>
          <w:szCs w:val="24"/>
          <w:lang w:val="en-CA"/>
        </w:rPr>
        <w:t>Further progress was noted on the implementation</w:t>
      </w:r>
      <w:r w:rsidR="001D4502" w:rsidRPr="00E30743">
        <w:rPr>
          <w:rFonts w:cstheme="minorHAnsi"/>
          <w:sz w:val="24"/>
          <w:szCs w:val="24"/>
          <w:lang w:val="en-CA"/>
        </w:rPr>
        <w:t xml:space="preserve"> of internal audit recommendations</w:t>
      </w:r>
      <w:r w:rsidR="0039230D" w:rsidRPr="00E30743">
        <w:rPr>
          <w:rFonts w:cstheme="minorHAnsi"/>
          <w:sz w:val="24"/>
          <w:szCs w:val="24"/>
          <w:lang w:val="en-CA"/>
        </w:rPr>
        <w:t xml:space="preserve"> as at 31 March 2023, as </w:t>
      </w:r>
      <w:r w:rsidR="001555A7">
        <w:rPr>
          <w:rFonts w:cstheme="minorHAnsi"/>
          <w:sz w:val="24"/>
          <w:szCs w:val="24"/>
          <w:lang w:val="en-CA"/>
        </w:rPr>
        <w:t>shown below</w:t>
      </w:r>
      <w:r w:rsidR="0039230D" w:rsidRPr="00E30743">
        <w:rPr>
          <w:rFonts w:cstheme="minorHAnsi"/>
          <w:sz w:val="24"/>
          <w:szCs w:val="24"/>
          <w:lang w:val="en-CA"/>
        </w:rPr>
        <w:t>:</w:t>
      </w:r>
    </w:p>
    <w:p w14:paraId="32275637" w14:textId="5AB5AE96" w:rsidR="00ED5E5D" w:rsidRPr="00ED5E5D" w:rsidRDefault="00ED5E5D" w:rsidP="00ED5E5D">
      <w:pPr>
        <w:pStyle w:val="ListParagraph"/>
        <w:adjustRightInd w:val="0"/>
        <w:snapToGrid w:val="0"/>
        <w:spacing w:after="0" w:line="240" w:lineRule="auto"/>
        <w:ind w:left="0"/>
        <w:contextualSpacing w:val="0"/>
        <w:jc w:val="both"/>
        <w:rPr>
          <w:rFonts w:cstheme="minorHAnsi"/>
          <w:lang w:val="en-CA"/>
        </w:rPr>
      </w:pPr>
    </w:p>
    <w:tbl>
      <w:tblPr>
        <w:tblW w:w="9132" w:type="dxa"/>
        <w:tblLook w:val="04A0" w:firstRow="1" w:lastRow="0" w:firstColumn="1" w:lastColumn="0" w:noHBand="0" w:noVBand="1"/>
      </w:tblPr>
      <w:tblGrid>
        <w:gridCol w:w="2147"/>
        <w:gridCol w:w="619"/>
        <w:gridCol w:w="580"/>
        <w:gridCol w:w="619"/>
        <w:gridCol w:w="619"/>
        <w:gridCol w:w="619"/>
        <w:gridCol w:w="580"/>
        <w:gridCol w:w="580"/>
        <w:gridCol w:w="580"/>
        <w:gridCol w:w="619"/>
        <w:gridCol w:w="572"/>
        <w:gridCol w:w="572"/>
        <w:gridCol w:w="580"/>
        <w:gridCol w:w="599"/>
      </w:tblGrid>
      <w:tr w:rsidR="00264777" w:rsidRPr="009B6F35" w14:paraId="7D4B7D77" w14:textId="77777777" w:rsidTr="00FA4DF8">
        <w:trPr>
          <w:trHeight w:val="420"/>
        </w:trPr>
        <w:tc>
          <w:tcPr>
            <w:tcW w:w="2147"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6F77E753"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Year</w:t>
            </w:r>
          </w:p>
        </w:tc>
        <w:tc>
          <w:tcPr>
            <w:tcW w:w="580" w:type="dxa"/>
            <w:tcBorders>
              <w:top w:val="single" w:sz="8" w:space="0" w:color="auto"/>
              <w:left w:val="nil"/>
              <w:bottom w:val="single" w:sz="8" w:space="0" w:color="auto"/>
              <w:right w:val="single" w:sz="8" w:space="0" w:color="auto"/>
            </w:tcBorders>
            <w:shd w:val="clear" w:color="000000" w:fill="000000"/>
            <w:noWrap/>
            <w:vAlign w:val="center"/>
            <w:hideMark/>
          </w:tcPr>
          <w:p w14:paraId="65F251E9"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2011</w:t>
            </w:r>
          </w:p>
        </w:tc>
        <w:tc>
          <w:tcPr>
            <w:tcW w:w="580" w:type="dxa"/>
            <w:tcBorders>
              <w:top w:val="single" w:sz="8" w:space="0" w:color="auto"/>
              <w:left w:val="nil"/>
              <w:bottom w:val="single" w:sz="8" w:space="0" w:color="auto"/>
              <w:right w:val="single" w:sz="8" w:space="0" w:color="auto"/>
            </w:tcBorders>
            <w:shd w:val="clear" w:color="000000" w:fill="000000"/>
            <w:noWrap/>
            <w:vAlign w:val="center"/>
            <w:hideMark/>
          </w:tcPr>
          <w:p w14:paraId="1C3D541A"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2012</w:t>
            </w:r>
          </w:p>
        </w:tc>
        <w:tc>
          <w:tcPr>
            <w:tcW w:w="580" w:type="dxa"/>
            <w:tcBorders>
              <w:top w:val="single" w:sz="8" w:space="0" w:color="auto"/>
              <w:left w:val="nil"/>
              <w:bottom w:val="single" w:sz="8" w:space="0" w:color="auto"/>
              <w:right w:val="single" w:sz="8" w:space="0" w:color="auto"/>
            </w:tcBorders>
            <w:shd w:val="clear" w:color="000000" w:fill="000000"/>
            <w:noWrap/>
            <w:vAlign w:val="center"/>
            <w:hideMark/>
          </w:tcPr>
          <w:p w14:paraId="77D037F8"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2013</w:t>
            </w:r>
          </w:p>
        </w:tc>
        <w:tc>
          <w:tcPr>
            <w:tcW w:w="580" w:type="dxa"/>
            <w:tcBorders>
              <w:top w:val="single" w:sz="8" w:space="0" w:color="auto"/>
              <w:left w:val="nil"/>
              <w:bottom w:val="single" w:sz="8" w:space="0" w:color="auto"/>
              <w:right w:val="single" w:sz="8" w:space="0" w:color="auto"/>
            </w:tcBorders>
            <w:shd w:val="clear" w:color="000000" w:fill="000000"/>
            <w:noWrap/>
            <w:vAlign w:val="center"/>
            <w:hideMark/>
          </w:tcPr>
          <w:p w14:paraId="0A000CB9"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2014</w:t>
            </w:r>
          </w:p>
        </w:tc>
        <w:tc>
          <w:tcPr>
            <w:tcW w:w="580" w:type="dxa"/>
            <w:tcBorders>
              <w:top w:val="single" w:sz="8" w:space="0" w:color="auto"/>
              <w:left w:val="nil"/>
              <w:bottom w:val="single" w:sz="8" w:space="0" w:color="auto"/>
              <w:right w:val="single" w:sz="8" w:space="0" w:color="auto"/>
            </w:tcBorders>
            <w:shd w:val="clear" w:color="000000" w:fill="000000"/>
            <w:noWrap/>
            <w:vAlign w:val="center"/>
            <w:hideMark/>
          </w:tcPr>
          <w:p w14:paraId="3EF4D0C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2015</w:t>
            </w:r>
          </w:p>
        </w:tc>
        <w:tc>
          <w:tcPr>
            <w:tcW w:w="580" w:type="dxa"/>
            <w:tcBorders>
              <w:top w:val="single" w:sz="8" w:space="0" w:color="auto"/>
              <w:left w:val="nil"/>
              <w:bottom w:val="single" w:sz="8" w:space="0" w:color="auto"/>
              <w:right w:val="single" w:sz="8" w:space="0" w:color="auto"/>
            </w:tcBorders>
            <w:shd w:val="clear" w:color="000000" w:fill="000000"/>
            <w:noWrap/>
            <w:vAlign w:val="center"/>
            <w:hideMark/>
          </w:tcPr>
          <w:p w14:paraId="50FA254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2016</w:t>
            </w:r>
          </w:p>
        </w:tc>
        <w:tc>
          <w:tcPr>
            <w:tcW w:w="580" w:type="dxa"/>
            <w:tcBorders>
              <w:top w:val="single" w:sz="8" w:space="0" w:color="auto"/>
              <w:left w:val="nil"/>
              <w:bottom w:val="single" w:sz="8" w:space="0" w:color="auto"/>
              <w:right w:val="single" w:sz="8" w:space="0" w:color="auto"/>
            </w:tcBorders>
            <w:shd w:val="clear" w:color="000000" w:fill="000000"/>
            <w:noWrap/>
            <w:vAlign w:val="center"/>
            <w:hideMark/>
          </w:tcPr>
          <w:p w14:paraId="2774FD78"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2017</w:t>
            </w:r>
          </w:p>
        </w:tc>
        <w:tc>
          <w:tcPr>
            <w:tcW w:w="580" w:type="dxa"/>
            <w:tcBorders>
              <w:top w:val="single" w:sz="8" w:space="0" w:color="auto"/>
              <w:left w:val="nil"/>
              <w:bottom w:val="single" w:sz="8" w:space="0" w:color="auto"/>
              <w:right w:val="single" w:sz="8" w:space="0" w:color="auto"/>
            </w:tcBorders>
            <w:shd w:val="clear" w:color="000000" w:fill="000000"/>
            <w:noWrap/>
            <w:vAlign w:val="center"/>
            <w:hideMark/>
          </w:tcPr>
          <w:p w14:paraId="4E2CB4E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2018</w:t>
            </w:r>
          </w:p>
        </w:tc>
        <w:tc>
          <w:tcPr>
            <w:tcW w:w="580" w:type="dxa"/>
            <w:tcBorders>
              <w:top w:val="single" w:sz="8" w:space="0" w:color="auto"/>
              <w:left w:val="nil"/>
              <w:bottom w:val="single" w:sz="8" w:space="0" w:color="auto"/>
              <w:right w:val="single" w:sz="8" w:space="0" w:color="auto"/>
            </w:tcBorders>
            <w:shd w:val="clear" w:color="000000" w:fill="000000"/>
            <w:noWrap/>
            <w:vAlign w:val="center"/>
            <w:hideMark/>
          </w:tcPr>
          <w:p w14:paraId="24256A6C"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2019</w:t>
            </w:r>
          </w:p>
        </w:tc>
        <w:tc>
          <w:tcPr>
            <w:tcW w:w="386" w:type="dxa"/>
            <w:tcBorders>
              <w:top w:val="single" w:sz="8" w:space="0" w:color="auto"/>
              <w:left w:val="nil"/>
              <w:bottom w:val="single" w:sz="8" w:space="0" w:color="auto"/>
              <w:right w:val="single" w:sz="8" w:space="0" w:color="auto"/>
            </w:tcBorders>
            <w:shd w:val="clear" w:color="000000" w:fill="000000"/>
            <w:vAlign w:val="center"/>
            <w:hideMark/>
          </w:tcPr>
          <w:p w14:paraId="4A707CE9"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2020</w:t>
            </w:r>
          </w:p>
        </w:tc>
        <w:tc>
          <w:tcPr>
            <w:tcW w:w="386" w:type="dxa"/>
            <w:tcBorders>
              <w:top w:val="single" w:sz="8" w:space="0" w:color="auto"/>
              <w:left w:val="nil"/>
              <w:bottom w:val="single" w:sz="8" w:space="0" w:color="auto"/>
              <w:right w:val="single" w:sz="8" w:space="0" w:color="auto"/>
            </w:tcBorders>
            <w:shd w:val="clear" w:color="000000" w:fill="000000"/>
            <w:vAlign w:val="center"/>
            <w:hideMark/>
          </w:tcPr>
          <w:p w14:paraId="5874E204"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2021</w:t>
            </w:r>
          </w:p>
        </w:tc>
        <w:tc>
          <w:tcPr>
            <w:tcW w:w="580" w:type="dxa"/>
            <w:tcBorders>
              <w:top w:val="single" w:sz="8" w:space="0" w:color="auto"/>
              <w:left w:val="nil"/>
              <w:bottom w:val="single" w:sz="8" w:space="0" w:color="auto"/>
              <w:right w:val="single" w:sz="8" w:space="0" w:color="auto"/>
            </w:tcBorders>
            <w:shd w:val="clear" w:color="000000" w:fill="000000"/>
            <w:noWrap/>
            <w:vAlign w:val="center"/>
            <w:hideMark/>
          </w:tcPr>
          <w:p w14:paraId="170F9876"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2022</w:t>
            </w:r>
          </w:p>
        </w:tc>
        <w:tc>
          <w:tcPr>
            <w:tcW w:w="413" w:type="dxa"/>
            <w:tcBorders>
              <w:top w:val="single" w:sz="8" w:space="0" w:color="auto"/>
              <w:left w:val="nil"/>
              <w:bottom w:val="single" w:sz="8" w:space="0" w:color="auto"/>
              <w:right w:val="single" w:sz="8" w:space="0" w:color="auto"/>
            </w:tcBorders>
            <w:shd w:val="clear" w:color="000000" w:fill="000000"/>
            <w:vAlign w:val="center"/>
            <w:hideMark/>
          </w:tcPr>
          <w:p w14:paraId="4C5894A6"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9B6F35">
              <w:rPr>
                <w:rFonts w:ascii="Arial" w:hAnsi="Arial" w:cs="Arial"/>
                <w:b/>
                <w:bCs/>
                <w:color w:val="FFFFFF"/>
                <w:sz w:val="16"/>
                <w:szCs w:val="16"/>
                <w:lang w:eastAsia="en-GB"/>
              </w:rPr>
              <w:t xml:space="preserve">Total </w:t>
            </w:r>
          </w:p>
        </w:tc>
      </w:tr>
      <w:tr w:rsidR="00264777" w:rsidRPr="009B6F35" w14:paraId="0010F69A" w14:textId="77777777" w:rsidTr="00FA4DF8">
        <w:trPr>
          <w:trHeight w:val="300"/>
        </w:trPr>
        <w:tc>
          <w:tcPr>
            <w:tcW w:w="2147" w:type="dxa"/>
            <w:tcBorders>
              <w:top w:val="nil"/>
              <w:left w:val="single" w:sz="8" w:space="0" w:color="auto"/>
              <w:bottom w:val="single" w:sz="8" w:space="0" w:color="auto"/>
              <w:right w:val="single" w:sz="8" w:space="0" w:color="auto"/>
            </w:tcBorders>
            <w:shd w:val="clear" w:color="auto" w:fill="auto"/>
            <w:noWrap/>
            <w:vAlign w:val="center"/>
            <w:hideMark/>
          </w:tcPr>
          <w:p w14:paraId="5419444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9B6F35">
              <w:rPr>
                <w:rFonts w:ascii="Arial" w:hAnsi="Arial" w:cs="Arial"/>
                <w:color w:val="000000"/>
                <w:sz w:val="16"/>
                <w:szCs w:val="16"/>
                <w:lang w:eastAsia="en-GB"/>
              </w:rPr>
              <w:t>Number of audit reports/notes</w:t>
            </w:r>
          </w:p>
        </w:tc>
        <w:tc>
          <w:tcPr>
            <w:tcW w:w="580" w:type="dxa"/>
            <w:tcBorders>
              <w:top w:val="nil"/>
              <w:left w:val="nil"/>
              <w:bottom w:val="single" w:sz="8" w:space="0" w:color="auto"/>
              <w:right w:val="single" w:sz="8" w:space="0" w:color="auto"/>
            </w:tcBorders>
            <w:shd w:val="clear" w:color="auto" w:fill="auto"/>
            <w:noWrap/>
            <w:vAlign w:val="center"/>
            <w:hideMark/>
          </w:tcPr>
          <w:p w14:paraId="685D2FF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2</w:t>
            </w:r>
          </w:p>
        </w:tc>
        <w:tc>
          <w:tcPr>
            <w:tcW w:w="580" w:type="dxa"/>
            <w:tcBorders>
              <w:top w:val="nil"/>
              <w:left w:val="nil"/>
              <w:bottom w:val="single" w:sz="8" w:space="0" w:color="auto"/>
              <w:right w:val="single" w:sz="8" w:space="0" w:color="auto"/>
            </w:tcBorders>
            <w:shd w:val="clear" w:color="auto" w:fill="auto"/>
            <w:noWrap/>
            <w:vAlign w:val="center"/>
            <w:hideMark/>
          </w:tcPr>
          <w:p w14:paraId="5A06A85E"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nil"/>
              <w:bottom w:val="single" w:sz="8" w:space="0" w:color="auto"/>
              <w:right w:val="single" w:sz="8" w:space="0" w:color="auto"/>
            </w:tcBorders>
            <w:shd w:val="clear" w:color="auto" w:fill="auto"/>
            <w:noWrap/>
            <w:vAlign w:val="center"/>
            <w:hideMark/>
          </w:tcPr>
          <w:p w14:paraId="4C760579"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4</w:t>
            </w:r>
          </w:p>
        </w:tc>
        <w:tc>
          <w:tcPr>
            <w:tcW w:w="580" w:type="dxa"/>
            <w:tcBorders>
              <w:top w:val="nil"/>
              <w:left w:val="nil"/>
              <w:bottom w:val="single" w:sz="8" w:space="0" w:color="auto"/>
              <w:right w:val="nil"/>
            </w:tcBorders>
            <w:shd w:val="clear" w:color="auto" w:fill="auto"/>
            <w:noWrap/>
            <w:vAlign w:val="center"/>
            <w:hideMark/>
          </w:tcPr>
          <w:p w14:paraId="66BCDF4D"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4</w:t>
            </w:r>
          </w:p>
        </w:tc>
        <w:tc>
          <w:tcPr>
            <w:tcW w:w="580" w:type="dxa"/>
            <w:tcBorders>
              <w:top w:val="nil"/>
              <w:left w:val="single" w:sz="8" w:space="0" w:color="auto"/>
              <w:bottom w:val="single" w:sz="8" w:space="0" w:color="auto"/>
              <w:right w:val="nil"/>
            </w:tcBorders>
            <w:shd w:val="clear" w:color="auto" w:fill="auto"/>
            <w:noWrap/>
            <w:vAlign w:val="center"/>
            <w:hideMark/>
          </w:tcPr>
          <w:p w14:paraId="76CF7FD6"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7</w:t>
            </w:r>
          </w:p>
        </w:tc>
        <w:tc>
          <w:tcPr>
            <w:tcW w:w="580" w:type="dxa"/>
            <w:tcBorders>
              <w:top w:val="nil"/>
              <w:left w:val="single" w:sz="8" w:space="0" w:color="auto"/>
              <w:bottom w:val="single" w:sz="8" w:space="0" w:color="auto"/>
              <w:right w:val="nil"/>
            </w:tcBorders>
            <w:shd w:val="clear" w:color="auto" w:fill="auto"/>
            <w:noWrap/>
            <w:vAlign w:val="center"/>
            <w:hideMark/>
          </w:tcPr>
          <w:p w14:paraId="1168200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4</w:t>
            </w:r>
          </w:p>
        </w:tc>
        <w:tc>
          <w:tcPr>
            <w:tcW w:w="580" w:type="dxa"/>
            <w:tcBorders>
              <w:top w:val="nil"/>
              <w:left w:val="single" w:sz="8" w:space="0" w:color="auto"/>
              <w:bottom w:val="single" w:sz="8" w:space="0" w:color="auto"/>
              <w:right w:val="nil"/>
            </w:tcBorders>
            <w:shd w:val="clear" w:color="auto" w:fill="auto"/>
            <w:noWrap/>
            <w:vAlign w:val="center"/>
            <w:hideMark/>
          </w:tcPr>
          <w:p w14:paraId="62A1FDA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6</w:t>
            </w:r>
          </w:p>
        </w:tc>
        <w:tc>
          <w:tcPr>
            <w:tcW w:w="580" w:type="dxa"/>
            <w:tcBorders>
              <w:top w:val="nil"/>
              <w:left w:val="single" w:sz="8" w:space="0" w:color="auto"/>
              <w:bottom w:val="single" w:sz="8" w:space="0" w:color="auto"/>
              <w:right w:val="nil"/>
            </w:tcBorders>
            <w:shd w:val="clear" w:color="auto" w:fill="auto"/>
            <w:noWrap/>
            <w:vAlign w:val="center"/>
            <w:hideMark/>
          </w:tcPr>
          <w:p w14:paraId="7B8D6162"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4</w:t>
            </w:r>
          </w:p>
        </w:tc>
        <w:tc>
          <w:tcPr>
            <w:tcW w:w="580" w:type="dxa"/>
            <w:tcBorders>
              <w:top w:val="nil"/>
              <w:left w:val="single" w:sz="8" w:space="0" w:color="auto"/>
              <w:bottom w:val="single" w:sz="8" w:space="0" w:color="auto"/>
              <w:right w:val="nil"/>
            </w:tcBorders>
            <w:shd w:val="clear" w:color="auto" w:fill="auto"/>
            <w:noWrap/>
            <w:vAlign w:val="center"/>
            <w:hideMark/>
          </w:tcPr>
          <w:p w14:paraId="79DDEBC0"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2</w:t>
            </w:r>
          </w:p>
        </w:tc>
        <w:tc>
          <w:tcPr>
            <w:tcW w:w="386" w:type="dxa"/>
            <w:tcBorders>
              <w:top w:val="nil"/>
              <w:left w:val="single" w:sz="8" w:space="0" w:color="auto"/>
              <w:bottom w:val="single" w:sz="8" w:space="0" w:color="auto"/>
              <w:right w:val="single" w:sz="8" w:space="0" w:color="auto"/>
            </w:tcBorders>
            <w:shd w:val="clear" w:color="auto" w:fill="auto"/>
            <w:vAlign w:val="center"/>
            <w:hideMark/>
          </w:tcPr>
          <w:p w14:paraId="51AA2E64"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2</w:t>
            </w:r>
          </w:p>
        </w:tc>
        <w:tc>
          <w:tcPr>
            <w:tcW w:w="386" w:type="dxa"/>
            <w:tcBorders>
              <w:top w:val="nil"/>
              <w:left w:val="nil"/>
              <w:bottom w:val="single" w:sz="8" w:space="0" w:color="auto"/>
              <w:right w:val="single" w:sz="8" w:space="0" w:color="auto"/>
            </w:tcBorders>
            <w:shd w:val="clear" w:color="auto" w:fill="auto"/>
            <w:vAlign w:val="center"/>
            <w:hideMark/>
          </w:tcPr>
          <w:p w14:paraId="08C2A619"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2</w:t>
            </w:r>
          </w:p>
        </w:tc>
        <w:tc>
          <w:tcPr>
            <w:tcW w:w="580" w:type="dxa"/>
            <w:tcBorders>
              <w:top w:val="nil"/>
              <w:left w:val="nil"/>
              <w:bottom w:val="single" w:sz="8" w:space="0" w:color="auto"/>
              <w:right w:val="single" w:sz="8" w:space="0" w:color="auto"/>
            </w:tcBorders>
            <w:shd w:val="clear" w:color="auto" w:fill="auto"/>
            <w:noWrap/>
            <w:vAlign w:val="center"/>
            <w:hideMark/>
          </w:tcPr>
          <w:p w14:paraId="2E6AB28C"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3</w:t>
            </w:r>
          </w:p>
        </w:tc>
        <w:tc>
          <w:tcPr>
            <w:tcW w:w="413" w:type="dxa"/>
            <w:tcBorders>
              <w:top w:val="nil"/>
              <w:left w:val="nil"/>
              <w:bottom w:val="single" w:sz="8" w:space="0" w:color="auto"/>
              <w:right w:val="single" w:sz="8" w:space="0" w:color="auto"/>
            </w:tcBorders>
            <w:shd w:val="clear" w:color="000000" w:fill="A6A6A6"/>
            <w:vAlign w:val="center"/>
            <w:hideMark/>
          </w:tcPr>
          <w:p w14:paraId="4E5077CE"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9B6F35">
              <w:rPr>
                <w:rFonts w:ascii="Arial" w:hAnsi="Arial" w:cs="Arial"/>
                <w:b/>
                <w:bCs/>
                <w:color w:val="000000"/>
                <w:sz w:val="16"/>
                <w:szCs w:val="16"/>
                <w:lang w:eastAsia="en-GB"/>
              </w:rPr>
              <w:t>40</w:t>
            </w:r>
          </w:p>
        </w:tc>
      </w:tr>
      <w:tr w:rsidR="00264777" w:rsidRPr="009B6F35" w14:paraId="71ECD44F" w14:textId="77777777" w:rsidTr="00FA4DF8">
        <w:trPr>
          <w:trHeight w:val="300"/>
        </w:trPr>
        <w:tc>
          <w:tcPr>
            <w:tcW w:w="2147" w:type="dxa"/>
            <w:tcBorders>
              <w:top w:val="nil"/>
              <w:left w:val="single" w:sz="8" w:space="0" w:color="auto"/>
              <w:bottom w:val="single" w:sz="8" w:space="0" w:color="auto"/>
              <w:right w:val="single" w:sz="8" w:space="0" w:color="auto"/>
            </w:tcBorders>
            <w:shd w:val="clear" w:color="auto" w:fill="auto"/>
            <w:noWrap/>
            <w:vAlign w:val="center"/>
            <w:hideMark/>
          </w:tcPr>
          <w:p w14:paraId="25D1207A"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9B6F35">
              <w:rPr>
                <w:rFonts w:ascii="Arial" w:hAnsi="Arial" w:cs="Arial"/>
                <w:color w:val="000000"/>
                <w:sz w:val="16"/>
                <w:szCs w:val="16"/>
                <w:lang w:eastAsia="en-GB"/>
              </w:rPr>
              <w:t>Rec. – Total</w:t>
            </w:r>
          </w:p>
        </w:tc>
        <w:tc>
          <w:tcPr>
            <w:tcW w:w="580" w:type="dxa"/>
            <w:tcBorders>
              <w:top w:val="nil"/>
              <w:left w:val="nil"/>
              <w:bottom w:val="single" w:sz="8" w:space="0" w:color="auto"/>
              <w:right w:val="single" w:sz="8" w:space="0" w:color="auto"/>
            </w:tcBorders>
            <w:shd w:val="clear" w:color="auto" w:fill="auto"/>
            <w:noWrap/>
            <w:vAlign w:val="center"/>
            <w:hideMark/>
          </w:tcPr>
          <w:p w14:paraId="62D7BA7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9B6F35">
              <w:rPr>
                <w:rFonts w:cs="Calibri"/>
                <w:b/>
                <w:bCs/>
                <w:color w:val="000000"/>
                <w:sz w:val="18"/>
                <w:szCs w:val="18"/>
                <w:lang w:eastAsia="en-GB"/>
              </w:rPr>
              <w:t>17</w:t>
            </w:r>
          </w:p>
        </w:tc>
        <w:tc>
          <w:tcPr>
            <w:tcW w:w="580" w:type="dxa"/>
            <w:tcBorders>
              <w:top w:val="nil"/>
              <w:left w:val="nil"/>
              <w:bottom w:val="single" w:sz="8" w:space="0" w:color="auto"/>
              <w:right w:val="single" w:sz="8" w:space="0" w:color="auto"/>
            </w:tcBorders>
            <w:shd w:val="clear" w:color="auto" w:fill="auto"/>
            <w:noWrap/>
            <w:vAlign w:val="bottom"/>
            <w:hideMark/>
          </w:tcPr>
          <w:p w14:paraId="09186B8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color w:val="000000"/>
                <w:sz w:val="20"/>
                <w:lang w:eastAsia="en-GB"/>
              </w:rPr>
            </w:pPr>
            <w:r w:rsidRPr="009B6F35">
              <w:rPr>
                <w:rFonts w:ascii="Times New Roman" w:hAnsi="Times New Roman"/>
                <w:color w:val="000000"/>
                <w:sz w:val="20"/>
                <w:lang w:eastAsia="en-GB"/>
              </w:rPr>
              <w:t> </w:t>
            </w:r>
          </w:p>
        </w:tc>
        <w:tc>
          <w:tcPr>
            <w:tcW w:w="580" w:type="dxa"/>
            <w:tcBorders>
              <w:top w:val="nil"/>
              <w:left w:val="nil"/>
              <w:bottom w:val="single" w:sz="8" w:space="0" w:color="auto"/>
              <w:right w:val="single" w:sz="8" w:space="0" w:color="auto"/>
            </w:tcBorders>
            <w:shd w:val="clear" w:color="auto" w:fill="auto"/>
            <w:noWrap/>
            <w:vAlign w:val="center"/>
            <w:hideMark/>
          </w:tcPr>
          <w:p w14:paraId="08E1D1C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9B6F35">
              <w:rPr>
                <w:rFonts w:cs="Calibri"/>
                <w:b/>
                <w:bCs/>
                <w:color w:val="000000"/>
                <w:sz w:val="18"/>
                <w:szCs w:val="18"/>
                <w:lang w:eastAsia="en-GB"/>
              </w:rPr>
              <w:t>113</w:t>
            </w:r>
          </w:p>
        </w:tc>
        <w:tc>
          <w:tcPr>
            <w:tcW w:w="580" w:type="dxa"/>
            <w:tcBorders>
              <w:top w:val="nil"/>
              <w:left w:val="nil"/>
              <w:bottom w:val="single" w:sz="8" w:space="0" w:color="auto"/>
              <w:right w:val="nil"/>
            </w:tcBorders>
            <w:shd w:val="clear" w:color="auto" w:fill="auto"/>
            <w:noWrap/>
            <w:vAlign w:val="center"/>
            <w:hideMark/>
          </w:tcPr>
          <w:p w14:paraId="5A3A119E"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9B6F35">
              <w:rPr>
                <w:rFonts w:cs="Calibri"/>
                <w:b/>
                <w:bCs/>
                <w:color w:val="000000"/>
                <w:sz w:val="18"/>
                <w:szCs w:val="18"/>
                <w:lang w:eastAsia="en-GB"/>
              </w:rPr>
              <w:t>55</w:t>
            </w:r>
          </w:p>
        </w:tc>
        <w:tc>
          <w:tcPr>
            <w:tcW w:w="580" w:type="dxa"/>
            <w:tcBorders>
              <w:top w:val="nil"/>
              <w:left w:val="single" w:sz="8" w:space="0" w:color="auto"/>
              <w:bottom w:val="single" w:sz="8" w:space="0" w:color="auto"/>
              <w:right w:val="nil"/>
            </w:tcBorders>
            <w:shd w:val="clear" w:color="auto" w:fill="auto"/>
            <w:noWrap/>
            <w:vAlign w:val="center"/>
            <w:hideMark/>
          </w:tcPr>
          <w:p w14:paraId="00C2AF12"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9B6F35">
              <w:rPr>
                <w:rFonts w:cs="Calibri"/>
                <w:b/>
                <w:bCs/>
                <w:color w:val="000000"/>
                <w:sz w:val="18"/>
                <w:szCs w:val="18"/>
                <w:lang w:eastAsia="en-GB"/>
              </w:rPr>
              <w:t>34</w:t>
            </w:r>
          </w:p>
        </w:tc>
        <w:tc>
          <w:tcPr>
            <w:tcW w:w="580" w:type="dxa"/>
            <w:tcBorders>
              <w:top w:val="nil"/>
              <w:left w:val="single" w:sz="8" w:space="0" w:color="auto"/>
              <w:bottom w:val="single" w:sz="8" w:space="0" w:color="auto"/>
              <w:right w:val="nil"/>
            </w:tcBorders>
            <w:shd w:val="clear" w:color="auto" w:fill="auto"/>
            <w:noWrap/>
            <w:vAlign w:val="center"/>
            <w:hideMark/>
          </w:tcPr>
          <w:p w14:paraId="47C302C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9B6F35">
              <w:rPr>
                <w:rFonts w:cs="Calibri"/>
                <w:b/>
                <w:bCs/>
                <w:color w:val="000000"/>
                <w:sz w:val="18"/>
                <w:szCs w:val="18"/>
                <w:lang w:eastAsia="en-GB"/>
              </w:rPr>
              <w:t>15</w:t>
            </w:r>
          </w:p>
        </w:tc>
        <w:tc>
          <w:tcPr>
            <w:tcW w:w="580" w:type="dxa"/>
            <w:tcBorders>
              <w:top w:val="nil"/>
              <w:left w:val="single" w:sz="8" w:space="0" w:color="auto"/>
              <w:bottom w:val="single" w:sz="8" w:space="0" w:color="auto"/>
              <w:right w:val="nil"/>
            </w:tcBorders>
            <w:shd w:val="clear" w:color="auto" w:fill="auto"/>
            <w:noWrap/>
            <w:vAlign w:val="center"/>
            <w:hideMark/>
          </w:tcPr>
          <w:p w14:paraId="1F4D8F5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9B6F35">
              <w:rPr>
                <w:rFonts w:cs="Calibri"/>
                <w:b/>
                <w:bCs/>
                <w:color w:val="000000"/>
                <w:sz w:val="18"/>
                <w:szCs w:val="18"/>
                <w:lang w:eastAsia="en-GB"/>
              </w:rPr>
              <w:t>46</w:t>
            </w:r>
          </w:p>
        </w:tc>
        <w:tc>
          <w:tcPr>
            <w:tcW w:w="580" w:type="dxa"/>
            <w:tcBorders>
              <w:top w:val="nil"/>
              <w:left w:val="single" w:sz="8" w:space="0" w:color="auto"/>
              <w:bottom w:val="single" w:sz="8" w:space="0" w:color="auto"/>
              <w:right w:val="nil"/>
            </w:tcBorders>
            <w:shd w:val="clear" w:color="auto" w:fill="auto"/>
            <w:noWrap/>
            <w:vAlign w:val="center"/>
            <w:hideMark/>
          </w:tcPr>
          <w:p w14:paraId="7D7FD643"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9B6F35">
              <w:rPr>
                <w:rFonts w:cs="Calibri"/>
                <w:b/>
                <w:bCs/>
                <w:color w:val="000000"/>
                <w:sz w:val="18"/>
                <w:szCs w:val="18"/>
                <w:lang w:eastAsia="en-GB"/>
              </w:rPr>
              <w:t>26</w:t>
            </w:r>
          </w:p>
        </w:tc>
        <w:tc>
          <w:tcPr>
            <w:tcW w:w="580" w:type="dxa"/>
            <w:tcBorders>
              <w:top w:val="nil"/>
              <w:left w:val="single" w:sz="8" w:space="0" w:color="auto"/>
              <w:bottom w:val="single" w:sz="8" w:space="0" w:color="auto"/>
              <w:right w:val="nil"/>
            </w:tcBorders>
            <w:shd w:val="clear" w:color="auto" w:fill="auto"/>
            <w:noWrap/>
            <w:vAlign w:val="center"/>
            <w:hideMark/>
          </w:tcPr>
          <w:p w14:paraId="2C4BBF4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9B6F35">
              <w:rPr>
                <w:rFonts w:cs="Calibri"/>
                <w:b/>
                <w:bCs/>
                <w:color w:val="000000"/>
                <w:sz w:val="18"/>
                <w:szCs w:val="18"/>
                <w:lang w:eastAsia="en-GB"/>
              </w:rPr>
              <w:t>15</w:t>
            </w:r>
          </w:p>
        </w:tc>
        <w:tc>
          <w:tcPr>
            <w:tcW w:w="386" w:type="dxa"/>
            <w:tcBorders>
              <w:top w:val="nil"/>
              <w:left w:val="single" w:sz="8" w:space="0" w:color="auto"/>
              <w:bottom w:val="single" w:sz="8" w:space="0" w:color="auto"/>
              <w:right w:val="single" w:sz="8" w:space="0" w:color="auto"/>
            </w:tcBorders>
            <w:shd w:val="clear" w:color="auto" w:fill="auto"/>
            <w:vAlign w:val="center"/>
            <w:hideMark/>
          </w:tcPr>
          <w:p w14:paraId="70F4DE4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9B6F35">
              <w:rPr>
                <w:rFonts w:cs="Calibri"/>
                <w:b/>
                <w:bCs/>
                <w:color w:val="000000"/>
                <w:sz w:val="18"/>
                <w:szCs w:val="18"/>
                <w:lang w:eastAsia="en-GB"/>
              </w:rPr>
              <w:t>9</w:t>
            </w:r>
          </w:p>
        </w:tc>
        <w:tc>
          <w:tcPr>
            <w:tcW w:w="386" w:type="dxa"/>
            <w:tcBorders>
              <w:top w:val="nil"/>
              <w:left w:val="nil"/>
              <w:bottom w:val="single" w:sz="8" w:space="0" w:color="auto"/>
              <w:right w:val="single" w:sz="8" w:space="0" w:color="auto"/>
            </w:tcBorders>
            <w:shd w:val="clear" w:color="auto" w:fill="auto"/>
            <w:vAlign w:val="center"/>
            <w:hideMark/>
          </w:tcPr>
          <w:p w14:paraId="7D003670"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9B6F35">
              <w:rPr>
                <w:rFonts w:cs="Calibri"/>
                <w:b/>
                <w:bCs/>
                <w:color w:val="000000"/>
                <w:sz w:val="18"/>
                <w:szCs w:val="18"/>
                <w:lang w:eastAsia="en-GB"/>
              </w:rPr>
              <w:t>19</w:t>
            </w:r>
          </w:p>
        </w:tc>
        <w:tc>
          <w:tcPr>
            <w:tcW w:w="580" w:type="dxa"/>
            <w:tcBorders>
              <w:top w:val="nil"/>
              <w:left w:val="nil"/>
              <w:bottom w:val="single" w:sz="8" w:space="0" w:color="auto"/>
              <w:right w:val="single" w:sz="8" w:space="0" w:color="auto"/>
            </w:tcBorders>
            <w:shd w:val="clear" w:color="auto" w:fill="auto"/>
            <w:noWrap/>
            <w:vAlign w:val="center"/>
            <w:hideMark/>
          </w:tcPr>
          <w:p w14:paraId="0C354F3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9B6F35">
              <w:rPr>
                <w:rFonts w:cs="Calibri"/>
                <w:b/>
                <w:bCs/>
                <w:color w:val="000000"/>
                <w:sz w:val="18"/>
                <w:szCs w:val="18"/>
                <w:lang w:eastAsia="en-GB"/>
              </w:rPr>
              <w:t>38</w:t>
            </w:r>
          </w:p>
        </w:tc>
        <w:tc>
          <w:tcPr>
            <w:tcW w:w="413" w:type="dxa"/>
            <w:tcBorders>
              <w:top w:val="nil"/>
              <w:left w:val="nil"/>
              <w:bottom w:val="single" w:sz="8" w:space="0" w:color="auto"/>
              <w:right w:val="single" w:sz="8" w:space="0" w:color="auto"/>
            </w:tcBorders>
            <w:shd w:val="clear" w:color="000000" w:fill="A6A6A6"/>
            <w:vAlign w:val="center"/>
            <w:hideMark/>
          </w:tcPr>
          <w:p w14:paraId="742CB370"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9B6F35">
              <w:rPr>
                <w:rFonts w:ascii="Arial" w:hAnsi="Arial" w:cs="Arial"/>
                <w:b/>
                <w:bCs/>
                <w:color w:val="000000"/>
                <w:sz w:val="16"/>
                <w:szCs w:val="16"/>
                <w:lang w:eastAsia="en-GB"/>
              </w:rPr>
              <w:t>387</w:t>
            </w:r>
          </w:p>
        </w:tc>
      </w:tr>
      <w:tr w:rsidR="00264777" w:rsidRPr="009B6F35" w14:paraId="51DB30BC" w14:textId="77777777" w:rsidTr="00FA4DF8">
        <w:trPr>
          <w:trHeight w:val="300"/>
        </w:trPr>
        <w:tc>
          <w:tcPr>
            <w:tcW w:w="2147" w:type="dxa"/>
            <w:tcBorders>
              <w:top w:val="nil"/>
              <w:left w:val="single" w:sz="8" w:space="0" w:color="auto"/>
              <w:bottom w:val="single" w:sz="8" w:space="0" w:color="auto"/>
              <w:right w:val="single" w:sz="8" w:space="0" w:color="auto"/>
            </w:tcBorders>
            <w:shd w:val="clear" w:color="auto" w:fill="auto"/>
            <w:noWrap/>
            <w:vAlign w:val="center"/>
            <w:hideMark/>
          </w:tcPr>
          <w:p w14:paraId="2599C806"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9B6F35">
              <w:rPr>
                <w:rFonts w:ascii="Arial" w:hAnsi="Arial" w:cs="Arial"/>
                <w:color w:val="000000"/>
                <w:sz w:val="16"/>
                <w:szCs w:val="16"/>
                <w:lang w:eastAsia="en-GB"/>
              </w:rPr>
              <w:t xml:space="preserve">    In Progress</w:t>
            </w:r>
          </w:p>
        </w:tc>
        <w:tc>
          <w:tcPr>
            <w:tcW w:w="580" w:type="dxa"/>
            <w:tcBorders>
              <w:top w:val="nil"/>
              <w:left w:val="nil"/>
              <w:bottom w:val="single" w:sz="8" w:space="0" w:color="auto"/>
              <w:right w:val="single" w:sz="8" w:space="0" w:color="auto"/>
            </w:tcBorders>
            <w:shd w:val="clear" w:color="000000" w:fill="FFFFFF"/>
            <w:noWrap/>
            <w:vAlign w:val="center"/>
            <w:hideMark/>
          </w:tcPr>
          <w:p w14:paraId="179B4242"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nil"/>
              <w:bottom w:val="single" w:sz="8" w:space="0" w:color="auto"/>
              <w:right w:val="single" w:sz="8" w:space="0" w:color="auto"/>
            </w:tcBorders>
            <w:shd w:val="clear" w:color="auto" w:fill="auto"/>
            <w:noWrap/>
            <w:vAlign w:val="center"/>
            <w:hideMark/>
          </w:tcPr>
          <w:p w14:paraId="3A499AA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 </w:t>
            </w:r>
          </w:p>
        </w:tc>
        <w:tc>
          <w:tcPr>
            <w:tcW w:w="580" w:type="dxa"/>
            <w:tcBorders>
              <w:top w:val="nil"/>
              <w:left w:val="nil"/>
              <w:bottom w:val="single" w:sz="8" w:space="0" w:color="auto"/>
              <w:right w:val="single" w:sz="8" w:space="0" w:color="auto"/>
            </w:tcBorders>
            <w:shd w:val="clear" w:color="000000" w:fill="FFFFFF"/>
            <w:noWrap/>
            <w:vAlign w:val="center"/>
            <w:hideMark/>
          </w:tcPr>
          <w:p w14:paraId="34BF70E8"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nil"/>
              <w:bottom w:val="single" w:sz="8" w:space="0" w:color="auto"/>
              <w:right w:val="nil"/>
            </w:tcBorders>
            <w:shd w:val="clear" w:color="000000" w:fill="FFFFFF"/>
            <w:noWrap/>
            <w:vAlign w:val="center"/>
            <w:hideMark/>
          </w:tcPr>
          <w:p w14:paraId="2F5B458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single" w:sz="8" w:space="0" w:color="auto"/>
              <w:bottom w:val="single" w:sz="8" w:space="0" w:color="auto"/>
              <w:right w:val="nil"/>
            </w:tcBorders>
            <w:shd w:val="clear" w:color="000000" w:fill="FFFFFF"/>
            <w:noWrap/>
            <w:vAlign w:val="center"/>
            <w:hideMark/>
          </w:tcPr>
          <w:p w14:paraId="5B863BCE"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single" w:sz="8" w:space="0" w:color="auto"/>
              <w:bottom w:val="single" w:sz="8" w:space="0" w:color="auto"/>
              <w:right w:val="nil"/>
            </w:tcBorders>
            <w:shd w:val="clear" w:color="000000" w:fill="FFFFFF"/>
            <w:noWrap/>
            <w:vAlign w:val="center"/>
            <w:hideMark/>
          </w:tcPr>
          <w:p w14:paraId="47B134CA"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Arial"/>
                <w:color w:val="000000"/>
                <w:sz w:val="18"/>
                <w:szCs w:val="18"/>
                <w:lang w:eastAsia="en-GB"/>
              </w:rPr>
              <w:t>2</w:t>
            </w:r>
          </w:p>
        </w:tc>
        <w:tc>
          <w:tcPr>
            <w:tcW w:w="580" w:type="dxa"/>
            <w:tcBorders>
              <w:top w:val="nil"/>
              <w:left w:val="single" w:sz="8" w:space="0" w:color="auto"/>
              <w:bottom w:val="single" w:sz="8" w:space="0" w:color="auto"/>
              <w:right w:val="nil"/>
            </w:tcBorders>
            <w:shd w:val="clear" w:color="000000" w:fill="FFFFFF"/>
            <w:noWrap/>
            <w:vAlign w:val="center"/>
            <w:hideMark/>
          </w:tcPr>
          <w:p w14:paraId="7442F2E2"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Arial"/>
                <w:color w:val="000000"/>
                <w:sz w:val="18"/>
                <w:szCs w:val="18"/>
                <w:lang w:eastAsia="en-GB"/>
              </w:rPr>
              <w:t>7</w:t>
            </w:r>
          </w:p>
        </w:tc>
        <w:tc>
          <w:tcPr>
            <w:tcW w:w="580" w:type="dxa"/>
            <w:tcBorders>
              <w:top w:val="nil"/>
              <w:left w:val="single" w:sz="8" w:space="0" w:color="auto"/>
              <w:bottom w:val="single" w:sz="8" w:space="0" w:color="auto"/>
              <w:right w:val="nil"/>
            </w:tcBorders>
            <w:shd w:val="clear" w:color="000000" w:fill="FFFFFF"/>
            <w:noWrap/>
            <w:vAlign w:val="center"/>
            <w:hideMark/>
          </w:tcPr>
          <w:p w14:paraId="476CCF92"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3</w:t>
            </w:r>
          </w:p>
        </w:tc>
        <w:tc>
          <w:tcPr>
            <w:tcW w:w="580" w:type="dxa"/>
            <w:tcBorders>
              <w:top w:val="nil"/>
              <w:left w:val="single" w:sz="8" w:space="0" w:color="auto"/>
              <w:bottom w:val="single" w:sz="8" w:space="0" w:color="auto"/>
              <w:right w:val="nil"/>
            </w:tcBorders>
            <w:shd w:val="clear" w:color="000000" w:fill="FFFFFF"/>
            <w:noWrap/>
            <w:vAlign w:val="center"/>
            <w:hideMark/>
          </w:tcPr>
          <w:p w14:paraId="3463FD7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386" w:type="dxa"/>
            <w:tcBorders>
              <w:top w:val="nil"/>
              <w:left w:val="single" w:sz="8" w:space="0" w:color="auto"/>
              <w:bottom w:val="single" w:sz="8" w:space="0" w:color="auto"/>
              <w:right w:val="single" w:sz="8" w:space="0" w:color="auto"/>
            </w:tcBorders>
            <w:shd w:val="clear" w:color="auto" w:fill="auto"/>
            <w:vAlign w:val="center"/>
            <w:hideMark/>
          </w:tcPr>
          <w:p w14:paraId="7AFF8782"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w:t>
            </w:r>
          </w:p>
        </w:tc>
        <w:tc>
          <w:tcPr>
            <w:tcW w:w="386" w:type="dxa"/>
            <w:tcBorders>
              <w:top w:val="nil"/>
              <w:left w:val="nil"/>
              <w:bottom w:val="single" w:sz="8" w:space="0" w:color="auto"/>
              <w:right w:val="single" w:sz="8" w:space="0" w:color="auto"/>
            </w:tcBorders>
            <w:shd w:val="clear" w:color="auto" w:fill="auto"/>
            <w:vAlign w:val="center"/>
            <w:hideMark/>
          </w:tcPr>
          <w:p w14:paraId="37FE78C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12</w:t>
            </w:r>
          </w:p>
        </w:tc>
        <w:tc>
          <w:tcPr>
            <w:tcW w:w="580" w:type="dxa"/>
            <w:tcBorders>
              <w:top w:val="nil"/>
              <w:left w:val="nil"/>
              <w:bottom w:val="single" w:sz="8" w:space="0" w:color="auto"/>
              <w:right w:val="single" w:sz="8" w:space="0" w:color="auto"/>
            </w:tcBorders>
            <w:shd w:val="clear" w:color="auto" w:fill="auto"/>
            <w:noWrap/>
            <w:vAlign w:val="center"/>
            <w:hideMark/>
          </w:tcPr>
          <w:p w14:paraId="386CD33F"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15</w:t>
            </w:r>
          </w:p>
        </w:tc>
        <w:tc>
          <w:tcPr>
            <w:tcW w:w="413" w:type="dxa"/>
            <w:tcBorders>
              <w:top w:val="nil"/>
              <w:left w:val="nil"/>
              <w:bottom w:val="single" w:sz="8" w:space="0" w:color="auto"/>
              <w:right w:val="single" w:sz="8" w:space="0" w:color="auto"/>
            </w:tcBorders>
            <w:shd w:val="clear" w:color="000000" w:fill="A6A6A6"/>
            <w:vAlign w:val="center"/>
            <w:hideMark/>
          </w:tcPr>
          <w:p w14:paraId="41F0E703"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9B6F35">
              <w:rPr>
                <w:rFonts w:ascii="Arial" w:hAnsi="Arial" w:cs="Arial"/>
                <w:b/>
                <w:bCs/>
                <w:color w:val="000000"/>
                <w:sz w:val="16"/>
                <w:szCs w:val="16"/>
                <w:lang w:eastAsia="en-GB"/>
              </w:rPr>
              <w:t>40</w:t>
            </w:r>
          </w:p>
        </w:tc>
      </w:tr>
      <w:tr w:rsidR="00264777" w:rsidRPr="009B6F35" w14:paraId="30B07242" w14:textId="77777777" w:rsidTr="00FA4DF8">
        <w:trPr>
          <w:trHeight w:val="300"/>
        </w:trPr>
        <w:tc>
          <w:tcPr>
            <w:tcW w:w="2147" w:type="dxa"/>
            <w:tcBorders>
              <w:top w:val="nil"/>
              <w:left w:val="single" w:sz="8" w:space="0" w:color="auto"/>
              <w:bottom w:val="single" w:sz="8" w:space="0" w:color="auto"/>
              <w:right w:val="single" w:sz="8" w:space="0" w:color="auto"/>
            </w:tcBorders>
            <w:shd w:val="clear" w:color="auto" w:fill="auto"/>
            <w:noWrap/>
            <w:vAlign w:val="center"/>
            <w:hideMark/>
          </w:tcPr>
          <w:p w14:paraId="60E9838C"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9B6F35">
              <w:rPr>
                <w:rFonts w:ascii="Arial" w:hAnsi="Arial" w:cs="Arial"/>
                <w:color w:val="000000"/>
                <w:sz w:val="16"/>
                <w:szCs w:val="16"/>
                <w:lang w:eastAsia="en-GB"/>
              </w:rPr>
              <w:t xml:space="preserve">    Delayed</w:t>
            </w:r>
          </w:p>
        </w:tc>
        <w:tc>
          <w:tcPr>
            <w:tcW w:w="580" w:type="dxa"/>
            <w:tcBorders>
              <w:top w:val="nil"/>
              <w:left w:val="nil"/>
              <w:bottom w:val="single" w:sz="8" w:space="0" w:color="auto"/>
              <w:right w:val="single" w:sz="8" w:space="0" w:color="auto"/>
            </w:tcBorders>
            <w:shd w:val="clear" w:color="000000" w:fill="FFFFFF"/>
            <w:noWrap/>
            <w:vAlign w:val="center"/>
            <w:hideMark/>
          </w:tcPr>
          <w:p w14:paraId="7968773C"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nil"/>
              <w:bottom w:val="single" w:sz="8" w:space="0" w:color="auto"/>
              <w:right w:val="single" w:sz="8" w:space="0" w:color="auto"/>
            </w:tcBorders>
            <w:shd w:val="clear" w:color="auto" w:fill="auto"/>
            <w:noWrap/>
            <w:vAlign w:val="bottom"/>
            <w:hideMark/>
          </w:tcPr>
          <w:p w14:paraId="37B32FC9"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color w:val="000000"/>
                <w:sz w:val="20"/>
                <w:lang w:eastAsia="en-GB"/>
              </w:rPr>
            </w:pPr>
            <w:r w:rsidRPr="009B6F35">
              <w:rPr>
                <w:rFonts w:ascii="Times New Roman" w:hAnsi="Times New Roman"/>
                <w:color w:val="000000"/>
                <w:sz w:val="20"/>
                <w:lang w:eastAsia="en-GB"/>
              </w:rPr>
              <w:t> </w:t>
            </w:r>
          </w:p>
        </w:tc>
        <w:tc>
          <w:tcPr>
            <w:tcW w:w="580" w:type="dxa"/>
            <w:tcBorders>
              <w:top w:val="nil"/>
              <w:left w:val="nil"/>
              <w:bottom w:val="single" w:sz="8" w:space="0" w:color="auto"/>
              <w:right w:val="single" w:sz="8" w:space="0" w:color="auto"/>
            </w:tcBorders>
            <w:shd w:val="clear" w:color="000000" w:fill="FFFFFF"/>
            <w:noWrap/>
            <w:vAlign w:val="center"/>
            <w:hideMark/>
          </w:tcPr>
          <w:p w14:paraId="703CF694"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nil"/>
              <w:bottom w:val="single" w:sz="8" w:space="0" w:color="auto"/>
              <w:right w:val="nil"/>
            </w:tcBorders>
            <w:shd w:val="clear" w:color="000000" w:fill="FFFFFF"/>
            <w:noWrap/>
            <w:vAlign w:val="center"/>
            <w:hideMark/>
          </w:tcPr>
          <w:p w14:paraId="6DCC6D52"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single" w:sz="8" w:space="0" w:color="auto"/>
              <w:bottom w:val="single" w:sz="8" w:space="0" w:color="auto"/>
              <w:right w:val="nil"/>
            </w:tcBorders>
            <w:shd w:val="clear" w:color="000000" w:fill="FFFFFF"/>
            <w:noWrap/>
            <w:vAlign w:val="center"/>
            <w:hideMark/>
          </w:tcPr>
          <w:p w14:paraId="568ACFCF"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single" w:sz="8" w:space="0" w:color="auto"/>
              <w:bottom w:val="single" w:sz="8" w:space="0" w:color="auto"/>
              <w:right w:val="nil"/>
            </w:tcBorders>
            <w:shd w:val="clear" w:color="000000" w:fill="FFFFFF"/>
            <w:noWrap/>
            <w:vAlign w:val="center"/>
            <w:hideMark/>
          </w:tcPr>
          <w:p w14:paraId="26531D2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single" w:sz="8" w:space="0" w:color="auto"/>
              <w:bottom w:val="single" w:sz="8" w:space="0" w:color="auto"/>
              <w:right w:val="nil"/>
            </w:tcBorders>
            <w:shd w:val="clear" w:color="000000" w:fill="FFFFFF"/>
            <w:noWrap/>
            <w:vAlign w:val="center"/>
            <w:hideMark/>
          </w:tcPr>
          <w:p w14:paraId="5D91482A"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single" w:sz="8" w:space="0" w:color="auto"/>
              <w:bottom w:val="single" w:sz="8" w:space="0" w:color="auto"/>
              <w:right w:val="nil"/>
            </w:tcBorders>
            <w:shd w:val="clear" w:color="000000" w:fill="FFFFFF"/>
            <w:noWrap/>
            <w:vAlign w:val="center"/>
            <w:hideMark/>
          </w:tcPr>
          <w:p w14:paraId="298A508C"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single" w:sz="8" w:space="0" w:color="auto"/>
              <w:bottom w:val="single" w:sz="8" w:space="0" w:color="auto"/>
              <w:right w:val="nil"/>
            </w:tcBorders>
            <w:shd w:val="clear" w:color="000000" w:fill="FFFFFF"/>
            <w:noWrap/>
            <w:vAlign w:val="center"/>
            <w:hideMark/>
          </w:tcPr>
          <w:p w14:paraId="3A40C3CE"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386" w:type="dxa"/>
            <w:tcBorders>
              <w:top w:val="nil"/>
              <w:left w:val="single" w:sz="8" w:space="0" w:color="auto"/>
              <w:bottom w:val="single" w:sz="8" w:space="0" w:color="auto"/>
              <w:right w:val="single" w:sz="8" w:space="0" w:color="auto"/>
            </w:tcBorders>
            <w:shd w:val="clear" w:color="auto" w:fill="auto"/>
            <w:vAlign w:val="center"/>
            <w:hideMark/>
          </w:tcPr>
          <w:p w14:paraId="61A49179"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386" w:type="dxa"/>
            <w:tcBorders>
              <w:top w:val="nil"/>
              <w:left w:val="nil"/>
              <w:bottom w:val="single" w:sz="8" w:space="0" w:color="auto"/>
              <w:right w:val="single" w:sz="8" w:space="0" w:color="auto"/>
            </w:tcBorders>
            <w:shd w:val="clear" w:color="auto" w:fill="auto"/>
            <w:vAlign w:val="center"/>
            <w:hideMark/>
          </w:tcPr>
          <w:p w14:paraId="016DAE6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3</w:t>
            </w:r>
          </w:p>
        </w:tc>
        <w:tc>
          <w:tcPr>
            <w:tcW w:w="580" w:type="dxa"/>
            <w:tcBorders>
              <w:top w:val="nil"/>
              <w:left w:val="nil"/>
              <w:bottom w:val="single" w:sz="8" w:space="0" w:color="auto"/>
              <w:right w:val="single" w:sz="8" w:space="0" w:color="auto"/>
            </w:tcBorders>
            <w:shd w:val="clear" w:color="auto" w:fill="auto"/>
            <w:noWrap/>
            <w:vAlign w:val="center"/>
            <w:hideMark/>
          </w:tcPr>
          <w:p w14:paraId="67C90214"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5</w:t>
            </w:r>
          </w:p>
        </w:tc>
        <w:tc>
          <w:tcPr>
            <w:tcW w:w="413" w:type="dxa"/>
            <w:tcBorders>
              <w:top w:val="nil"/>
              <w:left w:val="nil"/>
              <w:bottom w:val="single" w:sz="8" w:space="0" w:color="auto"/>
              <w:right w:val="single" w:sz="8" w:space="0" w:color="auto"/>
            </w:tcBorders>
            <w:shd w:val="clear" w:color="000000" w:fill="A6A6A6"/>
            <w:vAlign w:val="center"/>
            <w:hideMark/>
          </w:tcPr>
          <w:p w14:paraId="2561B6D9"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9B6F35">
              <w:rPr>
                <w:rFonts w:ascii="Arial" w:hAnsi="Arial" w:cs="Arial"/>
                <w:b/>
                <w:bCs/>
                <w:color w:val="000000"/>
                <w:sz w:val="16"/>
                <w:szCs w:val="16"/>
                <w:lang w:eastAsia="en-GB"/>
              </w:rPr>
              <w:t>8</w:t>
            </w:r>
          </w:p>
        </w:tc>
      </w:tr>
      <w:tr w:rsidR="00264777" w:rsidRPr="009B6F35" w14:paraId="067DACBA" w14:textId="77777777" w:rsidTr="00FA4DF8">
        <w:trPr>
          <w:trHeight w:val="300"/>
        </w:trPr>
        <w:tc>
          <w:tcPr>
            <w:tcW w:w="2147" w:type="dxa"/>
            <w:tcBorders>
              <w:top w:val="nil"/>
              <w:left w:val="single" w:sz="8" w:space="0" w:color="auto"/>
              <w:bottom w:val="single" w:sz="8" w:space="0" w:color="auto"/>
              <w:right w:val="single" w:sz="8" w:space="0" w:color="auto"/>
            </w:tcBorders>
            <w:shd w:val="clear" w:color="auto" w:fill="auto"/>
            <w:noWrap/>
            <w:vAlign w:val="center"/>
            <w:hideMark/>
          </w:tcPr>
          <w:p w14:paraId="7C1C162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9B6F35">
              <w:rPr>
                <w:rFonts w:ascii="Arial" w:hAnsi="Arial" w:cs="Arial"/>
                <w:color w:val="000000"/>
                <w:sz w:val="16"/>
                <w:szCs w:val="16"/>
                <w:lang w:eastAsia="en-GB"/>
              </w:rPr>
              <w:t xml:space="preserve">    Closed</w:t>
            </w:r>
          </w:p>
        </w:tc>
        <w:tc>
          <w:tcPr>
            <w:tcW w:w="580" w:type="dxa"/>
            <w:tcBorders>
              <w:top w:val="nil"/>
              <w:left w:val="nil"/>
              <w:bottom w:val="single" w:sz="8" w:space="0" w:color="auto"/>
              <w:right w:val="single" w:sz="8" w:space="0" w:color="auto"/>
            </w:tcBorders>
            <w:shd w:val="clear" w:color="000000" w:fill="FFFFFF"/>
            <w:noWrap/>
            <w:vAlign w:val="center"/>
            <w:hideMark/>
          </w:tcPr>
          <w:p w14:paraId="5C89ED1E"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17</w:t>
            </w:r>
          </w:p>
        </w:tc>
        <w:tc>
          <w:tcPr>
            <w:tcW w:w="580" w:type="dxa"/>
            <w:tcBorders>
              <w:top w:val="nil"/>
              <w:left w:val="nil"/>
              <w:bottom w:val="single" w:sz="8" w:space="0" w:color="auto"/>
              <w:right w:val="single" w:sz="8" w:space="0" w:color="auto"/>
            </w:tcBorders>
            <w:shd w:val="clear" w:color="auto" w:fill="auto"/>
            <w:noWrap/>
            <w:vAlign w:val="center"/>
            <w:hideMark/>
          </w:tcPr>
          <w:p w14:paraId="325A7EED"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 </w:t>
            </w:r>
          </w:p>
        </w:tc>
        <w:tc>
          <w:tcPr>
            <w:tcW w:w="580" w:type="dxa"/>
            <w:tcBorders>
              <w:top w:val="nil"/>
              <w:left w:val="nil"/>
              <w:bottom w:val="single" w:sz="8" w:space="0" w:color="auto"/>
              <w:right w:val="single" w:sz="8" w:space="0" w:color="auto"/>
            </w:tcBorders>
            <w:shd w:val="clear" w:color="000000" w:fill="FFFFFF"/>
            <w:noWrap/>
            <w:vAlign w:val="center"/>
            <w:hideMark/>
          </w:tcPr>
          <w:p w14:paraId="54C41A92"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113</w:t>
            </w:r>
          </w:p>
        </w:tc>
        <w:tc>
          <w:tcPr>
            <w:tcW w:w="580" w:type="dxa"/>
            <w:tcBorders>
              <w:top w:val="nil"/>
              <w:left w:val="nil"/>
              <w:bottom w:val="single" w:sz="8" w:space="0" w:color="auto"/>
              <w:right w:val="nil"/>
            </w:tcBorders>
            <w:shd w:val="clear" w:color="000000" w:fill="FFFFFF"/>
            <w:noWrap/>
            <w:vAlign w:val="center"/>
            <w:hideMark/>
          </w:tcPr>
          <w:p w14:paraId="023C300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55</w:t>
            </w:r>
          </w:p>
        </w:tc>
        <w:tc>
          <w:tcPr>
            <w:tcW w:w="580" w:type="dxa"/>
            <w:tcBorders>
              <w:top w:val="nil"/>
              <w:left w:val="single" w:sz="8" w:space="0" w:color="auto"/>
              <w:bottom w:val="single" w:sz="8" w:space="0" w:color="auto"/>
              <w:right w:val="nil"/>
            </w:tcBorders>
            <w:shd w:val="clear" w:color="000000" w:fill="FFFFFF"/>
            <w:noWrap/>
            <w:vAlign w:val="center"/>
            <w:hideMark/>
          </w:tcPr>
          <w:p w14:paraId="5A0B3FFA"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34</w:t>
            </w:r>
          </w:p>
        </w:tc>
        <w:tc>
          <w:tcPr>
            <w:tcW w:w="580" w:type="dxa"/>
            <w:tcBorders>
              <w:top w:val="nil"/>
              <w:left w:val="single" w:sz="8" w:space="0" w:color="auto"/>
              <w:bottom w:val="single" w:sz="8" w:space="0" w:color="auto"/>
              <w:right w:val="nil"/>
            </w:tcBorders>
            <w:shd w:val="clear" w:color="000000" w:fill="FFFFFF"/>
            <w:noWrap/>
            <w:vAlign w:val="center"/>
            <w:hideMark/>
          </w:tcPr>
          <w:p w14:paraId="7CA245F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13</w:t>
            </w:r>
          </w:p>
        </w:tc>
        <w:tc>
          <w:tcPr>
            <w:tcW w:w="580" w:type="dxa"/>
            <w:tcBorders>
              <w:top w:val="nil"/>
              <w:left w:val="single" w:sz="8" w:space="0" w:color="auto"/>
              <w:bottom w:val="single" w:sz="8" w:space="0" w:color="auto"/>
              <w:right w:val="nil"/>
            </w:tcBorders>
            <w:shd w:val="clear" w:color="000000" w:fill="FFFFFF"/>
            <w:noWrap/>
            <w:vAlign w:val="center"/>
            <w:hideMark/>
          </w:tcPr>
          <w:p w14:paraId="78622383"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Arial"/>
                <w:color w:val="000000"/>
                <w:sz w:val="18"/>
                <w:szCs w:val="18"/>
                <w:lang w:eastAsia="en-GB"/>
              </w:rPr>
              <w:t>39</w:t>
            </w:r>
          </w:p>
        </w:tc>
        <w:tc>
          <w:tcPr>
            <w:tcW w:w="580" w:type="dxa"/>
            <w:tcBorders>
              <w:top w:val="nil"/>
              <w:left w:val="single" w:sz="8" w:space="0" w:color="auto"/>
              <w:bottom w:val="single" w:sz="8" w:space="0" w:color="auto"/>
              <w:right w:val="nil"/>
            </w:tcBorders>
            <w:shd w:val="clear" w:color="000000" w:fill="FFFFFF"/>
            <w:noWrap/>
            <w:vAlign w:val="center"/>
            <w:hideMark/>
          </w:tcPr>
          <w:p w14:paraId="67F94742"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23</w:t>
            </w:r>
          </w:p>
        </w:tc>
        <w:tc>
          <w:tcPr>
            <w:tcW w:w="580" w:type="dxa"/>
            <w:tcBorders>
              <w:top w:val="nil"/>
              <w:left w:val="single" w:sz="8" w:space="0" w:color="auto"/>
              <w:bottom w:val="single" w:sz="8" w:space="0" w:color="auto"/>
              <w:right w:val="nil"/>
            </w:tcBorders>
            <w:shd w:val="clear" w:color="000000" w:fill="FFFFFF"/>
            <w:noWrap/>
            <w:vAlign w:val="center"/>
            <w:hideMark/>
          </w:tcPr>
          <w:p w14:paraId="612F93C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15</w:t>
            </w:r>
          </w:p>
        </w:tc>
        <w:tc>
          <w:tcPr>
            <w:tcW w:w="386" w:type="dxa"/>
            <w:tcBorders>
              <w:top w:val="nil"/>
              <w:left w:val="single" w:sz="8" w:space="0" w:color="auto"/>
              <w:bottom w:val="single" w:sz="8" w:space="0" w:color="auto"/>
              <w:right w:val="single" w:sz="8" w:space="0" w:color="auto"/>
            </w:tcBorders>
            <w:shd w:val="clear" w:color="auto" w:fill="auto"/>
            <w:vAlign w:val="center"/>
            <w:hideMark/>
          </w:tcPr>
          <w:p w14:paraId="794438B6"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8</w:t>
            </w:r>
          </w:p>
        </w:tc>
        <w:tc>
          <w:tcPr>
            <w:tcW w:w="386" w:type="dxa"/>
            <w:tcBorders>
              <w:top w:val="nil"/>
              <w:left w:val="nil"/>
              <w:bottom w:val="single" w:sz="8" w:space="0" w:color="auto"/>
              <w:right w:val="single" w:sz="8" w:space="0" w:color="auto"/>
            </w:tcBorders>
            <w:shd w:val="clear" w:color="auto" w:fill="auto"/>
            <w:vAlign w:val="center"/>
            <w:hideMark/>
          </w:tcPr>
          <w:p w14:paraId="4940AA02"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4</w:t>
            </w:r>
          </w:p>
        </w:tc>
        <w:tc>
          <w:tcPr>
            <w:tcW w:w="580" w:type="dxa"/>
            <w:tcBorders>
              <w:top w:val="nil"/>
              <w:left w:val="nil"/>
              <w:bottom w:val="single" w:sz="8" w:space="0" w:color="auto"/>
              <w:right w:val="single" w:sz="8" w:space="0" w:color="auto"/>
            </w:tcBorders>
            <w:shd w:val="clear" w:color="auto" w:fill="auto"/>
            <w:noWrap/>
            <w:vAlign w:val="center"/>
            <w:hideMark/>
          </w:tcPr>
          <w:p w14:paraId="50C6ED5C"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18</w:t>
            </w:r>
          </w:p>
        </w:tc>
        <w:tc>
          <w:tcPr>
            <w:tcW w:w="413" w:type="dxa"/>
            <w:tcBorders>
              <w:top w:val="nil"/>
              <w:left w:val="nil"/>
              <w:bottom w:val="single" w:sz="8" w:space="0" w:color="auto"/>
              <w:right w:val="single" w:sz="8" w:space="0" w:color="auto"/>
            </w:tcBorders>
            <w:shd w:val="clear" w:color="000000" w:fill="A6A6A6"/>
            <w:vAlign w:val="center"/>
            <w:hideMark/>
          </w:tcPr>
          <w:p w14:paraId="7A8CCC1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9B6F35">
              <w:rPr>
                <w:rFonts w:ascii="Arial" w:hAnsi="Arial" w:cs="Arial"/>
                <w:b/>
                <w:bCs/>
                <w:color w:val="000000"/>
                <w:sz w:val="16"/>
                <w:szCs w:val="16"/>
                <w:lang w:eastAsia="en-GB"/>
              </w:rPr>
              <w:t>339</w:t>
            </w:r>
          </w:p>
        </w:tc>
      </w:tr>
      <w:tr w:rsidR="00264777" w:rsidRPr="009B6F35" w14:paraId="34310879" w14:textId="77777777" w:rsidTr="00FA4DF8">
        <w:trPr>
          <w:trHeight w:val="300"/>
        </w:trPr>
        <w:tc>
          <w:tcPr>
            <w:tcW w:w="2147" w:type="dxa"/>
            <w:tcBorders>
              <w:top w:val="nil"/>
              <w:left w:val="nil"/>
              <w:bottom w:val="nil"/>
              <w:right w:val="nil"/>
            </w:tcBorders>
            <w:shd w:val="clear" w:color="auto" w:fill="auto"/>
            <w:noWrap/>
            <w:vAlign w:val="bottom"/>
            <w:hideMark/>
          </w:tcPr>
          <w:p w14:paraId="1E581B7D"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p>
        </w:tc>
        <w:tc>
          <w:tcPr>
            <w:tcW w:w="580" w:type="dxa"/>
            <w:tcBorders>
              <w:top w:val="nil"/>
              <w:left w:val="nil"/>
              <w:bottom w:val="nil"/>
              <w:right w:val="nil"/>
            </w:tcBorders>
            <w:shd w:val="clear" w:color="000000" w:fill="FFFFFF"/>
            <w:noWrap/>
            <w:vAlign w:val="center"/>
            <w:hideMark/>
          </w:tcPr>
          <w:p w14:paraId="35233B90"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eastAsia="en-GB"/>
              </w:rPr>
            </w:pPr>
            <w:r w:rsidRPr="009B6F35">
              <w:rPr>
                <w:rFonts w:ascii="Arial" w:hAnsi="Arial" w:cs="Arial"/>
                <w:color w:val="000000"/>
                <w:sz w:val="18"/>
                <w:szCs w:val="18"/>
                <w:lang w:eastAsia="en-GB"/>
              </w:rPr>
              <w:t> </w:t>
            </w:r>
          </w:p>
        </w:tc>
        <w:tc>
          <w:tcPr>
            <w:tcW w:w="580" w:type="dxa"/>
            <w:tcBorders>
              <w:top w:val="nil"/>
              <w:left w:val="nil"/>
              <w:bottom w:val="nil"/>
              <w:right w:val="nil"/>
            </w:tcBorders>
            <w:shd w:val="clear" w:color="auto" w:fill="auto"/>
            <w:noWrap/>
            <w:vAlign w:val="center"/>
            <w:hideMark/>
          </w:tcPr>
          <w:p w14:paraId="23B0E326"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eastAsia="en-GB"/>
              </w:rPr>
            </w:pPr>
          </w:p>
        </w:tc>
        <w:tc>
          <w:tcPr>
            <w:tcW w:w="580" w:type="dxa"/>
            <w:tcBorders>
              <w:top w:val="nil"/>
              <w:left w:val="nil"/>
              <w:bottom w:val="nil"/>
              <w:right w:val="nil"/>
            </w:tcBorders>
            <w:shd w:val="clear" w:color="000000" w:fill="FFFFFF"/>
            <w:noWrap/>
            <w:vAlign w:val="center"/>
            <w:hideMark/>
          </w:tcPr>
          <w:p w14:paraId="5406E87E"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eastAsia="en-GB"/>
              </w:rPr>
            </w:pPr>
            <w:r w:rsidRPr="009B6F35">
              <w:rPr>
                <w:rFonts w:ascii="Arial" w:hAnsi="Arial" w:cs="Arial"/>
                <w:color w:val="000000"/>
                <w:sz w:val="18"/>
                <w:szCs w:val="18"/>
                <w:lang w:eastAsia="en-GB"/>
              </w:rPr>
              <w:t> </w:t>
            </w:r>
          </w:p>
        </w:tc>
        <w:tc>
          <w:tcPr>
            <w:tcW w:w="580" w:type="dxa"/>
            <w:tcBorders>
              <w:top w:val="nil"/>
              <w:left w:val="nil"/>
              <w:bottom w:val="nil"/>
              <w:right w:val="nil"/>
            </w:tcBorders>
            <w:shd w:val="clear" w:color="000000" w:fill="FFFFFF"/>
            <w:noWrap/>
            <w:vAlign w:val="center"/>
            <w:hideMark/>
          </w:tcPr>
          <w:p w14:paraId="281212C0"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eastAsia="en-GB"/>
              </w:rPr>
            </w:pPr>
            <w:r w:rsidRPr="009B6F35">
              <w:rPr>
                <w:rFonts w:ascii="Arial" w:hAnsi="Arial" w:cs="Arial"/>
                <w:color w:val="000000"/>
                <w:sz w:val="18"/>
                <w:szCs w:val="18"/>
                <w:lang w:eastAsia="en-GB"/>
              </w:rPr>
              <w:t> </w:t>
            </w:r>
          </w:p>
        </w:tc>
        <w:tc>
          <w:tcPr>
            <w:tcW w:w="580" w:type="dxa"/>
            <w:tcBorders>
              <w:top w:val="nil"/>
              <w:left w:val="nil"/>
              <w:bottom w:val="nil"/>
              <w:right w:val="nil"/>
            </w:tcBorders>
            <w:shd w:val="clear" w:color="000000" w:fill="FFFFFF"/>
            <w:noWrap/>
            <w:vAlign w:val="center"/>
            <w:hideMark/>
          </w:tcPr>
          <w:p w14:paraId="58661595"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eastAsia="en-GB"/>
              </w:rPr>
            </w:pPr>
            <w:r w:rsidRPr="009B6F35">
              <w:rPr>
                <w:rFonts w:ascii="Arial" w:hAnsi="Arial" w:cs="Arial"/>
                <w:color w:val="000000"/>
                <w:sz w:val="18"/>
                <w:szCs w:val="18"/>
                <w:lang w:eastAsia="en-GB"/>
              </w:rPr>
              <w:t> </w:t>
            </w:r>
          </w:p>
        </w:tc>
        <w:tc>
          <w:tcPr>
            <w:tcW w:w="580" w:type="dxa"/>
            <w:tcBorders>
              <w:top w:val="nil"/>
              <w:left w:val="nil"/>
              <w:bottom w:val="nil"/>
              <w:right w:val="nil"/>
            </w:tcBorders>
            <w:shd w:val="clear" w:color="000000" w:fill="FFFFFF"/>
            <w:noWrap/>
            <w:vAlign w:val="center"/>
            <w:hideMark/>
          </w:tcPr>
          <w:p w14:paraId="5F56DA0E"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eastAsia="en-GB"/>
              </w:rPr>
            </w:pPr>
            <w:r w:rsidRPr="009B6F35">
              <w:rPr>
                <w:rFonts w:ascii="Arial" w:hAnsi="Arial" w:cs="Arial"/>
                <w:color w:val="000000"/>
                <w:sz w:val="18"/>
                <w:szCs w:val="18"/>
                <w:lang w:eastAsia="en-GB"/>
              </w:rPr>
              <w:t> </w:t>
            </w:r>
          </w:p>
        </w:tc>
        <w:tc>
          <w:tcPr>
            <w:tcW w:w="580" w:type="dxa"/>
            <w:tcBorders>
              <w:top w:val="nil"/>
              <w:left w:val="nil"/>
              <w:bottom w:val="nil"/>
              <w:right w:val="nil"/>
            </w:tcBorders>
            <w:shd w:val="clear" w:color="000000" w:fill="FFFFFF"/>
            <w:noWrap/>
            <w:vAlign w:val="center"/>
            <w:hideMark/>
          </w:tcPr>
          <w:p w14:paraId="21F83EA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eastAsia="en-GB"/>
              </w:rPr>
            </w:pPr>
            <w:r w:rsidRPr="009B6F35">
              <w:rPr>
                <w:rFonts w:ascii="Arial" w:hAnsi="Arial" w:cs="Arial"/>
                <w:color w:val="000000"/>
                <w:sz w:val="18"/>
                <w:szCs w:val="18"/>
                <w:lang w:eastAsia="en-GB"/>
              </w:rPr>
              <w:t> </w:t>
            </w:r>
          </w:p>
        </w:tc>
        <w:tc>
          <w:tcPr>
            <w:tcW w:w="580" w:type="dxa"/>
            <w:tcBorders>
              <w:top w:val="nil"/>
              <w:left w:val="nil"/>
              <w:bottom w:val="nil"/>
              <w:right w:val="nil"/>
            </w:tcBorders>
            <w:shd w:val="clear" w:color="000000" w:fill="FFFFFF"/>
            <w:noWrap/>
            <w:vAlign w:val="center"/>
            <w:hideMark/>
          </w:tcPr>
          <w:p w14:paraId="4B875D69"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eastAsia="en-GB"/>
              </w:rPr>
            </w:pPr>
            <w:r w:rsidRPr="009B6F35">
              <w:rPr>
                <w:rFonts w:ascii="Arial" w:hAnsi="Arial" w:cs="Arial"/>
                <w:color w:val="000000"/>
                <w:sz w:val="18"/>
                <w:szCs w:val="18"/>
                <w:lang w:eastAsia="en-GB"/>
              </w:rPr>
              <w:t> </w:t>
            </w:r>
          </w:p>
        </w:tc>
        <w:tc>
          <w:tcPr>
            <w:tcW w:w="580" w:type="dxa"/>
            <w:tcBorders>
              <w:top w:val="nil"/>
              <w:left w:val="nil"/>
              <w:bottom w:val="nil"/>
              <w:right w:val="nil"/>
            </w:tcBorders>
            <w:shd w:val="clear" w:color="000000" w:fill="FFFFFF"/>
            <w:noWrap/>
            <w:vAlign w:val="center"/>
            <w:hideMark/>
          </w:tcPr>
          <w:p w14:paraId="23176475"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eastAsia="en-GB"/>
              </w:rPr>
            </w:pPr>
            <w:r w:rsidRPr="009B6F35">
              <w:rPr>
                <w:rFonts w:ascii="Arial" w:hAnsi="Arial" w:cs="Arial"/>
                <w:b/>
                <w:bCs/>
                <w:color w:val="000000"/>
                <w:sz w:val="18"/>
                <w:szCs w:val="18"/>
                <w:lang w:eastAsia="en-GB"/>
              </w:rPr>
              <w:t> </w:t>
            </w:r>
          </w:p>
        </w:tc>
        <w:tc>
          <w:tcPr>
            <w:tcW w:w="386" w:type="dxa"/>
            <w:tcBorders>
              <w:top w:val="nil"/>
              <w:left w:val="nil"/>
              <w:bottom w:val="nil"/>
              <w:right w:val="nil"/>
            </w:tcBorders>
            <w:shd w:val="clear" w:color="000000" w:fill="FFFFFF"/>
            <w:vAlign w:val="center"/>
            <w:hideMark/>
          </w:tcPr>
          <w:p w14:paraId="537591C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eastAsia="en-GB"/>
              </w:rPr>
            </w:pPr>
            <w:r w:rsidRPr="009B6F35">
              <w:rPr>
                <w:rFonts w:ascii="Arial" w:hAnsi="Arial" w:cs="Arial"/>
                <w:b/>
                <w:bCs/>
                <w:color w:val="000000"/>
                <w:sz w:val="18"/>
                <w:szCs w:val="18"/>
                <w:lang w:eastAsia="en-GB"/>
              </w:rPr>
              <w:t> </w:t>
            </w:r>
          </w:p>
        </w:tc>
        <w:tc>
          <w:tcPr>
            <w:tcW w:w="386" w:type="dxa"/>
            <w:tcBorders>
              <w:top w:val="nil"/>
              <w:left w:val="nil"/>
              <w:bottom w:val="nil"/>
              <w:right w:val="nil"/>
            </w:tcBorders>
            <w:shd w:val="clear" w:color="000000" w:fill="FFFFFF"/>
            <w:vAlign w:val="center"/>
            <w:hideMark/>
          </w:tcPr>
          <w:p w14:paraId="60665EC0"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eastAsia="en-GB"/>
              </w:rPr>
            </w:pPr>
            <w:r w:rsidRPr="009B6F35">
              <w:rPr>
                <w:rFonts w:ascii="Arial" w:hAnsi="Arial" w:cs="Arial"/>
                <w:b/>
                <w:bCs/>
                <w:color w:val="000000"/>
                <w:sz w:val="18"/>
                <w:szCs w:val="18"/>
                <w:lang w:eastAsia="en-GB"/>
              </w:rPr>
              <w:t> </w:t>
            </w:r>
          </w:p>
        </w:tc>
        <w:tc>
          <w:tcPr>
            <w:tcW w:w="580" w:type="dxa"/>
            <w:tcBorders>
              <w:top w:val="nil"/>
              <w:left w:val="nil"/>
              <w:bottom w:val="nil"/>
              <w:right w:val="nil"/>
            </w:tcBorders>
            <w:shd w:val="clear" w:color="auto" w:fill="auto"/>
            <w:noWrap/>
            <w:vAlign w:val="center"/>
            <w:hideMark/>
          </w:tcPr>
          <w:p w14:paraId="524DD553"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eastAsia="en-GB"/>
              </w:rPr>
            </w:pPr>
          </w:p>
        </w:tc>
        <w:tc>
          <w:tcPr>
            <w:tcW w:w="413" w:type="dxa"/>
            <w:tcBorders>
              <w:top w:val="nil"/>
              <w:left w:val="nil"/>
              <w:bottom w:val="nil"/>
              <w:right w:val="nil"/>
            </w:tcBorders>
            <w:shd w:val="clear" w:color="000000" w:fill="FFFFFF"/>
            <w:vAlign w:val="center"/>
            <w:hideMark/>
          </w:tcPr>
          <w:p w14:paraId="0EFDA85F"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color w:val="000000"/>
                <w:sz w:val="20"/>
                <w:lang w:eastAsia="en-GB"/>
              </w:rPr>
            </w:pPr>
            <w:r w:rsidRPr="009B6F35">
              <w:rPr>
                <w:rFonts w:ascii="Times New Roman" w:hAnsi="Times New Roman"/>
                <w:color w:val="000000"/>
                <w:sz w:val="20"/>
                <w:lang w:eastAsia="en-GB"/>
              </w:rPr>
              <w:t> </w:t>
            </w:r>
          </w:p>
        </w:tc>
      </w:tr>
      <w:tr w:rsidR="00264777" w:rsidRPr="009B6F35" w14:paraId="3BD00002" w14:textId="77777777" w:rsidTr="00FA4DF8">
        <w:trPr>
          <w:trHeight w:val="300"/>
        </w:trPr>
        <w:tc>
          <w:tcPr>
            <w:tcW w:w="21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1EDA2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9B6F35">
              <w:rPr>
                <w:rFonts w:ascii="Arial" w:hAnsi="Arial" w:cs="Arial"/>
                <w:color w:val="000000"/>
                <w:sz w:val="16"/>
                <w:szCs w:val="16"/>
                <w:lang w:eastAsia="en-GB"/>
              </w:rPr>
              <w:t>% of rec. In Progress</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32A30B7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33FBA82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eastAsia="en-GB"/>
              </w:rPr>
            </w:pPr>
            <w:r w:rsidRPr="009B6F35">
              <w:rPr>
                <w:rFonts w:ascii="Arial" w:hAnsi="Arial" w:cs="Arial"/>
                <w:color w:val="000000"/>
                <w:sz w:val="18"/>
                <w:szCs w:val="18"/>
                <w:lang w:eastAsia="en-GB"/>
              </w:rPr>
              <w:t> </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586EA46D"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27A6D5A5"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465EF1EF"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4374333E"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13%</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5BDEAE0F"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15%</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08C85BCE"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12%</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0976A5F6"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386" w:type="dxa"/>
            <w:tcBorders>
              <w:top w:val="single" w:sz="8" w:space="0" w:color="auto"/>
              <w:left w:val="nil"/>
              <w:bottom w:val="single" w:sz="8" w:space="0" w:color="auto"/>
              <w:right w:val="single" w:sz="8" w:space="0" w:color="auto"/>
            </w:tcBorders>
            <w:shd w:val="clear" w:color="auto" w:fill="auto"/>
            <w:noWrap/>
            <w:vAlign w:val="center"/>
            <w:hideMark/>
          </w:tcPr>
          <w:p w14:paraId="27C983B8"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11%</w:t>
            </w:r>
          </w:p>
        </w:tc>
        <w:tc>
          <w:tcPr>
            <w:tcW w:w="386" w:type="dxa"/>
            <w:tcBorders>
              <w:top w:val="single" w:sz="8" w:space="0" w:color="auto"/>
              <w:left w:val="nil"/>
              <w:bottom w:val="single" w:sz="8" w:space="0" w:color="auto"/>
              <w:right w:val="single" w:sz="8" w:space="0" w:color="auto"/>
            </w:tcBorders>
            <w:shd w:val="clear" w:color="auto" w:fill="auto"/>
            <w:noWrap/>
            <w:vAlign w:val="center"/>
            <w:hideMark/>
          </w:tcPr>
          <w:p w14:paraId="78CEE9E8"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63%</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34F04EBC"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39%</w:t>
            </w:r>
          </w:p>
        </w:tc>
        <w:tc>
          <w:tcPr>
            <w:tcW w:w="413" w:type="dxa"/>
            <w:tcBorders>
              <w:top w:val="single" w:sz="8" w:space="0" w:color="auto"/>
              <w:left w:val="nil"/>
              <w:bottom w:val="single" w:sz="8" w:space="0" w:color="auto"/>
              <w:right w:val="single" w:sz="8" w:space="0" w:color="auto"/>
            </w:tcBorders>
            <w:shd w:val="clear" w:color="000000" w:fill="A6A6A6"/>
            <w:vAlign w:val="center"/>
            <w:hideMark/>
          </w:tcPr>
          <w:p w14:paraId="02095A0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9B6F35">
              <w:rPr>
                <w:rFonts w:ascii="Arial" w:hAnsi="Arial" w:cs="Arial"/>
                <w:b/>
                <w:bCs/>
                <w:color w:val="000000"/>
                <w:sz w:val="16"/>
                <w:szCs w:val="16"/>
                <w:lang w:eastAsia="en-GB"/>
              </w:rPr>
              <w:t>10%</w:t>
            </w:r>
          </w:p>
        </w:tc>
      </w:tr>
      <w:tr w:rsidR="00264777" w:rsidRPr="009B6F35" w14:paraId="77F3A4A3" w14:textId="77777777" w:rsidTr="00FA4DF8">
        <w:trPr>
          <w:trHeight w:val="300"/>
        </w:trPr>
        <w:tc>
          <w:tcPr>
            <w:tcW w:w="2147" w:type="dxa"/>
            <w:tcBorders>
              <w:top w:val="nil"/>
              <w:left w:val="single" w:sz="8" w:space="0" w:color="auto"/>
              <w:bottom w:val="single" w:sz="8" w:space="0" w:color="auto"/>
              <w:right w:val="single" w:sz="8" w:space="0" w:color="auto"/>
            </w:tcBorders>
            <w:shd w:val="clear" w:color="auto" w:fill="auto"/>
            <w:noWrap/>
            <w:vAlign w:val="center"/>
            <w:hideMark/>
          </w:tcPr>
          <w:p w14:paraId="359D266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9B6F35">
              <w:rPr>
                <w:rFonts w:ascii="Arial" w:hAnsi="Arial" w:cs="Arial"/>
                <w:color w:val="000000"/>
                <w:sz w:val="16"/>
                <w:szCs w:val="16"/>
                <w:lang w:eastAsia="en-GB"/>
              </w:rPr>
              <w:t>% of rec. Delayed</w:t>
            </w:r>
          </w:p>
        </w:tc>
        <w:tc>
          <w:tcPr>
            <w:tcW w:w="580" w:type="dxa"/>
            <w:tcBorders>
              <w:top w:val="nil"/>
              <w:left w:val="nil"/>
              <w:bottom w:val="single" w:sz="8" w:space="0" w:color="auto"/>
              <w:right w:val="single" w:sz="8" w:space="0" w:color="auto"/>
            </w:tcBorders>
            <w:shd w:val="clear" w:color="auto" w:fill="auto"/>
            <w:noWrap/>
            <w:vAlign w:val="center"/>
            <w:hideMark/>
          </w:tcPr>
          <w:p w14:paraId="68D7B19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nil"/>
              <w:bottom w:val="single" w:sz="8" w:space="0" w:color="auto"/>
              <w:right w:val="single" w:sz="8" w:space="0" w:color="auto"/>
            </w:tcBorders>
            <w:shd w:val="clear" w:color="auto" w:fill="auto"/>
            <w:noWrap/>
            <w:vAlign w:val="center"/>
            <w:hideMark/>
          </w:tcPr>
          <w:p w14:paraId="35C5863D"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 </w:t>
            </w:r>
          </w:p>
        </w:tc>
        <w:tc>
          <w:tcPr>
            <w:tcW w:w="580" w:type="dxa"/>
            <w:tcBorders>
              <w:top w:val="nil"/>
              <w:left w:val="nil"/>
              <w:bottom w:val="single" w:sz="8" w:space="0" w:color="auto"/>
              <w:right w:val="single" w:sz="8" w:space="0" w:color="auto"/>
            </w:tcBorders>
            <w:shd w:val="clear" w:color="auto" w:fill="auto"/>
            <w:noWrap/>
            <w:vAlign w:val="center"/>
            <w:hideMark/>
          </w:tcPr>
          <w:p w14:paraId="75BBA075"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nil"/>
              <w:bottom w:val="single" w:sz="8" w:space="0" w:color="auto"/>
              <w:right w:val="single" w:sz="8" w:space="0" w:color="auto"/>
            </w:tcBorders>
            <w:shd w:val="clear" w:color="auto" w:fill="auto"/>
            <w:noWrap/>
            <w:vAlign w:val="center"/>
            <w:hideMark/>
          </w:tcPr>
          <w:p w14:paraId="3A07A19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nil"/>
              <w:bottom w:val="single" w:sz="8" w:space="0" w:color="auto"/>
              <w:right w:val="single" w:sz="8" w:space="0" w:color="auto"/>
            </w:tcBorders>
            <w:shd w:val="clear" w:color="auto" w:fill="auto"/>
            <w:noWrap/>
            <w:vAlign w:val="center"/>
            <w:hideMark/>
          </w:tcPr>
          <w:p w14:paraId="51CEE5B6"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nil"/>
              <w:bottom w:val="single" w:sz="8" w:space="0" w:color="auto"/>
              <w:right w:val="single" w:sz="8" w:space="0" w:color="auto"/>
            </w:tcBorders>
            <w:shd w:val="clear" w:color="auto" w:fill="auto"/>
            <w:noWrap/>
            <w:vAlign w:val="center"/>
            <w:hideMark/>
          </w:tcPr>
          <w:p w14:paraId="094F586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nil"/>
              <w:bottom w:val="single" w:sz="8" w:space="0" w:color="auto"/>
              <w:right w:val="single" w:sz="8" w:space="0" w:color="auto"/>
            </w:tcBorders>
            <w:shd w:val="clear" w:color="auto" w:fill="auto"/>
            <w:noWrap/>
            <w:vAlign w:val="center"/>
            <w:hideMark/>
          </w:tcPr>
          <w:p w14:paraId="43FE2BDF"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nil"/>
              <w:bottom w:val="single" w:sz="8" w:space="0" w:color="auto"/>
              <w:right w:val="single" w:sz="8" w:space="0" w:color="auto"/>
            </w:tcBorders>
            <w:shd w:val="clear" w:color="auto" w:fill="auto"/>
            <w:noWrap/>
            <w:vAlign w:val="center"/>
            <w:hideMark/>
          </w:tcPr>
          <w:p w14:paraId="08E5F16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580" w:type="dxa"/>
            <w:tcBorders>
              <w:top w:val="nil"/>
              <w:left w:val="nil"/>
              <w:bottom w:val="single" w:sz="8" w:space="0" w:color="auto"/>
              <w:right w:val="single" w:sz="8" w:space="0" w:color="auto"/>
            </w:tcBorders>
            <w:shd w:val="clear" w:color="auto" w:fill="auto"/>
            <w:noWrap/>
            <w:vAlign w:val="center"/>
            <w:hideMark/>
          </w:tcPr>
          <w:p w14:paraId="786B3C75"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386" w:type="dxa"/>
            <w:tcBorders>
              <w:top w:val="nil"/>
              <w:left w:val="nil"/>
              <w:bottom w:val="single" w:sz="8" w:space="0" w:color="auto"/>
              <w:right w:val="single" w:sz="8" w:space="0" w:color="auto"/>
            </w:tcBorders>
            <w:shd w:val="clear" w:color="auto" w:fill="auto"/>
            <w:noWrap/>
            <w:vAlign w:val="center"/>
            <w:hideMark/>
          </w:tcPr>
          <w:p w14:paraId="44FB433F"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0%</w:t>
            </w:r>
          </w:p>
        </w:tc>
        <w:tc>
          <w:tcPr>
            <w:tcW w:w="386" w:type="dxa"/>
            <w:tcBorders>
              <w:top w:val="nil"/>
              <w:left w:val="nil"/>
              <w:bottom w:val="single" w:sz="8" w:space="0" w:color="auto"/>
              <w:right w:val="single" w:sz="8" w:space="0" w:color="auto"/>
            </w:tcBorders>
            <w:shd w:val="clear" w:color="auto" w:fill="auto"/>
            <w:noWrap/>
            <w:vAlign w:val="center"/>
            <w:hideMark/>
          </w:tcPr>
          <w:p w14:paraId="764FB3B5"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16%</w:t>
            </w:r>
          </w:p>
        </w:tc>
        <w:tc>
          <w:tcPr>
            <w:tcW w:w="580" w:type="dxa"/>
            <w:tcBorders>
              <w:top w:val="nil"/>
              <w:left w:val="nil"/>
              <w:bottom w:val="single" w:sz="8" w:space="0" w:color="auto"/>
              <w:right w:val="single" w:sz="8" w:space="0" w:color="auto"/>
            </w:tcBorders>
            <w:shd w:val="clear" w:color="auto" w:fill="auto"/>
            <w:noWrap/>
            <w:vAlign w:val="center"/>
            <w:hideMark/>
          </w:tcPr>
          <w:p w14:paraId="6AAE0F34"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13%</w:t>
            </w:r>
          </w:p>
        </w:tc>
        <w:tc>
          <w:tcPr>
            <w:tcW w:w="413" w:type="dxa"/>
            <w:tcBorders>
              <w:top w:val="nil"/>
              <w:left w:val="nil"/>
              <w:bottom w:val="single" w:sz="8" w:space="0" w:color="auto"/>
              <w:right w:val="single" w:sz="8" w:space="0" w:color="auto"/>
            </w:tcBorders>
            <w:shd w:val="clear" w:color="000000" w:fill="A6A6A6"/>
            <w:vAlign w:val="center"/>
            <w:hideMark/>
          </w:tcPr>
          <w:p w14:paraId="328A1FD3"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9B6F35">
              <w:rPr>
                <w:rFonts w:ascii="Arial" w:hAnsi="Arial" w:cs="Arial"/>
                <w:b/>
                <w:bCs/>
                <w:color w:val="000000"/>
                <w:sz w:val="16"/>
                <w:szCs w:val="16"/>
                <w:lang w:eastAsia="en-GB"/>
              </w:rPr>
              <w:t>2%</w:t>
            </w:r>
          </w:p>
        </w:tc>
      </w:tr>
      <w:tr w:rsidR="00264777" w:rsidRPr="009B6F35" w14:paraId="3E72A22A" w14:textId="77777777" w:rsidTr="00FA4DF8">
        <w:trPr>
          <w:trHeight w:val="300"/>
        </w:trPr>
        <w:tc>
          <w:tcPr>
            <w:tcW w:w="2147" w:type="dxa"/>
            <w:tcBorders>
              <w:top w:val="nil"/>
              <w:left w:val="single" w:sz="8" w:space="0" w:color="auto"/>
              <w:bottom w:val="single" w:sz="8" w:space="0" w:color="auto"/>
              <w:right w:val="single" w:sz="8" w:space="0" w:color="auto"/>
            </w:tcBorders>
            <w:shd w:val="clear" w:color="auto" w:fill="auto"/>
            <w:noWrap/>
            <w:vAlign w:val="center"/>
            <w:hideMark/>
          </w:tcPr>
          <w:p w14:paraId="58FFE9E3"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9B6F35">
              <w:rPr>
                <w:rFonts w:ascii="Arial" w:hAnsi="Arial" w:cs="Arial"/>
                <w:color w:val="000000"/>
                <w:sz w:val="16"/>
                <w:szCs w:val="16"/>
                <w:lang w:eastAsia="en-GB"/>
              </w:rPr>
              <w:t>% of rec. Closed</w:t>
            </w:r>
          </w:p>
        </w:tc>
        <w:tc>
          <w:tcPr>
            <w:tcW w:w="580" w:type="dxa"/>
            <w:tcBorders>
              <w:top w:val="nil"/>
              <w:left w:val="nil"/>
              <w:bottom w:val="single" w:sz="8" w:space="0" w:color="auto"/>
              <w:right w:val="single" w:sz="8" w:space="0" w:color="auto"/>
            </w:tcBorders>
            <w:shd w:val="clear" w:color="auto" w:fill="auto"/>
            <w:noWrap/>
            <w:vAlign w:val="center"/>
            <w:hideMark/>
          </w:tcPr>
          <w:p w14:paraId="6CBCA039"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100%</w:t>
            </w:r>
          </w:p>
        </w:tc>
        <w:tc>
          <w:tcPr>
            <w:tcW w:w="580" w:type="dxa"/>
            <w:tcBorders>
              <w:top w:val="nil"/>
              <w:left w:val="nil"/>
              <w:bottom w:val="single" w:sz="8" w:space="0" w:color="auto"/>
              <w:right w:val="single" w:sz="8" w:space="0" w:color="auto"/>
            </w:tcBorders>
            <w:shd w:val="clear" w:color="auto" w:fill="auto"/>
            <w:noWrap/>
            <w:vAlign w:val="bottom"/>
            <w:hideMark/>
          </w:tcPr>
          <w:p w14:paraId="1B5BA71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color w:val="000000"/>
                <w:sz w:val="20"/>
                <w:lang w:eastAsia="en-GB"/>
              </w:rPr>
            </w:pPr>
            <w:r w:rsidRPr="009B6F35">
              <w:rPr>
                <w:rFonts w:ascii="Times New Roman" w:hAnsi="Times New Roman"/>
                <w:color w:val="000000"/>
                <w:sz w:val="20"/>
                <w:lang w:eastAsia="en-GB"/>
              </w:rPr>
              <w:t> </w:t>
            </w:r>
          </w:p>
        </w:tc>
        <w:tc>
          <w:tcPr>
            <w:tcW w:w="580" w:type="dxa"/>
            <w:tcBorders>
              <w:top w:val="nil"/>
              <w:left w:val="nil"/>
              <w:bottom w:val="single" w:sz="8" w:space="0" w:color="auto"/>
              <w:right w:val="single" w:sz="8" w:space="0" w:color="auto"/>
            </w:tcBorders>
            <w:shd w:val="clear" w:color="auto" w:fill="auto"/>
            <w:noWrap/>
            <w:vAlign w:val="center"/>
            <w:hideMark/>
          </w:tcPr>
          <w:p w14:paraId="2625E4EA"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100%</w:t>
            </w:r>
          </w:p>
        </w:tc>
        <w:tc>
          <w:tcPr>
            <w:tcW w:w="580" w:type="dxa"/>
            <w:tcBorders>
              <w:top w:val="nil"/>
              <w:left w:val="nil"/>
              <w:bottom w:val="single" w:sz="8" w:space="0" w:color="auto"/>
              <w:right w:val="single" w:sz="8" w:space="0" w:color="auto"/>
            </w:tcBorders>
            <w:shd w:val="clear" w:color="auto" w:fill="auto"/>
            <w:noWrap/>
            <w:vAlign w:val="center"/>
            <w:hideMark/>
          </w:tcPr>
          <w:p w14:paraId="16CBAA65"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100%</w:t>
            </w:r>
          </w:p>
        </w:tc>
        <w:tc>
          <w:tcPr>
            <w:tcW w:w="580" w:type="dxa"/>
            <w:tcBorders>
              <w:top w:val="nil"/>
              <w:left w:val="nil"/>
              <w:bottom w:val="single" w:sz="8" w:space="0" w:color="auto"/>
              <w:right w:val="single" w:sz="8" w:space="0" w:color="auto"/>
            </w:tcBorders>
            <w:shd w:val="clear" w:color="auto" w:fill="auto"/>
            <w:noWrap/>
            <w:vAlign w:val="center"/>
            <w:hideMark/>
          </w:tcPr>
          <w:p w14:paraId="1E549FD0"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100%</w:t>
            </w:r>
          </w:p>
        </w:tc>
        <w:tc>
          <w:tcPr>
            <w:tcW w:w="580" w:type="dxa"/>
            <w:tcBorders>
              <w:top w:val="nil"/>
              <w:left w:val="nil"/>
              <w:bottom w:val="single" w:sz="8" w:space="0" w:color="auto"/>
              <w:right w:val="single" w:sz="8" w:space="0" w:color="auto"/>
            </w:tcBorders>
            <w:shd w:val="clear" w:color="auto" w:fill="auto"/>
            <w:noWrap/>
            <w:vAlign w:val="center"/>
            <w:hideMark/>
          </w:tcPr>
          <w:p w14:paraId="2F83AE1A"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87%</w:t>
            </w:r>
          </w:p>
        </w:tc>
        <w:tc>
          <w:tcPr>
            <w:tcW w:w="580" w:type="dxa"/>
            <w:tcBorders>
              <w:top w:val="nil"/>
              <w:left w:val="nil"/>
              <w:bottom w:val="single" w:sz="8" w:space="0" w:color="auto"/>
              <w:right w:val="single" w:sz="8" w:space="0" w:color="auto"/>
            </w:tcBorders>
            <w:shd w:val="clear" w:color="auto" w:fill="auto"/>
            <w:noWrap/>
            <w:vAlign w:val="center"/>
            <w:hideMark/>
          </w:tcPr>
          <w:p w14:paraId="69BAF67B"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85%</w:t>
            </w:r>
          </w:p>
        </w:tc>
        <w:tc>
          <w:tcPr>
            <w:tcW w:w="580" w:type="dxa"/>
            <w:tcBorders>
              <w:top w:val="nil"/>
              <w:left w:val="nil"/>
              <w:bottom w:val="single" w:sz="8" w:space="0" w:color="auto"/>
              <w:right w:val="single" w:sz="8" w:space="0" w:color="auto"/>
            </w:tcBorders>
            <w:shd w:val="clear" w:color="auto" w:fill="auto"/>
            <w:noWrap/>
            <w:vAlign w:val="center"/>
            <w:hideMark/>
          </w:tcPr>
          <w:p w14:paraId="448EC11F"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88%</w:t>
            </w:r>
          </w:p>
        </w:tc>
        <w:tc>
          <w:tcPr>
            <w:tcW w:w="580" w:type="dxa"/>
            <w:tcBorders>
              <w:top w:val="nil"/>
              <w:left w:val="nil"/>
              <w:bottom w:val="single" w:sz="8" w:space="0" w:color="auto"/>
              <w:right w:val="single" w:sz="8" w:space="0" w:color="auto"/>
            </w:tcBorders>
            <w:shd w:val="clear" w:color="auto" w:fill="auto"/>
            <w:noWrap/>
            <w:vAlign w:val="center"/>
            <w:hideMark/>
          </w:tcPr>
          <w:p w14:paraId="3393A671"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100%</w:t>
            </w:r>
          </w:p>
        </w:tc>
        <w:tc>
          <w:tcPr>
            <w:tcW w:w="386" w:type="dxa"/>
            <w:tcBorders>
              <w:top w:val="nil"/>
              <w:left w:val="nil"/>
              <w:bottom w:val="single" w:sz="8" w:space="0" w:color="auto"/>
              <w:right w:val="single" w:sz="8" w:space="0" w:color="auto"/>
            </w:tcBorders>
            <w:shd w:val="clear" w:color="auto" w:fill="auto"/>
            <w:noWrap/>
            <w:vAlign w:val="center"/>
            <w:hideMark/>
          </w:tcPr>
          <w:p w14:paraId="42651145"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89%</w:t>
            </w:r>
          </w:p>
        </w:tc>
        <w:tc>
          <w:tcPr>
            <w:tcW w:w="386" w:type="dxa"/>
            <w:tcBorders>
              <w:top w:val="nil"/>
              <w:left w:val="nil"/>
              <w:bottom w:val="single" w:sz="8" w:space="0" w:color="auto"/>
              <w:right w:val="single" w:sz="8" w:space="0" w:color="auto"/>
            </w:tcBorders>
            <w:shd w:val="clear" w:color="auto" w:fill="auto"/>
            <w:noWrap/>
            <w:vAlign w:val="center"/>
            <w:hideMark/>
          </w:tcPr>
          <w:p w14:paraId="3A546433"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21%</w:t>
            </w:r>
          </w:p>
        </w:tc>
        <w:tc>
          <w:tcPr>
            <w:tcW w:w="580" w:type="dxa"/>
            <w:tcBorders>
              <w:top w:val="nil"/>
              <w:left w:val="nil"/>
              <w:bottom w:val="single" w:sz="8" w:space="0" w:color="auto"/>
              <w:right w:val="single" w:sz="8" w:space="0" w:color="auto"/>
            </w:tcBorders>
            <w:shd w:val="clear" w:color="auto" w:fill="auto"/>
            <w:noWrap/>
            <w:vAlign w:val="center"/>
            <w:hideMark/>
          </w:tcPr>
          <w:p w14:paraId="5294D417"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9B6F35">
              <w:rPr>
                <w:rFonts w:cs="Calibri"/>
                <w:color w:val="000000"/>
                <w:sz w:val="18"/>
                <w:szCs w:val="18"/>
                <w:lang w:eastAsia="en-GB"/>
              </w:rPr>
              <w:t>47%</w:t>
            </w:r>
          </w:p>
        </w:tc>
        <w:tc>
          <w:tcPr>
            <w:tcW w:w="413" w:type="dxa"/>
            <w:tcBorders>
              <w:top w:val="nil"/>
              <w:left w:val="nil"/>
              <w:bottom w:val="single" w:sz="8" w:space="0" w:color="auto"/>
              <w:right w:val="single" w:sz="8" w:space="0" w:color="auto"/>
            </w:tcBorders>
            <w:shd w:val="clear" w:color="000000" w:fill="A6A6A6"/>
            <w:vAlign w:val="center"/>
            <w:hideMark/>
          </w:tcPr>
          <w:p w14:paraId="32994ED9" w14:textId="77777777" w:rsidR="00264777" w:rsidRPr="009B6F35" w:rsidRDefault="00264777" w:rsidP="00FA4DF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9B6F35">
              <w:rPr>
                <w:rFonts w:ascii="Arial" w:hAnsi="Arial" w:cs="Arial"/>
                <w:b/>
                <w:bCs/>
                <w:color w:val="000000"/>
                <w:sz w:val="16"/>
                <w:szCs w:val="16"/>
                <w:lang w:eastAsia="en-GB"/>
              </w:rPr>
              <w:t>88%</w:t>
            </w:r>
          </w:p>
        </w:tc>
      </w:tr>
    </w:tbl>
    <w:p w14:paraId="510A8426" w14:textId="2FF9EB34" w:rsidR="00ED5E5D" w:rsidRPr="00430C06" w:rsidRDefault="00430C06" w:rsidP="00430C06">
      <w:pPr>
        <w:pStyle w:val="ListParagraph"/>
        <w:adjustRightInd w:val="0"/>
        <w:snapToGrid w:val="0"/>
        <w:spacing w:before="600" w:after="0" w:line="240" w:lineRule="auto"/>
        <w:ind w:left="0"/>
        <w:contextualSpacing w:val="0"/>
        <w:jc w:val="center"/>
        <w:rPr>
          <w:rFonts w:cstheme="minorHAnsi"/>
          <w:sz w:val="24"/>
          <w:szCs w:val="24"/>
          <w:lang w:val="en-CA"/>
        </w:rPr>
      </w:pPr>
      <w:r w:rsidRPr="00430C06">
        <w:rPr>
          <w:rFonts w:cstheme="minorHAnsi"/>
          <w:sz w:val="24"/>
          <w:szCs w:val="24"/>
          <w:lang w:val="en-CA"/>
        </w:rPr>
        <w:t>________________</w:t>
      </w:r>
    </w:p>
    <w:sectPr w:rsidR="00ED5E5D" w:rsidRPr="00430C06"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774A" w14:textId="77777777" w:rsidR="009174D8" w:rsidRDefault="009174D8">
      <w:r>
        <w:separator/>
      </w:r>
    </w:p>
  </w:endnote>
  <w:endnote w:type="continuationSeparator" w:id="0">
    <w:p w14:paraId="1842D9EF" w14:textId="77777777" w:rsidR="009174D8" w:rsidRDefault="0091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429C684A" w:rsidR="00EE49E8" w:rsidRDefault="00EE49E8" w:rsidP="00EE49E8">
          <w:pPr>
            <w:pStyle w:val="Header"/>
            <w:jc w:val="left"/>
            <w:rPr>
              <w:noProof/>
            </w:rPr>
          </w:pPr>
          <w:r>
            <w:rPr>
              <w:noProof/>
            </w:rPr>
            <w:t xml:space="preserve">DPS </w:t>
          </w:r>
          <w:r w:rsidR="005113C0">
            <w:rPr>
              <w:noProof/>
            </w:rPr>
            <w:t>521078</w:t>
          </w:r>
        </w:p>
      </w:tc>
      <w:tc>
        <w:tcPr>
          <w:tcW w:w="8261" w:type="dxa"/>
        </w:tcPr>
        <w:p w14:paraId="35709C74" w14:textId="3221E22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86476D">
            <w:rPr>
              <w:bCs/>
            </w:rPr>
            <w:t>44</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3D1EE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120D5B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056D81">
            <w:rPr>
              <w:bCs/>
            </w:rPr>
            <w:t>44</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4528" w14:textId="77777777" w:rsidR="009174D8" w:rsidRDefault="009174D8">
      <w:r>
        <w:t>____________________</w:t>
      </w:r>
    </w:p>
  </w:footnote>
  <w:footnote w:type="continuationSeparator" w:id="0">
    <w:p w14:paraId="1ACDED3D" w14:textId="77777777" w:rsidR="009174D8" w:rsidRDefault="009174D8">
      <w:r>
        <w:continuationSeparator/>
      </w:r>
    </w:p>
  </w:footnote>
  <w:footnote w:id="1">
    <w:p w14:paraId="29629048" w14:textId="5FC23962" w:rsidR="00056D81" w:rsidRPr="00056D81" w:rsidRDefault="00056D81" w:rsidP="00430C06">
      <w:pPr>
        <w:pStyle w:val="FootnoteText"/>
        <w:tabs>
          <w:tab w:val="clear" w:pos="256"/>
          <w:tab w:val="clear" w:pos="567"/>
          <w:tab w:val="clear" w:pos="1134"/>
          <w:tab w:val="clear" w:pos="1701"/>
          <w:tab w:val="clear" w:pos="2268"/>
          <w:tab w:val="clear" w:pos="2835"/>
        </w:tabs>
        <w:spacing w:before="0"/>
        <w:ind w:left="284" w:hanging="284"/>
      </w:pPr>
      <w:r>
        <w:rPr>
          <w:rStyle w:val="FootnoteReference"/>
        </w:rPr>
        <w:footnoteRef/>
      </w:r>
      <w:r>
        <w:t xml:space="preserve"> </w:t>
      </w:r>
      <w:r w:rsidR="00430C06">
        <w:tab/>
      </w:r>
      <w:r w:rsidRPr="00E30743">
        <w:rPr>
          <w:rFonts w:cs="Calibri"/>
          <w:sz w:val="18"/>
          <w:szCs w:val="18"/>
        </w:rPr>
        <w:t>Service Order 13/09, promulgated by the Secretary-General on 27 June 2013</w:t>
      </w:r>
    </w:p>
  </w:footnote>
  <w:footnote w:id="2">
    <w:p w14:paraId="035E23DF" w14:textId="39204A48" w:rsidR="00056D81" w:rsidRPr="00371775" w:rsidRDefault="00056D81" w:rsidP="00430C06">
      <w:pPr>
        <w:pStyle w:val="FootnoteText"/>
        <w:tabs>
          <w:tab w:val="clear" w:pos="256"/>
          <w:tab w:val="clear" w:pos="567"/>
          <w:tab w:val="clear" w:pos="1134"/>
          <w:tab w:val="clear" w:pos="1701"/>
          <w:tab w:val="clear" w:pos="2268"/>
          <w:tab w:val="clear" w:pos="2835"/>
        </w:tabs>
        <w:spacing w:before="0"/>
        <w:ind w:left="284" w:hanging="284"/>
        <w:rPr>
          <w:sz w:val="16"/>
          <w:szCs w:val="16"/>
        </w:rPr>
      </w:pPr>
      <w:r w:rsidRPr="00040E17">
        <w:rPr>
          <w:rStyle w:val="FootnoteReference"/>
          <w:szCs w:val="16"/>
        </w:rPr>
        <w:footnoteRef/>
      </w:r>
      <w:r w:rsidRPr="00040E17">
        <w:rPr>
          <w:sz w:val="16"/>
          <w:szCs w:val="16"/>
        </w:rPr>
        <w:t xml:space="preserve"> </w:t>
      </w:r>
      <w:r w:rsidR="00430C06">
        <w:rPr>
          <w:sz w:val="16"/>
          <w:szCs w:val="16"/>
        </w:rPr>
        <w:tab/>
      </w:r>
      <w:r w:rsidRPr="00E30743">
        <w:rPr>
          <w:sz w:val="18"/>
          <w:szCs w:val="18"/>
        </w:rPr>
        <w:t xml:space="preserve">Institute of Internal Auditors, </w:t>
      </w:r>
      <w:hyperlink r:id="rId1" w:history="1">
        <w:r w:rsidRPr="00E30743">
          <w:rPr>
            <w:rStyle w:val="Hyperlink"/>
            <w:sz w:val="18"/>
            <w:szCs w:val="18"/>
          </w:rPr>
          <w:t>www.theiia.org</w:t>
        </w:r>
      </w:hyperlink>
    </w:p>
  </w:footnote>
  <w:footnote w:id="3">
    <w:p w14:paraId="43944EF9" w14:textId="70D33BD7" w:rsidR="0086476D" w:rsidRPr="00500302" w:rsidRDefault="0086476D" w:rsidP="00430C06">
      <w:pPr>
        <w:pStyle w:val="FootnoteText"/>
        <w:tabs>
          <w:tab w:val="clear" w:pos="256"/>
          <w:tab w:val="clear" w:pos="567"/>
          <w:tab w:val="clear" w:pos="1134"/>
          <w:tab w:val="clear" w:pos="1701"/>
          <w:tab w:val="clear" w:pos="2268"/>
          <w:tab w:val="clear" w:pos="2835"/>
        </w:tabs>
        <w:spacing w:before="0"/>
        <w:ind w:left="284" w:hanging="284"/>
        <w:rPr>
          <w:rFonts w:asciiTheme="minorHAnsi" w:hAnsiTheme="minorHAnsi" w:cstheme="minorHAnsi"/>
          <w:sz w:val="18"/>
          <w:szCs w:val="18"/>
        </w:rPr>
      </w:pPr>
      <w:r w:rsidRPr="00371775">
        <w:rPr>
          <w:rStyle w:val="FootnoteReference"/>
          <w:rFonts w:asciiTheme="minorHAnsi" w:hAnsiTheme="minorHAnsi" w:cstheme="minorHAnsi"/>
          <w:szCs w:val="16"/>
        </w:rPr>
        <w:footnoteRef/>
      </w:r>
      <w:r w:rsidRPr="00371775">
        <w:rPr>
          <w:rFonts w:asciiTheme="minorHAnsi" w:hAnsiTheme="minorHAnsi" w:cstheme="minorHAnsi"/>
          <w:sz w:val="16"/>
          <w:szCs w:val="16"/>
        </w:rPr>
        <w:t xml:space="preserve"> </w:t>
      </w:r>
      <w:r w:rsidR="00430C06">
        <w:rPr>
          <w:rFonts w:asciiTheme="minorHAnsi" w:hAnsiTheme="minorHAnsi" w:cstheme="minorHAnsi"/>
          <w:sz w:val="16"/>
          <w:szCs w:val="16"/>
        </w:rPr>
        <w:tab/>
      </w:r>
      <w:r w:rsidRPr="00E30743">
        <w:rPr>
          <w:rFonts w:asciiTheme="minorHAnsi" w:hAnsiTheme="minorHAnsi" w:cstheme="minorHAnsi"/>
          <w:color w:val="202124"/>
          <w:sz w:val="18"/>
          <w:szCs w:val="18"/>
          <w:shd w:val="clear" w:color="auto" w:fill="FFFFFF"/>
        </w:rPr>
        <w:t>2500. A1 – The chief audit executive must establish a follow-up process to monitor and ensure that management</w:t>
      </w:r>
      <w:r w:rsidR="00430C06">
        <w:rPr>
          <w:rFonts w:asciiTheme="minorHAnsi" w:hAnsiTheme="minorHAnsi" w:cstheme="minorHAnsi"/>
          <w:color w:val="202124"/>
          <w:sz w:val="18"/>
          <w:szCs w:val="18"/>
          <w:shd w:val="clear" w:color="auto" w:fill="FFFFFF"/>
        </w:rPr>
        <w:t xml:space="preserve"> </w:t>
      </w:r>
      <w:r w:rsidRPr="00E30743">
        <w:rPr>
          <w:rFonts w:asciiTheme="minorHAnsi" w:hAnsiTheme="minorHAnsi" w:cstheme="minorHAnsi"/>
          <w:color w:val="202124"/>
          <w:sz w:val="18"/>
          <w:szCs w:val="18"/>
          <w:shd w:val="clear" w:color="auto" w:fill="FFFFFF"/>
        </w:rPr>
        <w:t>actions have been</w:t>
      </w:r>
      <w:r w:rsidR="002906F8" w:rsidRPr="00E30743">
        <w:rPr>
          <w:rFonts w:asciiTheme="minorHAnsi" w:hAnsiTheme="minorHAnsi" w:cstheme="minorHAnsi"/>
          <w:color w:val="202124"/>
          <w:sz w:val="18"/>
          <w:szCs w:val="18"/>
          <w:shd w:val="clear" w:color="auto" w:fill="FFFFFF"/>
        </w:rPr>
        <w:t xml:space="preserve"> </w:t>
      </w:r>
      <w:r w:rsidRPr="00E30743">
        <w:rPr>
          <w:rFonts w:asciiTheme="minorHAnsi" w:hAnsiTheme="minorHAnsi" w:cstheme="minorHAnsi"/>
          <w:color w:val="202124"/>
          <w:sz w:val="18"/>
          <w:szCs w:val="18"/>
          <w:shd w:val="clear" w:color="auto" w:fill="FFFFFF"/>
        </w:rPr>
        <w:t>effectively implemented or that senior management has accepted the risk of not taking 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31176"/>
    <w:multiLevelType w:val="hybridMultilevel"/>
    <w:tmpl w:val="3754082E"/>
    <w:lvl w:ilvl="0" w:tplc="F9724D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6F0B"/>
    <w:multiLevelType w:val="hybridMultilevel"/>
    <w:tmpl w:val="982C54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151CF"/>
    <w:multiLevelType w:val="hybridMultilevel"/>
    <w:tmpl w:val="5356752C"/>
    <w:lvl w:ilvl="0" w:tplc="9BF82840">
      <w:start w:val="1"/>
      <w:numFmt w:val="decimal"/>
      <w:lvlText w:val="%1."/>
      <w:lvlJc w:val="left"/>
      <w:pPr>
        <w:ind w:left="360" w:hanging="360"/>
      </w:pPr>
      <w:rPr>
        <w:b w:val="0"/>
        <w:bCs/>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C314B"/>
    <w:multiLevelType w:val="hybridMultilevel"/>
    <w:tmpl w:val="3EB2A752"/>
    <w:lvl w:ilvl="0" w:tplc="790675D4">
      <w:start w:val="1"/>
      <w:numFmt w:val="decimal"/>
      <w:lvlText w:val="%1."/>
      <w:lvlJc w:val="left"/>
      <w:pPr>
        <w:ind w:left="502" w:hanging="360"/>
      </w:pPr>
      <w:rPr>
        <w:rFonts w:asciiTheme="minorHAnsi" w:hAnsiTheme="minorHAnsi"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D4714"/>
    <w:multiLevelType w:val="hybridMultilevel"/>
    <w:tmpl w:val="8262613E"/>
    <w:lvl w:ilvl="0" w:tplc="08090019">
      <w:start w:val="1"/>
      <w:numFmt w:val="lowerLetter"/>
      <w:lvlText w:val="%1."/>
      <w:lvlJc w:val="left"/>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374816267">
    <w:abstractNumId w:val="0"/>
  </w:num>
  <w:num w:numId="2" w16cid:durableId="1531719599">
    <w:abstractNumId w:val="5"/>
  </w:num>
  <w:num w:numId="3" w16cid:durableId="50344998">
    <w:abstractNumId w:val="4"/>
  </w:num>
  <w:num w:numId="4" w16cid:durableId="1693729359">
    <w:abstractNumId w:val="2"/>
  </w:num>
  <w:num w:numId="5" w16cid:durableId="307368072">
    <w:abstractNumId w:val="6"/>
  </w:num>
  <w:num w:numId="6" w16cid:durableId="1868056051">
    <w:abstractNumId w:val="1"/>
  </w:num>
  <w:num w:numId="7" w16cid:durableId="1193229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56D81"/>
    <w:rsid w:val="00063016"/>
    <w:rsid w:val="00066795"/>
    <w:rsid w:val="00076AF6"/>
    <w:rsid w:val="00085CF2"/>
    <w:rsid w:val="000B1705"/>
    <w:rsid w:val="000D75B2"/>
    <w:rsid w:val="000F1EDB"/>
    <w:rsid w:val="001121F5"/>
    <w:rsid w:val="001400DC"/>
    <w:rsid w:val="00140CE1"/>
    <w:rsid w:val="001555A7"/>
    <w:rsid w:val="001749D9"/>
    <w:rsid w:val="0017539C"/>
    <w:rsid w:val="00175AC2"/>
    <w:rsid w:val="0017609F"/>
    <w:rsid w:val="001A75C7"/>
    <w:rsid w:val="001A7D1D"/>
    <w:rsid w:val="001B51DD"/>
    <w:rsid w:val="001C628E"/>
    <w:rsid w:val="001D4502"/>
    <w:rsid w:val="001E0F7B"/>
    <w:rsid w:val="001F6CFA"/>
    <w:rsid w:val="00203CBD"/>
    <w:rsid w:val="002119FD"/>
    <w:rsid w:val="002130E0"/>
    <w:rsid w:val="00226DDE"/>
    <w:rsid w:val="00264425"/>
    <w:rsid w:val="00264777"/>
    <w:rsid w:val="00265875"/>
    <w:rsid w:val="0027303B"/>
    <w:rsid w:val="0028109B"/>
    <w:rsid w:val="002906F8"/>
    <w:rsid w:val="002A2188"/>
    <w:rsid w:val="002B1F58"/>
    <w:rsid w:val="002C1C7A"/>
    <w:rsid w:val="002C54E2"/>
    <w:rsid w:val="002F2902"/>
    <w:rsid w:val="002F7AC8"/>
    <w:rsid w:val="0030160F"/>
    <w:rsid w:val="00320223"/>
    <w:rsid w:val="00322D0D"/>
    <w:rsid w:val="003358F1"/>
    <w:rsid w:val="00361465"/>
    <w:rsid w:val="003877F5"/>
    <w:rsid w:val="0039178A"/>
    <w:rsid w:val="0039230D"/>
    <w:rsid w:val="003942D4"/>
    <w:rsid w:val="003958A8"/>
    <w:rsid w:val="003C2533"/>
    <w:rsid w:val="003D1EE2"/>
    <w:rsid w:val="003D5A7F"/>
    <w:rsid w:val="003F481B"/>
    <w:rsid w:val="0040435A"/>
    <w:rsid w:val="00416A24"/>
    <w:rsid w:val="00430C06"/>
    <w:rsid w:val="00431D9E"/>
    <w:rsid w:val="00433CE8"/>
    <w:rsid w:val="00434A5C"/>
    <w:rsid w:val="00434A9B"/>
    <w:rsid w:val="004544D9"/>
    <w:rsid w:val="00467158"/>
    <w:rsid w:val="00472BAD"/>
    <w:rsid w:val="00484009"/>
    <w:rsid w:val="00490E72"/>
    <w:rsid w:val="00491157"/>
    <w:rsid w:val="00491542"/>
    <w:rsid w:val="004921C8"/>
    <w:rsid w:val="00495B0B"/>
    <w:rsid w:val="004A1B8B"/>
    <w:rsid w:val="004B34BD"/>
    <w:rsid w:val="004D1851"/>
    <w:rsid w:val="004D599D"/>
    <w:rsid w:val="004E2EA5"/>
    <w:rsid w:val="004E3AEB"/>
    <w:rsid w:val="004F3731"/>
    <w:rsid w:val="0050223C"/>
    <w:rsid w:val="005113C0"/>
    <w:rsid w:val="005243FF"/>
    <w:rsid w:val="00564FBC"/>
    <w:rsid w:val="005800BC"/>
    <w:rsid w:val="00582442"/>
    <w:rsid w:val="005F3269"/>
    <w:rsid w:val="00623AE3"/>
    <w:rsid w:val="0064737F"/>
    <w:rsid w:val="006535F1"/>
    <w:rsid w:val="0065557D"/>
    <w:rsid w:val="00660D50"/>
    <w:rsid w:val="00662984"/>
    <w:rsid w:val="006716BB"/>
    <w:rsid w:val="006922E2"/>
    <w:rsid w:val="00694D55"/>
    <w:rsid w:val="006B1859"/>
    <w:rsid w:val="006B6680"/>
    <w:rsid w:val="006B6DCC"/>
    <w:rsid w:val="006C4A35"/>
    <w:rsid w:val="006E038F"/>
    <w:rsid w:val="00700B55"/>
    <w:rsid w:val="00702DEF"/>
    <w:rsid w:val="00706861"/>
    <w:rsid w:val="007070D7"/>
    <w:rsid w:val="0075051B"/>
    <w:rsid w:val="007701C4"/>
    <w:rsid w:val="00793188"/>
    <w:rsid w:val="00794D34"/>
    <w:rsid w:val="007F2810"/>
    <w:rsid w:val="007F522C"/>
    <w:rsid w:val="00813E5E"/>
    <w:rsid w:val="0083581B"/>
    <w:rsid w:val="00862377"/>
    <w:rsid w:val="00863874"/>
    <w:rsid w:val="0086476D"/>
    <w:rsid w:val="00864AFF"/>
    <w:rsid w:val="00865925"/>
    <w:rsid w:val="008B4A6A"/>
    <w:rsid w:val="008C7E27"/>
    <w:rsid w:val="008F7448"/>
    <w:rsid w:val="0090147A"/>
    <w:rsid w:val="00903CA5"/>
    <w:rsid w:val="009078E4"/>
    <w:rsid w:val="009173EF"/>
    <w:rsid w:val="009174D8"/>
    <w:rsid w:val="00932906"/>
    <w:rsid w:val="0093538E"/>
    <w:rsid w:val="009421B3"/>
    <w:rsid w:val="00944C41"/>
    <w:rsid w:val="00961B0B"/>
    <w:rsid w:val="009931AD"/>
    <w:rsid w:val="009B1B01"/>
    <w:rsid w:val="009B38C3"/>
    <w:rsid w:val="009E17BD"/>
    <w:rsid w:val="009E485A"/>
    <w:rsid w:val="00A04CEC"/>
    <w:rsid w:val="00A13AC5"/>
    <w:rsid w:val="00A27F92"/>
    <w:rsid w:val="00A32257"/>
    <w:rsid w:val="00A36779"/>
    <w:rsid w:val="00A36D20"/>
    <w:rsid w:val="00A44716"/>
    <w:rsid w:val="00A514A4"/>
    <w:rsid w:val="00A54171"/>
    <w:rsid w:val="00A55622"/>
    <w:rsid w:val="00A717F1"/>
    <w:rsid w:val="00A83502"/>
    <w:rsid w:val="00A835F5"/>
    <w:rsid w:val="00AC17B9"/>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06BC"/>
    <w:rsid w:val="00C01189"/>
    <w:rsid w:val="00C15B26"/>
    <w:rsid w:val="00C3017D"/>
    <w:rsid w:val="00C35F25"/>
    <w:rsid w:val="00C374DE"/>
    <w:rsid w:val="00C47AD4"/>
    <w:rsid w:val="00C52D81"/>
    <w:rsid w:val="00C55198"/>
    <w:rsid w:val="00CA6393"/>
    <w:rsid w:val="00CB18FF"/>
    <w:rsid w:val="00CB6071"/>
    <w:rsid w:val="00CD0C08"/>
    <w:rsid w:val="00CE03FB"/>
    <w:rsid w:val="00CE433C"/>
    <w:rsid w:val="00CF0161"/>
    <w:rsid w:val="00CF33F3"/>
    <w:rsid w:val="00D06183"/>
    <w:rsid w:val="00D22C42"/>
    <w:rsid w:val="00D556E4"/>
    <w:rsid w:val="00D65041"/>
    <w:rsid w:val="00DB1936"/>
    <w:rsid w:val="00DB384B"/>
    <w:rsid w:val="00DE01DB"/>
    <w:rsid w:val="00DF0189"/>
    <w:rsid w:val="00E06FD5"/>
    <w:rsid w:val="00E10E80"/>
    <w:rsid w:val="00E124F0"/>
    <w:rsid w:val="00E30743"/>
    <w:rsid w:val="00E60F04"/>
    <w:rsid w:val="00E65B24"/>
    <w:rsid w:val="00E80707"/>
    <w:rsid w:val="00E854E4"/>
    <w:rsid w:val="00E86DBF"/>
    <w:rsid w:val="00EB0D6F"/>
    <w:rsid w:val="00EB2232"/>
    <w:rsid w:val="00EC5337"/>
    <w:rsid w:val="00ED5E5D"/>
    <w:rsid w:val="00EE49E8"/>
    <w:rsid w:val="00EE4CEC"/>
    <w:rsid w:val="00F16BAB"/>
    <w:rsid w:val="00F2150A"/>
    <w:rsid w:val="00F231D8"/>
    <w:rsid w:val="00F23B19"/>
    <w:rsid w:val="00F363A6"/>
    <w:rsid w:val="00F44C00"/>
    <w:rsid w:val="00F46C5F"/>
    <w:rsid w:val="00F632C0"/>
    <w:rsid w:val="00F94A63"/>
    <w:rsid w:val="00FA1C28"/>
    <w:rsid w:val="00FA25D7"/>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006BC"/>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056D8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056D81"/>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rsid w:val="00056D81"/>
    <w:rPr>
      <w:rFonts w:ascii="Calibri" w:hAnsi="Calibri"/>
      <w:sz w:val="24"/>
      <w:lang w:val="en-GB" w:eastAsia="en-US"/>
    </w:rPr>
  </w:style>
  <w:style w:type="paragraph" w:customStyle="1" w:styleId="Default">
    <w:name w:val="Default"/>
    <w:rsid w:val="002906F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F363A6"/>
    <w:rPr>
      <w:rFonts w:ascii="Calibri" w:hAnsi="Calibri"/>
      <w:sz w:val="24"/>
      <w:lang w:val="en-GB" w:eastAsia="en-US"/>
    </w:rPr>
  </w:style>
  <w:style w:type="character" w:styleId="UnresolvedMention">
    <w:name w:val="Unresolved Mention"/>
    <w:basedOn w:val="DefaultParagraphFont"/>
    <w:uiPriority w:val="99"/>
    <w:semiHidden/>
    <w:unhideWhenUsed/>
    <w:rsid w:val="00E30743"/>
    <w:rPr>
      <w:color w:val="605E5C"/>
      <w:shd w:val="clear" w:color="auto" w:fill="E1DFDD"/>
    </w:rPr>
  </w:style>
  <w:style w:type="character" w:styleId="CommentReference">
    <w:name w:val="annotation reference"/>
    <w:basedOn w:val="DefaultParagraphFont"/>
    <w:semiHidden/>
    <w:unhideWhenUsed/>
    <w:rsid w:val="007F522C"/>
    <w:rPr>
      <w:sz w:val="16"/>
      <w:szCs w:val="16"/>
    </w:rPr>
  </w:style>
  <w:style w:type="paragraph" w:styleId="CommentText">
    <w:name w:val="annotation text"/>
    <w:basedOn w:val="Normal"/>
    <w:link w:val="CommentTextChar"/>
    <w:unhideWhenUsed/>
    <w:rsid w:val="007F522C"/>
    <w:rPr>
      <w:sz w:val="20"/>
    </w:rPr>
  </w:style>
  <w:style w:type="character" w:customStyle="1" w:styleId="CommentTextChar">
    <w:name w:val="Comment Text Char"/>
    <w:basedOn w:val="DefaultParagraphFont"/>
    <w:link w:val="CommentText"/>
    <w:rsid w:val="007F522C"/>
    <w:rPr>
      <w:rFonts w:ascii="Calibri" w:hAnsi="Calibri"/>
      <w:lang w:val="en-GB" w:eastAsia="en-US"/>
    </w:rPr>
  </w:style>
  <w:style w:type="paragraph" w:styleId="CommentSubject">
    <w:name w:val="annotation subject"/>
    <w:basedOn w:val="CommentText"/>
    <w:next w:val="CommentText"/>
    <w:link w:val="CommentSubjectChar"/>
    <w:semiHidden/>
    <w:unhideWhenUsed/>
    <w:rsid w:val="007F522C"/>
    <w:rPr>
      <w:b/>
      <w:bCs/>
    </w:rPr>
  </w:style>
  <w:style w:type="character" w:customStyle="1" w:styleId="CommentSubjectChar">
    <w:name w:val="Comment Subject Char"/>
    <w:basedOn w:val="CommentTextChar"/>
    <w:link w:val="CommentSubject"/>
    <w:semiHidden/>
    <w:rsid w:val="007F522C"/>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11064">
      <w:bodyDiv w:val="1"/>
      <w:marLeft w:val="0"/>
      <w:marRight w:val="0"/>
      <w:marTop w:val="0"/>
      <w:marBottom w:val="0"/>
      <w:divBdr>
        <w:top w:val="none" w:sz="0" w:space="0" w:color="auto"/>
        <w:left w:val="none" w:sz="0" w:space="0" w:color="auto"/>
        <w:bottom w:val="none" w:sz="0" w:space="0" w:color="auto"/>
        <w:right w:val="none" w:sz="0" w:space="0" w:color="auto"/>
      </w:divBdr>
    </w:div>
    <w:div w:id="1649628947">
      <w:bodyDiv w:val="1"/>
      <w:marLeft w:val="0"/>
      <w:marRight w:val="0"/>
      <w:marTop w:val="0"/>
      <w:marBottom w:val="0"/>
      <w:divBdr>
        <w:top w:val="none" w:sz="0" w:space="0" w:color="auto"/>
        <w:left w:val="none" w:sz="0" w:space="0" w:color="auto"/>
        <w:bottom w:val="none" w:sz="0" w:space="0" w:color="auto"/>
        <w:right w:val="none" w:sz="0" w:space="0" w:color="auto"/>
      </w:divBdr>
    </w:div>
    <w:div w:id="18182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Financial-Regulations/S-GEN-REG_RGTFIN-2018-PDF-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2-CWGFHR15-C-0003/en" TargetMode="External"/><Relationship Id="rId4" Type="http://schemas.openxmlformats.org/officeDocument/2006/relationships/settings" Target="settings.xml"/><Relationship Id="rId9" Type="http://schemas.openxmlformats.org/officeDocument/2006/relationships/hyperlink" Target="https://www.itu.int/md/S23-CL-INF-0005/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1787</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Report from the Internal Auditor on the internal audit activities</vt:lpstr>
    </vt:vector>
  </TitlesOfParts>
  <Manager>General Secretariat - Pool</Manager>
  <Company>International Telecommunication Union (ITU)</Company>
  <LinksUpToDate>false</LinksUpToDate>
  <CharactersWithSpaces>11771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Internal Auditor on the internal audit activities</dc:title>
  <dc:subject>Council 2023</dc:subject>
  <dc:creator>Pluchon, Beatrice</dc:creator>
  <cp:keywords>C2023, C23, Council-23</cp:keywords>
  <dc:description/>
  <cp:lastModifiedBy>Xue, Kun</cp:lastModifiedBy>
  <cp:revision>7</cp:revision>
  <cp:lastPrinted>2000-07-18T13:30:00Z</cp:lastPrinted>
  <dcterms:created xsi:type="dcterms:W3CDTF">2023-05-24T09:19:00Z</dcterms:created>
  <dcterms:modified xsi:type="dcterms:W3CDTF">2023-06-09T09:01:00Z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