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71EAE7B" w14:textId="77777777" w:rsidTr="00F363FE">
        <w:tc>
          <w:tcPr>
            <w:tcW w:w="6512" w:type="dxa"/>
          </w:tcPr>
          <w:p w14:paraId="4A8ABC2B" w14:textId="69BF632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878A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878AF">
              <w:rPr>
                <w:b/>
                <w:bCs/>
                <w:lang w:bidi="ar-EG"/>
              </w:rPr>
              <w:t>ADM 2</w:t>
            </w:r>
          </w:p>
        </w:tc>
        <w:tc>
          <w:tcPr>
            <w:tcW w:w="3117" w:type="dxa"/>
          </w:tcPr>
          <w:p w14:paraId="47619F07" w14:textId="5844E0B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1878AF">
              <w:rPr>
                <w:b/>
                <w:bCs/>
                <w:lang w:bidi="ar-EG"/>
              </w:rPr>
              <w:t>44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226684E" w14:textId="77777777" w:rsidTr="00F363FE">
        <w:tc>
          <w:tcPr>
            <w:tcW w:w="6512" w:type="dxa"/>
          </w:tcPr>
          <w:p w14:paraId="3F185D7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4C70563" w14:textId="4D20C591" w:rsidR="007B0AA0" w:rsidRPr="007B0AA0" w:rsidRDefault="001A108C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  <w:r w:rsidR="001878A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E1F08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0DE5453" w14:textId="77777777" w:rsidTr="00F363FE">
        <w:tc>
          <w:tcPr>
            <w:tcW w:w="6512" w:type="dxa"/>
          </w:tcPr>
          <w:p w14:paraId="167C3AC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6E8825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7A45B81A" w14:textId="77777777" w:rsidTr="00F363FE">
        <w:tc>
          <w:tcPr>
            <w:tcW w:w="6512" w:type="dxa"/>
          </w:tcPr>
          <w:p w14:paraId="3C55B78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3F6E01BE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2864A5E" w14:textId="77777777" w:rsidTr="00EE7446">
        <w:tc>
          <w:tcPr>
            <w:tcW w:w="9629" w:type="dxa"/>
            <w:gridSpan w:val="2"/>
          </w:tcPr>
          <w:p w14:paraId="5FB4B4BB" w14:textId="2B8DD2F8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783757B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4DFC938" w14:textId="372446AD" w:rsidR="007B0AA0" w:rsidRPr="00AB6ACE" w:rsidRDefault="001878AF" w:rsidP="00AB6ACE">
            <w:pPr>
              <w:pStyle w:val="Subtitle0"/>
            </w:pPr>
            <w:r w:rsidRPr="00AB6ACE">
              <w:rPr>
                <w:rtl/>
              </w:rPr>
              <w:t>تقرير المراجع الداخلي عن أنشطة المراجعة الداخلية</w:t>
            </w:r>
          </w:p>
        </w:tc>
      </w:tr>
      <w:tr w:rsidR="007B0AA0" w14:paraId="32014817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CD04F" w14:textId="34BCA302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184055D2" w14:textId="3294A7CB" w:rsidR="007B0AA0" w:rsidRPr="001878AF" w:rsidRDefault="00EB7B9A" w:rsidP="001878AF">
            <w:pPr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يشمل</w:t>
            </w:r>
            <w:r w:rsidR="001878AF">
              <w:rPr>
                <w:rFonts w:hint="cs"/>
                <w:rtl/>
              </w:rPr>
              <w:t xml:space="preserve"> هذا التقرير </w:t>
            </w:r>
            <w:r w:rsidR="001878AF">
              <w:rPr>
                <w:rFonts w:hint="cs"/>
                <w:rtl/>
                <w:lang w:bidi="ar-EG"/>
              </w:rPr>
              <w:t>أنشطة المراجعة الداخلية</w:t>
            </w:r>
            <w:r w:rsidR="001878AF">
              <w:rPr>
                <w:rFonts w:hint="cs"/>
                <w:rtl/>
              </w:rPr>
              <w:t xml:space="preserve"> في الفترة من فبراير 2022 إلى </w:t>
            </w:r>
            <w:r w:rsidR="001878AF">
              <w:rPr>
                <w:rFonts w:hint="cs"/>
                <w:rtl/>
                <w:lang w:bidi="ar-EG"/>
              </w:rPr>
              <w:t>أبريل 2023</w:t>
            </w:r>
            <w:r w:rsidR="001878AF">
              <w:rPr>
                <w:rFonts w:hint="cs"/>
                <w:rtl/>
              </w:rPr>
              <w:t>.</w:t>
            </w:r>
          </w:p>
          <w:p w14:paraId="77291B26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F03740A" w14:textId="5FBDC6E6" w:rsidR="007B0AA0" w:rsidRDefault="00E41EAA" w:rsidP="007B0AA0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يدعى </w:t>
            </w:r>
            <w:r w:rsidR="004F173F">
              <w:rPr>
                <w:rFonts w:hint="cs"/>
                <w:rtl/>
              </w:rPr>
              <w:t>مجلس الاتحاد</w:t>
            </w:r>
            <w:r w:rsidR="00EB7B9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إلى أن</w:t>
            </w:r>
            <w:r w:rsidR="00EB7B9A">
              <w:rPr>
                <w:rFonts w:hint="cs"/>
                <w:rtl/>
              </w:rPr>
              <w:t xml:space="preserve"> </w:t>
            </w:r>
            <w:r w:rsidR="00EE1F08">
              <w:rPr>
                <w:rFonts w:hint="cs"/>
                <w:b/>
                <w:bCs/>
                <w:rtl/>
              </w:rPr>
              <w:t>يحيط</w:t>
            </w:r>
            <w:r w:rsidR="00EB7B9A" w:rsidRPr="00EB7B9A">
              <w:rPr>
                <w:rFonts w:hint="cs"/>
                <w:b/>
                <w:bCs/>
                <w:rtl/>
              </w:rPr>
              <w:t xml:space="preserve"> علماً</w:t>
            </w:r>
            <w:r w:rsidR="00EB7B9A">
              <w:rPr>
                <w:rFonts w:hint="cs"/>
                <w:rtl/>
              </w:rPr>
              <w:t xml:space="preserve"> بالتقرير.</w:t>
            </w:r>
          </w:p>
          <w:p w14:paraId="4287B1EC" w14:textId="271401C5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6AC1822C" w14:textId="5CB0DA6B" w:rsidR="007B0AA0" w:rsidRDefault="00AE4530" w:rsidP="007B0AA0">
            <w:pPr>
              <w:rPr>
                <w:rtl/>
              </w:rPr>
            </w:pPr>
            <w:r w:rsidRPr="006632E9">
              <w:rPr>
                <w:rtl/>
              </w:rPr>
              <w:t>التميز في مجال الموارد البشرية والابتكار التنظيمي</w:t>
            </w:r>
            <w:r w:rsidR="00EE1F08">
              <w:rPr>
                <w:rFonts w:hint="cs"/>
                <w:rtl/>
              </w:rPr>
              <w:t>.</w:t>
            </w:r>
          </w:p>
          <w:p w14:paraId="090D1A06" w14:textId="07B8238D" w:rsidR="00AE453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الآثار المالية </w:t>
            </w:r>
          </w:p>
          <w:p w14:paraId="1CABD137" w14:textId="57873074" w:rsidR="007B0AA0" w:rsidRPr="00AE4530" w:rsidRDefault="007B0AA0" w:rsidP="007B0AA0">
            <w:pPr>
              <w:rPr>
                <w:rtl/>
              </w:rPr>
            </w:pPr>
            <w:r w:rsidRPr="00AE4530">
              <w:rPr>
                <w:rFonts w:hint="cs"/>
                <w:rtl/>
              </w:rPr>
              <w:t xml:space="preserve">لا </w:t>
            </w:r>
            <w:r w:rsidR="00EB7B9A">
              <w:rPr>
                <w:rFonts w:hint="cs"/>
                <w:rtl/>
              </w:rPr>
              <w:t>شيء</w:t>
            </w:r>
            <w:r w:rsidR="00AE4530">
              <w:rPr>
                <w:rFonts w:hint="cs"/>
                <w:rtl/>
              </w:rPr>
              <w:t>.</w:t>
            </w:r>
          </w:p>
          <w:p w14:paraId="0685EECB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B26A3FB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746DC3E6" w14:textId="19ED286C" w:rsidR="007B0AA0" w:rsidRPr="00EB7B9A" w:rsidRDefault="001A108C" w:rsidP="002D6483">
            <w:pPr>
              <w:spacing w:after="120"/>
              <w:rPr>
                <w:rtl/>
                <w:lang w:bidi="ar-SY"/>
              </w:rPr>
            </w:pPr>
            <w:hyperlink r:id="rId8" w:history="1">
              <w:bookmarkStart w:id="0" w:name="lt_pId021"/>
              <w:r w:rsidR="00EB7B9A" w:rsidRPr="00AA1418">
                <w:rPr>
                  <w:sz w:val="20"/>
                  <w:szCs w:val="20"/>
                  <w:rtl/>
                </w:rPr>
                <w:t xml:space="preserve"> </w:t>
              </w:r>
              <w:r w:rsidR="00EB7B9A" w:rsidRPr="00AA1418">
                <w:rPr>
                  <w:rStyle w:val="Hyperlink"/>
                  <w:i/>
                  <w:iCs/>
                  <w:sz w:val="20"/>
                  <w:rtl/>
                </w:rPr>
                <w:t>اللوائح المالية والقواعد المالية للاتحاد (2018)، المادة 29</w:t>
              </w:r>
              <w:bookmarkEnd w:id="0"/>
            </w:hyperlink>
          </w:p>
        </w:tc>
      </w:tr>
    </w:tbl>
    <w:p w14:paraId="46498CAB" w14:textId="77777777" w:rsidR="00F50E3F" w:rsidRPr="00956B38" w:rsidRDefault="00F50E3F" w:rsidP="00AB6ACE">
      <w:pPr>
        <w:rPr>
          <w:lang w:val="en-GB" w:bidi="ar-EG"/>
        </w:rPr>
      </w:pPr>
      <w:r>
        <w:rPr>
          <w:rtl/>
          <w:lang w:bidi="ar-EG"/>
        </w:rPr>
        <w:br w:type="page"/>
      </w:r>
    </w:p>
    <w:p w14:paraId="2A2C2AF7" w14:textId="77777777" w:rsidR="00AE4530" w:rsidRDefault="00AE4530" w:rsidP="00AA1418">
      <w:pPr>
        <w:pStyle w:val="Heading1"/>
        <w:rPr>
          <w:rtl/>
          <w:lang w:bidi="ar-SY"/>
        </w:rPr>
      </w:pPr>
      <w:r>
        <w:rPr>
          <w:rFonts w:hint="cs"/>
          <w:rtl/>
        </w:rPr>
        <w:lastRenderedPageBreak/>
        <w:t>مقدمة</w:t>
      </w:r>
    </w:p>
    <w:p w14:paraId="7B790737" w14:textId="70DE1D4B" w:rsidR="00AE4530" w:rsidRDefault="00AE4530" w:rsidP="00AE4530">
      <w:r>
        <w:rPr>
          <w:lang w:bidi="ar-SY"/>
        </w:rPr>
        <w:t>1</w:t>
      </w:r>
      <w:r>
        <w:rPr>
          <w:rFonts w:hint="cs"/>
          <w:rtl/>
        </w:rPr>
        <w:tab/>
        <w:t xml:space="preserve">يُحال هذا </w:t>
      </w:r>
      <w:r w:rsidRPr="00745E04">
        <w:rPr>
          <w:rFonts w:hint="cs"/>
          <w:rtl/>
        </w:rPr>
        <w:t>التقرير</w:t>
      </w:r>
      <w:r>
        <w:rPr>
          <w:rFonts w:hint="cs"/>
          <w:rtl/>
        </w:rPr>
        <w:t xml:space="preserve"> إلى</w:t>
      </w:r>
      <w:r>
        <w:rPr>
          <w:rFonts w:hint="cs"/>
        </w:rPr>
        <w:t xml:space="preserve"> </w:t>
      </w:r>
      <w:r>
        <w:rPr>
          <w:rFonts w:hint="cs"/>
          <w:rtl/>
        </w:rPr>
        <w:t>مجلس</w:t>
      </w:r>
      <w:r>
        <w:rPr>
          <w:rFonts w:hint="cs"/>
          <w:rtl/>
          <w:lang w:bidi="ar-EG"/>
        </w:rPr>
        <w:t xml:space="preserve"> الاتحاد</w:t>
      </w:r>
      <w:r>
        <w:rPr>
          <w:rFonts w:hint="cs"/>
          <w:rtl/>
        </w:rPr>
        <w:t xml:space="preserve">، </w:t>
      </w:r>
      <w:r w:rsidR="00745E04">
        <w:rPr>
          <w:rFonts w:hint="cs"/>
          <w:rtl/>
        </w:rPr>
        <w:t xml:space="preserve">وهو يمتثل لأحكام </w:t>
      </w:r>
      <w:r>
        <w:rPr>
          <w:rFonts w:hint="cs"/>
          <w:rtl/>
        </w:rPr>
        <w:t>المادة </w:t>
      </w:r>
      <w:r>
        <w:rPr>
          <w:lang w:bidi="ar-SY"/>
        </w:rPr>
        <w:t>29</w:t>
      </w:r>
      <w:r>
        <w:rPr>
          <w:rFonts w:hint="cs"/>
          <w:rtl/>
        </w:rPr>
        <w:t xml:space="preserve"> من اللوائح المالية</w:t>
      </w:r>
      <w:r w:rsidR="00745E04">
        <w:rPr>
          <w:rFonts w:hint="cs"/>
          <w:rtl/>
        </w:rPr>
        <w:t xml:space="preserve"> والقواعد المالية للاتحاد</w:t>
      </w:r>
      <w:r>
        <w:rPr>
          <w:rFonts w:hint="cs"/>
          <w:rtl/>
        </w:rPr>
        <w:t> </w:t>
      </w:r>
      <w:r>
        <w:rPr>
          <w:lang w:bidi="ar-SY"/>
        </w:rPr>
        <w:t>(201</w:t>
      </w:r>
      <w:r w:rsidR="00745E04">
        <w:rPr>
          <w:lang w:bidi="ar-SY"/>
        </w:rPr>
        <w:t>8</w:t>
      </w:r>
      <w:r>
        <w:rPr>
          <w:lang w:bidi="ar-SY"/>
        </w:rPr>
        <w:t>)</w:t>
      </w:r>
      <w:r>
        <w:rPr>
          <w:rFonts w:hint="cs"/>
          <w:rtl/>
        </w:rPr>
        <w:t>. ووفقاً لميثاق المراجعة الداخلية في الاتحاد،</w:t>
      </w:r>
      <w:r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 يقدَّم هذا التقرير إلى الأمين</w:t>
      </w:r>
      <w:r w:rsidR="00745E04">
        <w:rPr>
          <w:rFonts w:hint="cs"/>
          <w:rtl/>
        </w:rPr>
        <w:t>ة</w:t>
      </w:r>
      <w:r>
        <w:rPr>
          <w:rFonts w:hint="cs"/>
          <w:rtl/>
        </w:rPr>
        <w:t xml:space="preserve"> العام</w:t>
      </w:r>
      <w:r w:rsidR="00745E04">
        <w:rPr>
          <w:rFonts w:hint="cs"/>
          <w:rtl/>
        </w:rPr>
        <w:t>ة</w:t>
      </w:r>
      <w:r>
        <w:rPr>
          <w:rFonts w:hint="cs"/>
          <w:rtl/>
        </w:rPr>
        <w:t xml:space="preserve"> ويُعرض على المجلس </w:t>
      </w:r>
      <w:r w:rsidR="00745E04">
        <w:rPr>
          <w:rFonts w:hint="cs"/>
          <w:rtl/>
        </w:rPr>
        <w:t>لل</w:t>
      </w:r>
      <w:r>
        <w:rPr>
          <w:rFonts w:hint="cs"/>
          <w:rtl/>
        </w:rPr>
        <w:t xml:space="preserve">نظر فيه. </w:t>
      </w:r>
      <w:r w:rsidR="00745E04">
        <w:rPr>
          <w:rFonts w:hint="cs"/>
          <w:rtl/>
        </w:rPr>
        <w:t>و</w:t>
      </w:r>
      <w:r w:rsidR="00251971">
        <w:rPr>
          <w:rFonts w:hint="cs"/>
          <w:rtl/>
        </w:rPr>
        <w:t xml:space="preserve">هو </w:t>
      </w:r>
      <w:r w:rsidR="00745E04">
        <w:rPr>
          <w:rFonts w:hint="cs"/>
          <w:rtl/>
        </w:rPr>
        <w:t>يشمل</w:t>
      </w:r>
      <w:r>
        <w:rPr>
          <w:rFonts w:hint="cs"/>
          <w:rtl/>
        </w:rPr>
        <w:t xml:space="preserve"> الأنشطة في الفترة من </w:t>
      </w:r>
      <w:r w:rsidR="00745E04">
        <w:rPr>
          <w:rFonts w:hint="cs"/>
          <w:rtl/>
        </w:rPr>
        <w:t>فبراير</w:t>
      </w:r>
      <w:r>
        <w:rPr>
          <w:rFonts w:hint="cs"/>
          <w:rtl/>
        </w:rPr>
        <w:t> </w:t>
      </w:r>
      <w:r>
        <w:rPr>
          <w:lang w:bidi="ar-SY"/>
        </w:rPr>
        <w:t>202</w:t>
      </w:r>
      <w:r w:rsidR="00745E04">
        <w:rPr>
          <w:lang w:bidi="ar-SY"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 xml:space="preserve">إلى </w:t>
      </w:r>
      <w:r w:rsidR="00745E04">
        <w:rPr>
          <w:rFonts w:hint="cs"/>
          <w:rtl/>
          <w:lang w:bidi="ar-EG"/>
        </w:rPr>
        <w:t>أبريل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202</w:t>
      </w:r>
      <w:r w:rsidR="00745E04">
        <w:rPr>
          <w:lang w:bidi="ar-EG"/>
        </w:rPr>
        <w:t>3</w:t>
      </w:r>
      <w:r>
        <w:rPr>
          <w:rFonts w:hint="cs"/>
          <w:rtl/>
        </w:rPr>
        <w:t>.</w:t>
      </w:r>
    </w:p>
    <w:p w14:paraId="45BE1EFE" w14:textId="71D2E844" w:rsidR="00BE02C9" w:rsidRPr="00BE02C9" w:rsidRDefault="00AE4530" w:rsidP="00AE4530">
      <w:pPr>
        <w:rPr>
          <w:rtl/>
          <w:lang w:val="en-GB" w:bidi="ar-EG"/>
        </w:rPr>
      </w:pPr>
      <w:r w:rsidRPr="00097B48">
        <w:t>2</w:t>
      </w:r>
      <w:r w:rsidRPr="00097B48">
        <w:rPr>
          <w:rFonts w:hint="cs"/>
          <w:rtl/>
          <w:lang w:bidi="ar-EG"/>
        </w:rPr>
        <w:tab/>
      </w:r>
      <w:r w:rsidRPr="00097B48">
        <w:rPr>
          <w:rFonts w:hint="cs"/>
          <w:rtl/>
        </w:rPr>
        <w:t xml:space="preserve">وخلال الفترة </w:t>
      </w:r>
      <w:r w:rsidR="00EE1F08" w:rsidRPr="00097B48">
        <w:rPr>
          <w:rFonts w:hint="cs"/>
          <w:rtl/>
        </w:rPr>
        <w:t>التي يشملها</w:t>
      </w:r>
      <w:r w:rsidR="00251971" w:rsidRPr="00097B48">
        <w:rPr>
          <w:rFonts w:hint="cs"/>
          <w:rtl/>
        </w:rPr>
        <w:t xml:space="preserve"> التقرير</w:t>
      </w:r>
      <w:r w:rsidRPr="00097B48">
        <w:rPr>
          <w:rFonts w:hint="cs"/>
          <w:rtl/>
        </w:rPr>
        <w:t xml:space="preserve"> </w:t>
      </w:r>
      <w:r w:rsidR="00745E04" w:rsidRPr="00097B48">
        <w:rPr>
          <w:rFonts w:hint="cs"/>
          <w:rtl/>
        </w:rPr>
        <w:t>كانت</w:t>
      </w:r>
      <w:r w:rsidRPr="00097B48">
        <w:rPr>
          <w:rFonts w:hint="cs"/>
          <w:rtl/>
        </w:rPr>
        <w:t xml:space="preserve"> وحدة المراجعة الداخلية</w:t>
      </w:r>
      <w:r w:rsidR="00745E04" w:rsidRPr="00097B48">
        <w:rPr>
          <w:rFonts w:hint="cs"/>
          <w:rtl/>
        </w:rPr>
        <w:t xml:space="preserve"> في الاتحاد تتألف</w:t>
      </w:r>
      <w:r w:rsidRPr="00097B48">
        <w:rPr>
          <w:rFonts w:hint="cs"/>
          <w:rtl/>
        </w:rPr>
        <w:t xml:space="preserve"> من </w:t>
      </w:r>
      <w:r w:rsidR="00745E04" w:rsidRPr="00097B48">
        <w:rPr>
          <w:rFonts w:hint="cs"/>
          <w:rtl/>
        </w:rPr>
        <w:t>أربعة مناصب</w:t>
      </w:r>
      <w:r w:rsidRPr="00097B48">
        <w:rPr>
          <w:rFonts w:hint="cs"/>
          <w:rtl/>
        </w:rPr>
        <w:t xml:space="preserve"> </w:t>
      </w:r>
      <w:r w:rsidR="00745E04" w:rsidRPr="00097B48">
        <w:rPr>
          <w:rFonts w:hint="cs"/>
          <w:rtl/>
        </w:rPr>
        <w:t>لل</w:t>
      </w:r>
      <w:r w:rsidRPr="00097B48">
        <w:rPr>
          <w:rFonts w:hint="cs"/>
          <w:rtl/>
        </w:rPr>
        <w:t>موظفين من</w:t>
      </w:r>
      <w:r w:rsidR="00A30E6A" w:rsidRPr="00097B48">
        <w:rPr>
          <w:rFonts w:hint="eastAsia"/>
          <w:rtl/>
        </w:rPr>
        <w:t> </w:t>
      </w:r>
      <w:r w:rsidRPr="00097B48">
        <w:rPr>
          <w:rFonts w:hint="cs"/>
          <w:rtl/>
        </w:rPr>
        <w:t>الفئة الفنية</w:t>
      </w:r>
      <w:r w:rsidR="00745E04" w:rsidRPr="00097B48">
        <w:rPr>
          <w:rFonts w:hint="cs"/>
          <w:rtl/>
        </w:rPr>
        <w:t>:</w:t>
      </w:r>
      <w:r w:rsidRPr="00097B48">
        <w:rPr>
          <w:rFonts w:hint="cs"/>
          <w:rtl/>
        </w:rPr>
        <w:t> </w:t>
      </w:r>
      <w:r w:rsidR="00745E04" w:rsidRPr="00097B48">
        <w:rPr>
          <w:rFonts w:hint="cs"/>
          <w:rtl/>
          <w:lang w:val="en-CA" w:bidi="ar-EG"/>
        </w:rPr>
        <w:t>رئيس الوحدة</w:t>
      </w:r>
      <w:r w:rsidR="00745E04" w:rsidRPr="00097B48">
        <w:rPr>
          <w:rFonts w:hint="cs"/>
          <w:rtl/>
        </w:rPr>
        <w:t xml:space="preserve"> (ف</w:t>
      </w:r>
      <w:r w:rsidR="00097B48" w:rsidRPr="00097B48">
        <w:rPr>
          <w:rFonts w:hint="cs"/>
          <w:rtl/>
        </w:rPr>
        <w:t>ني</w:t>
      </w:r>
      <w:r w:rsidR="00745E04" w:rsidRPr="00097B48">
        <w:rPr>
          <w:rFonts w:hint="cs"/>
          <w:rtl/>
        </w:rPr>
        <w:noBreakHyphen/>
      </w:r>
      <w:r w:rsidR="00745E04" w:rsidRPr="00097B48">
        <w:rPr>
          <w:lang w:val="en-CA"/>
        </w:rPr>
        <w:t>5</w:t>
      </w:r>
      <w:r w:rsidR="00745E04" w:rsidRPr="00097B48">
        <w:rPr>
          <w:rFonts w:hint="cs"/>
          <w:rtl/>
        </w:rPr>
        <w:t xml:space="preserve">) </w:t>
      </w:r>
      <w:r w:rsidR="00956B38" w:rsidRPr="00097B48">
        <w:rPr>
          <w:rFonts w:hint="cs"/>
          <w:rtl/>
        </w:rPr>
        <w:t>و</w:t>
      </w:r>
      <w:r w:rsidR="00956B38" w:rsidRPr="00097B48">
        <w:rPr>
          <w:rFonts w:hint="cs"/>
          <w:rtl/>
          <w:lang w:bidi="ar-EG"/>
        </w:rPr>
        <w:t>مراجع أقدم</w:t>
      </w:r>
      <w:r w:rsidR="00745E04" w:rsidRPr="00097B48">
        <w:rPr>
          <w:rFonts w:hint="cs"/>
          <w:rtl/>
        </w:rPr>
        <w:t xml:space="preserve"> </w:t>
      </w:r>
      <w:r w:rsidRPr="00097B48">
        <w:rPr>
          <w:rFonts w:hint="cs"/>
          <w:rtl/>
          <w:lang w:val="en-CA" w:bidi="ar-EG"/>
        </w:rPr>
        <w:t>(</w:t>
      </w:r>
      <w:r w:rsidR="00745E04" w:rsidRPr="00097B48">
        <w:rPr>
          <w:rFonts w:hint="cs"/>
          <w:rtl/>
        </w:rPr>
        <w:t>ف</w:t>
      </w:r>
      <w:r w:rsidR="00097B48" w:rsidRPr="00097B48">
        <w:rPr>
          <w:rFonts w:hint="cs"/>
          <w:rtl/>
        </w:rPr>
        <w:t>ني</w:t>
      </w:r>
      <w:r w:rsidR="00745E04" w:rsidRPr="00097B48">
        <w:rPr>
          <w:rFonts w:hint="cs"/>
          <w:rtl/>
        </w:rPr>
        <w:noBreakHyphen/>
      </w:r>
      <w:r w:rsidR="00745E04" w:rsidRPr="00097B48">
        <w:rPr>
          <w:rFonts w:hint="cs"/>
          <w:rtl/>
          <w:lang w:val="en-CA"/>
        </w:rPr>
        <w:t>4</w:t>
      </w:r>
      <w:r w:rsidRPr="00097B48">
        <w:rPr>
          <w:rFonts w:hint="cs"/>
          <w:rtl/>
          <w:lang w:val="en-CA" w:bidi="ar-EG"/>
        </w:rPr>
        <w:t>) و</w:t>
      </w:r>
      <w:r w:rsidR="00745E04" w:rsidRPr="00097B48">
        <w:rPr>
          <w:rFonts w:hint="cs"/>
          <w:rtl/>
          <w:lang w:bidi="ar-EG"/>
        </w:rPr>
        <w:t>مراجع داخلي</w:t>
      </w:r>
      <w:r w:rsidR="00745E04" w:rsidRPr="00097B48">
        <w:rPr>
          <w:rFonts w:hint="cs"/>
          <w:rtl/>
          <w:lang w:val="en-CA" w:bidi="ar-EG"/>
        </w:rPr>
        <w:t xml:space="preserve"> (ف</w:t>
      </w:r>
      <w:r w:rsidR="00097B48" w:rsidRPr="00097B48">
        <w:rPr>
          <w:rFonts w:hint="cs"/>
          <w:rtl/>
          <w:lang w:val="en-CA" w:bidi="ar-EG"/>
        </w:rPr>
        <w:t>ني</w:t>
      </w:r>
      <w:r w:rsidR="00745E04" w:rsidRPr="00097B48">
        <w:rPr>
          <w:rFonts w:hint="cs"/>
          <w:rtl/>
          <w:lang w:val="en-CA" w:bidi="ar-EG"/>
        </w:rPr>
        <w:noBreakHyphen/>
      </w:r>
      <w:r w:rsidR="00745E04" w:rsidRPr="00097B48">
        <w:rPr>
          <w:lang w:bidi="ar-EG"/>
        </w:rPr>
        <w:t>3</w:t>
      </w:r>
      <w:r w:rsidR="00745E04" w:rsidRPr="00097B48">
        <w:rPr>
          <w:rFonts w:hint="cs"/>
          <w:rtl/>
          <w:lang w:val="en-CA" w:bidi="ar-EG"/>
        </w:rPr>
        <w:t>)</w:t>
      </w:r>
      <w:r w:rsidR="00BE02C9" w:rsidRPr="00097B48">
        <w:rPr>
          <w:rFonts w:hint="cs"/>
          <w:rtl/>
          <w:lang w:bidi="ar-EG"/>
        </w:rPr>
        <w:t xml:space="preserve"> </w:t>
      </w:r>
      <w:r w:rsidR="00BE02C9" w:rsidRPr="00097B48">
        <w:rPr>
          <w:rFonts w:hint="cs"/>
          <w:rtl/>
          <w:lang w:val="en-CA" w:bidi="ar-EG"/>
        </w:rPr>
        <w:t>ومراجع داخلي مبتدئ</w:t>
      </w:r>
      <w:r w:rsidR="00BE02C9" w:rsidRPr="00097B48">
        <w:rPr>
          <w:rFonts w:hint="cs"/>
          <w:rtl/>
          <w:lang w:bidi="ar-EG"/>
        </w:rPr>
        <w:t xml:space="preserve"> (</w:t>
      </w:r>
      <w:r w:rsidR="00BE02C9" w:rsidRPr="00097B48">
        <w:rPr>
          <w:rFonts w:hint="cs"/>
          <w:rtl/>
          <w:lang w:val="en-CA" w:bidi="ar-EG"/>
        </w:rPr>
        <w:t>ف</w:t>
      </w:r>
      <w:r w:rsidR="00097B48" w:rsidRPr="00097B48">
        <w:rPr>
          <w:rFonts w:hint="cs"/>
          <w:rtl/>
          <w:lang w:val="en-CA" w:bidi="ar-EG"/>
        </w:rPr>
        <w:t>ني</w:t>
      </w:r>
      <w:r w:rsidR="00BE02C9" w:rsidRPr="00097B48">
        <w:rPr>
          <w:rFonts w:hint="cs"/>
          <w:rtl/>
          <w:lang w:val="en-CA" w:bidi="ar-EG"/>
        </w:rPr>
        <w:t>-</w:t>
      </w:r>
      <w:r w:rsidR="00BE02C9" w:rsidRPr="00097B48">
        <w:rPr>
          <w:lang w:val="en-CA" w:bidi="ar-EG"/>
        </w:rPr>
        <w:t>2</w:t>
      </w:r>
      <w:r w:rsidR="00BE02C9" w:rsidRPr="00097B48">
        <w:rPr>
          <w:rFonts w:hint="cs"/>
          <w:rtl/>
          <w:lang w:bidi="ar-EG"/>
        </w:rPr>
        <w:t>). و</w:t>
      </w:r>
      <w:r w:rsidR="00BE02C9" w:rsidRPr="00097B48">
        <w:rPr>
          <w:rtl/>
          <w:lang w:bidi="ar-EG"/>
        </w:rPr>
        <w:t>في</w:t>
      </w:r>
      <w:r w:rsidR="00097B48" w:rsidRPr="00097B48">
        <w:rPr>
          <w:rFonts w:hint="cs"/>
          <w:rtl/>
          <w:lang w:bidi="ar-EG"/>
        </w:rPr>
        <w:t> </w:t>
      </w:r>
      <w:r w:rsidR="00BE02C9" w:rsidRPr="00097B48">
        <w:rPr>
          <w:rtl/>
          <w:lang w:bidi="ar-EG"/>
        </w:rPr>
        <w:t>أوائل عام 2022</w:t>
      </w:r>
      <w:r w:rsidR="00EE1F08" w:rsidRPr="00097B48">
        <w:rPr>
          <w:rtl/>
          <w:lang w:bidi="ar-EG"/>
        </w:rPr>
        <w:t>،</w:t>
      </w:r>
      <w:r w:rsidR="00BE02C9" w:rsidRPr="00097B48">
        <w:rPr>
          <w:rtl/>
          <w:lang w:bidi="ar-EG"/>
        </w:rPr>
        <w:t xml:space="preserve"> </w:t>
      </w:r>
      <w:r w:rsidR="00EE1F08" w:rsidRPr="00097B48">
        <w:rPr>
          <w:rFonts w:hint="cs"/>
          <w:rtl/>
          <w:lang w:bidi="ar-EG"/>
        </w:rPr>
        <w:t xml:space="preserve">أعلن عن </w:t>
      </w:r>
      <w:r w:rsidR="00BE02C9" w:rsidRPr="00097B48">
        <w:rPr>
          <w:rtl/>
          <w:lang w:bidi="ar-EG"/>
        </w:rPr>
        <w:t xml:space="preserve">وظيفة </w:t>
      </w:r>
      <w:r w:rsidR="00EE1F08" w:rsidRPr="00097B48">
        <w:rPr>
          <w:rFonts w:hint="cs"/>
          <w:rtl/>
          <w:lang w:val="en-CA" w:bidi="ar-EG"/>
        </w:rPr>
        <w:t>ف</w:t>
      </w:r>
      <w:r w:rsidR="00097B48" w:rsidRPr="00097B48">
        <w:rPr>
          <w:rFonts w:hint="cs"/>
          <w:rtl/>
          <w:lang w:val="en-CA" w:bidi="ar-EG"/>
        </w:rPr>
        <w:t>ني</w:t>
      </w:r>
      <w:r w:rsidR="00EE1F08" w:rsidRPr="00097B48">
        <w:rPr>
          <w:rFonts w:hint="cs"/>
          <w:rtl/>
          <w:lang w:val="en-CA" w:bidi="ar-EG"/>
        </w:rPr>
        <w:noBreakHyphen/>
      </w:r>
      <w:r w:rsidR="00EE1F08" w:rsidRPr="00097B48">
        <w:rPr>
          <w:lang w:bidi="ar-EG"/>
        </w:rPr>
        <w:t>3</w:t>
      </w:r>
      <w:r w:rsidR="00BE02C9" w:rsidRPr="00097B48">
        <w:rPr>
          <w:rtl/>
          <w:lang w:bidi="ar-EG"/>
        </w:rPr>
        <w:t xml:space="preserve"> الشاغرة محددة </w:t>
      </w:r>
      <w:r w:rsidR="004D2605" w:rsidRPr="00097B48">
        <w:rPr>
          <w:rFonts w:hint="cs"/>
          <w:rtl/>
          <w:lang w:bidi="ar-EG"/>
        </w:rPr>
        <w:t>الأجل</w:t>
      </w:r>
      <w:r w:rsidR="00BE02C9" w:rsidRPr="00097B48">
        <w:rPr>
          <w:rtl/>
          <w:lang w:bidi="ar-EG"/>
        </w:rPr>
        <w:t xml:space="preserve"> وانضم </w:t>
      </w:r>
      <w:r w:rsidR="004D2605" w:rsidRPr="00097B48">
        <w:rPr>
          <w:rFonts w:hint="cs"/>
          <w:rtl/>
          <w:lang w:bidi="ar-EG"/>
        </w:rPr>
        <w:t xml:space="preserve">إلى الوحدة </w:t>
      </w:r>
      <w:r w:rsidR="00BE02C9" w:rsidRPr="00097B48">
        <w:rPr>
          <w:rtl/>
          <w:lang w:bidi="ar-EG"/>
        </w:rPr>
        <w:t xml:space="preserve">موظف مؤقت </w:t>
      </w:r>
      <w:r w:rsidR="004D2605" w:rsidRPr="00097B48">
        <w:rPr>
          <w:rFonts w:hint="cs"/>
          <w:rtl/>
          <w:lang w:val="en-CA" w:bidi="ar-EG"/>
        </w:rPr>
        <w:t>ف</w:t>
      </w:r>
      <w:r w:rsidR="00097B48" w:rsidRPr="00097B48">
        <w:rPr>
          <w:rFonts w:hint="cs"/>
          <w:rtl/>
          <w:lang w:val="en-CA" w:bidi="ar-EG"/>
        </w:rPr>
        <w:t>ني</w:t>
      </w:r>
      <w:r w:rsidR="004D2605" w:rsidRPr="00097B48">
        <w:rPr>
          <w:rFonts w:hint="cs"/>
          <w:rtl/>
          <w:lang w:val="en-CA" w:bidi="ar-EG"/>
        </w:rPr>
        <w:noBreakHyphen/>
      </w:r>
      <w:r w:rsidR="004D2605" w:rsidRPr="00097B48">
        <w:rPr>
          <w:lang w:bidi="ar-EG"/>
        </w:rPr>
        <w:t>3</w:t>
      </w:r>
      <w:r w:rsidR="00EE1F08" w:rsidRPr="00097B48">
        <w:rPr>
          <w:rtl/>
          <w:lang w:bidi="ar-EG"/>
        </w:rPr>
        <w:t>،</w:t>
      </w:r>
      <w:r w:rsidR="00BE02C9" w:rsidRPr="00097B48">
        <w:rPr>
          <w:rtl/>
          <w:lang w:bidi="ar-EG"/>
        </w:rPr>
        <w:t xml:space="preserve"> </w:t>
      </w:r>
      <w:r w:rsidR="004D2605" w:rsidRPr="00097B48">
        <w:rPr>
          <w:rFonts w:hint="cs"/>
          <w:rtl/>
          <w:lang w:bidi="ar-EG"/>
        </w:rPr>
        <w:t>ب</w:t>
      </w:r>
      <w:r w:rsidR="00BE02C9" w:rsidRPr="00097B48">
        <w:rPr>
          <w:rtl/>
          <w:lang w:bidi="ar-EG"/>
        </w:rPr>
        <w:t>انتظار اختيار شاغل الوظيفة</w:t>
      </w:r>
      <w:r w:rsidR="00EE1F08" w:rsidRPr="00097B48">
        <w:rPr>
          <w:rtl/>
          <w:lang w:bidi="ar-EG"/>
        </w:rPr>
        <w:t>،</w:t>
      </w:r>
      <w:r w:rsidR="00BE02C9" w:rsidRPr="00097B48">
        <w:rPr>
          <w:rtl/>
          <w:lang w:bidi="ar-EG"/>
        </w:rPr>
        <w:t xml:space="preserve"> الذي انضم</w:t>
      </w:r>
      <w:r w:rsidR="004D2605" w:rsidRPr="00097B48">
        <w:rPr>
          <w:rFonts w:hint="cs"/>
          <w:rtl/>
          <w:lang w:bidi="ar-EG"/>
        </w:rPr>
        <w:t xml:space="preserve"> إلى الوحدة</w:t>
      </w:r>
      <w:r w:rsidR="00BE02C9" w:rsidRPr="00097B48">
        <w:rPr>
          <w:rtl/>
          <w:lang w:bidi="ar-EG"/>
        </w:rPr>
        <w:t xml:space="preserve"> في 1 نوفمبر 2022.</w:t>
      </w:r>
    </w:p>
    <w:p w14:paraId="1CC6B21E" w14:textId="4174A734" w:rsidR="00AE4530" w:rsidRDefault="00AE4530" w:rsidP="00AE4530">
      <w:pPr>
        <w:rPr>
          <w:rtl/>
        </w:rPr>
      </w:pPr>
      <w:r>
        <w:t>3</w:t>
      </w:r>
      <w:r>
        <w:rPr>
          <w:rFonts w:hint="cs"/>
          <w:rtl/>
        </w:rPr>
        <w:tab/>
        <w:t xml:space="preserve">وتؤكد وحدة المراجعة الداخلية أنها تجري مراجعاتها وفقاً للمعايير الدولية للممارسة المهنية للمراجعة الداخلية ومدونة قواعد السلوك التي وضعها معهد المراجعين الداخليين </w:t>
      </w:r>
      <w:r>
        <w:t>(IIA)</w:t>
      </w:r>
      <w:r>
        <w:rPr>
          <w:rFonts w:hint="cs"/>
          <w:rtl/>
        </w:rPr>
        <w:t>،</w:t>
      </w:r>
      <w:r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ولأحكام ميثاق المراجعة الداخلية في الاتحاد. وبالإضافة إلى ذلك، تؤكد وحدة المراجعة</w:t>
      </w:r>
      <w:r w:rsidR="00BE02C9">
        <w:rPr>
          <w:rFonts w:hint="cs"/>
          <w:rtl/>
        </w:rPr>
        <w:t>،</w:t>
      </w:r>
      <w:r>
        <w:rPr>
          <w:rFonts w:hint="cs"/>
          <w:rtl/>
        </w:rPr>
        <w:t xml:space="preserve"> فيما يخص الفترة </w:t>
      </w:r>
      <w:r w:rsidR="004D2605">
        <w:rPr>
          <w:rFonts w:hint="cs"/>
          <w:rtl/>
        </w:rPr>
        <w:t>التي يشملها</w:t>
      </w:r>
      <w:r>
        <w:rPr>
          <w:rFonts w:hint="cs"/>
          <w:rtl/>
        </w:rPr>
        <w:t xml:space="preserve"> التقرير</w:t>
      </w:r>
      <w:r w:rsidR="00BE02C9">
        <w:rPr>
          <w:rFonts w:hint="cs"/>
          <w:rtl/>
        </w:rPr>
        <w:t>،</w:t>
      </w:r>
      <w:r>
        <w:rPr>
          <w:rFonts w:hint="cs"/>
          <w:rtl/>
        </w:rPr>
        <w:t xml:space="preserve"> أنه لم يكن </w:t>
      </w:r>
      <w:r w:rsidR="00BE02C9">
        <w:rPr>
          <w:rFonts w:hint="cs"/>
          <w:rtl/>
        </w:rPr>
        <w:t>لديها</w:t>
      </w:r>
      <w:r>
        <w:rPr>
          <w:rFonts w:hint="cs"/>
          <w:rtl/>
        </w:rPr>
        <w:t xml:space="preserve"> أي سلطة </w:t>
      </w:r>
      <w:r w:rsidR="00BE02C9">
        <w:rPr>
          <w:rFonts w:hint="cs"/>
          <w:rtl/>
        </w:rPr>
        <w:t>إشرافية أو</w:t>
      </w:r>
      <w:r>
        <w:rPr>
          <w:rFonts w:hint="cs"/>
          <w:rtl/>
        </w:rPr>
        <w:t xml:space="preserve"> أي مسؤولية عن أي من الأنشطة التي جرت مراجعتها </w:t>
      </w:r>
      <w:r w:rsidR="00BE02C9">
        <w:rPr>
          <w:rFonts w:hint="cs"/>
          <w:rtl/>
        </w:rPr>
        <w:t xml:space="preserve">وأنها لم تضطلع بأي </w:t>
      </w:r>
      <w:r>
        <w:rPr>
          <w:rFonts w:hint="cs"/>
          <w:rtl/>
        </w:rPr>
        <w:t>وظائف محاسبية أو تشغيلية ضمن الاتحاد.</w:t>
      </w:r>
    </w:p>
    <w:p w14:paraId="0DABF780" w14:textId="77777777" w:rsidR="00AE4530" w:rsidRDefault="00AE4530" w:rsidP="00AA1418">
      <w:pPr>
        <w:pStyle w:val="Heading1"/>
        <w:rPr>
          <w:rtl/>
        </w:rPr>
      </w:pPr>
      <w:r>
        <w:rPr>
          <w:rFonts w:hint="cs"/>
          <w:rtl/>
        </w:rPr>
        <w:t>توجُّه أنشطة المراجعة الداخلية ونطاقها</w:t>
      </w:r>
    </w:p>
    <w:p w14:paraId="6DBE461F" w14:textId="5DA2C64B" w:rsidR="00DB62DD" w:rsidRDefault="00AE4530" w:rsidP="00DB62DD">
      <w:pPr>
        <w:rPr>
          <w:rtl/>
          <w:lang w:bidi="ar-EG"/>
        </w:rPr>
      </w:pPr>
      <w:r>
        <w:t>4</w:t>
      </w:r>
      <w:r>
        <w:rPr>
          <w:rFonts w:hint="cs"/>
          <w:rtl/>
        </w:rPr>
        <w:tab/>
        <w:t>تماشياً مع ميثاق المراجعة الداخلية</w:t>
      </w:r>
      <w:r w:rsidR="004D2605">
        <w:rPr>
          <w:rFonts w:hint="cs"/>
          <w:rtl/>
        </w:rPr>
        <w:t>،</w:t>
      </w:r>
      <w:r>
        <w:rPr>
          <w:rFonts w:hint="cs"/>
          <w:rtl/>
        </w:rPr>
        <w:t xml:space="preserve"> استعرضت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اللجنة الاستشارية المستقلة للإدارة </w:t>
      </w:r>
      <w:r>
        <w:t>(IMAC)</w:t>
      </w:r>
      <w:r w:rsidR="00DB62DD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 اجتماعها </w:t>
      </w:r>
      <w:r w:rsidR="00DB62DD">
        <w:rPr>
          <w:rFonts w:hint="cs"/>
          <w:rtl/>
        </w:rPr>
        <w:t>الحادي والثلاثين</w:t>
      </w:r>
      <w:r>
        <w:rPr>
          <w:rFonts w:hint="cs"/>
          <w:rtl/>
        </w:rPr>
        <w:t xml:space="preserve"> خطة المراجعة السنوية</w:t>
      </w:r>
      <w:r w:rsidR="00DB62DD">
        <w:rPr>
          <w:rFonts w:hint="cs"/>
          <w:rtl/>
        </w:rPr>
        <w:t xml:space="preserve"> لعام 2022</w:t>
      </w:r>
      <w:r w:rsidR="004D2605">
        <w:rPr>
          <w:rFonts w:hint="cs"/>
          <w:rtl/>
        </w:rPr>
        <w:t>،</w:t>
      </w:r>
      <w:r>
        <w:rPr>
          <w:rFonts w:hint="cs"/>
          <w:rtl/>
        </w:rPr>
        <w:t xml:space="preserve"> ووافق</w:t>
      </w:r>
      <w:r w:rsidR="00DB62DD">
        <w:rPr>
          <w:rFonts w:hint="cs"/>
          <w:rtl/>
        </w:rPr>
        <w:t>ت</w:t>
      </w:r>
      <w:r>
        <w:rPr>
          <w:rFonts w:hint="cs"/>
          <w:rtl/>
        </w:rPr>
        <w:t xml:space="preserve"> عليها الأمين</w:t>
      </w:r>
      <w:r w:rsidR="00DB62DD">
        <w:rPr>
          <w:rFonts w:hint="cs"/>
          <w:rtl/>
        </w:rPr>
        <w:t>ة</w:t>
      </w:r>
      <w:r>
        <w:rPr>
          <w:rFonts w:hint="cs"/>
          <w:rtl/>
        </w:rPr>
        <w:t xml:space="preserve"> العام</w:t>
      </w:r>
      <w:r w:rsidR="00DB62DD">
        <w:rPr>
          <w:rFonts w:hint="cs"/>
          <w:rtl/>
        </w:rPr>
        <w:t>ة</w:t>
      </w:r>
      <w:r>
        <w:rPr>
          <w:rFonts w:hint="cs"/>
          <w:rtl/>
        </w:rPr>
        <w:t xml:space="preserve"> في </w:t>
      </w:r>
      <w:r w:rsidR="00DB62DD">
        <w:rPr>
          <w:rFonts w:hint="cs"/>
          <w:rtl/>
        </w:rPr>
        <w:t>1</w:t>
      </w:r>
      <w:r>
        <w:rPr>
          <w:rFonts w:hint="cs"/>
          <w:rtl/>
          <w:lang w:bidi="ar-EG"/>
        </w:rPr>
        <w:t> </w:t>
      </w:r>
      <w:r w:rsidR="00DB62DD">
        <w:rPr>
          <w:rFonts w:hint="cs"/>
          <w:rtl/>
          <w:lang w:bidi="ar-EG"/>
        </w:rPr>
        <w:t>أبريل</w:t>
      </w:r>
      <w:r>
        <w:rPr>
          <w:rFonts w:hint="cs"/>
          <w:rtl/>
          <w:lang w:bidi="ar-EG"/>
        </w:rPr>
        <w:t> 202</w:t>
      </w:r>
      <w:r w:rsidR="00DB62DD">
        <w:rPr>
          <w:rFonts w:hint="cs"/>
          <w:rtl/>
          <w:lang w:bidi="ar-EG"/>
        </w:rPr>
        <w:t>2</w:t>
      </w:r>
      <w:r>
        <w:rPr>
          <w:rFonts w:hint="cs"/>
          <w:rtl/>
          <w:lang w:bidi="ar-EG"/>
        </w:rPr>
        <w:t>.</w:t>
      </w:r>
    </w:p>
    <w:p w14:paraId="2EA930AC" w14:textId="12979B90" w:rsidR="00AE4530" w:rsidRDefault="00AE4530" w:rsidP="00AE4530">
      <w:pPr>
        <w:rPr>
          <w:spacing w:val="-2"/>
          <w:rtl/>
          <w:lang w:val="en-CA" w:bidi="ar-EG"/>
        </w:rPr>
      </w:pPr>
      <w:r>
        <w:rPr>
          <w:spacing w:val="-2"/>
        </w:rPr>
        <w:t>5</w:t>
      </w:r>
      <w:r>
        <w:rPr>
          <w:rFonts w:hint="cs"/>
          <w:spacing w:val="-2"/>
          <w:rtl/>
        </w:rPr>
        <w:tab/>
        <w:t xml:space="preserve">وتقدِّم وحدة المراجعة الداخلية </w:t>
      </w:r>
      <w:r w:rsidR="004D2605">
        <w:rPr>
          <w:rFonts w:hint="cs"/>
          <w:spacing w:val="-2"/>
          <w:rtl/>
        </w:rPr>
        <w:t>بانتظام</w:t>
      </w:r>
      <w:r>
        <w:rPr>
          <w:rFonts w:hint="cs"/>
          <w:spacing w:val="-2"/>
          <w:rtl/>
        </w:rPr>
        <w:t xml:space="preserve"> نسخاً من تقارير المراجعة الداخلية إلى المراجع الخارجي لحسابات الاتحاد واللجنة الاستشارية المستقلة للإدارة. ووفقاً</w:t>
      </w:r>
      <w:r w:rsidR="00DB62DD">
        <w:rPr>
          <w:rFonts w:hint="cs"/>
          <w:spacing w:val="-2"/>
          <w:rtl/>
        </w:rPr>
        <w:t xml:space="preserve"> للبند 5 من</w:t>
      </w:r>
      <w:r>
        <w:rPr>
          <w:rFonts w:hint="cs"/>
          <w:spacing w:val="-2"/>
          <w:rtl/>
        </w:rPr>
        <w:t xml:space="preserve"> </w:t>
      </w:r>
      <w:r w:rsidR="00DB62DD">
        <w:rPr>
          <w:rFonts w:hint="cs"/>
          <w:spacing w:val="-2"/>
          <w:rtl/>
        </w:rPr>
        <w:t>ا</w:t>
      </w:r>
      <w:r>
        <w:rPr>
          <w:rFonts w:hint="cs"/>
          <w:spacing w:val="-2"/>
          <w:rtl/>
        </w:rPr>
        <w:t>لمادة </w:t>
      </w:r>
      <w:r w:rsidR="00DB62DD">
        <w:rPr>
          <w:rFonts w:hint="cs"/>
          <w:spacing w:val="-2"/>
          <w:rtl/>
        </w:rPr>
        <w:t>29</w:t>
      </w:r>
      <w:r>
        <w:rPr>
          <w:rFonts w:hint="cs"/>
          <w:spacing w:val="-2"/>
          <w:rtl/>
        </w:rPr>
        <w:t xml:space="preserve"> من اللوائح المالية</w:t>
      </w:r>
      <w:r w:rsidR="00DB62DD">
        <w:rPr>
          <w:rFonts w:hint="cs"/>
          <w:spacing w:val="-2"/>
          <w:rtl/>
        </w:rPr>
        <w:t xml:space="preserve"> والقواعد المالية</w:t>
      </w:r>
      <w:r>
        <w:rPr>
          <w:rFonts w:hint="cs"/>
          <w:spacing w:val="-2"/>
          <w:rtl/>
        </w:rPr>
        <w:t xml:space="preserve"> للاتحاد، تُتاح التقارير النهائية للمراجعة الداخلية للدول الأعضاء أو</w:t>
      </w:r>
      <w:r w:rsidR="004D2605">
        <w:rPr>
          <w:rFonts w:hint="cs"/>
          <w:spacing w:val="-2"/>
          <w:rtl/>
        </w:rPr>
        <w:t xml:space="preserve"> من تعيّنه من</w:t>
      </w:r>
      <w:r>
        <w:rPr>
          <w:rFonts w:hint="cs"/>
          <w:spacing w:val="-2"/>
          <w:rtl/>
        </w:rPr>
        <w:t> ممثلي</w:t>
      </w:r>
      <w:r w:rsidR="004D2605">
        <w:rPr>
          <w:rFonts w:hint="cs"/>
          <w:spacing w:val="-2"/>
          <w:rtl/>
        </w:rPr>
        <w:t>ن</w:t>
      </w:r>
      <w:r>
        <w:rPr>
          <w:rFonts w:hint="cs"/>
          <w:spacing w:val="-2"/>
          <w:rtl/>
        </w:rPr>
        <w:t xml:space="preserve">. </w:t>
      </w:r>
      <w:r w:rsidR="00DB62DD">
        <w:rPr>
          <w:rFonts w:hint="cs"/>
          <w:spacing w:val="-2"/>
          <w:rtl/>
        </w:rPr>
        <w:t>وقد وضعت</w:t>
      </w:r>
      <w:r>
        <w:rPr>
          <w:rFonts w:hint="cs"/>
          <w:spacing w:val="-2"/>
          <w:rtl/>
        </w:rPr>
        <w:t xml:space="preserve"> آلية </w:t>
      </w:r>
      <w:r w:rsidR="00DB62DD">
        <w:rPr>
          <w:rFonts w:hint="cs"/>
          <w:spacing w:val="-2"/>
          <w:rtl/>
        </w:rPr>
        <w:t>ميس</w:t>
      </w:r>
      <w:r w:rsidR="00C2600E">
        <w:rPr>
          <w:rFonts w:hint="cs"/>
          <w:spacing w:val="-2"/>
          <w:rtl/>
        </w:rPr>
        <w:t>و</w:t>
      </w:r>
      <w:r w:rsidR="00DB62DD">
        <w:rPr>
          <w:rFonts w:hint="cs"/>
          <w:spacing w:val="-2"/>
          <w:rtl/>
        </w:rPr>
        <w:t>رة</w:t>
      </w:r>
      <w:r>
        <w:rPr>
          <w:rFonts w:hint="cs"/>
          <w:spacing w:val="-2"/>
          <w:rtl/>
        </w:rPr>
        <w:t xml:space="preserve"> منذ أكتوبر </w:t>
      </w:r>
      <w:r>
        <w:rPr>
          <w:spacing w:val="-2"/>
          <w:lang w:val="en-CA"/>
        </w:rPr>
        <w:t>2015</w:t>
      </w:r>
      <w:r>
        <w:rPr>
          <w:rFonts w:hint="cs"/>
          <w:spacing w:val="-2"/>
          <w:rtl/>
          <w:lang w:val="en-CA" w:bidi="ar-EG"/>
        </w:rPr>
        <w:t xml:space="preserve"> للنفاذ إلى تقارير المراجعة الداخلية. وخلال الفترة </w:t>
      </w:r>
      <w:r w:rsidR="004D2605">
        <w:rPr>
          <w:rFonts w:hint="cs"/>
          <w:spacing w:val="-2"/>
          <w:rtl/>
          <w:lang w:val="en-CA" w:bidi="ar-EG"/>
        </w:rPr>
        <w:t>التي يشملها</w:t>
      </w:r>
      <w:r>
        <w:rPr>
          <w:rFonts w:hint="cs"/>
          <w:spacing w:val="-2"/>
          <w:rtl/>
          <w:lang w:val="en-CA" w:bidi="ar-EG"/>
        </w:rPr>
        <w:t xml:space="preserve"> التقرير، لم ترد أي طلبات </w:t>
      </w:r>
      <w:r w:rsidR="00DB62DD">
        <w:rPr>
          <w:rFonts w:hint="cs"/>
          <w:spacing w:val="-2"/>
          <w:rtl/>
          <w:lang w:val="en-CA" w:bidi="ar-EG"/>
        </w:rPr>
        <w:t>للنفاذ إلى</w:t>
      </w:r>
      <w:r>
        <w:rPr>
          <w:rFonts w:hint="cs"/>
          <w:spacing w:val="-2"/>
          <w:rtl/>
          <w:lang w:val="en-CA" w:bidi="ar-EG"/>
        </w:rPr>
        <w:t xml:space="preserve"> تقارير المراجعة الداخلية </w:t>
      </w:r>
      <w:r>
        <w:rPr>
          <w:rFonts w:hint="cs"/>
          <w:color w:val="000000"/>
          <w:spacing w:val="-2"/>
          <w:rtl/>
        </w:rPr>
        <w:t>من خلال الآلية المتاحة على الخط</w:t>
      </w:r>
      <w:r>
        <w:rPr>
          <w:rFonts w:hint="cs"/>
          <w:spacing w:val="-2"/>
          <w:rtl/>
          <w:lang w:val="en-CA" w:bidi="ar-EG"/>
        </w:rPr>
        <w:t>.</w:t>
      </w:r>
    </w:p>
    <w:p w14:paraId="2BBCF2E1" w14:textId="77777777" w:rsidR="00AE4530" w:rsidRDefault="00AE4530" w:rsidP="00AA1418">
      <w:pPr>
        <w:pStyle w:val="Heading1"/>
        <w:rPr>
          <w:rtl/>
        </w:rPr>
      </w:pPr>
      <w:r>
        <w:rPr>
          <w:rFonts w:hint="cs"/>
          <w:rtl/>
        </w:rPr>
        <w:t>أهداف المهام المتصلة بالتزامات تأكيد صحة البيانات واستنتاجاتها</w:t>
      </w:r>
    </w:p>
    <w:p w14:paraId="0ABE64A7" w14:textId="00274F92" w:rsidR="00AE4530" w:rsidRDefault="00AE4530" w:rsidP="00AE4530">
      <w:pPr>
        <w:rPr>
          <w:rtl/>
        </w:rPr>
      </w:pPr>
      <w:r>
        <w:t>6</w:t>
      </w:r>
      <w:r>
        <w:rPr>
          <w:rFonts w:hint="cs"/>
          <w:rtl/>
        </w:rPr>
        <w:tab/>
        <w:t>تتمثل أهداف المهام المتصلة بالتزامات تأكيد صحة البيانات في تقييم ما يلي: ’</w:t>
      </w:r>
      <w:proofErr w:type="gramStart"/>
      <w:r>
        <w:t>1</w:t>
      </w:r>
      <w:r>
        <w:rPr>
          <w:rFonts w:hint="cs"/>
          <w:rtl/>
        </w:rPr>
        <w:t>‘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جوانب</w:t>
      </w:r>
      <w:proofErr w:type="gramEnd"/>
      <w:r>
        <w:rPr>
          <w:rFonts w:hint="cs"/>
          <w:rtl/>
        </w:rPr>
        <w:t xml:space="preserve"> </w:t>
      </w:r>
      <w:r w:rsidR="004D2605">
        <w:rPr>
          <w:rFonts w:hint="cs"/>
          <w:rtl/>
        </w:rPr>
        <w:t>الحوسبة</w:t>
      </w:r>
      <w:r>
        <w:rPr>
          <w:rFonts w:hint="cs"/>
          <w:rtl/>
        </w:rPr>
        <w:t xml:space="preserve"> في عمليات الاتحاد التي جرت مراجعتها؛ ’</w:t>
      </w:r>
      <w:r>
        <w:t>2</w:t>
      </w:r>
      <w:r>
        <w:rPr>
          <w:rFonts w:hint="cs"/>
          <w:rtl/>
        </w:rPr>
        <w:t>‘ ممارسات إدارة المخاطر؛ ’</w:t>
      </w:r>
      <w:r>
        <w:t>3</w:t>
      </w:r>
      <w:r>
        <w:rPr>
          <w:rFonts w:hint="cs"/>
          <w:rtl/>
        </w:rPr>
        <w:t xml:space="preserve">‘ فعالية الضوابط (الداخلية). وتصنَّف التوصيات الناتجة عن أعمال المراجعة من حيث الأولوية بحسب </w:t>
      </w:r>
      <w:r w:rsidR="007B75C8">
        <w:rPr>
          <w:rFonts w:hint="cs"/>
          <w:rtl/>
        </w:rPr>
        <w:t>ال</w:t>
      </w:r>
      <w:r>
        <w:rPr>
          <w:rFonts w:hint="cs"/>
          <w:rtl/>
        </w:rPr>
        <w:t>أثر</w:t>
      </w:r>
      <w:r w:rsidR="007B75C8">
        <w:rPr>
          <w:rFonts w:hint="cs"/>
          <w:rtl/>
        </w:rPr>
        <w:t xml:space="preserve"> المترتب على</w:t>
      </w:r>
      <w:r>
        <w:rPr>
          <w:rFonts w:hint="cs"/>
          <w:rtl/>
        </w:rPr>
        <w:t xml:space="preserve"> القصور </w:t>
      </w:r>
      <w:r w:rsidR="007B75C8">
        <w:rPr>
          <w:rFonts w:hint="cs"/>
          <w:rtl/>
        </w:rPr>
        <w:t>واحتمال</w:t>
      </w:r>
      <w:r>
        <w:rPr>
          <w:rFonts w:hint="cs"/>
          <w:rtl/>
        </w:rPr>
        <w:t xml:space="preserve"> وقوعه (</w:t>
      </w:r>
      <w:r w:rsidR="007B75C8">
        <w:rPr>
          <w:rFonts w:hint="cs"/>
          <w:rtl/>
        </w:rPr>
        <w:t>مرتفع</w:t>
      </w:r>
      <w:r>
        <w:rPr>
          <w:rFonts w:hint="cs"/>
          <w:rtl/>
        </w:rPr>
        <w:t xml:space="preserve">، متوسط، </w:t>
      </w:r>
      <w:r w:rsidR="007B75C8">
        <w:rPr>
          <w:rFonts w:hint="cs"/>
          <w:rtl/>
        </w:rPr>
        <w:t>منخفض</w:t>
      </w:r>
      <w:r>
        <w:rPr>
          <w:rFonts w:hint="cs"/>
          <w:rtl/>
        </w:rPr>
        <w:t>).</w:t>
      </w:r>
    </w:p>
    <w:p w14:paraId="45281603" w14:textId="1292DF7E" w:rsidR="00AE4530" w:rsidRPr="00A30E6A" w:rsidRDefault="00AE4530" w:rsidP="0070783E">
      <w:pPr>
        <w:rPr>
          <w:rtl/>
          <w:lang w:bidi="ar-EG"/>
        </w:rPr>
      </w:pPr>
      <w:r w:rsidRPr="00A30E6A">
        <w:t>7</w:t>
      </w:r>
      <w:r w:rsidRPr="00A30E6A">
        <w:rPr>
          <w:rtl/>
        </w:rPr>
        <w:tab/>
      </w:r>
      <w:r w:rsidRPr="00A30E6A">
        <w:rPr>
          <w:rtl/>
          <w:lang w:bidi="ar-EG"/>
        </w:rPr>
        <w:t>و</w:t>
      </w:r>
      <w:r w:rsidRPr="00A30E6A">
        <w:rPr>
          <w:rtl/>
        </w:rPr>
        <w:t xml:space="preserve">تُتابع </w:t>
      </w:r>
      <w:bookmarkStart w:id="1" w:name="_Hlk98259180"/>
      <w:r w:rsidRPr="00A30E6A">
        <w:rPr>
          <w:rtl/>
        </w:rPr>
        <w:t xml:space="preserve">وحدة المراجعة الداخلية </w:t>
      </w:r>
      <w:bookmarkEnd w:id="1"/>
      <w:r w:rsidRPr="00A30E6A">
        <w:rPr>
          <w:rtl/>
        </w:rPr>
        <w:t>تنفيذ الإجراءات الموصى بها</w:t>
      </w:r>
      <w:r w:rsidR="007B75C8" w:rsidRPr="00A30E6A">
        <w:rPr>
          <w:rtl/>
        </w:rPr>
        <w:t xml:space="preserve"> حيثما اقتضى </w:t>
      </w:r>
      <w:r w:rsidR="00956B38" w:rsidRPr="00A30E6A">
        <w:rPr>
          <w:rtl/>
        </w:rPr>
        <w:t>الأمر ذلك</w:t>
      </w:r>
      <w:r w:rsidR="007B75C8" w:rsidRPr="00A30E6A">
        <w:rPr>
          <w:rtl/>
        </w:rPr>
        <w:t>.</w:t>
      </w:r>
      <w:r w:rsidRPr="00A30E6A">
        <w:rPr>
          <w:rtl/>
        </w:rPr>
        <w:t xml:space="preserve"> ومنذ مطلع عام </w:t>
      </w:r>
      <w:r w:rsidRPr="00A30E6A">
        <w:t>2021</w:t>
      </w:r>
      <w:r w:rsidRPr="00A30E6A">
        <w:rPr>
          <w:rtl/>
          <w:lang w:bidi="ar-EG"/>
        </w:rPr>
        <w:t>، أُتيح</w:t>
      </w:r>
      <w:r w:rsidR="007B75C8" w:rsidRPr="00A30E6A">
        <w:rPr>
          <w:rtl/>
          <w:lang w:bidi="ar-EG"/>
        </w:rPr>
        <w:t>ت</w:t>
      </w:r>
      <w:r w:rsidRPr="00A30E6A">
        <w:rPr>
          <w:rtl/>
          <w:lang w:bidi="ar-EG"/>
        </w:rPr>
        <w:t xml:space="preserve"> لهذا الغرض، على نطاق الاتحاد ككل،</w:t>
      </w:r>
      <w:r w:rsidR="007B75C8" w:rsidRPr="00A30E6A">
        <w:rPr>
          <w:rtl/>
          <w:lang w:bidi="ar-EG"/>
        </w:rPr>
        <w:t xml:space="preserve"> إمكانية</w:t>
      </w:r>
      <w:r w:rsidRPr="00A30E6A">
        <w:rPr>
          <w:rtl/>
          <w:lang w:bidi="ar-EG"/>
        </w:rPr>
        <w:t xml:space="preserve"> الاطّلاع على لوحة معلومات عن الامتثال تيسّر على المديرين المعنيين تتبّع تنفيذ التوصيات، لكنها لا تُعفي وحدة المراجعة الداخلية من مسؤوليتها </w:t>
      </w:r>
      <w:r w:rsidRPr="00A30E6A">
        <w:rPr>
          <w:rtl/>
        </w:rPr>
        <w:t xml:space="preserve">في </w:t>
      </w:r>
      <w:r w:rsidRPr="00A30E6A">
        <w:rPr>
          <w:rtl/>
          <w:lang w:bidi="ar-EG"/>
        </w:rPr>
        <w:t xml:space="preserve">متابعة تنفيذ التوصيات </w:t>
      </w:r>
      <w:r w:rsidR="0070783E" w:rsidRPr="00A30E6A">
        <w:rPr>
          <w:rtl/>
          <w:lang w:bidi="ar-EG"/>
        </w:rPr>
        <w:t>التي سبق أن تقدمت بها</w:t>
      </w:r>
      <w:r w:rsidRPr="00A30E6A">
        <w:rPr>
          <w:rtl/>
          <w:lang w:bidi="ar-EG"/>
        </w:rPr>
        <w:t>، وفقاً للمعيار</w:t>
      </w:r>
      <w:r w:rsidR="003B486A">
        <w:rPr>
          <w:rFonts w:hint="cs"/>
          <w:rtl/>
          <w:lang w:bidi="ar-EG"/>
        </w:rPr>
        <w:t xml:space="preserve"> </w:t>
      </w:r>
      <w:r w:rsidR="003B486A" w:rsidRPr="00A30E6A">
        <w:rPr>
          <w:lang w:bidi="ar-EG"/>
        </w:rPr>
        <w:t>2500</w:t>
      </w:r>
      <w:r w:rsidR="003B486A">
        <w:rPr>
          <w:rFonts w:hint="cs"/>
          <w:rtl/>
          <w:lang w:bidi="ar-EG"/>
        </w:rPr>
        <w:t xml:space="preserve"> </w:t>
      </w:r>
      <w:r w:rsidR="0070783E" w:rsidRPr="00A30E6A">
        <w:rPr>
          <w:rtl/>
          <w:lang w:bidi="ar-EG"/>
        </w:rPr>
        <w:t xml:space="preserve">المعتمد لدى معهد مراجعي الحسابات الداخليين </w:t>
      </w:r>
      <w:r w:rsidR="0070783E" w:rsidRPr="00A30E6A">
        <w:rPr>
          <w:lang w:bidi="ar-EG"/>
        </w:rPr>
        <w:t>(IIA)</w:t>
      </w:r>
      <w:r w:rsidRPr="00AA1418">
        <w:rPr>
          <w:rStyle w:val="FootnoteReference"/>
          <w:rtl/>
        </w:rPr>
        <w:footnoteReference w:id="3"/>
      </w:r>
      <w:r w:rsidRPr="00A30E6A">
        <w:rPr>
          <w:rtl/>
          <w:lang w:bidi="ar-EG"/>
        </w:rPr>
        <w:t>.</w:t>
      </w:r>
      <w:r w:rsidR="0070783E" w:rsidRPr="00A30E6A">
        <w:rPr>
          <w:rtl/>
          <w:lang w:bidi="ar-EG"/>
        </w:rPr>
        <w:t xml:space="preserve"> </w:t>
      </w:r>
      <w:r w:rsidR="007B75C8" w:rsidRPr="00A30E6A">
        <w:rPr>
          <w:rtl/>
          <w:lang w:bidi="ar-SY"/>
        </w:rPr>
        <w:t>وتقدم</w:t>
      </w:r>
      <w:r w:rsidR="0070783E" w:rsidRPr="00A30E6A">
        <w:rPr>
          <w:rtl/>
          <w:lang w:bidi="ar-SY"/>
        </w:rPr>
        <w:t xml:space="preserve"> وثيقة معلومات منفصلة</w:t>
      </w:r>
      <w:r w:rsidR="007B75C8" w:rsidRPr="00A30E6A">
        <w:rPr>
          <w:rtl/>
          <w:lang w:bidi="ar-SY"/>
        </w:rPr>
        <w:t xml:space="preserve"> (</w:t>
      </w:r>
      <w:hyperlink r:id="rId9" w:history="1">
        <w:r w:rsidR="00A30E6A" w:rsidRPr="00A30E6A">
          <w:rPr>
            <w:rStyle w:val="Hyperlink"/>
            <w:rFonts w:cstheme="minorHAnsi"/>
          </w:rPr>
          <w:t>C23/INF/5</w:t>
        </w:r>
      </w:hyperlink>
      <w:r w:rsidR="007B75C8" w:rsidRPr="00A30E6A">
        <w:rPr>
          <w:rtl/>
          <w:lang w:bidi="ar-SY"/>
        </w:rPr>
        <w:t xml:space="preserve">) </w:t>
      </w:r>
      <w:r w:rsidR="0070783E" w:rsidRPr="00A30E6A">
        <w:rPr>
          <w:rtl/>
          <w:lang w:bidi="ar-SY"/>
        </w:rPr>
        <w:t xml:space="preserve">إلى دورة المجلس لعام 2023 </w:t>
      </w:r>
      <w:r w:rsidR="007B75C8" w:rsidRPr="00A30E6A">
        <w:rPr>
          <w:rtl/>
          <w:lang w:bidi="ar-SY"/>
        </w:rPr>
        <w:t>لبيان</w:t>
      </w:r>
      <w:r w:rsidR="0070783E" w:rsidRPr="00A30E6A">
        <w:rPr>
          <w:rtl/>
          <w:lang w:bidi="ar-SY"/>
        </w:rPr>
        <w:t xml:space="preserve"> متابعة توصيات </w:t>
      </w:r>
      <w:r w:rsidR="007B75C8" w:rsidRPr="00A30E6A">
        <w:rPr>
          <w:rtl/>
          <w:lang w:bidi="ar-SY"/>
        </w:rPr>
        <w:t>المراجعة</w:t>
      </w:r>
      <w:r w:rsidR="0070783E" w:rsidRPr="00A30E6A">
        <w:rPr>
          <w:rtl/>
          <w:lang w:bidi="ar-SY"/>
        </w:rPr>
        <w:t xml:space="preserve"> الداخلي</w:t>
      </w:r>
      <w:r w:rsidR="007B75C8" w:rsidRPr="00A30E6A">
        <w:rPr>
          <w:rtl/>
          <w:lang w:bidi="ar-SY"/>
        </w:rPr>
        <w:t>ة</w:t>
      </w:r>
      <w:r w:rsidR="0070783E" w:rsidRPr="00A30E6A">
        <w:rPr>
          <w:rtl/>
          <w:lang w:bidi="ar-SY"/>
        </w:rPr>
        <w:t xml:space="preserve"> وتوصيات </w:t>
      </w:r>
      <w:r w:rsidR="007B75C8" w:rsidRPr="00A30E6A">
        <w:rPr>
          <w:rtl/>
          <w:lang w:bidi="ar-SY"/>
        </w:rPr>
        <w:t>المراجعة</w:t>
      </w:r>
      <w:r w:rsidR="0070783E" w:rsidRPr="00A30E6A">
        <w:rPr>
          <w:rtl/>
          <w:lang w:bidi="ar-SY"/>
        </w:rPr>
        <w:t xml:space="preserve"> الجنائي</w:t>
      </w:r>
      <w:r w:rsidR="00C2600E" w:rsidRPr="00A30E6A">
        <w:rPr>
          <w:rtl/>
          <w:lang w:bidi="ar-SY"/>
        </w:rPr>
        <w:t>ة</w:t>
      </w:r>
      <w:r w:rsidR="0070783E" w:rsidRPr="00A30E6A">
        <w:rPr>
          <w:rtl/>
          <w:lang w:bidi="ar-SY"/>
        </w:rPr>
        <w:t xml:space="preserve"> (انظر أيض</w:t>
      </w:r>
      <w:r w:rsidR="007B75C8" w:rsidRPr="00A30E6A">
        <w:rPr>
          <w:rtl/>
          <w:lang w:bidi="ar-SY"/>
        </w:rPr>
        <w:t>اً</w:t>
      </w:r>
      <w:r w:rsidR="0070783E" w:rsidRPr="00A30E6A">
        <w:rPr>
          <w:rtl/>
          <w:lang w:bidi="ar-SY"/>
        </w:rPr>
        <w:t xml:space="preserve"> الوثيقة</w:t>
      </w:r>
      <w:r w:rsidR="00AA1418">
        <w:rPr>
          <w:rFonts w:hint="cs"/>
          <w:rtl/>
          <w:lang w:bidi="ar-SY"/>
        </w:rPr>
        <w:t> </w:t>
      </w:r>
      <w:hyperlink r:id="rId10" w:history="1">
        <w:r w:rsidR="00A30E6A" w:rsidRPr="00A30E6A">
          <w:rPr>
            <w:rStyle w:val="Hyperlink"/>
            <w:rFonts w:cstheme="minorHAnsi"/>
          </w:rPr>
          <w:t>CWG</w:t>
        </w:r>
        <w:r w:rsidR="00A30E6A" w:rsidRPr="00A30E6A">
          <w:rPr>
            <w:rStyle w:val="Hyperlink"/>
            <w:rFonts w:cstheme="minorHAnsi"/>
          </w:rPr>
          <w:noBreakHyphen/>
          <w:t>FHR-15/3</w:t>
        </w:r>
      </w:hyperlink>
      <w:r w:rsidR="0070783E" w:rsidRPr="00A30E6A">
        <w:rPr>
          <w:rtl/>
          <w:lang w:bidi="ar-SY"/>
        </w:rPr>
        <w:t xml:space="preserve"> من عام 2021</w:t>
      </w:r>
      <w:r w:rsidR="00EE1F08" w:rsidRPr="00A30E6A">
        <w:rPr>
          <w:rtl/>
          <w:lang w:bidi="ar-SY"/>
        </w:rPr>
        <w:t>،</w:t>
      </w:r>
      <w:r w:rsidR="0070783E" w:rsidRPr="00A30E6A">
        <w:rPr>
          <w:rtl/>
          <w:lang w:bidi="ar-SY"/>
        </w:rPr>
        <w:t xml:space="preserve"> بخصوص </w:t>
      </w:r>
      <w:r w:rsidRPr="00A30E6A">
        <w:rPr>
          <w:rtl/>
        </w:rPr>
        <w:t>ملخص</w:t>
      </w:r>
      <w:r w:rsidR="007B75C8" w:rsidRPr="00A30E6A">
        <w:rPr>
          <w:rtl/>
        </w:rPr>
        <w:t xml:space="preserve"> حالة</w:t>
      </w:r>
      <w:r w:rsidRPr="00A30E6A">
        <w:rPr>
          <w:rtl/>
        </w:rPr>
        <w:t xml:space="preserve"> توصيات مؤسسة </w:t>
      </w:r>
      <w:r w:rsidRPr="00A30E6A">
        <w:rPr>
          <w:lang w:val="en-GB" w:bidi="ar-EG"/>
        </w:rPr>
        <w:t>PwC</w:t>
      </w:r>
      <w:r w:rsidRPr="00A30E6A">
        <w:rPr>
          <w:rtl/>
        </w:rPr>
        <w:t xml:space="preserve"> بشأن المراجعة </w:t>
      </w:r>
      <w:r w:rsidR="00781D29" w:rsidRPr="00A30E6A">
        <w:rPr>
          <w:rtl/>
        </w:rPr>
        <w:t>الجنائية</w:t>
      </w:r>
      <w:r w:rsidRPr="00A30E6A">
        <w:rPr>
          <w:rtl/>
        </w:rPr>
        <w:t xml:space="preserve"> للاتحاد</w:t>
      </w:r>
      <w:r w:rsidR="00781D29" w:rsidRPr="00A30E6A">
        <w:rPr>
          <w:rtl/>
        </w:rPr>
        <w:t>)</w:t>
      </w:r>
      <w:r w:rsidRPr="00A30E6A">
        <w:rPr>
          <w:rtl/>
        </w:rPr>
        <w:t>.</w:t>
      </w:r>
    </w:p>
    <w:p w14:paraId="6245ADC7" w14:textId="6AAAE109" w:rsidR="00AE4530" w:rsidRDefault="00AE4530" w:rsidP="00AE4530">
      <w:pPr>
        <w:rPr>
          <w:i/>
          <w:iCs/>
        </w:rPr>
      </w:pPr>
      <w:r>
        <w:rPr>
          <w:rFonts w:hint="cs"/>
          <w:i/>
          <w:iCs/>
          <w:rtl/>
        </w:rPr>
        <w:t>وقد نُفِّذ ما يلي من التزامات تأكيد صحة البيانات:</w:t>
      </w:r>
    </w:p>
    <w:p w14:paraId="0EA64747" w14:textId="38880AC9" w:rsidR="00F50E3F" w:rsidRPr="00AE4530" w:rsidRDefault="00AE4530" w:rsidP="00E61BE8">
      <w:pPr>
        <w:rPr>
          <w:b/>
          <w:bCs/>
          <w:i/>
          <w:iCs/>
          <w:rtl/>
          <w:lang w:bidi="ar-EG"/>
        </w:rPr>
      </w:pPr>
      <w:r w:rsidRPr="00AE4530">
        <w:rPr>
          <w:rFonts w:hint="cs"/>
          <w:b/>
          <w:bCs/>
          <w:i/>
          <w:iCs/>
          <w:rtl/>
          <w:lang w:bidi="ar-EG"/>
        </w:rPr>
        <w:t>ألف</w:t>
      </w:r>
      <w:r w:rsidRPr="00AE4530">
        <w:rPr>
          <w:b/>
          <w:bCs/>
          <w:i/>
          <w:iCs/>
          <w:rtl/>
          <w:lang w:bidi="ar-EG"/>
        </w:rPr>
        <w:tab/>
      </w:r>
      <w:r w:rsidR="0070783E">
        <w:rPr>
          <w:rFonts w:hint="cs"/>
          <w:b/>
          <w:bCs/>
          <w:i/>
          <w:iCs/>
          <w:rtl/>
          <w:lang w:bidi="ar-EG"/>
        </w:rPr>
        <w:t>نظام الإدارة البيئية</w:t>
      </w:r>
    </w:p>
    <w:p w14:paraId="2D8DDC53" w14:textId="70850D1E" w:rsidR="0070783E" w:rsidRDefault="00AE4530" w:rsidP="0070783E">
      <w:pPr>
        <w:rPr>
          <w:rtl/>
          <w:lang w:bidi="ar-EG"/>
        </w:rPr>
      </w:pPr>
      <w:r>
        <w:rPr>
          <w:rFonts w:hint="cs"/>
          <w:rtl/>
          <w:lang w:bidi="ar-EG"/>
        </w:rPr>
        <w:t>8</w:t>
      </w:r>
      <w:r>
        <w:rPr>
          <w:rtl/>
          <w:lang w:bidi="ar-EG"/>
        </w:rPr>
        <w:tab/>
      </w:r>
      <w:r w:rsidR="0070783E">
        <w:rPr>
          <w:rtl/>
          <w:lang w:bidi="ar-EG"/>
        </w:rPr>
        <w:t>أجر</w:t>
      </w:r>
      <w:r w:rsidR="00781D29">
        <w:rPr>
          <w:rFonts w:hint="cs"/>
          <w:rtl/>
          <w:lang w:bidi="ar-EG"/>
        </w:rPr>
        <w:t xml:space="preserve">ت </w:t>
      </w:r>
      <w:r w:rsidR="00C2600E">
        <w:rPr>
          <w:rFonts w:hint="cs"/>
          <w:rtl/>
          <w:lang w:bidi="ar-EG"/>
        </w:rPr>
        <w:t>ال</w:t>
      </w:r>
      <w:r w:rsidR="00781D29">
        <w:rPr>
          <w:rFonts w:hint="cs"/>
          <w:rtl/>
          <w:lang w:bidi="ar-EG"/>
        </w:rPr>
        <w:t xml:space="preserve">وحدة </w:t>
      </w:r>
      <w:r w:rsidR="0070783E">
        <w:rPr>
          <w:rtl/>
          <w:lang w:bidi="ar-EG"/>
        </w:rPr>
        <w:t>مراجعة لنظام الإدارة البيئية</w:t>
      </w:r>
      <w:r w:rsidR="00AA1418">
        <w:rPr>
          <w:rFonts w:hint="cs"/>
          <w:rtl/>
          <w:lang w:bidi="ar-EG"/>
        </w:rPr>
        <w:t> </w:t>
      </w:r>
      <w:r w:rsidR="00AA1418">
        <w:rPr>
          <w:lang w:bidi="ar-EG"/>
        </w:rPr>
        <w:t>(EMS)</w:t>
      </w:r>
      <w:r w:rsidR="0070783E">
        <w:rPr>
          <w:rtl/>
          <w:lang w:bidi="ar-EG"/>
        </w:rPr>
        <w:t xml:space="preserve"> </w:t>
      </w:r>
      <w:r w:rsidR="00781D29">
        <w:rPr>
          <w:rFonts w:hint="cs"/>
          <w:rtl/>
          <w:lang w:bidi="ar-EG"/>
        </w:rPr>
        <w:t>في الاتحاد</w:t>
      </w:r>
      <w:r w:rsidR="0070783E">
        <w:rPr>
          <w:rtl/>
          <w:lang w:bidi="ar-EG"/>
        </w:rPr>
        <w:t xml:space="preserve"> ولا سيما</w:t>
      </w:r>
      <w:r w:rsidR="00781D29">
        <w:rPr>
          <w:rFonts w:hint="cs"/>
          <w:rtl/>
          <w:lang w:bidi="ar-EG"/>
        </w:rPr>
        <w:t>، دون حصر،</w:t>
      </w:r>
      <w:r w:rsidR="0070783E">
        <w:rPr>
          <w:rtl/>
          <w:lang w:bidi="ar-EG"/>
        </w:rPr>
        <w:t xml:space="preserve"> فيما يتعلق </w:t>
      </w:r>
      <w:r w:rsidR="0070783E" w:rsidRPr="00781D29">
        <w:rPr>
          <w:u w:val="single"/>
          <w:rtl/>
          <w:lang w:bidi="ar-EG"/>
        </w:rPr>
        <w:t>بالتقدم المحرز في</w:t>
      </w:r>
      <w:r w:rsidR="00AA1418">
        <w:rPr>
          <w:rFonts w:hint="cs"/>
          <w:u w:val="single"/>
          <w:rtl/>
          <w:lang w:bidi="ar-EG"/>
        </w:rPr>
        <w:t> </w:t>
      </w:r>
      <w:r w:rsidR="0070783E" w:rsidRPr="00781D29">
        <w:rPr>
          <w:u w:val="single"/>
          <w:rtl/>
          <w:lang w:bidi="ar-EG"/>
        </w:rPr>
        <w:t>الإجراءات المقترحة</w:t>
      </w:r>
      <w:r w:rsidR="0070783E">
        <w:rPr>
          <w:rtl/>
          <w:lang w:bidi="ar-EG"/>
        </w:rPr>
        <w:t xml:space="preserve"> </w:t>
      </w:r>
      <w:r w:rsidR="00781D29">
        <w:rPr>
          <w:rFonts w:hint="cs"/>
          <w:rtl/>
          <w:lang w:bidi="ar-EG"/>
        </w:rPr>
        <w:t xml:space="preserve">في </w:t>
      </w:r>
      <w:r w:rsidR="0070783E">
        <w:rPr>
          <w:rtl/>
          <w:lang w:bidi="ar-EG"/>
        </w:rPr>
        <w:t xml:space="preserve">الفترة من يناير 2020 إلى ديسمبر 2021. </w:t>
      </w:r>
      <w:r w:rsidR="00781D29">
        <w:rPr>
          <w:rFonts w:hint="cs"/>
          <w:rtl/>
          <w:lang w:bidi="ar-EG"/>
        </w:rPr>
        <w:t>ولكن عملية المراجعة لم تستعرض فعالية الإجراءات المتخذة لتحقيق</w:t>
      </w:r>
      <w:r w:rsidR="0070783E">
        <w:rPr>
          <w:rtl/>
          <w:lang w:bidi="ar-EG"/>
        </w:rPr>
        <w:t xml:space="preserve"> الاستدامة البيئية.</w:t>
      </w:r>
    </w:p>
    <w:p w14:paraId="364A280E" w14:textId="536C1F31" w:rsidR="0070783E" w:rsidRDefault="00781D29" w:rsidP="0070783E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وقد أدركت الوحدة</w:t>
      </w:r>
      <w:r w:rsidR="0070783E">
        <w:rPr>
          <w:rtl/>
          <w:lang w:bidi="ar-EG"/>
        </w:rPr>
        <w:t xml:space="preserve"> أن</w:t>
      </w:r>
      <w:r>
        <w:rPr>
          <w:rFonts w:hint="cs"/>
          <w:rtl/>
          <w:lang w:bidi="ar-EG"/>
        </w:rPr>
        <w:t xml:space="preserve"> نظام و</w:t>
      </w:r>
      <w:r w:rsidR="0070783E">
        <w:rPr>
          <w:rtl/>
          <w:lang w:bidi="ar-EG"/>
        </w:rPr>
        <w:t xml:space="preserve">خطة عمل </w:t>
      </w:r>
      <w:r>
        <w:rPr>
          <w:rFonts w:hint="cs"/>
          <w:rtl/>
          <w:lang w:bidi="ar-EG"/>
        </w:rPr>
        <w:t>الإدارة البيئية</w:t>
      </w:r>
      <w:r w:rsidR="0070783E">
        <w:rPr>
          <w:rtl/>
          <w:lang w:bidi="ar-EG"/>
        </w:rPr>
        <w:t xml:space="preserve"> </w:t>
      </w:r>
      <w:r w:rsidR="00C2600E">
        <w:rPr>
          <w:rFonts w:hint="cs"/>
          <w:rtl/>
          <w:lang w:bidi="ar-EG"/>
        </w:rPr>
        <w:t>نحو</w:t>
      </w:r>
      <w:r w:rsidR="0070783E">
        <w:rPr>
          <w:rtl/>
          <w:lang w:bidi="ar-EG"/>
        </w:rPr>
        <w:t xml:space="preserve"> تحقيق أهداف الاتحاد </w:t>
      </w:r>
      <w:r>
        <w:rPr>
          <w:rFonts w:hint="cs"/>
          <w:rtl/>
          <w:lang w:bidi="ar-EG"/>
        </w:rPr>
        <w:t>في</w:t>
      </w:r>
      <w:r w:rsidR="0070783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 w:rsidR="0070783E">
        <w:rPr>
          <w:rtl/>
          <w:lang w:bidi="ar-EG"/>
        </w:rPr>
        <w:t xml:space="preserve">لاستدامة البيئية هي مبادرات </w:t>
      </w:r>
      <w:r>
        <w:rPr>
          <w:rFonts w:hint="cs"/>
          <w:rtl/>
          <w:lang w:bidi="ar-EG"/>
        </w:rPr>
        <w:t>حديثة العهد</w:t>
      </w:r>
      <w:r w:rsidR="0070783E">
        <w:rPr>
          <w:rtl/>
          <w:lang w:bidi="ar-EG"/>
        </w:rPr>
        <w:t xml:space="preserve"> نسبي</w:t>
      </w:r>
      <w:r w:rsidR="007B75C8">
        <w:rPr>
          <w:rtl/>
          <w:lang w:bidi="ar-EG"/>
        </w:rPr>
        <w:t>اً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</w:t>
      </w:r>
      <w:r w:rsidR="00D752D2">
        <w:rPr>
          <w:rFonts w:hint="cs"/>
          <w:rtl/>
          <w:lang w:bidi="ar-EG"/>
        </w:rPr>
        <w:t>ومع ذلك كشف</w:t>
      </w:r>
      <w:r w:rsidR="0070783E">
        <w:rPr>
          <w:rtl/>
          <w:lang w:bidi="ar-EG"/>
        </w:rPr>
        <w:t xml:space="preserve"> التقييم العام بعد المراجعة أن </w:t>
      </w:r>
      <w:r w:rsidR="00DE678D">
        <w:rPr>
          <w:rFonts w:hint="cs"/>
          <w:rtl/>
          <w:lang w:bidi="ar-EG"/>
        </w:rPr>
        <w:t>الإدارة</w:t>
      </w:r>
      <w:r w:rsidR="0070783E">
        <w:rPr>
          <w:rtl/>
          <w:lang w:bidi="ar-EG"/>
        </w:rPr>
        <w:t xml:space="preserve"> (الأدوار والمسؤوليات والسياسات واللوائح) وأنشطة الرقابة (الإشراف على خطة العمل </w:t>
      </w:r>
      <w:r>
        <w:rPr>
          <w:rFonts w:hint="cs"/>
          <w:rtl/>
          <w:lang w:bidi="ar-EG"/>
        </w:rPr>
        <w:t>و</w:t>
      </w:r>
      <w:r w:rsidR="0070783E">
        <w:rPr>
          <w:rtl/>
          <w:lang w:bidi="ar-EG"/>
        </w:rPr>
        <w:t>آلية</w:t>
      </w:r>
      <w:r>
        <w:rPr>
          <w:rFonts w:hint="cs"/>
          <w:rtl/>
          <w:lang w:bidi="ar-EG"/>
        </w:rPr>
        <w:t xml:space="preserve"> الرصد</w:t>
      </w:r>
      <w:r w:rsidR="0070783E">
        <w:rPr>
          <w:rtl/>
          <w:lang w:bidi="ar-EG"/>
        </w:rPr>
        <w:t xml:space="preserve">) </w:t>
      </w:r>
      <w:r w:rsidR="00C2600E">
        <w:rPr>
          <w:rFonts w:hint="cs"/>
          <w:rtl/>
          <w:lang w:bidi="ar-EG"/>
        </w:rPr>
        <w:t>يعوزها</w:t>
      </w:r>
      <w:r w:rsidR="0070783E">
        <w:rPr>
          <w:rtl/>
          <w:lang w:bidi="ar-EG"/>
        </w:rPr>
        <w:t xml:space="preserve"> </w:t>
      </w:r>
      <w:r w:rsidR="00D752D2">
        <w:rPr>
          <w:rFonts w:hint="cs"/>
          <w:rtl/>
          <w:lang w:bidi="ar-EG"/>
        </w:rPr>
        <w:t>قدر من</w:t>
      </w:r>
      <w:r w:rsidR="0070783E">
        <w:rPr>
          <w:rtl/>
          <w:lang w:bidi="ar-EG"/>
        </w:rPr>
        <w:t xml:space="preserve"> التحسين. </w:t>
      </w:r>
      <w:r w:rsidR="00D752D2">
        <w:rPr>
          <w:rFonts w:hint="cs"/>
          <w:rtl/>
          <w:lang w:bidi="ar-EG"/>
        </w:rPr>
        <w:t>و</w:t>
      </w:r>
      <w:r w:rsidR="0070783E">
        <w:rPr>
          <w:rtl/>
          <w:lang w:bidi="ar-EG"/>
        </w:rPr>
        <w:t>علاوة</w:t>
      </w:r>
      <w:r w:rsidR="00813FE0">
        <w:rPr>
          <w:rFonts w:hint="cs"/>
          <w:rtl/>
          <w:lang w:bidi="ar-EG"/>
        </w:rPr>
        <w:t>ً</w:t>
      </w:r>
      <w:r w:rsidR="0070783E">
        <w:rPr>
          <w:rtl/>
          <w:lang w:bidi="ar-EG"/>
        </w:rPr>
        <w:t xml:space="preserve"> على ذلك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تبين أن </w:t>
      </w:r>
      <w:r w:rsidR="00D752D2">
        <w:rPr>
          <w:rFonts w:hint="cs"/>
          <w:rtl/>
          <w:lang w:bidi="ar-EG"/>
        </w:rPr>
        <w:t>ال</w:t>
      </w:r>
      <w:r w:rsidR="0070783E">
        <w:rPr>
          <w:rtl/>
          <w:lang w:bidi="ar-EG"/>
        </w:rPr>
        <w:t>معلومات و</w:t>
      </w:r>
      <w:r w:rsidR="00D752D2">
        <w:rPr>
          <w:rFonts w:hint="cs"/>
          <w:rtl/>
          <w:lang w:bidi="ar-EG"/>
        </w:rPr>
        <w:t>التواصل</w:t>
      </w:r>
      <w:r w:rsidR="0070783E">
        <w:rPr>
          <w:rtl/>
          <w:lang w:bidi="ar-EG"/>
        </w:rPr>
        <w:t xml:space="preserve"> (التقدم المحرز في التنفيذ) وتقييم المخاطر (تحقيق خطة العمل) غير كافية. </w:t>
      </w:r>
      <w:r w:rsidR="00D752D2">
        <w:rPr>
          <w:rFonts w:hint="cs"/>
          <w:rtl/>
          <w:lang w:bidi="ar-EG"/>
        </w:rPr>
        <w:t>ومع ذلك تبين</w:t>
      </w:r>
      <w:r w:rsidR="0070783E">
        <w:rPr>
          <w:rtl/>
          <w:lang w:bidi="ar-EG"/>
        </w:rPr>
        <w:t xml:space="preserve"> أن أنشطة الرصد (التنسيق مع المبادرات الأخرى ذات الصلة) والمعلومات </w:t>
      </w:r>
      <w:r w:rsidR="00D752D2">
        <w:rPr>
          <w:rFonts w:hint="cs"/>
          <w:rtl/>
          <w:lang w:bidi="ar-EG"/>
        </w:rPr>
        <w:t>والتواصل</w:t>
      </w:r>
      <w:r w:rsidR="0070783E">
        <w:rPr>
          <w:rtl/>
          <w:lang w:bidi="ar-EG"/>
        </w:rPr>
        <w:t xml:space="preserve"> فيما يتعلق بالإبلاغ عن التقدم المحرز كانت كافية.</w:t>
      </w:r>
    </w:p>
    <w:p w14:paraId="1C092964" w14:textId="1499D730" w:rsidR="00F50E3F" w:rsidRDefault="00D752D2" w:rsidP="0070783E">
      <w:pPr>
        <w:rPr>
          <w:rtl/>
          <w:lang w:bidi="ar-EG"/>
        </w:rPr>
      </w:pPr>
      <w:r>
        <w:rPr>
          <w:rFonts w:hint="cs"/>
          <w:rtl/>
          <w:lang w:bidi="ar-EG"/>
        </w:rPr>
        <w:t>10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وقد نوقش</w:t>
      </w:r>
      <w:r w:rsidR="0070783E">
        <w:rPr>
          <w:rtl/>
          <w:lang w:bidi="ar-EG"/>
        </w:rPr>
        <w:t xml:space="preserve"> تقرير </w:t>
      </w:r>
      <w:r>
        <w:rPr>
          <w:rFonts w:hint="cs"/>
          <w:rtl/>
          <w:lang w:bidi="ar-EG"/>
        </w:rPr>
        <w:t>المراجعة</w:t>
      </w:r>
      <w:r w:rsidR="0070783E">
        <w:rPr>
          <w:rtl/>
          <w:lang w:bidi="ar-EG"/>
        </w:rPr>
        <w:t xml:space="preserve"> مع منسق نظام الإدارة البيئية والمسؤولين المعنيين في الاتحاد و</w:t>
      </w:r>
      <w:r>
        <w:rPr>
          <w:rFonts w:hint="cs"/>
          <w:rtl/>
          <w:lang w:bidi="ar-EG"/>
        </w:rPr>
        <w:t xml:space="preserve">هو </w:t>
      </w:r>
      <w:r w:rsidR="0070783E">
        <w:rPr>
          <w:rtl/>
          <w:lang w:bidi="ar-EG"/>
        </w:rPr>
        <w:t xml:space="preserve">يتضمن </w:t>
      </w:r>
      <w:r>
        <w:rPr>
          <w:rFonts w:hint="cs"/>
          <w:rtl/>
          <w:lang w:bidi="ar-EG"/>
        </w:rPr>
        <w:t>ال</w:t>
      </w:r>
      <w:r w:rsidR="0070783E">
        <w:rPr>
          <w:rtl/>
          <w:lang w:bidi="ar-EG"/>
        </w:rPr>
        <w:t>تعليقات على النتائج والتوصيات. و</w:t>
      </w:r>
      <w:r>
        <w:rPr>
          <w:rFonts w:hint="cs"/>
          <w:rtl/>
          <w:lang w:bidi="ar-EG"/>
        </w:rPr>
        <w:t>و</w:t>
      </w:r>
      <w:r w:rsidR="0070783E">
        <w:rPr>
          <w:rtl/>
          <w:lang w:bidi="ar-EG"/>
        </w:rPr>
        <w:t>افقت الإدارة</w:t>
      </w:r>
      <w:r>
        <w:rPr>
          <w:rFonts w:hint="cs"/>
          <w:rtl/>
          <w:lang w:bidi="ar-EG"/>
        </w:rPr>
        <w:t xml:space="preserve"> العليا</w:t>
      </w:r>
      <w:r w:rsidR="0070783E">
        <w:rPr>
          <w:rtl/>
          <w:lang w:bidi="ar-EG"/>
        </w:rPr>
        <w:t xml:space="preserve"> على التوصيات </w:t>
      </w:r>
      <w:r>
        <w:rPr>
          <w:rFonts w:hint="cs"/>
          <w:rtl/>
          <w:lang w:bidi="ar-EG"/>
        </w:rPr>
        <w:t>وأعربت عن</w:t>
      </w:r>
      <w:r w:rsidR="0070783E">
        <w:rPr>
          <w:rtl/>
          <w:lang w:bidi="ar-EG"/>
        </w:rPr>
        <w:t xml:space="preserve"> التزام</w:t>
      </w:r>
      <w:r>
        <w:rPr>
          <w:rFonts w:hint="cs"/>
          <w:rtl/>
          <w:lang w:bidi="ar-EG"/>
        </w:rPr>
        <w:t>ها</w:t>
      </w:r>
      <w:r w:rsidR="0070783E">
        <w:rPr>
          <w:rtl/>
          <w:lang w:bidi="ar-EG"/>
        </w:rPr>
        <w:t xml:space="preserve"> بتنفيذها على وجه السرعة.</w:t>
      </w:r>
    </w:p>
    <w:p w14:paraId="0EBD4159" w14:textId="60013F24" w:rsidR="00AE4530" w:rsidRPr="0070783E" w:rsidRDefault="00AE4530" w:rsidP="00E61BE8">
      <w:pPr>
        <w:rPr>
          <w:b/>
          <w:bCs/>
          <w:i/>
          <w:iCs/>
          <w:lang w:val="en-GB" w:bidi="ar-EG"/>
        </w:rPr>
      </w:pPr>
      <w:r w:rsidRPr="00AE4530">
        <w:rPr>
          <w:rFonts w:hint="cs"/>
          <w:b/>
          <w:bCs/>
          <w:i/>
          <w:iCs/>
          <w:rtl/>
          <w:lang w:bidi="ar-EG"/>
        </w:rPr>
        <w:t>باء</w:t>
      </w:r>
      <w:r w:rsidRPr="00AE4530">
        <w:rPr>
          <w:b/>
          <w:bCs/>
          <w:i/>
          <w:iCs/>
          <w:rtl/>
          <w:lang w:bidi="ar-EG"/>
        </w:rPr>
        <w:tab/>
      </w:r>
      <w:r w:rsidR="0070783E">
        <w:rPr>
          <w:rFonts w:hint="cs"/>
          <w:b/>
          <w:bCs/>
          <w:i/>
          <w:iCs/>
          <w:rtl/>
          <w:lang w:bidi="ar-EG"/>
        </w:rPr>
        <w:t xml:space="preserve">مشروع </w:t>
      </w:r>
      <w:r w:rsidR="00383B2E">
        <w:rPr>
          <w:rFonts w:hint="cs"/>
          <w:b/>
          <w:bCs/>
          <w:i/>
          <w:iCs/>
          <w:rtl/>
          <w:lang w:bidi="ar-EG"/>
        </w:rPr>
        <w:t>مباني</w:t>
      </w:r>
      <w:r w:rsidR="0070783E">
        <w:rPr>
          <w:rFonts w:hint="cs"/>
          <w:b/>
          <w:bCs/>
          <w:i/>
          <w:iCs/>
          <w:rtl/>
          <w:lang w:bidi="ar-EG"/>
        </w:rPr>
        <w:t xml:space="preserve"> المقر الجديد</w:t>
      </w:r>
    </w:p>
    <w:p w14:paraId="7D47C9B8" w14:textId="57A07026" w:rsidR="0070783E" w:rsidRDefault="00AE4530" w:rsidP="0070783E">
      <w:pPr>
        <w:rPr>
          <w:rtl/>
          <w:lang w:bidi="ar-EG"/>
        </w:rPr>
      </w:pPr>
      <w:r>
        <w:rPr>
          <w:rFonts w:hint="cs"/>
          <w:rtl/>
          <w:lang w:bidi="ar-EG"/>
        </w:rPr>
        <w:t>11</w:t>
      </w:r>
      <w:r>
        <w:rPr>
          <w:rtl/>
          <w:lang w:bidi="ar-EG"/>
        </w:rPr>
        <w:tab/>
      </w:r>
      <w:r w:rsidR="00D752D2">
        <w:rPr>
          <w:rFonts w:hint="cs"/>
          <w:rtl/>
          <w:lang w:bidi="ar-EG"/>
        </w:rPr>
        <w:t>راجعت</w:t>
      </w:r>
      <w:r w:rsidR="0070783E">
        <w:rPr>
          <w:rtl/>
          <w:lang w:bidi="ar-EG"/>
        </w:rPr>
        <w:t xml:space="preserve"> </w:t>
      </w:r>
      <w:r w:rsidR="00D752D2">
        <w:rPr>
          <w:rFonts w:hint="cs"/>
          <w:rtl/>
          <w:lang w:bidi="ar-EG"/>
        </w:rPr>
        <w:t xml:space="preserve">وحدة المراجعة </w:t>
      </w:r>
      <w:r w:rsidR="0070783E">
        <w:rPr>
          <w:rtl/>
          <w:lang w:bidi="ar-EG"/>
        </w:rPr>
        <w:t>مشروع</w:t>
      </w:r>
      <w:r w:rsidR="00D752D2">
        <w:rPr>
          <w:rFonts w:hint="cs"/>
          <w:rtl/>
          <w:lang w:bidi="ar-EG"/>
        </w:rPr>
        <w:t xml:space="preserve"> مباني</w:t>
      </w:r>
      <w:r w:rsidR="0070783E">
        <w:rPr>
          <w:rtl/>
          <w:lang w:bidi="ar-EG"/>
        </w:rPr>
        <w:t xml:space="preserve"> مقر الاتحاد</w:t>
      </w:r>
      <w:r w:rsidR="00AA1418">
        <w:rPr>
          <w:rFonts w:hint="cs"/>
          <w:rtl/>
          <w:lang w:bidi="ar-EG"/>
        </w:rPr>
        <w:t> </w:t>
      </w:r>
      <w:r w:rsidR="00AA1418">
        <w:rPr>
          <w:lang w:bidi="ar-EG"/>
        </w:rPr>
        <w:t>(HQP)</w:t>
      </w:r>
      <w:r w:rsidR="0070783E">
        <w:rPr>
          <w:rtl/>
          <w:lang w:bidi="ar-EG"/>
        </w:rPr>
        <w:t xml:space="preserve"> الجديد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</w:t>
      </w:r>
      <w:r w:rsidR="00D752D2">
        <w:rPr>
          <w:rFonts w:hint="cs"/>
          <w:rtl/>
          <w:lang w:bidi="ar-EG"/>
        </w:rPr>
        <w:t>وشملت المراجعة</w:t>
      </w:r>
      <w:r w:rsidR="0070783E">
        <w:rPr>
          <w:rtl/>
          <w:lang w:bidi="ar-EG"/>
        </w:rPr>
        <w:t xml:space="preserve"> أنشطة المشروع</w:t>
      </w:r>
      <w:r w:rsidR="0072750D">
        <w:rPr>
          <w:rFonts w:hint="cs"/>
          <w:rtl/>
          <w:lang w:bidi="ar-EG"/>
        </w:rPr>
        <w:t xml:space="preserve"> في الفترة</w:t>
      </w:r>
      <w:r w:rsidR="0070783E">
        <w:rPr>
          <w:rtl/>
          <w:lang w:bidi="ar-EG"/>
        </w:rPr>
        <w:t xml:space="preserve"> من سبتمبر</w:t>
      </w:r>
      <w:r w:rsidR="00FC5D33">
        <w:rPr>
          <w:rFonts w:hint="cs"/>
          <w:rtl/>
          <w:lang w:bidi="ar-EG"/>
        </w:rPr>
        <w:t> </w:t>
      </w:r>
      <w:r w:rsidR="0070783E">
        <w:rPr>
          <w:rtl/>
          <w:lang w:bidi="ar-EG"/>
        </w:rPr>
        <w:t>2019 إلى ديسمبر 2021.</w:t>
      </w:r>
    </w:p>
    <w:p w14:paraId="46129426" w14:textId="4EB8C4D1" w:rsidR="0070783E" w:rsidRPr="00043563" w:rsidRDefault="0072750D" w:rsidP="0070783E">
      <w:pPr>
        <w:rPr>
          <w:spacing w:val="-2"/>
          <w:rtl/>
          <w:lang w:bidi="ar-EG"/>
        </w:rPr>
      </w:pPr>
      <w:r w:rsidRPr="00043563">
        <w:rPr>
          <w:rFonts w:hint="cs"/>
          <w:spacing w:val="-2"/>
          <w:rtl/>
          <w:lang w:bidi="ar-EG"/>
        </w:rPr>
        <w:t>12</w:t>
      </w:r>
      <w:r w:rsidRPr="00043563">
        <w:rPr>
          <w:spacing w:val="-2"/>
          <w:rtl/>
          <w:lang w:bidi="ar-EG"/>
        </w:rPr>
        <w:tab/>
      </w:r>
      <w:r w:rsidR="00C2600E" w:rsidRPr="00043563">
        <w:rPr>
          <w:rFonts w:hint="cs"/>
          <w:spacing w:val="-2"/>
          <w:rtl/>
          <w:lang w:bidi="ar-EG"/>
        </w:rPr>
        <w:t>و</w:t>
      </w:r>
      <w:r w:rsidR="0070783E" w:rsidRPr="00043563">
        <w:rPr>
          <w:spacing w:val="-2"/>
          <w:rtl/>
          <w:lang w:bidi="ar-EG"/>
        </w:rPr>
        <w:t>قي</w:t>
      </w:r>
      <w:r w:rsidRPr="00043563">
        <w:rPr>
          <w:rFonts w:hint="cs"/>
          <w:spacing w:val="-2"/>
          <w:rtl/>
          <w:lang w:bidi="ar-EG"/>
        </w:rPr>
        <w:t>ّ</w:t>
      </w:r>
      <w:r w:rsidR="0070783E" w:rsidRPr="00043563">
        <w:rPr>
          <w:spacing w:val="-2"/>
          <w:rtl/>
          <w:lang w:bidi="ar-EG"/>
        </w:rPr>
        <w:t>مت</w:t>
      </w:r>
      <w:r w:rsidR="00B95722" w:rsidRPr="00043563">
        <w:rPr>
          <w:rFonts w:hint="cs"/>
          <w:spacing w:val="-2"/>
          <w:rtl/>
          <w:lang w:bidi="ar-EG"/>
        </w:rPr>
        <w:t xml:space="preserve"> </w:t>
      </w:r>
      <w:r w:rsidR="00C2600E" w:rsidRPr="00043563">
        <w:rPr>
          <w:rFonts w:hint="cs"/>
          <w:spacing w:val="-2"/>
          <w:rtl/>
          <w:lang w:bidi="ar-EG"/>
        </w:rPr>
        <w:t>ال</w:t>
      </w:r>
      <w:r w:rsidR="00B95722" w:rsidRPr="00043563">
        <w:rPr>
          <w:rFonts w:hint="cs"/>
          <w:spacing w:val="-2"/>
          <w:rtl/>
          <w:lang w:bidi="ar-EG"/>
        </w:rPr>
        <w:t xml:space="preserve">وحدة </w:t>
      </w:r>
      <w:r w:rsidR="0070783E" w:rsidRPr="00043563">
        <w:rPr>
          <w:i/>
          <w:iCs/>
          <w:spacing w:val="-2"/>
          <w:rtl/>
          <w:lang w:bidi="ar-EG"/>
        </w:rPr>
        <w:t xml:space="preserve">المعلومات </w:t>
      </w:r>
      <w:r w:rsidR="00C2600E" w:rsidRPr="00043563">
        <w:rPr>
          <w:rFonts w:hint="cs"/>
          <w:i/>
          <w:iCs/>
          <w:spacing w:val="-2"/>
          <w:rtl/>
          <w:lang w:bidi="ar-EG"/>
        </w:rPr>
        <w:t>والتواصل</w:t>
      </w:r>
      <w:r w:rsidR="0070783E" w:rsidRPr="00043563">
        <w:rPr>
          <w:spacing w:val="-2"/>
          <w:rtl/>
          <w:lang w:bidi="ar-EG"/>
        </w:rPr>
        <w:t xml:space="preserve"> </w:t>
      </w:r>
      <w:r w:rsidR="00B95722" w:rsidRPr="00043563">
        <w:rPr>
          <w:rFonts w:hint="cs"/>
          <w:spacing w:val="-2"/>
          <w:rtl/>
          <w:lang w:bidi="ar-EG"/>
        </w:rPr>
        <w:t>فيما يتعلق بمشروع مباني مقر الاتحاد ووجدت أنها</w:t>
      </w:r>
      <w:r w:rsidR="0070783E" w:rsidRPr="00043563">
        <w:rPr>
          <w:spacing w:val="-2"/>
          <w:rtl/>
          <w:lang w:bidi="ar-EG"/>
        </w:rPr>
        <w:t xml:space="preserve"> </w:t>
      </w:r>
      <w:r w:rsidR="0070783E" w:rsidRPr="00043563">
        <w:rPr>
          <w:spacing w:val="-2"/>
          <w:u w:val="single"/>
          <w:rtl/>
          <w:lang w:bidi="ar-EG"/>
        </w:rPr>
        <w:t>كافية</w:t>
      </w:r>
      <w:r w:rsidR="0070783E" w:rsidRPr="00043563">
        <w:rPr>
          <w:spacing w:val="-2"/>
          <w:rtl/>
          <w:lang w:bidi="ar-EG"/>
        </w:rPr>
        <w:t xml:space="preserve"> وأن </w:t>
      </w:r>
      <w:r w:rsidR="0070783E" w:rsidRPr="00043563">
        <w:rPr>
          <w:spacing w:val="-2"/>
          <w:u w:val="single"/>
          <w:rtl/>
          <w:lang w:bidi="ar-EG"/>
        </w:rPr>
        <w:t>أنشطة الرصد</w:t>
      </w:r>
      <w:r w:rsidR="0070783E" w:rsidRPr="00043563">
        <w:rPr>
          <w:spacing w:val="-2"/>
          <w:rtl/>
          <w:lang w:bidi="ar-EG"/>
        </w:rPr>
        <w:t xml:space="preserve"> </w:t>
      </w:r>
      <w:r w:rsidR="00B95722" w:rsidRPr="00043563">
        <w:rPr>
          <w:rFonts w:hint="cs"/>
          <w:spacing w:val="-2"/>
          <w:rtl/>
          <w:lang w:bidi="ar-EG"/>
        </w:rPr>
        <w:t xml:space="preserve">فيما يتعلق بالمشروع </w:t>
      </w:r>
      <w:r w:rsidR="0070783E" w:rsidRPr="00043563">
        <w:rPr>
          <w:spacing w:val="-2"/>
          <w:u w:val="single"/>
          <w:rtl/>
          <w:lang w:bidi="ar-EG"/>
        </w:rPr>
        <w:t>فع</w:t>
      </w:r>
      <w:r w:rsidR="00AA1418" w:rsidRPr="00043563">
        <w:rPr>
          <w:rFonts w:hint="cs"/>
          <w:spacing w:val="-2"/>
          <w:u w:val="single"/>
          <w:rtl/>
          <w:lang w:bidi="ar-EG"/>
        </w:rPr>
        <w:t>ّ</w:t>
      </w:r>
      <w:r w:rsidR="0070783E" w:rsidRPr="00043563">
        <w:rPr>
          <w:spacing w:val="-2"/>
          <w:u w:val="single"/>
          <w:rtl/>
          <w:lang w:bidi="ar-EG"/>
        </w:rPr>
        <w:t>الة</w:t>
      </w:r>
      <w:r w:rsidR="0070783E" w:rsidRPr="00043563">
        <w:rPr>
          <w:spacing w:val="-2"/>
          <w:rtl/>
          <w:lang w:bidi="ar-EG"/>
        </w:rPr>
        <w:t xml:space="preserve">. </w:t>
      </w:r>
      <w:r w:rsidR="00B95722" w:rsidRPr="00043563">
        <w:rPr>
          <w:rFonts w:hint="cs"/>
          <w:spacing w:val="-2"/>
          <w:rtl/>
          <w:lang w:bidi="ar-EG"/>
        </w:rPr>
        <w:t>و</w:t>
      </w:r>
      <w:r w:rsidR="0070783E" w:rsidRPr="00043563">
        <w:rPr>
          <w:spacing w:val="-2"/>
          <w:rtl/>
          <w:lang w:bidi="ar-EG"/>
        </w:rPr>
        <w:t>علاوة</w:t>
      </w:r>
      <w:r w:rsidR="00FF2709" w:rsidRPr="00043563">
        <w:rPr>
          <w:rFonts w:hint="cs"/>
          <w:spacing w:val="-2"/>
          <w:rtl/>
          <w:lang w:bidi="ar-EG"/>
        </w:rPr>
        <w:t>ً</w:t>
      </w:r>
      <w:r w:rsidR="0070783E" w:rsidRPr="00043563">
        <w:rPr>
          <w:spacing w:val="-2"/>
          <w:rtl/>
          <w:lang w:bidi="ar-EG"/>
        </w:rPr>
        <w:t xml:space="preserve"> على ذلك</w:t>
      </w:r>
      <w:r w:rsidR="00EE1F08" w:rsidRPr="00043563">
        <w:rPr>
          <w:spacing w:val="-2"/>
          <w:rtl/>
          <w:lang w:bidi="ar-EG"/>
        </w:rPr>
        <w:t>،</w:t>
      </w:r>
      <w:r w:rsidR="0070783E" w:rsidRPr="00043563">
        <w:rPr>
          <w:spacing w:val="-2"/>
          <w:rtl/>
          <w:lang w:bidi="ar-EG"/>
        </w:rPr>
        <w:t xml:space="preserve"> </w:t>
      </w:r>
      <w:r w:rsidR="00B95722" w:rsidRPr="00043563">
        <w:rPr>
          <w:rFonts w:hint="cs"/>
          <w:spacing w:val="-2"/>
          <w:rtl/>
          <w:lang w:bidi="ar-EG"/>
        </w:rPr>
        <w:t xml:space="preserve">خلصت إلى </w:t>
      </w:r>
      <w:r w:rsidR="0070783E" w:rsidRPr="00043563">
        <w:rPr>
          <w:spacing w:val="-2"/>
          <w:rtl/>
          <w:lang w:bidi="ar-EG"/>
        </w:rPr>
        <w:t xml:space="preserve">أن </w:t>
      </w:r>
      <w:r w:rsidR="0070783E" w:rsidRPr="00043563">
        <w:rPr>
          <w:i/>
          <w:iCs/>
          <w:spacing w:val="-2"/>
          <w:rtl/>
          <w:lang w:bidi="ar-EG"/>
        </w:rPr>
        <w:t xml:space="preserve">تقييم </w:t>
      </w:r>
      <w:r w:rsidR="00B95722" w:rsidRPr="00043563">
        <w:rPr>
          <w:rFonts w:hint="cs"/>
          <w:i/>
          <w:iCs/>
          <w:spacing w:val="-2"/>
          <w:rtl/>
          <w:lang w:bidi="ar-EG"/>
        </w:rPr>
        <w:t>ال</w:t>
      </w:r>
      <w:r w:rsidR="0070783E" w:rsidRPr="00043563">
        <w:rPr>
          <w:i/>
          <w:iCs/>
          <w:spacing w:val="-2"/>
          <w:rtl/>
          <w:lang w:bidi="ar-EG"/>
        </w:rPr>
        <w:t>مخاطر</w:t>
      </w:r>
      <w:r w:rsidR="00B95722" w:rsidRPr="00043563">
        <w:rPr>
          <w:rFonts w:hint="cs"/>
          <w:i/>
          <w:iCs/>
          <w:spacing w:val="-2"/>
          <w:rtl/>
          <w:lang w:bidi="ar-EG"/>
        </w:rPr>
        <w:t xml:space="preserve"> </w:t>
      </w:r>
      <w:r w:rsidR="00B95722" w:rsidRPr="00043563">
        <w:rPr>
          <w:rFonts w:hint="cs"/>
          <w:spacing w:val="-2"/>
          <w:rtl/>
          <w:lang w:bidi="ar-EG"/>
        </w:rPr>
        <w:t>بخصوص مباني</w:t>
      </w:r>
      <w:r w:rsidR="0070783E" w:rsidRPr="00043563">
        <w:rPr>
          <w:spacing w:val="-2"/>
          <w:rtl/>
          <w:lang w:bidi="ar-EG"/>
        </w:rPr>
        <w:t xml:space="preserve"> المقر وأنشطته ومراعاة مخرجاته</w:t>
      </w:r>
      <w:r w:rsidR="00B95722" w:rsidRPr="00043563">
        <w:rPr>
          <w:rFonts w:hint="cs"/>
          <w:spacing w:val="-2"/>
          <w:rtl/>
          <w:lang w:bidi="ar-EG"/>
        </w:rPr>
        <w:t xml:space="preserve"> من حيث</w:t>
      </w:r>
      <w:r w:rsidR="0070783E" w:rsidRPr="00043563">
        <w:rPr>
          <w:spacing w:val="-2"/>
          <w:rtl/>
          <w:lang w:bidi="ar-EG"/>
        </w:rPr>
        <w:t xml:space="preserve"> </w:t>
      </w:r>
      <w:r w:rsidR="0070783E" w:rsidRPr="00043563">
        <w:rPr>
          <w:i/>
          <w:iCs/>
          <w:spacing w:val="-2"/>
          <w:rtl/>
          <w:lang w:bidi="ar-EG"/>
        </w:rPr>
        <w:t xml:space="preserve">أهداف التنمية المستدامة والمساواة بين الجنسين </w:t>
      </w:r>
      <w:r w:rsidR="00A34D84" w:rsidRPr="001F5823">
        <w:rPr>
          <w:rFonts w:hint="cs"/>
          <w:i/>
          <w:iCs/>
          <w:spacing w:val="-2"/>
          <w:rtl/>
          <w:lang w:bidi="ar-EG"/>
        </w:rPr>
        <w:t>وتعميمها</w:t>
      </w:r>
      <w:r w:rsidR="0070783E" w:rsidRPr="00043563">
        <w:rPr>
          <w:i/>
          <w:iCs/>
          <w:spacing w:val="-2"/>
          <w:rtl/>
          <w:lang w:bidi="ar-EG"/>
        </w:rPr>
        <w:t xml:space="preserve"> </w:t>
      </w:r>
      <w:r w:rsidR="0070783E" w:rsidRPr="00043563">
        <w:rPr>
          <w:spacing w:val="-2"/>
          <w:rtl/>
          <w:lang w:bidi="ar-EG"/>
        </w:rPr>
        <w:t>و</w:t>
      </w:r>
      <w:r w:rsidR="0070783E" w:rsidRPr="00043563">
        <w:rPr>
          <w:i/>
          <w:iCs/>
          <w:spacing w:val="-2"/>
          <w:rtl/>
          <w:lang w:bidi="ar-EG"/>
        </w:rPr>
        <w:t xml:space="preserve">إمكانية </w:t>
      </w:r>
      <w:r w:rsidR="00B95722" w:rsidRPr="00043563">
        <w:rPr>
          <w:rFonts w:hint="cs"/>
          <w:i/>
          <w:iCs/>
          <w:spacing w:val="-2"/>
          <w:rtl/>
          <w:lang w:bidi="ar-EG"/>
        </w:rPr>
        <w:t>نفاذ المعاقين</w:t>
      </w:r>
      <w:r w:rsidR="0070783E" w:rsidRPr="00043563">
        <w:rPr>
          <w:i/>
          <w:iCs/>
          <w:spacing w:val="-2"/>
          <w:rtl/>
          <w:lang w:bidi="ar-EG"/>
        </w:rPr>
        <w:t xml:space="preserve"> </w:t>
      </w:r>
      <w:r w:rsidR="0070783E" w:rsidRPr="00043563">
        <w:rPr>
          <w:spacing w:val="-2"/>
          <w:rtl/>
          <w:lang w:bidi="ar-EG"/>
        </w:rPr>
        <w:t xml:space="preserve">كانت </w:t>
      </w:r>
      <w:r w:rsidR="0070783E" w:rsidRPr="00043563">
        <w:rPr>
          <w:spacing w:val="-2"/>
          <w:u w:val="single"/>
          <w:rtl/>
          <w:lang w:bidi="ar-EG"/>
        </w:rPr>
        <w:t xml:space="preserve">كافية </w:t>
      </w:r>
      <w:r w:rsidR="00B95722" w:rsidRPr="00043563">
        <w:rPr>
          <w:rFonts w:hint="cs"/>
          <w:spacing w:val="-2"/>
          <w:u w:val="single"/>
          <w:rtl/>
          <w:lang w:bidi="ar-EG"/>
        </w:rPr>
        <w:t>إلى حد</w:t>
      </w:r>
      <w:r w:rsidR="0070783E" w:rsidRPr="00043563">
        <w:rPr>
          <w:spacing w:val="-2"/>
          <w:u w:val="single"/>
          <w:rtl/>
          <w:lang w:bidi="ar-EG"/>
        </w:rPr>
        <w:t xml:space="preserve"> معقول</w:t>
      </w:r>
      <w:r w:rsidR="0070783E" w:rsidRPr="00043563">
        <w:rPr>
          <w:spacing w:val="-2"/>
          <w:rtl/>
          <w:lang w:bidi="ar-EG"/>
        </w:rPr>
        <w:t>. ومع ذلك</w:t>
      </w:r>
      <w:r w:rsidR="00EE1F08" w:rsidRPr="00043563">
        <w:rPr>
          <w:spacing w:val="-2"/>
          <w:rtl/>
          <w:lang w:bidi="ar-EG"/>
        </w:rPr>
        <w:t>،</w:t>
      </w:r>
      <w:r w:rsidR="0070783E" w:rsidRPr="00043563">
        <w:rPr>
          <w:spacing w:val="-2"/>
          <w:rtl/>
          <w:lang w:bidi="ar-EG"/>
        </w:rPr>
        <w:t xml:space="preserve"> قيّمت </w:t>
      </w:r>
      <w:r w:rsidR="00C2600E" w:rsidRPr="00043563">
        <w:rPr>
          <w:rFonts w:hint="cs"/>
          <w:spacing w:val="-2"/>
          <w:rtl/>
          <w:lang w:bidi="ar-EG"/>
        </w:rPr>
        <w:t>ال</w:t>
      </w:r>
      <w:r w:rsidR="00B95722" w:rsidRPr="00043563">
        <w:rPr>
          <w:rFonts w:hint="cs"/>
          <w:spacing w:val="-2"/>
          <w:rtl/>
          <w:lang w:bidi="ar-EG"/>
        </w:rPr>
        <w:t xml:space="preserve">وحدة </w:t>
      </w:r>
      <w:r w:rsidR="0070783E" w:rsidRPr="00043563">
        <w:rPr>
          <w:i/>
          <w:iCs/>
          <w:spacing w:val="-2"/>
          <w:rtl/>
          <w:lang w:bidi="ar-EG"/>
        </w:rPr>
        <w:t xml:space="preserve">بيئة </w:t>
      </w:r>
      <w:r w:rsidR="00DE678D" w:rsidRPr="00043563">
        <w:rPr>
          <w:rFonts w:hint="cs"/>
          <w:i/>
          <w:iCs/>
          <w:spacing w:val="-2"/>
          <w:rtl/>
          <w:lang w:bidi="ar-EG"/>
        </w:rPr>
        <w:t>الإدارة</w:t>
      </w:r>
      <w:r w:rsidR="0070783E" w:rsidRPr="00043563">
        <w:rPr>
          <w:i/>
          <w:iCs/>
          <w:spacing w:val="-2"/>
          <w:rtl/>
          <w:lang w:bidi="ar-EG"/>
        </w:rPr>
        <w:t xml:space="preserve"> والرقابة </w:t>
      </w:r>
      <w:r w:rsidR="0070783E" w:rsidRPr="00043563">
        <w:rPr>
          <w:spacing w:val="-2"/>
          <w:rtl/>
          <w:lang w:bidi="ar-EG"/>
        </w:rPr>
        <w:t>في</w:t>
      </w:r>
      <w:r w:rsidR="00B95722" w:rsidRPr="00043563">
        <w:rPr>
          <w:rFonts w:hint="cs"/>
          <w:spacing w:val="-2"/>
          <w:rtl/>
          <w:lang w:bidi="ar-EG"/>
        </w:rPr>
        <w:t xml:space="preserve"> مشروع مباني</w:t>
      </w:r>
      <w:r w:rsidR="0070783E" w:rsidRPr="00043563">
        <w:rPr>
          <w:spacing w:val="-2"/>
          <w:rtl/>
          <w:lang w:bidi="ar-EG"/>
        </w:rPr>
        <w:t xml:space="preserve"> المقر </w:t>
      </w:r>
      <w:r w:rsidR="002A3AC6" w:rsidRPr="00043563">
        <w:rPr>
          <w:rFonts w:hint="cs"/>
          <w:spacing w:val="-2"/>
          <w:rtl/>
          <w:lang w:bidi="ar-EG"/>
        </w:rPr>
        <w:t>ووجدتها</w:t>
      </w:r>
      <w:r w:rsidR="0070783E" w:rsidRPr="00043563">
        <w:rPr>
          <w:spacing w:val="-2"/>
          <w:rtl/>
          <w:lang w:bidi="ar-EG"/>
        </w:rPr>
        <w:t xml:space="preserve"> </w:t>
      </w:r>
      <w:r w:rsidR="0070783E" w:rsidRPr="00043563">
        <w:rPr>
          <w:spacing w:val="-2"/>
          <w:u w:val="single"/>
          <w:rtl/>
          <w:lang w:bidi="ar-EG"/>
        </w:rPr>
        <w:t>كافية جزئي</w:t>
      </w:r>
      <w:r w:rsidR="007B75C8" w:rsidRPr="00043563">
        <w:rPr>
          <w:spacing w:val="-2"/>
          <w:u w:val="single"/>
          <w:rtl/>
          <w:lang w:bidi="ar-EG"/>
        </w:rPr>
        <w:t>اً</w:t>
      </w:r>
      <w:r w:rsidR="0070783E" w:rsidRPr="00043563">
        <w:rPr>
          <w:spacing w:val="-2"/>
          <w:rtl/>
          <w:lang w:bidi="ar-EG"/>
        </w:rPr>
        <w:t xml:space="preserve"> وأن </w:t>
      </w:r>
      <w:r w:rsidR="0070783E" w:rsidRPr="00043563">
        <w:rPr>
          <w:i/>
          <w:iCs/>
          <w:spacing w:val="-2"/>
          <w:rtl/>
          <w:lang w:bidi="ar-EG"/>
        </w:rPr>
        <w:t>الضوابط</w:t>
      </w:r>
      <w:r w:rsidR="0070783E" w:rsidRPr="00043563">
        <w:rPr>
          <w:spacing w:val="-2"/>
          <w:rtl/>
          <w:lang w:bidi="ar-EG"/>
        </w:rPr>
        <w:t xml:space="preserve"> </w:t>
      </w:r>
      <w:r w:rsidR="002A3AC6" w:rsidRPr="00043563">
        <w:rPr>
          <w:rFonts w:hint="cs"/>
          <w:spacing w:val="-2"/>
          <w:rtl/>
          <w:lang w:bidi="ar-EG"/>
        </w:rPr>
        <w:t>فيما يتعلق بمشروع</w:t>
      </w:r>
      <w:r w:rsidR="00C2600E" w:rsidRPr="00043563">
        <w:rPr>
          <w:rFonts w:hint="cs"/>
          <w:spacing w:val="-2"/>
          <w:rtl/>
          <w:lang w:bidi="ar-EG"/>
        </w:rPr>
        <w:t xml:space="preserve"> م</w:t>
      </w:r>
      <w:r w:rsidR="00FC5D33" w:rsidRPr="00043563">
        <w:rPr>
          <w:rFonts w:hint="cs"/>
          <w:spacing w:val="-2"/>
          <w:rtl/>
          <w:lang w:bidi="ar-EG"/>
        </w:rPr>
        <w:t>ب</w:t>
      </w:r>
      <w:r w:rsidR="00C2600E" w:rsidRPr="00043563">
        <w:rPr>
          <w:rFonts w:hint="cs"/>
          <w:spacing w:val="-2"/>
          <w:rtl/>
          <w:lang w:bidi="ar-EG"/>
        </w:rPr>
        <w:t>اني</w:t>
      </w:r>
      <w:r w:rsidR="0070783E" w:rsidRPr="00043563">
        <w:rPr>
          <w:spacing w:val="-2"/>
          <w:rtl/>
          <w:lang w:bidi="ar-EG"/>
        </w:rPr>
        <w:t xml:space="preserve"> المقر </w:t>
      </w:r>
      <w:r w:rsidR="0070783E" w:rsidRPr="00043563">
        <w:rPr>
          <w:spacing w:val="-2"/>
          <w:u w:val="single"/>
          <w:rtl/>
          <w:lang w:bidi="ar-EG"/>
        </w:rPr>
        <w:t>فع</w:t>
      </w:r>
      <w:r w:rsidR="00AA1418" w:rsidRPr="00043563">
        <w:rPr>
          <w:rFonts w:hint="cs"/>
          <w:spacing w:val="-2"/>
          <w:u w:val="single"/>
          <w:rtl/>
          <w:lang w:bidi="ar-EG"/>
        </w:rPr>
        <w:t>ّ</w:t>
      </w:r>
      <w:r w:rsidR="0070783E" w:rsidRPr="00043563">
        <w:rPr>
          <w:spacing w:val="-2"/>
          <w:u w:val="single"/>
          <w:rtl/>
          <w:lang w:bidi="ar-EG"/>
        </w:rPr>
        <w:t>الة جزئي</w:t>
      </w:r>
      <w:r w:rsidR="007B75C8" w:rsidRPr="00043563">
        <w:rPr>
          <w:spacing w:val="-2"/>
          <w:u w:val="single"/>
          <w:rtl/>
          <w:lang w:bidi="ar-EG"/>
        </w:rPr>
        <w:t>ا</w:t>
      </w:r>
      <w:r w:rsidR="007B75C8" w:rsidRPr="00043563">
        <w:rPr>
          <w:spacing w:val="-2"/>
          <w:rtl/>
          <w:lang w:bidi="ar-EG"/>
        </w:rPr>
        <w:t>ً</w:t>
      </w:r>
      <w:r w:rsidR="0070783E" w:rsidRPr="00043563">
        <w:rPr>
          <w:spacing w:val="-2"/>
          <w:rtl/>
          <w:lang w:bidi="ar-EG"/>
        </w:rPr>
        <w:t xml:space="preserve">. </w:t>
      </w:r>
      <w:r w:rsidR="002A3AC6" w:rsidRPr="00043563">
        <w:rPr>
          <w:rFonts w:hint="cs"/>
          <w:spacing w:val="-2"/>
          <w:rtl/>
          <w:lang w:bidi="ar-EG"/>
        </w:rPr>
        <w:t>وكذلك وجدت أن</w:t>
      </w:r>
      <w:r w:rsidR="0070783E" w:rsidRPr="00043563">
        <w:rPr>
          <w:spacing w:val="-2"/>
          <w:rtl/>
          <w:lang w:bidi="ar-EG"/>
        </w:rPr>
        <w:t xml:space="preserve"> أنشطة تقييم </w:t>
      </w:r>
      <w:r w:rsidR="002A3AC6" w:rsidRPr="00043563">
        <w:rPr>
          <w:rFonts w:hint="cs"/>
          <w:spacing w:val="-2"/>
          <w:rtl/>
          <w:lang w:bidi="ar-EG"/>
        </w:rPr>
        <w:t>ورصد</w:t>
      </w:r>
      <w:r w:rsidR="0070783E" w:rsidRPr="00043563">
        <w:rPr>
          <w:spacing w:val="-2"/>
          <w:rtl/>
          <w:lang w:bidi="ar-EG"/>
        </w:rPr>
        <w:t xml:space="preserve"> </w:t>
      </w:r>
      <w:proofErr w:type="gramStart"/>
      <w:r w:rsidR="0070783E" w:rsidRPr="00043563">
        <w:rPr>
          <w:i/>
          <w:iCs/>
          <w:spacing w:val="-2"/>
          <w:rtl/>
          <w:lang w:bidi="ar-EG"/>
        </w:rPr>
        <w:t>مخاطر</w:t>
      </w:r>
      <w:proofErr w:type="gramEnd"/>
      <w:r w:rsidR="0070783E" w:rsidRPr="00043563">
        <w:rPr>
          <w:i/>
          <w:iCs/>
          <w:spacing w:val="-2"/>
          <w:rtl/>
          <w:lang w:bidi="ar-EG"/>
        </w:rPr>
        <w:t xml:space="preserve"> الاحتيال والفساد</w:t>
      </w:r>
      <w:r w:rsidR="0070783E" w:rsidRPr="00043563">
        <w:rPr>
          <w:spacing w:val="-2"/>
          <w:rtl/>
          <w:lang w:bidi="ar-EG"/>
        </w:rPr>
        <w:t xml:space="preserve"> </w:t>
      </w:r>
      <w:r w:rsidR="002A3AC6" w:rsidRPr="00043563">
        <w:rPr>
          <w:rFonts w:hint="cs"/>
          <w:spacing w:val="-2"/>
          <w:rtl/>
          <w:lang w:bidi="ar-EG"/>
        </w:rPr>
        <w:t>فيما يتعلق بمشروع مباني</w:t>
      </w:r>
      <w:r w:rsidR="0070783E" w:rsidRPr="00043563">
        <w:rPr>
          <w:spacing w:val="-2"/>
          <w:rtl/>
          <w:lang w:bidi="ar-EG"/>
        </w:rPr>
        <w:t xml:space="preserve"> </w:t>
      </w:r>
      <w:r w:rsidR="002A3AC6" w:rsidRPr="00043563">
        <w:rPr>
          <w:rFonts w:hint="cs"/>
          <w:spacing w:val="-2"/>
          <w:rtl/>
          <w:lang w:bidi="ar-EG"/>
        </w:rPr>
        <w:t>ال</w:t>
      </w:r>
      <w:r w:rsidR="0070783E" w:rsidRPr="00043563">
        <w:rPr>
          <w:spacing w:val="-2"/>
          <w:rtl/>
          <w:lang w:bidi="ar-EG"/>
        </w:rPr>
        <w:t xml:space="preserve">مقر </w:t>
      </w:r>
      <w:r w:rsidR="0070783E" w:rsidRPr="00043563">
        <w:rPr>
          <w:spacing w:val="-2"/>
          <w:u w:val="single"/>
          <w:rtl/>
          <w:lang w:bidi="ar-EG"/>
        </w:rPr>
        <w:t>كافية جزئي</w:t>
      </w:r>
      <w:r w:rsidR="007B75C8" w:rsidRPr="00043563">
        <w:rPr>
          <w:spacing w:val="-2"/>
          <w:u w:val="single"/>
          <w:rtl/>
          <w:lang w:bidi="ar-EG"/>
        </w:rPr>
        <w:t>اً</w:t>
      </w:r>
      <w:r w:rsidR="0070783E" w:rsidRPr="00043563">
        <w:rPr>
          <w:spacing w:val="-2"/>
          <w:rtl/>
          <w:lang w:bidi="ar-EG"/>
        </w:rPr>
        <w:t xml:space="preserve"> فقط.</w:t>
      </w:r>
    </w:p>
    <w:p w14:paraId="1DCCD163" w14:textId="27242BF8" w:rsidR="00AE4530" w:rsidRDefault="002A3AC6" w:rsidP="0070783E">
      <w:pPr>
        <w:rPr>
          <w:rtl/>
          <w:lang w:bidi="ar-EG"/>
        </w:rPr>
      </w:pPr>
      <w:r>
        <w:rPr>
          <w:rFonts w:hint="cs"/>
          <w:rtl/>
          <w:lang w:bidi="ar-EG"/>
        </w:rPr>
        <w:t>13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ونوقش </w:t>
      </w:r>
      <w:r>
        <w:rPr>
          <w:rtl/>
          <w:lang w:bidi="ar-EG"/>
        </w:rPr>
        <w:t>تقرير المراجعة</w:t>
      </w:r>
      <w:r>
        <w:rPr>
          <w:rFonts w:hint="cs"/>
          <w:rtl/>
          <w:lang w:bidi="ar-EG"/>
        </w:rPr>
        <w:t xml:space="preserve"> مع</w:t>
      </w:r>
      <w:r w:rsidR="0070783E">
        <w:rPr>
          <w:rtl/>
          <w:lang w:bidi="ar-EG"/>
        </w:rPr>
        <w:t xml:space="preserve"> المسؤولين المعنيين في الأمانة العامة. و</w:t>
      </w:r>
      <w:r w:rsidR="00C2600E">
        <w:rPr>
          <w:rFonts w:hint="cs"/>
          <w:rtl/>
          <w:lang w:bidi="ar-EG"/>
        </w:rPr>
        <w:t xml:space="preserve">هو </w:t>
      </w:r>
      <w:r w:rsidR="0070783E">
        <w:rPr>
          <w:rtl/>
          <w:lang w:bidi="ar-EG"/>
        </w:rPr>
        <w:t xml:space="preserve">يتضمن تعليقاتهم على النتائج والتوصيات. </w:t>
      </w:r>
      <w:r>
        <w:rPr>
          <w:rFonts w:hint="cs"/>
          <w:rtl/>
          <w:lang w:bidi="ar-EG"/>
        </w:rPr>
        <w:t>و</w:t>
      </w:r>
      <w:r w:rsidR="0070783E">
        <w:rPr>
          <w:rtl/>
          <w:lang w:bidi="ar-EG"/>
        </w:rPr>
        <w:t>في 20 يونيو 2022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قدمت</w:t>
      </w:r>
      <w:r>
        <w:rPr>
          <w:rFonts w:hint="cs"/>
          <w:rtl/>
          <w:lang w:bidi="ar-EG"/>
        </w:rPr>
        <w:t xml:space="preserve"> الوحدة</w:t>
      </w:r>
      <w:r w:rsidR="0070783E">
        <w:rPr>
          <w:rtl/>
          <w:lang w:bidi="ar-EG"/>
        </w:rPr>
        <w:t xml:space="preserve"> نتائج واستنتاجات </w:t>
      </w:r>
      <w:r>
        <w:rPr>
          <w:rFonts w:hint="cs"/>
          <w:rtl/>
          <w:lang w:bidi="ar-EG"/>
        </w:rPr>
        <w:t>المراجعة</w:t>
      </w:r>
      <w:r w:rsidR="0070783E">
        <w:rPr>
          <w:rtl/>
          <w:lang w:bidi="ar-EG"/>
        </w:rPr>
        <w:t xml:space="preserve"> إلى الفريق الاستشاري للدول الأعضاء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الذي يشرف على</w:t>
      </w:r>
      <w:r>
        <w:rPr>
          <w:rFonts w:hint="cs"/>
          <w:rtl/>
          <w:lang w:bidi="ar-EG"/>
        </w:rPr>
        <w:t xml:space="preserve"> مشروع مباني المقر</w:t>
      </w:r>
      <w:r w:rsidR="0070783E">
        <w:rPr>
          <w:rtl/>
          <w:lang w:bidi="ar-EG"/>
        </w:rPr>
        <w:t xml:space="preserve"> نيابة</w:t>
      </w:r>
      <w:r w:rsidR="0010664F">
        <w:rPr>
          <w:rFonts w:hint="cs"/>
          <w:rtl/>
          <w:lang w:bidi="ar-EG"/>
        </w:rPr>
        <w:t>ً</w:t>
      </w:r>
      <w:r w:rsidR="0070783E">
        <w:rPr>
          <w:rtl/>
          <w:lang w:bidi="ar-EG"/>
        </w:rPr>
        <w:t xml:space="preserve"> عن الدول الأعضاء في الاتحاد.</w:t>
      </w:r>
    </w:p>
    <w:p w14:paraId="65564757" w14:textId="6C8BD05F" w:rsidR="00AE4530" w:rsidRDefault="00AE4530" w:rsidP="00AE4530">
      <w:pPr>
        <w:rPr>
          <w:b/>
          <w:bCs/>
          <w:i/>
          <w:iCs/>
          <w:spacing w:val="-2"/>
          <w:rtl/>
          <w:lang w:val="en-GB" w:bidi="ar-SY"/>
        </w:rPr>
      </w:pPr>
      <w:r w:rsidRPr="00AE4530">
        <w:rPr>
          <w:rFonts w:hint="cs"/>
          <w:b/>
          <w:bCs/>
          <w:i/>
          <w:iCs/>
          <w:rtl/>
          <w:lang w:bidi="ar-EG"/>
        </w:rPr>
        <w:t>جيم</w:t>
      </w:r>
      <w:r w:rsidRPr="00AE4530">
        <w:rPr>
          <w:b/>
          <w:bCs/>
          <w:i/>
          <w:iCs/>
          <w:rtl/>
          <w:lang w:bidi="ar-EG"/>
        </w:rPr>
        <w:tab/>
      </w:r>
      <w:r w:rsidRPr="00AE4530">
        <w:rPr>
          <w:b/>
          <w:bCs/>
          <w:i/>
          <w:iCs/>
          <w:spacing w:val="-2"/>
          <w:rtl/>
          <w:lang w:val="en-GB" w:bidi="ar-SY"/>
        </w:rPr>
        <w:t>فريق العمل المعني بالضوابط الداخلية</w:t>
      </w:r>
    </w:p>
    <w:p w14:paraId="16E7749A" w14:textId="2C89E2CD" w:rsidR="0070783E" w:rsidRDefault="00AE4530" w:rsidP="0070783E">
      <w:pPr>
        <w:rPr>
          <w:rtl/>
          <w:lang w:bidi="ar-EG"/>
        </w:rPr>
      </w:pPr>
      <w:r>
        <w:rPr>
          <w:rFonts w:hint="cs"/>
          <w:rtl/>
          <w:lang w:bidi="ar-EG"/>
        </w:rPr>
        <w:t>14</w:t>
      </w:r>
      <w:r>
        <w:rPr>
          <w:rtl/>
          <w:lang w:bidi="ar-EG"/>
        </w:rPr>
        <w:tab/>
      </w:r>
      <w:r w:rsidR="002A3AC6">
        <w:rPr>
          <w:rFonts w:hint="cs"/>
          <w:rtl/>
          <w:lang w:bidi="ar-EG"/>
        </w:rPr>
        <w:t>راجعت الوحدة</w:t>
      </w:r>
      <w:r w:rsidR="0070783E">
        <w:rPr>
          <w:rtl/>
          <w:lang w:bidi="ar-EG"/>
        </w:rPr>
        <w:t xml:space="preserve"> إجراءات </w:t>
      </w:r>
      <w:r w:rsidR="002A3AC6">
        <w:rPr>
          <w:rFonts w:hint="cs"/>
          <w:rtl/>
          <w:lang w:bidi="ar-EG"/>
        </w:rPr>
        <w:t>فريق</w:t>
      </w:r>
      <w:r w:rsidR="0070783E">
        <w:rPr>
          <w:rtl/>
          <w:lang w:bidi="ar-EG"/>
        </w:rPr>
        <w:t xml:space="preserve"> العمل </w:t>
      </w:r>
      <w:r w:rsidR="002A3AC6">
        <w:rPr>
          <w:rFonts w:hint="cs"/>
          <w:rtl/>
          <w:lang w:bidi="ar-EG"/>
        </w:rPr>
        <w:t>المعني</w:t>
      </w:r>
      <w:r w:rsidR="0070783E">
        <w:rPr>
          <w:rtl/>
          <w:lang w:bidi="ar-EG"/>
        </w:rPr>
        <w:t xml:space="preserve"> </w:t>
      </w:r>
      <w:r w:rsidR="002A3AC6">
        <w:rPr>
          <w:rFonts w:hint="cs"/>
          <w:rtl/>
          <w:lang w:bidi="ar-EG"/>
        </w:rPr>
        <w:t>ب</w:t>
      </w:r>
      <w:r w:rsidR="0070783E">
        <w:rPr>
          <w:rtl/>
          <w:lang w:bidi="ar-EG"/>
        </w:rPr>
        <w:t xml:space="preserve">الضوابط الداخلية. </w:t>
      </w:r>
      <w:r w:rsidR="002A3AC6">
        <w:rPr>
          <w:rFonts w:hint="cs"/>
          <w:rtl/>
          <w:lang w:bidi="ar-EG"/>
        </w:rPr>
        <w:t>وجرت</w:t>
      </w:r>
      <w:r w:rsidR="0070783E">
        <w:rPr>
          <w:rtl/>
          <w:lang w:bidi="ar-EG"/>
        </w:rPr>
        <w:t xml:space="preserve"> </w:t>
      </w:r>
      <w:r w:rsidR="002A3AC6">
        <w:rPr>
          <w:rFonts w:hint="cs"/>
          <w:rtl/>
          <w:lang w:bidi="ar-EG"/>
        </w:rPr>
        <w:t xml:space="preserve">المراجعة </w:t>
      </w:r>
      <w:r w:rsidR="0070783E">
        <w:rPr>
          <w:rtl/>
          <w:lang w:bidi="ar-EG"/>
        </w:rPr>
        <w:t xml:space="preserve">باستخدام </w:t>
      </w:r>
      <w:r w:rsidR="008826D4">
        <w:rPr>
          <w:rFonts w:hint="cs"/>
          <w:rtl/>
          <w:lang w:bidi="ar-EG"/>
        </w:rPr>
        <w:t>ال</w:t>
      </w:r>
      <w:r w:rsidR="0070783E">
        <w:rPr>
          <w:rtl/>
          <w:lang w:bidi="ar-EG"/>
        </w:rPr>
        <w:t xml:space="preserve">إطار </w:t>
      </w:r>
      <w:r w:rsidR="008826D4">
        <w:rPr>
          <w:rFonts w:hint="cs"/>
          <w:rtl/>
          <w:lang w:bidi="ar-EG"/>
        </w:rPr>
        <w:t>المتكامل ل</w:t>
      </w:r>
      <w:r w:rsidR="0070783E">
        <w:rPr>
          <w:rtl/>
          <w:lang w:bidi="ar-EG"/>
        </w:rPr>
        <w:t xml:space="preserve">لرقابة الداخلية </w:t>
      </w:r>
      <w:r w:rsidR="008826D4">
        <w:rPr>
          <w:rFonts w:hint="cs"/>
          <w:rtl/>
          <w:lang w:bidi="ar-EG"/>
        </w:rPr>
        <w:t xml:space="preserve">للمنظمات الراعية </w:t>
      </w:r>
      <w:r w:rsidR="0070783E">
        <w:rPr>
          <w:rtl/>
          <w:lang w:bidi="ar-EG"/>
        </w:rPr>
        <w:t>(</w:t>
      </w:r>
      <w:r w:rsidR="0070783E">
        <w:rPr>
          <w:lang w:bidi="ar-EG"/>
        </w:rPr>
        <w:t>COSO</w:t>
      </w:r>
      <w:r w:rsidR="0070783E">
        <w:rPr>
          <w:rtl/>
          <w:lang w:bidi="ar-EG"/>
        </w:rPr>
        <w:t>) كأساس لتقييم الضوابط الداخلية (</w:t>
      </w:r>
      <w:r w:rsidR="004A792E">
        <w:rPr>
          <w:rFonts w:hint="cs"/>
          <w:rtl/>
          <w:lang w:bidi="ar-EG"/>
        </w:rPr>
        <w:t>الإدارة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وتقييم المخاطر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والمعلومات </w:t>
      </w:r>
      <w:r w:rsidR="008826D4">
        <w:rPr>
          <w:rFonts w:hint="cs"/>
          <w:rtl/>
          <w:lang w:bidi="ar-EG"/>
        </w:rPr>
        <w:t>والتواصل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والضوابط الداخلية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وأنشطة المراقبة). </w:t>
      </w:r>
      <w:r w:rsidR="008826D4">
        <w:rPr>
          <w:rFonts w:hint="cs"/>
          <w:rtl/>
          <w:lang w:bidi="ar-EG"/>
        </w:rPr>
        <w:t>وشملت</w:t>
      </w:r>
      <w:r w:rsidR="0070783E">
        <w:rPr>
          <w:rtl/>
          <w:lang w:bidi="ar-EG"/>
        </w:rPr>
        <w:t xml:space="preserve"> عملية </w:t>
      </w:r>
      <w:r w:rsidR="008826D4">
        <w:rPr>
          <w:rFonts w:hint="cs"/>
          <w:rtl/>
          <w:lang w:bidi="ar-EG"/>
        </w:rPr>
        <w:t>المراجعة</w:t>
      </w:r>
      <w:r w:rsidR="0070783E">
        <w:rPr>
          <w:rtl/>
          <w:lang w:bidi="ar-EG"/>
        </w:rPr>
        <w:t xml:space="preserve"> </w:t>
      </w:r>
      <w:r w:rsidR="008826D4">
        <w:rPr>
          <w:rFonts w:hint="cs"/>
          <w:rtl/>
          <w:lang w:bidi="ar-EG"/>
        </w:rPr>
        <w:t>بالدرجة الأولى</w:t>
      </w:r>
      <w:r w:rsidR="0070783E">
        <w:rPr>
          <w:rtl/>
          <w:lang w:bidi="ar-EG"/>
        </w:rPr>
        <w:t xml:space="preserve"> الإجراءات التي </w:t>
      </w:r>
      <w:r w:rsidR="008826D4">
        <w:rPr>
          <w:rFonts w:hint="cs"/>
          <w:rtl/>
          <w:lang w:bidi="ar-EG"/>
        </w:rPr>
        <w:t>أبلغ</w:t>
      </w:r>
      <w:r w:rsidR="0070783E">
        <w:rPr>
          <w:rtl/>
          <w:lang w:bidi="ar-EG"/>
        </w:rPr>
        <w:t xml:space="preserve"> أنها اكتملت في</w:t>
      </w:r>
      <w:r w:rsidR="00944855">
        <w:rPr>
          <w:rFonts w:hint="eastAsia"/>
          <w:rtl/>
        </w:rPr>
        <w:t> </w:t>
      </w:r>
      <w:r w:rsidR="008826D4">
        <w:rPr>
          <w:rFonts w:hint="cs"/>
          <w:rtl/>
          <w:lang w:bidi="ar-EG"/>
        </w:rPr>
        <w:t>الفترة</w:t>
      </w:r>
      <w:r w:rsidR="00944855">
        <w:rPr>
          <w:rFonts w:hint="cs"/>
          <w:rtl/>
          <w:lang w:bidi="ar-EG"/>
        </w:rPr>
        <w:t> </w:t>
      </w:r>
      <w:r w:rsidR="0070783E">
        <w:rPr>
          <w:rtl/>
          <w:lang w:bidi="ar-EG"/>
        </w:rPr>
        <w:t>2019</w:t>
      </w:r>
      <w:r w:rsidR="00944855">
        <w:rPr>
          <w:rtl/>
          <w:lang w:bidi="ar-EG"/>
        </w:rPr>
        <w:noBreakHyphen/>
      </w:r>
      <w:r w:rsidR="0070783E">
        <w:rPr>
          <w:rtl/>
          <w:lang w:bidi="ar-EG"/>
        </w:rPr>
        <w:t>2021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على النحو المحدد في وثيقة المجلس </w:t>
      </w:r>
      <w:r w:rsidR="0070783E">
        <w:rPr>
          <w:lang w:bidi="ar-EG"/>
        </w:rPr>
        <w:t>C22/20</w:t>
      </w:r>
      <w:r w:rsidR="0070783E">
        <w:rPr>
          <w:rtl/>
          <w:lang w:bidi="ar-EG"/>
        </w:rPr>
        <w:t xml:space="preserve">. كما استعرضت </w:t>
      </w:r>
      <w:r w:rsidR="008826D4">
        <w:rPr>
          <w:rFonts w:hint="cs"/>
          <w:rtl/>
          <w:lang w:bidi="ar-EG"/>
        </w:rPr>
        <w:t>الوحدة</w:t>
      </w:r>
      <w:r w:rsidR="0070783E">
        <w:rPr>
          <w:rtl/>
          <w:lang w:bidi="ar-EG"/>
        </w:rPr>
        <w:t xml:space="preserve"> بإيجاز التقدم المحرز في الإجراءات التي </w:t>
      </w:r>
      <w:r w:rsidR="008826D4">
        <w:rPr>
          <w:rFonts w:hint="cs"/>
          <w:rtl/>
          <w:lang w:bidi="ar-EG"/>
        </w:rPr>
        <w:t>يجري</w:t>
      </w:r>
      <w:r w:rsidR="0070783E">
        <w:rPr>
          <w:rtl/>
          <w:lang w:bidi="ar-EG"/>
        </w:rPr>
        <w:t xml:space="preserve"> تنفيذها خلال عام 2022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ولاحظت حالة التقدم </w:t>
      </w:r>
      <w:r w:rsidR="008826D4">
        <w:rPr>
          <w:rFonts w:hint="cs"/>
          <w:rtl/>
          <w:lang w:bidi="ar-EG"/>
        </w:rPr>
        <w:t>وقيّمت</w:t>
      </w:r>
      <w:r w:rsidR="0070783E">
        <w:rPr>
          <w:rtl/>
          <w:lang w:bidi="ar-EG"/>
        </w:rPr>
        <w:t xml:space="preserve"> (بناءً على التقدم المُبلغ عنه) إلى أي مدى يمكن التخفيف من المخاطر </w:t>
      </w:r>
      <w:r w:rsidR="0095369C">
        <w:rPr>
          <w:rFonts w:hint="cs"/>
          <w:rtl/>
          <w:lang w:bidi="ar-EG"/>
        </w:rPr>
        <w:t xml:space="preserve">المحددة </w:t>
      </w:r>
      <w:r w:rsidR="0070783E">
        <w:rPr>
          <w:rtl/>
          <w:lang w:bidi="ar-EG"/>
        </w:rPr>
        <w:t xml:space="preserve">في البداية بشكل كافٍ </w:t>
      </w:r>
      <w:r w:rsidR="0095369C">
        <w:rPr>
          <w:rFonts w:hint="cs"/>
          <w:rtl/>
          <w:lang w:bidi="ar-EG"/>
        </w:rPr>
        <w:t>لدى</w:t>
      </w:r>
      <w:r w:rsidR="0070783E">
        <w:rPr>
          <w:rtl/>
          <w:lang w:bidi="ar-EG"/>
        </w:rPr>
        <w:t xml:space="preserve"> اكتمال الإجراء.</w:t>
      </w:r>
    </w:p>
    <w:p w14:paraId="487100ED" w14:textId="4D427B23" w:rsidR="0070783E" w:rsidRDefault="0095369C" w:rsidP="0070783E">
      <w:pPr>
        <w:rPr>
          <w:rtl/>
          <w:lang w:bidi="ar-EG"/>
        </w:rPr>
      </w:pPr>
      <w:r>
        <w:rPr>
          <w:rFonts w:hint="cs"/>
          <w:rtl/>
          <w:lang w:bidi="ar-EG"/>
        </w:rPr>
        <w:t>15</w:t>
      </w:r>
      <w:r>
        <w:rPr>
          <w:rtl/>
          <w:lang w:bidi="ar-EG"/>
        </w:rPr>
        <w:tab/>
      </w:r>
      <w:r w:rsidR="00C2600E">
        <w:rPr>
          <w:rFonts w:hint="cs"/>
          <w:rtl/>
          <w:lang w:bidi="ar-EG"/>
        </w:rPr>
        <w:t>و</w:t>
      </w:r>
      <w:r w:rsidR="00A85846">
        <w:rPr>
          <w:rFonts w:hint="cs"/>
          <w:rtl/>
          <w:lang w:bidi="ar-EG"/>
        </w:rPr>
        <w:t>وجدت</w:t>
      </w:r>
      <w:r w:rsidR="0070783E">
        <w:rPr>
          <w:rtl/>
          <w:lang w:bidi="ar-EG"/>
        </w:rPr>
        <w:t xml:space="preserve"> </w:t>
      </w:r>
      <w:r w:rsidR="00A85846">
        <w:rPr>
          <w:rFonts w:hint="cs"/>
          <w:rtl/>
          <w:lang w:bidi="ar-EG"/>
        </w:rPr>
        <w:t>الوحدة</w:t>
      </w:r>
      <w:r w:rsidR="00C2600E">
        <w:rPr>
          <w:rFonts w:hint="cs"/>
          <w:rtl/>
          <w:lang w:bidi="ar-EG"/>
        </w:rPr>
        <w:t xml:space="preserve"> أن</w:t>
      </w:r>
      <w:r w:rsidR="0070783E">
        <w:rPr>
          <w:rtl/>
          <w:lang w:bidi="ar-EG"/>
        </w:rPr>
        <w:t xml:space="preserve"> </w:t>
      </w:r>
      <w:r w:rsidR="00E22642">
        <w:rPr>
          <w:rFonts w:hint="cs"/>
          <w:i/>
          <w:iCs/>
          <w:rtl/>
          <w:lang w:bidi="ar-EG"/>
        </w:rPr>
        <w:t>الإدارة</w:t>
      </w:r>
      <w:r w:rsidR="0070783E" w:rsidRPr="00A85846">
        <w:rPr>
          <w:i/>
          <w:iCs/>
          <w:rtl/>
          <w:lang w:bidi="ar-EG"/>
        </w:rPr>
        <w:t xml:space="preserve"> </w:t>
      </w:r>
      <w:r w:rsidR="0070783E" w:rsidRPr="00944855">
        <w:rPr>
          <w:rtl/>
          <w:lang w:bidi="ar-EG"/>
        </w:rPr>
        <w:t>و</w:t>
      </w:r>
      <w:r w:rsidR="0070783E" w:rsidRPr="00A85846">
        <w:rPr>
          <w:i/>
          <w:iCs/>
          <w:rtl/>
          <w:lang w:bidi="ar-EG"/>
        </w:rPr>
        <w:t xml:space="preserve">تقييم المخاطر </w:t>
      </w:r>
      <w:r w:rsidR="00A85846">
        <w:rPr>
          <w:rFonts w:hint="cs"/>
          <w:rtl/>
          <w:lang w:bidi="ar-EG"/>
        </w:rPr>
        <w:t xml:space="preserve">كافية </w:t>
      </w:r>
      <w:r w:rsidR="0070783E">
        <w:rPr>
          <w:rtl/>
          <w:lang w:bidi="ar-EG"/>
        </w:rPr>
        <w:t>في 16 من أصل 20 إجراءً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مع أربعة إجراءات </w:t>
      </w:r>
      <w:r w:rsidR="00A85846">
        <w:rPr>
          <w:rFonts w:hint="cs"/>
          <w:rtl/>
          <w:lang w:bidi="ar-EG"/>
        </w:rPr>
        <w:t>كافية</w:t>
      </w:r>
      <w:r w:rsidR="0070783E">
        <w:rPr>
          <w:rtl/>
          <w:lang w:bidi="ar-EG"/>
        </w:rPr>
        <w:t xml:space="preserve"> جزئي</w:t>
      </w:r>
      <w:r w:rsidR="007B75C8">
        <w:rPr>
          <w:rtl/>
          <w:lang w:bidi="ar-EG"/>
        </w:rPr>
        <w:t>اً</w:t>
      </w:r>
      <w:r w:rsidR="00A85846">
        <w:rPr>
          <w:rFonts w:hint="cs"/>
          <w:rtl/>
          <w:lang w:bidi="ar-EG"/>
        </w:rPr>
        <w:t xml:space="preserve"> بالنسبة</w:t>
      </w:r>
      <w:r w:rsidR="0070783E">
        <w:rPr>
          <w:rtl/>
          <w:lang w:bidi="ar-EG"/>
        </w:rPr>
        <w:t xml:space="preserve"> </w:t>
      </w:r>
      <w:r w:rsidR="00967824">
        <w:rPr>
          <w:rFonts w:hint="cs"/>
          <w:i/>
          <w:iCs/>
          <w:rtl/>
          <w:lang w:bidi="ar-EG"/>
        </w:rPr>
        <w:t>للإدارة</w:t>
      </w:r>
      <w:r w:rsidR="0070783E">
        <w:rPr>
          <w:rtl/>
          <w:lang w:bidi="ar-EG"/>
        </w:rPr>
        <w:t xml:space="preserve"> واثنان </w:t>
      </w:r>
      <w:r w:rsidR="00A85846">
        <w:rPr>
          <w:rFonts w:hint="cs"/>
          <w:rtl/>
          <w:lang w:bidi="ar-EG"/>
        </w:rPr>
        <w:t>كافيان</w:t>
      </w:r>
      <w:r w:rsidR="0070783E">
        <w:rPr>
          <w:rtl/>
          <w:lang w:bidi="ar-EG"/>
        </w:rPr>
        <w:t xml:space="preserve"> جزئي</w:t>
      </w:r>
      <w:r w:rsidR="007B75C8">
        <w:rPr>
          <w:rtl/>
          <w:lang w:bidi="ar-EG"/>
        </w:rPr>
        <w:t>اً</w:t>
      </w:r>
      <w:r w:rsidR="00A85846">
        <w:rPr>
          <w:rFonts w:hint="cs"/>
          <w:rtl/>
          <w:lang w:bidi="ar-EG"/>
        </w:rPr>
        <w:t xml:space="preserve"> بالنسبة</w:t>
      </w:r>
      <w:r w:rsidR="0070783E">
        <w:rPr>
          <w:rtl/>
          <w:lang w:bidi="ar-EG"/>
        </w:rPr>
        <w:t xml:space="preserve"> </w:t>
      </w:r>
      <w:r w:rsidR="0070783E" w:rsidRPr="00A85846">
        <w:rPr>
          <w:i/>
          <w:iCs/>
          <w:rtl/>
          <w:lang w:bidi="ar-EG"/>
        </w:rPr>
        <w:t>لتقييم المخاطر</w:t>
      </w:r>
      <w:r w:rsidR="0070783E">
        <w:rPr>
          <w:rtl/>
          <w:lang w:bidi="ar-EG"/>
        </w:rPr>
        <w:t xml:space="preserve">. </w:t>
      </w:r>
      <w:r w:rsidR="00A85846">
        <w:rPr>
          <w:rFonts w:hint="cs"/>
          <w:rtl/>
          <w:lang w:bidi="ar-EG"/>
        </w:rPr>
        <w:t>وتبين أن</w:t>
      </w:r>
      <w:r w:rsidR="0070783E">
        <w:rPr>
          <w:rtl/>
          <w:lang w:bidi="ar-EG"/>
        </w:rPr>
        <w:t xml:space="preserve"> </w:t>
      </w:r>
      <w:r w:rsidR="0070783E" w:rsidRPr="00A85846">
        <w:rPr>
          <w:i/>
          <w:iCs/>
          <w:rtl/>
          <w:lang w:bidi="ar-EG"/>
        </w:rPr>
        <w:t xml:space="preserve">المعلومات </w:t>
      </w:r>
      <w:r w:rsidR="00A85846" w:rsidRPr="00A85846">
        <w:rPr>
          <w:rFonts w:hint="cs"/>
          <w:i/>
          <w:iCs/>
          <w:rtl/>
          <w:lang w:bidi="ar-EG"/>
        </w:rPr>
        <w:t>والتواصل</w:t>
      </w:r>
      <w:r w:rsidR="0070783E">
        <w:rPr>
          <w:rtl/>
          <w:lang w:bidi="ar-EG"/>
        </w:rPr>
        <w:t xml:space="preserve"> كافية تمام</w:t>
      </w:r>
      <w:r w:rsidR="007B75C8">
        <w:rPr>
          <w:rtl/>
          <w:lang w:bidi="ar-EG"/>
        </w:rPr>
        <w:t>اً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باستثناء إجراء واحد. </w:t>
      </w:r>
      <w:r w:rsidR="00A85846">
        <w:rPr>
          <w:rFonts w:hint="cs"/>
          <w:rtl/>
          <w:lang w:bidi="ar-EG"/>
        </w:rPr>
        <w:t>و</w:t>
      </w:r>
      <w:r w:rsidR="0070783E">
        <w:rPr>
          <w:rtl/>
          <w:lang w:bidi="ar-EG"/>
        </w:rPr>
        <w:t xml:space="preserve">من بين 20 </w:t>
      </w:r>
      <w:r w:rsidR="00A85846">
        <w:rPr>
          <w:rtl/>
          <w:lang w:bidi="ar-EG"/>
        </w:rPr>
        <w:t>إجراءً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</w:t>
      </w:r>
      <w:r w:rsidR="00A85846">
        <w:rPr>
          <w:rFonts w:hint="cs"/>
          <w:rtl/>
          <w:lang w:bidi="ar-EG"/>
        </w:rPr>
        <w:t>وجد</w:t>
      </w:r>
      <w:r w:rsidR="0070783E">
        <w:rPr>
          <w:rtl/>
          <w:lang w:bidi="ar-EG"/>
        </w:rPr>
        <w:t xml:space="preserve"> 13 </w:t>
      </w:r>
      <w:r w:rsidR="00A85846">
        <w:rPr>
          <w:rtl/>
          <w:lang w:bidi="ar-EG"/>
        </w:rPr>
        <w:t xml:space="preserve">إجراءً </w:t>
      </w:r>
      <w:r w:rsidR="0070783E">
        <w:rPr>
          <w:rtl/>
          <w:lang w:bidi="ar-EG"/>
        </w:rPr>
        <w:t>فع</w:t>
      </w:r>
      <w:r w:rsidR="00944855">
        <w:rPr>
          <w:rFonts w:hint="cs"/>
          <w:rtl/>
          <w:lang w:bidi="ar-EG"/>
        </w:rPr>
        <w:t>ّ</w:t>
      </w:r>
      <w:r w:rsidR="0070783E">
        <w:rPr>
          <w:rtl/>
          <w:lang w:bidi="ar-EG"/>
        </w:rPr>
        <w:t xml:space="preserve">الة </w:t>
      </w:r>
      <w:r w:rsidR="00594D22">
        <w:rPr>
          <w:rFonts w:hint="cs"/>
          <w:rtl/>
          <w:lang w:bidi="ar-EG"/>
        </w:rPr>
        <w:t>كلياً</w:t>
      </w:r>
      <w:r w:rsidR="0070783E">
        <w:rPr>
          <w:rtl/>
          <w:lang w:bidi="ar-EG"/>
        </w:rPr>
        <w:t xml:space="preserve">/إلى حد كبير فيما يتعلق </w:t>
      </w:r>
      <w:r w:rsidR="0070783E" w:rsidRPr="00594D22">
        <w:rPr>
          <w:i/>
          <w:iCs/>
          <w:rtl/>
          <w:lang w:bidi="ar-EG"/>
        </w:rPr>
        <w:t>بأنشطة الرصد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</w:t>
      </w:r>
      <w:r w:rsidR="00594D22">
        <w:rPr>
          <w:rFonts w:hint="cs"/>
          <w:rtl/>
          <w:lang w:bidi="ar-EG"/>
        </w:rPr>
        <w:t>بينما كان</w:t>
      </w:r>
      <w:r w:rsidR="0070783E">
        <w:rPr>
          <w:rtl/>
          <w:lang w:bidi="ar-EG"/>
        </w:rPr>
        <w:t xml:space="preserve"> اثن</w:t>
      </w:r>
      <w:r w:rsidR="00594D22">
        <w:rPr>
          <w:rFonts w:hint="cs"/>
          <w:rtl/>
          <w:lang w:bidi="ar-EG"/>
        </w:rPr>
        <w:t>ا</w:t>
      </w:r>
      <w:r w:rsidR="0070783E">
        <w:rPr>
          <w:rtl/>
          <w:lang w:bidi="ar-EG"/>
        </w:rPr>
        <w:t>ن</w:t>
      </w:r>
      <w:r w:rsidR="00594D22">
        <w:rPr>
          <w:rFonts w:hint="cs"/>
          <w:rtl/>
          <w:lang w:bidi="ar-EG"/>
        </w:rPr>
        <w:t xml:space="preserve"> منها</w:t>
      </w:r>
      <w:r w:rsidR="0070783E">
        <w:rPr>
          <w:rtl/>
          <w:lang w:bidi="ar-EG"/>
        </w:rPr>
        <w:t xml:space="preserve"> فعالين جزئياً. </w:t>
      </w:r>
      <w:r w:rsidR="00594D22">
        <w:rPr>
          <w:rFonts w:hint="cs"/>
          <w:rtl/>
          <w:lang w:bidi="ar-EG"/>
        </w:rPr>
        <w:t>و</w:t>
      </w:r>
      <w:r w:rsidR="0070783E">
        <w:rPr>
          <w:rtl/>
          <w:lang w:bidi="ar-EG"/>
        </w:rPr>
        <w:t>أخير</w:t>
      </w:r>
      <w:r w:rsidR="007B75C8">
        <w:rPr>
          <w:rtl/>
          <w:lang w:bidi="ar-EG"/>
        </w:rPr>
        <w:t>اً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</w:t>
      </w:r>
      <w:r w:rsidR="00594D22">
        <w:rPr>
          <w:rFonts w:hint="cs"/>
          <w:rtl/>
          <w:lang w:bidi="ar-EG"/>
        </w:rPr>
        <w:t>كان</w:t>
      </w:r>
      <w:r w:rsidR="0070783E">
        <w:rPr>
          <w:rtl/>
          <w:lang w:bidi="ar-EG"/>
        </w:rPr>
        <w:t xml:space="preserve"> 15</w:t>
      </w:r>
      <w:r w:rsidR="00780FAF">
        <w:rPr>
          <w:rFonts w:hint="cs"/>
          <w:rtl/>
          <w:lang w:bidi="ar-EG"/>
        </w:rPr>
        <w:t> </w:t>
      </w:r>
      <w:r w:rsidR="0070783E">
        <w:rPr>
          <w:rtl/>
          <w:lang w:bidi="ar-EG"/>
        </w:rPr>
        <w:t>من أصل 20 إجراءً</w:t>
      </w:r>
      <w:r w:rsidR="00594D22">
        <w:rPr>
          <w:rFonts w:hint="cs"/>
          <w:rtl/>
          <w:lang w:bidi="ar-EG"/>
        </w:rPr>
        <w:t xml:space="preserve"> من </w:t>
      </w:r>
      <w:r w:rsidR="00594D22" w:rsidRPr="00594D22">
        <w:rPr>
          <w:rFonts w:hint="cs"/>
          <w:i/>
          <w:iCs/>
          <w:rtl/>
          <w:lang w:bidi="ar-EG"/>
        </w:rPr>
        <w:t>ال</w:t>
      </w:r>
      <w:r w:rsidR="0070783E" w:rsidRPr="00594D22">
        <w:rPr>
          <w:i/>
          <w:iCs/>
          <w:rtl/>
          <w:lang w:bidi="ar-EG"/>
        </w:rPr>
        <w:t xml:space="preserve">ضوابط </w:t>
      </w:r>
      <w:r w:rsidR="00594D22" w:rsidRPr="00594D22">
        <w:rPr>
          <w:rFonts w:hint="cs"/>
          <w:i/>
          <w:iCs/>
          <w:rtl/>
          <w:lang w:bidi="ar-EG"/>
        </w:rPr>
        <w:t>ال</w:t>
      </w:r>
      <w:r w:rsidR="0070783E" w:rsidRPr="00594D22">
        <w:rPr>
          <w:i/>
          <w:iCs/>
          <w:rtl/>
          <w:lang w:bidi="ar-EG"/>
        </w:rPr>
        <w:t>داخلية</w:t>
      </w:r>
      <w:r w:rsidR="0070783E">
        <w:rPr>
          <w:rtl/>
          <w:lang w:bidi="ar-EG"/>
        </w:rPr>
        <w:t xml:space="preserve"> فع</w:t>
      </w:r>
      <w:r w:rsidR="00944855">
        <w:rPr>
          <w:rFonts w:hint="cs"/>
          <w:rtl/>
          <w:lang w:bidi="ar-EG"/>
        </w:rPr>
        <w:t>ّ</w:t>
      </w:r>
      <w:r w:rsidR="0070783E">
        <w:rPr>
          <w:rtl/>
          <w:lang w:bidi="ar-EG"/>
        </w:rPr>
        <w:t>الة</w:t>
      </w:r>
      <w:r w:rsidR="00594D22">
        <w:rPr>
          <w:rFonts w:hint="cs"/>
          <w:rtl/>
          <w:lang w:bidi="ar-EG"/>
        </w:rPr>
        <w:t xml:space="preserve"> كلياً/</w:t>
      </w:r>
      <w:r w:rsidR="0070783E">
        <w:rPr>
          <w:rtl/>
          <w:lang w:bidi="ar-EG"/>
        </w:rPr>
        <w:t>إلى حد كبير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</w:t>
      </w:r>
      <w:r w:rsidR="00594D22">
        <w:rPr>
          <w:rFonts w:hint="cs"/>
          <w:rtl/>
          <w:lang w:bidi="ar-EG"/>
        </w:rPr>
        <w:t>ومن بينها</w:t>
      </w:r>
      <w:r w:rsidR="0070783E">
        <w:rPr>
          <w:rtl/>
          <w:lang w:bidi="ar-EG"/>
        </w:rPr>
        <w:t xml:space="preserve"> إجراء</w:t>
      </w:r>
      <w:r w:rsidR="00594D22">
        <w:rPr>
          <w:rFonts w:hint="cs"/>
          <w:rtl/>
          <w:lang w:bidi="ar-EG"/>
        </w:rPr>
        <w:t xml:space="preserve"> واحد</w:t>
      </w:r>
      <w:r w:rsidR="0070783E">
        <w:rPr>
          <w:rtl/>
          <w:lang w:bidi="ar-EG"/>
        </w:rPr>
        <w:t xml:space="preserve"> فع</w:t>
      </w:r>
      <w:r w:rsidR="00944855">
        <w:rPr>
          <w:rFonts w:hint="cs"/>
          <w:rtl/>
          <w:lang w:bidi="ar-EG"/>
        </w:rPr>
        <w:t>ّ</w:t>
      </w:r>
      <w:r w:rsidR="0070783E">
        <w:rPr>
          <w:rtl/>
          <w:lang w:bidi="ar-EG"/>
        </w:rPr>
        <w:t>ال جزئي</w:t>
      </w:r>
      <w:r w:rsidR="007B75C8">
        <w:rPr>
          <w:rtl/>
          <w:lang w:bidi="ar-EG"/>
        </w:rPr>
        <w:t>اً</w:t>
      </w:r>
      <w:r w:rsidR="0070783E">
        <w:rPr>
          <w:rtl/>
          <w:lang w:bidi="ar-EG"/>
        </w:rPr>
        <w:t xml:space="preserve"> </w:t>
      </w:r>
      <w:r w:rsidR="00944855" w:rsidRPr="00944855">
        <w:rPr>
          <w:rFonts w:hint="cs"/>
          <w:rtl/>
          <w:lang w:bidi="ar-EG"/>
        </w:rPr>
        <w:t>واثنان</w:t>
      </w:r>
      <w:r w:rsidR="00594D22">
        <w:rPr>
          <w:rFonts w:hint="cs"/>
          <w:rtl/>
          <w:lang w:bidi="ar-EG"/>
        </w:rPr>
        <w:t xml:space="preserve"> </w:t>
      </w:r>
      <w:r w:rsidR="0070783E">
        <w:rPr>
          <w:rtl/>
          <w:lang w:bidi="ar-EG"/>
        </w:rPr>
        <w:t>غير فع</w:t>
      </w:r>
      <w:r w:rsidR="00944855">
        <w:rPr>
          <w:rFonts w:hint="cs"/>
          <w:rtl/>
          <w:lang w:bidi="ar-EG"/>
        </w:rPr>
        <w:t>ّ</w:t>
      </w:r>
      <w:r w:rsidR="0070783E">
        <w:rPr>
          <w:rtl/>
          <w:lang w:bidi="ar-EG"/>
        </w:rPr>
        <w:t>ال</w:t>
      </w:r>
      <w:r w:rsidR="00594D22">
        <w:rPr>
          <w:rFonts w:hint="cs"/>
          <w:rtl/>
          <w:lang w:bidi="ar-EG"/>
        </w:rPr>
        <w:t>ين</w:t>
      </w:r>
      <w:r w:rsidR="0070783E">
        <w:rPr>
          <w:rtl/>
          <w:lang w:bidi="ar-EG"/>
        </w:rPr>
        <w:t xml:space="preserve"> </w:t>
      </w:r>
      <w:r w:rsidR="00594D22">
        <w:rPr>
          <w:rFonts w:hint="cs"/>
          <w:rtl/>
          <w:lang w:bidi="ar-EG"/>
        </w:rPr>
        <w:t>كلياً</w:t>
      </w:r>
      <w:r w:rsidR="0070783E">
        <w:rPr>
          <w:rtl/>
          <w:lang w:bidi="ar-EG"/>
        </w:rPr>
        <w:t>. و</w:t>
      </w:r>
      <w:r w:rsidR="00594D22">
        <w:rPr>
          <w:rFonts w:hint="cs"/>
          <w:rtl/>
          <w:lang w:bidi="ar-EG"/>
        </w:rPr>
        <w:t>ي</w:t>
      </w:r>
      <w:r w:rsidR="0070783E">
        <w:rPr>
          <w:rtl/>
          <w:lang w:bidi="ar-EG"/>
        </w:rPr>
        <w:t>تعلق الأخير بالإجراء 15 (إجراءات السفر المعززة) والإجراء 18 (سياسات الرعاية المعززة)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اللتين أصدرت </w:t>
      </w:r>
      <w:r w:rsidR="00594D22">
        <w:rPr>
          <w:rFonts w:hint="cs"/>
          <w:rtl/>
          <w:lang w:bidi="ar-EG"/>
        </w:rPr>
        <w:t>الوحدة</w:t>
      </w:r>
      <w:r w:rsidR="0070783E">
        <w:rPr>
          <w:rtl/>
          <w:lang w:bidi="ar-EG"/>
        </w:rPr>
        <w:t xml:space="preserve"> بشأنهما توصيتين </w:t>
      </w:r>
      <w:r w:rsidR="00C2600E">
        <w:rPr>
          <w:rFonts w:hint="cs"/>
          <w:rtl/>
          <w:lang w:bidi="ar-EG"/>
        </w:rPr>
        <w:t>على درجة عالية من</w:t>
      </w:r>
      <w:r w:rsidR="0070783E">
        <w:rPr>
          <w:rtl/>
          <w:lang w:bidi="ar-EG"/>
        </w:rPr>
        <w:t xml:space="preserve"> الأولوية.</w:t>
      </w:r>
    </w:p>
    <w:p w14:paraId="70166866" w14:textId="22CC222E" w:rsidR="00AE4530" w:rsidRPr="007B7FB8" w:rsidRDefault="00594D22" w:rsidP="0070783E">
      <w:pPr>
        <w:rPr>
          <w:lang w:bidi="ar-EG"/>
        </w:rPr>
      </w:pPr>
      <w:r w:rsidRPr="007B7FB8">
        <w:rPr>
          <w:rFonts w:hint="cs"/>
          <w:rtl/>
          <w:lang w:bidi="ar-EG"/>
        </w:rPr>
        <w:t>16</w:t>
      </w:r>
      <w:r w:rsidRPr="007B7FB8">
        <w:rPr>
          <w:rtl/>
          <w:lang w:bidi="ar-EG"/>
        </w:rPr>
        <w:tab/>
      </w:r>
      <w:r w:rsidR="00C2600E" w:rsidRPr="007B7FB8">
        <w:rPr>
          <w:rFonts w:hint="cs"/>
          <w:rtl/>
          <w:lang w:bidi="ar-EG"/>
        </w:rPr>
        <w:t>و</w:t>
      </w:r>
      <w:r w:rsidRPr="007B7FB8">
        <w:rPr>
          <w:rFonts w:hint="cs"/>
          <w:rtl/>
          <w:lang w:bidi="ar-EG"/>
        </w:rPr>
        <w:t>نوقش</w:t>
      </w:r>
      <w:r w:rsidR="0070783E" w:rsidRPr="007B7FB8">
        <w:rPr>
          <w:rtl/>
          <w:lang w:bidi="ar-EG"/>
        </w:rPr>
        <w:t xml:space="preserve"> تقرير المراجعة مع </w:t>
      </w:r>
      <w:r w:rsidRPr="007B7FB8">
        <w:rPr>
          <w:rFonts w:hint="cs"/>
          <w:rtl/>
          <w:lang w:bidi="ar-EG"/>
        </w:rPr>
        <w:t>ال</w:t>
      </w:r>
      <w:r w:rsidR="0070783E" w:rsidRPr="007B7FB8">
        <w:rPr>
          <w:rtl/>
          <w:lang w:bidi="ar-EG"/>
        </w:rPr>
        <w:t>مسؤولي</w:t>
      </w:r>
      <w:r w:rsidRPr="007B7FB8">
        <w:rPr>
          <w:rFonts w:hint="cs"/>
          <w:rtl/>
          <w:lang w:bidi="ar-EG"/>
        </w:rPr>
        <w:t>ن</w:t>
      </w:r>
      <w:r w:rsidRPr="007B7FB8">
        <w:rPr>
          <w:rtl/>
          <w:lang w:bidi="ar-EG"/>
        </w:rPr>
        <w:t xml:space="preserve"> المعنيين</w:t>
      </w:r>
      <w:r w:rsidRPr="007B7FB8">
        <w:rPr>
          <w:rFonts w:hint="cs"/>
          <w:rtl/>
          <w:lang w:bidi="ar-EG"/>
        </w:rPr>
        <w:t xml:space="preserve"> في</w:t>
      </w:r>
      <w:r w:rsidR="0070783E" w:rsidRPr="007B7FB8">
        <w:rPr>
          <w:rtl/>
          <w:lang w:bidi="ar-EG"/>
        </w:rPr>
        <w:t xml:space="preserve"> الأمانة العامة</w:t>
      </w:r>
      <w:r w:rsidR="00EE1F08" w:rsidRPr="007B7FB8">
        <w:rPr>
          <w:rtl/>
          <w:lang w:bidi="ar-EG"/>
        </w:rPr>
        <w:t>،</w:t>
      </w:r>
      <w:r w:rsidR="0070783E" w:rsidRPr="007B7FB8">
        <w:rPr>
          <w:rtl/>
          <w:lang w:bidi="ar-EG"/>
        </w:rPr>
        <w:t xml:space="preserve"> وكذلك مع الوحدات الأخرى ذات الصلة في</w:t>
      </w:r>
      <w:r w:rsidR="007B7FB8" w:rsidRPr="007B7FB8">
        <w:rPr>
          <w:rFonts w:hint="cs"/>
          <w:rtl/>
          <w:lang w:bidi="ar-EG"/>
        </w:rPr>
        <w:t> </w:t>
      </w:r>
      <w:r w:rsidR="0070783E" w:rsidRPr="007B7FB8">
        <w:rPr>
          <w:rtl/>
          <w:lang w:bidi="ar-EG"/>
        </w:rPr>
        <w:t>مكاتب</w:t>
      </w:r>
      <w:r w:rsidR="007B7FB8" w:rsidRPr="007B7FB8">
        <w:rPr>
          <w:rFonts w:hint="eastAsia"/>
          <w:rtl/>
          <w:lang w:bidi="ar-EG"/>
        </w:rPr>
        <w:t> </w:t>
      </w:r>
      <w:r w:rsidRPr="007B7FB8">
        <w:rPr>
          <w:rFonts w:hint="cs"/>
          <w:rtl/>
          <w:lang w:bidi="ar-EG"/>
        </w:rPr>
        <w:t>القطاعات</w:t>
      </w:r>
      <w:r w:rsidR="0070783E" w:rsidRPr="007B7FB8">
        <w:rPr>
          <w:rtl/>
          <w:lang w:bidi="ar-EG"/>
        </w:rPr>
        <w:t xml:space="preserve">. وحيثما </w:t>
      </w:r>
      <w:r w:rsidRPr="007B7FB8">
        <w:rPr>
          <w:rFonts w:hint="cs"/>
          <w:rtl/>
          <w:lang w:bidi="ar-EG"/>
        </w:rPr>
        <w:t>قدمت</w:t>
      </w:r>
      <w:r w:rsidR="0070783E" w:rsidRPr="007B7FB8">
        <w:rPr>
          <w:rtl/>
          <w:lang w:bidi="ar-EG"/>
        </w:rPr>
        <w:t xml:space="preserve"> تعليقات</w:t>
      </w:r>
      <w:r w:rsidRPr="007B7FB8">
        <w:rPr>
          <w:rFonts w:hint="cs"/>
          <w:rtl/>
          <w:lang w:bidi="ar-EG"/>
        </w:rPr>
        <w:t xml:space="preserve"> أو أبديت </w:t>
      </w:r>
      <w:r w:rsidR="00FC5D33" w:rsidRPr="007B7FB8">
        <w:rPr>
          <w:rFonts w:hint="cs"/>
          <w:vanish/>
          <w:rtl/>
          <w:lang w:bidi="ar-EG"/>
        </w:rPr>
        <w:t>بال</w:t>
      </w:r>
      <w:r w:rsidR="00FC5D33" w:rsidRPr="007B7FB8">
        <w:rPr>
          <w:rFonts w:hint="cs"/>
          <w:rtl/>
          <w:lang w:bidi="ar-EG"/>
        </w:rPr>
        <w:t>موافقة</w:t>
      </w:r>
      <w:r w:rsidR="0070783E" w:rsidRPr="007B7FB8">
        <w:rPr>
          <w:rtl/>
          <w:lang w:bidi="ar-EG"/>
        </w:rPr>
        <w:t xml:space="preserve"> على النتائج والتوصيات من قبل المديرين المعنيين</w:t>
      </w:r>
      <w:r w:rsidR="00EE1F08" w:rsidRPr="007B7FB8">
        <w:rPr>
          <w:rtl/>
          <w:lang w:bidi="ar-EG"/>
        </w:rPr>
        <w:t>،</w:t>
      </w:r>
      <w:r w:rsidR="0070783E" w:rsidRPr="007B7FB8">
        <w:rPr>
          <w:rtl/>
          <w:lang w:bidi="ar-EG"/>
        </w:rPr>
        <w:t xml:space="preserve"> </w:t>
      </w:r>
      <w:r w:rsidR="009E51FC" w:rsidRPr="007B7FB8">
        <w:rPr>
          <w:rFonts w:hint="cs"/>
          <w:rtl/>
          <w:lang w:bidi="ar-EG"/>
        </w:rPr>
        <w:t>أدرجت هذه</w:t>
      </w:r>
      <w:r w:rsidR="0070783E" w:rsidRPr="007B7FB8">
        <w:rPr>
          <w:rtl/>
          <w:lang w:bidi="ar-EG"/>
        </w:rPr>
        <w:t xml:space="preserve"> في</w:t>
      </w:r>
      <w:r w:rsidR="007B7FB8" w:rsidRPr="007B7FB8">
        <w:rPr>
          <w:rFonts w:hint="cs"/>
          <w:rtl/>
          <w:lang w:bidi="ar-EG"/>
        </w:rPr>
        <w:t> </w:t>
      </w:r>
      <w:r w:rsidR="0070783E" w:rsidRPr="007B7FB8">
        <w:rPr>
          <w:rtl/>
          <w:lang w:bidi="ar-EG"/>
        </w:rPr>
        <w:t xml:space="preserve">تقرير </w:t>
      </w:r>
      <w:r w:rsidR="009E51FC" w:rsidRPr="007B7FB8">
        <w:rPr>
          <w:rFonts w:hint="cs"/>
          <w:rtl/>
          <w:lang w:bidi="ar-EG"/>
        </w:rPr>
        <w:t>المراجعة</w:t>
      </w:r>
      <w:r w:rsidR="0070783E" w:rsidRPr="007B7FB8">
        <w:rPr>
          <w:rtl/>
          <w:lang w:bidi="ar-EG"/>
        </w:rPr>
        <w:t>.</w:t>
      </w:r>
    </w:p>
    <w:p w14:paraId="2E71943C" w14:textId="60AE1477" w:rsidR="00AE4530" w:rsidRDefault="00AE4530" w:rsidP="00AE4530">
      <w:pPr>
        <w:rPr>
          <w:b/>
          <w:bCs/>
          <w:i/>
          <w:iCs/>
          <w:rtl/>
          <w:lang w:bidi="ar-EG"/>
        </w:rPr>
      </w:pPr>
      <w:r w:rsidRPr="00AE4530">
        <w:rPr>
          <w:rFonts w:hint="cs"/>
          <w:b/>
          <w:bCs/>
          <w:i/>
          <w:iCs/>
          <w:rtl/>
          <w:lang w:bidi="ar-EG"/>
        </w:rPr>
        <w:t>دال</w:t>
      </w:r>
      <w:r w:rsidRPr="00AE4530">
        <w:rPr>
          <w:b/>
          <w:bCs/>
          <w:i/>
          <w:iCs/>
          <w:rtl/>
          <w:lang w:bidi="ar-EG"/>
        </w:rPr>
        <w:tab/>
      </w:r>
      <w:r w:rsidR="0070783E">
        <w:rPr>
          <w:rFonts w:hint="cs"/>
          <w:b/>
          <w:bCs/>
          <w:i/>
          <w:iCs/>
          <w:rtl/>
          <w:lang w:bidi="ar-EG"/>
        </w:rPr>
        <w:t>مشروع الصحة المتنقلة الممول من جهات مانحة</w:t>
      </w:r>
      <w:r w:rsidR="007A3918">
        <w:rPr>
          <w:rFonts w:hint="cs"/>
          <w:b/>
          <w:bCs/>
          <w:i/>
          <w:iCs/>
          <w:rtl/>
          <w:lang w:bidi="ar-EG"/>
        </w:rPr>
        <w:t xml:space="preserve"> </w:t>
      </w:r>
      <w:r w:rsidR="007A3918">
        <w:rPr>
          <w:b/>
          <w:bCs/>
          <w:i/>
          <w:iCs/>
          <w:rtl/>
          <w:lang w:bidi="ar-EG"/>
        </w:rPr>
        <w:t>–</w:t>
      </w:r>
      <w:r w:rsidR="007A3918">
        <w:rPr>
          <w:rFonts w:hint="cs"/>
          <w:b/>
          <w:bCs/>
          <w:i/>
          <w:iCs/>
          <w:rtl/>
          <w:lang w:bidi="ar-EG"/>
        </w:rPr>
        <w:t xml:space="preserve"> التقرير المالي النهائي</w:t>
      </w:r>
    </w:p>
    <w:p w14:paraId="3DD6F166" w14:textId="39BF74C9" w:rsidR="0070783E" w:rsidRDefault="00AE4530" w:rsidP="00FC5D33">
      <w:pPr>
        <w:rPr>
          <w:rtl/>
          <w:lang w:bidi="ar-EG"/>
        </w:rPr>
      </w:pPr>
      <w:r>
        <w:rPr>
          <w:rFonts w:hint="cs"/>
          <w:rtl/>
          <w:lang w:bidi="ar-EG"/>
        </w:rPr>
        <w:t>17</w:t>
      </w:r>
      <w:r>
        <w:rPr>
          <w:rtl/>
          <w:lang w:bidi="ar-EG"/>
        </w:rPr>
        <w:tab/>
      </w:r>
      <w:r w:rsidR="0070783E">
        <w:rPr>
          <w:rtl/>
          <w:lang w:bidi="ar-EG"/>
        </w:rPr>
        <w:t>في عام 2017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وقع الاتحاد اتفاق منح</w:t>
      </w:r>
      <w:r w:rsidR="002A182F">
        <w:rPr>
          <w:rFonts w:hint="cs"/>
          <w:rtl/>
          <w:lang w:bidi="ar-EG"/>
        </w:rPr>
        <w:t>ة</w:t>
      </w:r>
      <w:r w:rsidR="0070783E">
        <w:rPr>
          <w:rtl/>
          <w:lang w:bidi="ar-EG"/>
        </w:rPr>
        <w:t xml:space="preserve"> مع المفوضية الأوروبية ت</w:t>
      </w:r>
      <w:r w:rsidR="002A182F">
        <w:rPr>
          <w:rFonts w:hint="cs"/>
          <w:rtl/>
          <w:lang w:bidi="ar-EG"/>
        </w:rPr>
        <w:t>قوم بموجب</w:t>
      </w:r>
      <w:r w:rsidR="00C2600E">
        <w:rPr>
          <w:rFonts w:hint="cs"/>
          <w:rtl/>
          <w:lang w:bidi="ar-EG"/>
        </w:rPr>
        <w:t>ه</w:t>
      </w:r>
      <w:r w:rsidR="002A182F">
        <w:rPr>
          <w:rFonts w:hint="cs"/>
          <w:rtl/>
          <w:lang w:bidi="ar-EG"/>
        </w:rPr>
        <w:t xml:space="preserve"> </w:t>
      </w:r>
      <w:r w:rsidR="0070783E">
        <w:rPr>
          <w:rtl/>
          <w:lang w:bidi="ar-EG"/>
        </w:rPr>
        <w:t>هذه الأخيرة</w:t>
      </w:r>
      <w:r w:rsidR="002A182F" w:rsidRPr="002A182F">
        <w:rPr>
          <w:rtl/>
          <w:lang w:bidi="ar-EG"/>
        </w:rPr>
        <w:t xml:space="preserve"> </w:t>
      </w:r>
      <w:r w:rsidR="002A182F">
        <w:rPr>
          <w:rFonts w:hint="cs"/>
          <w:rtl/>
          <w:lang w:bidi="ar-EG"/>
        </w:rPr>
        <w:t>بت</w:t>
      </w:r>
      <w:r w:rsidR="002A182F">
        <w:rPr>
          <w:rtl/>
          <w:lang w:bidi="ar-EG"/>
        </w:rPr>
        <w:t>مويل</w:t>
      </w:r>
      <w:r w:rsidR="0070783E">
        <w:rPr>
          <w:rtl/>
          <w:lang w:bidi="ar-EG"/>
        </w:rPr>
        <w:t xml:space="preserve"> مشروع</w:t>
      </w:r>
      <w:r w:rsidR="002A182F">
        <w:rPr>
          <w:rFonts w:hint="cs"/>
          <w:rtl/>
          <w:lang w:bidi="ar-EG"/>
        </w:rPr>
        <w:t xml:space="preserve"> لل</w:t>
      </w:r>
      <w:r w:rsidR="0070783E">
        <w:rPr>
          <w:rtl/>
          <w:lang w:bidi="ar-EG"/>
        </w:rPr>
        <w:t>صحة المتنقلة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</w:t>
      </w:r>
      <w:r w:rsidR="0070783E">
        <w:rPr>
          <w:lang w:bidi="ar-EG"/>
        </w:rPr>
        <w:t>mHealth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</w:t>
      </w:r>
      <w:r w:rsidR="002A182F">
        <w:rPr>
          <w:rFonts w:hint="cs"/>
          <w:rtl/>
          <w:lang w:bidi="ar-EG"/>
        </w:rPr>
        <w:t>بحيث يكون</w:t>
      </w:r>
      <w:r w:rsidR="0070783E">
        <w:rPr>
          <w:rtl/>
          <w:lang w:bidi="ar-EG"/>
        </w:rPr>
        <w:t xml:space="preserve"> الاتحاد المنسق/المستفيد و</w:t>
      </w:r>
      <w:r w:rsidR="002A182F">
        <w:rPr>
          <w:rFonts w:hint="cs"/>
          <w:rtl/>
          <w:lang w:bidi="ar-EG"/>
        </w:rPr>
        <w:t xml:space="preserve">تكون </w:t>
      </w:r>
      <w:r w:rsidR="0070783E">
        <w:rPr>
          <w:rtl/>
          <w:lang w:bidi="ar-EG"/>
        </w:rPr>
        <w:t>منظمة الصحة العالمية</w:t>
      </w:r>
      <w:r w:rsidR="002A182F">
        <w:rPr>
          <w:rFonts w:hint="cs"/>
          <w:rtl/>
          <w:lang w:bidi="ar-EG"/>
        </w:rPr>
        <w:t xml:space="preserve"> بمثابة</w:t>
      </w:r>
      <w:r w:rsidR="0070783E">
        <w:rPr>
          <w:rtl/>
          <w:lang w:bidi="ar-EG"/>
        </w:rPr>
        <w:t xml:space="preserve"> مستفيد إضافي. </w:t>
      </w:r>
      <w:r w:rsidR="002A182F">
        <w:rPr>
          <w:rFonts w:hint="cs"/>
          <w:rtl/>
          <w:lang w:bidi="ar-EG"/>
        </w:rPr>
        <w:t>و</w:t>
      </w:r>
      <w:r w:rsidR="0070783E">
        <w:rPr>
          <w:rtl/>
          <w:lang w:bidi="ar-EG"/>
        </w:rPr>
        <w:t>وفقا</w:t>
      </w:r>
      <w:r w:rsidR="002A182F">
        <w:rPr>
          <w:rFonts w:hint="cs"/>
          <w:rtl/>
          <w:lang w:bidi="ar-EG"/>
        </w:rPr>
        <w:t>ً</w:t>
      </w:r>
      <w:r w:rsidR="0070783E">
        <w:rPr>
          <w:rtl/>
          <w:lang w:bidi="ar-EG"/>
        </w:rPr>
        <w:t xml:space="preserve"> لأحكام اتفاق المنحة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</w:t>
      </w:r>
      <w:r w:rsidR="002A182F">
        <w:rPr>
          <w:rFonts w:hint="cs"/>
          <w:rtl/>
          <w:lang w:bidi="ar-EG"/>
        </w:rPr>
        <w:t>يتعين</w:t>
      </w:r>
      <w:r w:rsidR="0070783E">
        <w:rPr>
          <w:rtl/>
          <w:lang w:bidi="ar-EG"/>
        </w:rPr>
        <w:t xml:space="preserve"> أن يتضمن التقرير المالي النهائي </w:t>
      </w:r>
      <w:r w:rsidR="0070783E" w:rsidRPr="002A182F">
        <w:rPr>
          <w:i/>
          <w:iCs/>
          <w:rtl/>
          <w:lang w:bidi="ar-EG"/>
        </w:rPr>
        <w:t xml:space="preserve">شهادة </w:t>
      </w:r>
      <w:r w:rsidR="002A182F">
        <w:rPr>
          <w:rFonts w:hint="cs"/>
          <w:i/>
          <w:iCs/>
          <w:rtl/>
          <w:lang w:bidi="ar-EG"/>
        </w:rPr>
        <w:t>ب</w:t>
      </w:r>
      <w:r w:rsidR="0070783E" w:rsidRPr="002A182F">
        <w:rPr>
          <w:i/>
          <w:iCs/>
          <w:rtl/>
          <w:lang w:bidi="ar-EG"/>
        </w:rPr>
        <w:t>البيانات المالية</w:t>
      </w:r>
      <w:r w:rsidR="0070783E">
        <w:rPr>
          <w:rtl/>
          <w:lang w:bidi="ar-EG"/>
        </w:rPr>
        <w:t xml:space="preserve">. </w:t>
      </w:r>
      <w:r w:rsidR="002A182F">
        <w:rPr>
          <w:rFonts w:hint="cs"/>
          <w:rtl/>
          <w:lang w:bidi="ar-EG"/>
        </w:rPr>
        <w:t>و</w:t>
      </w:r>
      <w:r w:rsidR="00C2600E">
        <w:rPr>
          <w:rFonts w:hint="cs"/>
          <w:rtl/>
          <w:lang w:bidi="ar-EG"/>
        </w:rPr>
        <w:t xml:space="preserve">قد </w:t>
      </w:r>
      <w:r w:rsidR="0070783E">
        <w:rPr>
          <w:rtl/>
          <w:lang w:bidi="ar-EG"/>
        </w:rPr>
        <w:t xml:space="preserve">طلب مكتب تنمية الاتصالات أن تقوم </w:t>
      </w:r>
      <w:r w:rsidR="002A182F">
        <w:rPr>
          <w:rFonts w:hint="cs"/>
          <w:rtl/>
          <w:lang w:bidi="ar-EG"/>
        </w:rPr>
        <w:t>وحدة المراجعة</w:t>
      </w:r>
      <w:r w:rsidR="0070783E">
        <w:rPr>
          <w:rtl/>
          <w:lang w:bidi="ar-EG"/>
        </w:rPr>
        <w:t xml:space="preserve"> بتنفيذ هذا التعهد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الذي تضمن</w:t>
      </w:r>
      <w:r w:rsidR="00C2600E">
        <w:rPr>
          <w:rFonts w:hint="cs"/>
          <w:rtl/>
          <w:lang w:bidi="ar-EG"/>
        </w:rPr>
        <w:t xml:space="preserve"> ’1‘</w:t>
      </w:r>
      <w:r w:rsidR="004B1BBE">
        <w:rPr>
          <w:rFonts w:hint="cs"/>
          <w:rtl/>
          <w:lang w:bidi="ar-EG"/>
        </w:rPr>
        <w:t xml:space="preserve"> </w:t>
      </w:r>
      <w:r w:rsidR="0070783E">
        <w:rPr>
          <w:rtl/>
          <w:lang w:bidi="ar-EG"/>
        </w:rPr>
        <w:t xml:space="preserve">إصدار تقرير مستقل بالنتائج </w:t>
      </w:r>
      <w:proofErr w:type="spellStart"/>
      <w:r w:rsidR="0070783E">
        <w:rPr>
          <w:rtl/>
          <w:lang w:bidi="ar-EG"/>
        </w:rPr>
        <w:t>الوقائعية</w:t>
      </w:r>
      <w:proofErr w:type="spellEnd"/>
      <w:r w:rsidR="0070783E">
        <w:rPr>
          <w:rtl/>
          <w:lang w:bidi="ar-EG"/>
        </w:rPr>
        <w:t xml:space="preserve"> و</w:t>
      </w:r>
      <w:r w:rsidR="004B1BBE">
        <w:rPr>
          <w:rFonts w:hint="cs"/>
          <w:rtl/>
          <w:lang w:bidi="ar-EG"/>
        </w:rPr>
        <w:t xml:space="preserve">’2‘ </w:t>
      </w:r>
      <w:r w:rsidR="0070783E">
        <w:rPr>
          <w:rtl/>
          <w:lang w:bidi="ar-EG"/>
        </w:rPr>
        <w:t xml:space="preserve">إصدار </w:t>
      </w:r>
      <w:r w:rsidR="0070783E" w:rsidRPr="002A182F">
        <w:rPr>
          <w:i/>
          <w:iCs/>
          <w:rtl/>
          <w:lang w:bidi="ar-EG"/>
        </w:rPr>
        <w:t xml:space="preserve">شهادة </w:t>
      </w:r>
      <w:r w:rsidR="002A182F" w:rsidRPr="002A182F">
        <w:rPr>
          <w:rFonts w:hint="cs"/>
          <w:i/>
          <w:iCs/>
          <w:rtl/>
          <w:lang w:bidi="ar-EG"/>
        </w:rPr>
        <w:t>ب</w:t>
      </w:r>
      <w:r w:rsidR="0070783E" w:rsidRPr="002A182F">
        <w:rPr>
          <w:i/>
          <w:iCs/>
          <w:rtl/>
          <w:lang w:bidi="ar-EG"/>
        </w:rPr>
        <w:t>البيانات المالية</w:t>
      </w:r>
      <w:r w:rsidR="0070783E">
        <w:rPr>
          <w:rtl/>
          <w:lang w:bidi="ar-EG"/>
        </w:rPr>
        <w:t>.</w:t>
      </w:r>
    </w:p>
    <w:p w14:paraId="41D7FEFE" w14:textId="6358FB1C" w:rsidR="00AE4530" w:rsidRDefault="002A182F" w:rsidP="00C41300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18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ولدى</w:t>
      </w:r>
      <w:r w:rsidR="0070783E">
        <w:rPr>
          <w:rtl/>
          <w:lang w:bidi="ar-EG"/>
        </w:rPr>
        <w:t xml:space="preserve"> الانتهاء من </w:t>
      </w:r>
      <w:r>
        <w:rPr>
          <w:rFonts w:hint="cs"/>
          <w:rtl/>
          <w:lang w:bidi="ar-EG"/>
        </w:rPr>
        <w:t>المراجعة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خلص</w:t>
      </w:r>
      <w:r>
        <w:rPr>
          <w:rFonts w:hint="cs"/>
          <w:rtl/>
          <w:lang w:bidi="ar-EG"/>
        </w:rPr>
        <w:t>ت</w:t>
      </w:r>
      <w:r w:rsidR="0070783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الوحدة</w:t>
      </w:r>
      <w:r w:rsidR="0070783E">
        <w:rPr>
          <w:rtl/>
          <w:lang w:bidi="ar-EG"/>
        </w:rPr>
        <w:t xml:space="preserve"> إلى وجود تناقضات في جوانب إعداد التقارير الإدارية والمالية للمشروع. وقد أوصي بضرورة إجراء عمليات استعراض وفحص جميع المعلومات المالية قبل تقديم هذه المعلومات إلى الجهات المانحة. </w:t>
      </w:r>
      <w:r w:rsidR="00CA45C8">
        <w:rPr>
          <w:rFonts w:hint="cs"/>
          <w:rtl/>
          <w:lang w:bidi="ar-EG"/>
        </w:rPr>
        <w:t>و</w:t>
      </w:r>
      <w:r w:rsidR="0070783E">
        <w:rPr>
          <w:rtl/>
          <w:lang w:bidi="ar-EG"/>
        </w:rPr>
        <w:t>بالاتفاق مع دائرة إدارة الموارد المالية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أرسلت </w:t>
      </w:r>
      <w:r w:rsidR="00CA45C8">
        <w:rPr>
          <w:rFonts w:hint="cs"/>
          <w:rtl/>
          <w:lang w:bidi="ar-EG"/>
        </w:rPr>
        <w:t>وحدة المراجعة</w:t>
      </w:r>
      <w:r w:rsidR="0070783E">
        <w:rPr>
          <w:rtl/>
          <w:lang w:bidi="ar-EG"/>
        </w:rPr>
        <w:t xml:space="preserve"> مذكرة إلى مكاتب</w:t>
      </w:r>
      <w:r w:rsidR="00CA45C8">
        <w:rPr>
          <w:rFonts w:hint="cs"/>
          <w:rtl/>
          <w:lang w:bidi="ar-EG"/>
        </w:rPr>
        <w:t xml:space="preserve"> </w:t>
      </w:r>
      <w:r w:rsidR="00854BE4">
        <w:rPr>
          <w:rFonts w:hint="cs"/>
          <w:rtl/>
          <w:lang w:bidi="ar-EG"/>
        </w:rPr>
        <w:t>القطاعات</w:t>
      </w:r>
      <w:r w:rsidR="0070783E">
        <w:rPr>
          <w:rtl/>
          <w:lang w:bidi="ar-EG"/>
        </w:rPr>
        <w:t xml:space="preserve"> الثلاثة وجميع </w:t>
      </w:r>
      <w:r w:rsidR="00854BE4">
        <w:rPr>
          <w:rFonts w:hint="cs"/>
          <w:rtl/>
          <w:lang w:bidi="ar-EG"/>
        </w:rPr>
        <w:t>دوائر</w:t>
      </w:r>
      <w:r w:rsidR="0070783E">
        <w:rPr>
          <w:rtl/>
          <w:lang w:bidi="ar-EG"/>
        </w:rPr>
        <w:t xml:space="preserve"> الأمانة العامة </w:t>
      </w:r>
      <w:r w:rsidR="00CA45C8">
        <w:rPr>
          <w:rFonts w:hint="cs"/>
          <w:rtl/>
          <w:lang w:bidi="ar-EG"/>
        </w:rPr>
        <w:t>تعلمها</w:t>
      </w:r>
      <w:r w:rsidR="0070783E">
        <w:rPr>
          <w:rtl/>
          <w:lang w:bidi="ar-EG"/>
        </w:rPr>
        <w:t xml:space="preserve"> بالالتزام </w:t>
      </w:r>
      <w:r w:rsidR="00CA45C8">
        <w:rPr>
          <w:rFonts w:hint="cs"/>
          <w:rtl/>
          <w:lang w:bidi="ar-EG"/>
        </w:rPr>
        <w:t>بأن تقدم</w:t>
      </w:r>
      <w:r w:rsidR="0070783E">
        <w:rPr>
          <w:rtl/>
          <w:lang w:bidi="ar-EG"/>
        </w:rPr>
        <w:t xml:space="preserve"> إلى دائرة إدارة الموارد المالية</w:t>
      </w:r>
      <w:r w:rsidR="00CA45C8">
        <w:rPr>
          <w:rFonts w:hint="cs"/>
          <w:rtl/>
          <w:lang w:bidi="ar-EG"/>
        </w:rPr>
        <w:t xml:space="preserve"> أي </w:t>
      </w:r>
      <w:r w:rsidR="00CA45C8">
        <w:rPr>
          <w:rtl/>
          <w:lang w:bidi="ar-EG"/>
        </w:rPr>
        <w:t>ملخصات</w:t>
      </w:r>
      <w:r w:rsidR="00CA45C8">
        <w:rPr>
          <w:rFonts w:hint="cs"/>
          <w:rtl/>
          <w:lang w:bidi="ar-EG"/>
        </w:rPr>
        <w:t xml:space="preserve"> أو </w:t>
      </w:r>
      <w:r w:rsidR="00CA45C8">
        <w:rPr>
          <w:rtl/>
          <w:lang w:bidi="ar-EG"/>
        </w:rPr>
        <w:t xml:space="preserve">بيانات </w:t>
      </w:r>
      <w:r w:rsidR="00CA45C8">
        <w:rPr>
          <w:rFonts w:hint="cs"/>
          <w:rtl/>
          <w:lang w:bidi="ar-EG"/>
        </w:rPr>
        <w:t xml:space="preserve">أو </w:t>
      </w:r>
      <w:r w:rsidR="00CA45C8">
        <w:rPr>
          <w:rtl/>
          <w:lang w:bidi="ar-EG"/>
        </w:rPr>
        <w:t>تقارير مالية دورية/مؤقتة ونهائية</w:t>
      </w:r>
      <w:r w:rsidR="0070783E">
        <w:rPr>
          <w:rtl/>
          <w:lang w:bidi="ar-EG"/>
        </w:rPr>
        <w:t xml:space="preserve"> للتحقق</w:t>
      </w:r>
      <w:r w:rsidR="00CA45C8">
        <w:rPr>
          <w:rFonts w:hint="cs"/>
          <w:rtl/>
          <w:lang w:bidi="ar-EG"/>
        </w:rPr>
        <w:t xml:space="preserve"> منها</w:t>
      </w:r>
      <w:r w:rsidR="0070783E">
        <w:rPr>
          <w:rtl/>
          <w:lang w:bidi="ar-EG"/>
        </w:rPr>
        <w:t xml:space="preserve"> والتصديق</w:t>
      </w:r>
      <w:r w:rsidR="00CA45C8">
        <w:rPr>
          <w:rFonts w:hint="cs"/>
          <w:rtl/>
          <w:lang w:bidi="ar-EG"/>
        </w:rPr>
        <w:t xml:space="preserve"> عليها</w:t>
      </w:r>
      <w:r w:rsidR="00EE1F08">
        <w:rPr>
          <w:rtl/>
          <w:lang w:bidi="ar-EG"/>
        </w:rPr>
        <w:t>،</w:t>
      </w:r>
      <w:r w:rsidR="0070783E">
        <w:rPr>
          <w:rtl/>
          <w:lang w:bidi="ar-EG"/>
        </w:rPr>
        <w:t xml:space="preserve"> </w:t>
      </w:r>
      <w:r w:rsidR="00CA45C8">
        <w:rPr>
          <w:rFonts w:hint="cs"/>
          <w:rtl/>
          <w:lang w:bidi="ar-EG"/>
        </w:rPr>
        <w:t>لكي ترسلها</w:t>
      </w:r>
      <w:r w:rsidR="0070783E">
        <w:rPr>
          <w:rtl/>
          <w:lang w:bidi="ar-EG"/>
        </w:rPr>
        <w:t xml:space="preserve"> إلى</w:t>
      </w:r>
      <w:r w:rsidR="00CA45C8">
        <w:rPr>
          <w:rFonts w:hint="cs"/>
          <w:rtl/>
          <w:lang w:bidi="ar-EG"/>
        </w:rPr>
        <w:t xml:space="preserve"> الجهة (الجهات)</w:t>
      </w:r>
      <w:r w:rsidR="0070783E">
        <w:rPr>
          <w:rtl/>
          <w:lang w:bidi="ar-EG"/>
        </w:rPr>
        <w:t xml:space="preserve"> المانح</w:t>
      </w:r>
      <w:r w:rsidR="00CA45C8">
        <w:rPr>
          <w:rFonts w:hint="cs"/>
          <w:rtl/>
          <w:lang w:bidi="ar-EG"/>
        </w:rPr>
        <w:t>ة</w:t>
      </w:r>
      <w:r w:rsidR="0070783E">
        <w:rPr>
          <w:rtl/>
          <w:lang w:bidi="ar-EG"/>
        </w:rPr>
        <w:t>.</w:t>
      </w:r>
    </w:p>
    <w:p w14:paraId="4BDC0474" w14:textId="5BD8F447" w:rsidR="00AE4530" w:rsidRPr="00D0105F" w:rsidRDefault="00AE4530" w:rsidP="00AE4530">
      <w:pPr>
        <w:rPr>
          <w:b/>
          <w:bCs/>
          <w:i/>
          <w:iCs/>
          <w:rtl/>
          <w:lang w:bidi="ar-SY"/>
        </w:rPr>
      </w:pPr>
      <w:r w:rsidRPr="00AE4530">
        <w:rPr>
          <w:rFonts w:hint="cs"/>
          <w:b/>
          <w:bCs/>
          <w:i/>
          <w:iCs/>
          <w:rtl/>
          <w:lang w:bidi="ar-EG"/>
        </w:rPr>
        <w:t>هاء</w:t>
      </w:r>
      <w:r w:rsidRPr="00AE4530">
        <w:rPr>
          <w:b/>
          <w:bCs/>
          <w:i/>
          <w:iCs/>
          <w:rtl/>
          <w:lang w:bidi="ar-EG"/>
        </w:rPr>
        <w:tab/>
      </w:r>
      <w:r w:rsidR="00D0105F">
        <w:rPr>
          <w:rFonts w:hint="cs"/>
          <w:b/>
          <w:bCs/>
          <w:i/>
          <w:iCs/>
          <w:rtl/>
          <w:lang w:bidi="ar-SY"/>
        </w:rPr>
        <w:t>المكتب الإقليمي ومكاتب المناطق في منطقة إفريقيا</w:t>
      </w:r>
    </w:p>
    <w:p w14:paraId="7AB91039" w14:textId="6CB7AF27" w:rsidR="00AE4530" w:rsidRDefault="00AE4530" w:rsidP="006175B6">
      <w:pPr>
        <w:rPr>
          <w:rtl/>
          <w:lang w:bidi="ar-EG"/>
        </w:rPr>
      </w:pPr>
      <w:r>
        <w:rPr>
          <w:rFonts w:hint="cs"/>
          <w:rtl/>
          <w:lang w:bidi="ar-EG"/>
        </w:rPr>
        <w:t>19</w:t>
      </w:r>
      <w:r>
        <w:rPr>
          <w:rtl/>
          <w:lang w:bidi="ar-EG"/>
        </w:rPr>
        <w:tab/>
      </w:r>
      <w:r w:rsidR="00D0105F" w:rsidRPr="00D0105F">
        <w:rPr>
          <w:rtl/>
          <w:lang w:bidi="ar-EG"/>
        </w:rPr>
        <w:t xml:space="preserve">أجرت </w:t>
      </w:r>
      <w:r w:rsidR="006175B6">
        <w:rPr>
          <w:rFonts w:hint="cs"/>
          <w:rtl/>
          <w:lang w:bidi="ar-EG"/>
        </w:rPr>
        <w:t>الوحدة</w:t>
      </w:r>
      <w:r w:rsidR="00D0105F" w:rsidRPr="00D0105F">
        <w:rPr>
          <w:rtl/>
          <w:lang w:bidi="ar-EG"/>
        </w:rPr>
        <w:t xml:space="preserve"> مراجعة</w:t>
      </w:r>
      <w:r w:rsidR="006175B6">
        <w:rPr>
          <w:rFonts w:hint="cs"/>
          <w:rtl/>
          <w:lang w:bidi="ar-EG"/>
        </w:rPr>
        <w:t xml:space="preserve"> شملت</w:t>
      </w:r>
      <w:r w:rsidR="00D0105F" w:rsidRPr="00D0105F">
        <w:rPr>
          <w:rtl/>
          <w:lang w:bidi="ar-EG"/>
        </w:rPr>
        <w:t xml:space="preserve"> </w:t>
      </w:r>
      <w:r w:rsidR="006175B6">
        <w:rPr>
          <w:rFonts w:hint="cs"/>
          <w:rtl/>
          <w:lang w:bidi="ar-EG"/>
        </w:rPr>
        <w:t>ا</w:t>
      </w:r>
      <w:r w:rsidR="00D0105F" w:rsidRPr="00D0105F">
        <w:rPr>
          <w:rtl/>
          <w:lang w:bidi="ar-EG"/>
        </w:rPr>
        <w:t xml:space="preserve">لمكتب الإقليمي ومكاتب المناطق </w:t>
      </w:r>
      <w:r w:rsidR="006175B6">
        <w:rPr>
          <w:rFonts w:hint="cs"/>
          <w:rtl/>
          <w:lang w:bidi="ar-EG"/>
        </w:rPr>
        <w:t>في</w:t>
      </w:r>
      <w:r w:rsidR="00D0105F" w:rsidRPr="00D0105F">
        <w:rPr>
          <w:rtl/>
          <w:lang w:bidi="ar-EG"/>
        </w:rPr>
        <w:t xml:space="preserve"> </w:t>
      </w:r>
      <w:r w:rsidR="006175B6">
        <w:rPr>
          <w:rFonts w:hint="cs"/>
          <w:rtl/>
          <w:lang w:bidi="ar-EG"/>
        </w:rPr>
        <w:t>إ</w:t>
      </w:r>
      <w:r w:rsidR="00D0105F" w:rsidRPr="00D0105F">
        <w:rPr>
          <w:rtl/>
          <w:lang w:bidi="ar-EG"/>
        </w:rPr>
        <w:t xml:space="preserve">فريقيا. </w:t>
      </w:r>
      <w:r w:rsidR="006175B6">
        <w:rPr>
          <w:rFonts w:hint="cs"/>
          <w:rtl/>
          <w:lang w:bidi="ar-EG"/>
        </w:rPr>
        <w:t>وجرت المراجعة</w:t>
      </w:r>
      <w:r w:rsidR="00D0105F" w:rsidRPr="00D0105F">
        <w:rPr>
          <w:rtl/>
          <w:lang w:bidi="ar-EG"/>
        </w:rPr>
        <w:t xml:space="preserve"> باستخدام</w:t>
      </w:r>
      <w:r w:rsidR="006175B6">
        <w:rPr>
          <w:rFonts w:hint="cs"/>
          <w:rtl/>
          <w:lang w:bidi="ar-EG"/>
        </w:rPr>
        <w:t xml:space="preserve"> إطار الرصد الداخلي المتكامل </w:t>
      </w:r>
      <w:r w:rsidR="006175B6" w:rsidRPr="00D0105F">
        <w:rPr>
          <w:lang w:bidi="ar-EG"/>
        </w:rPr>
        <w:t>ICIF</w:t>
      </w:r>
      <w:r w:rsidR="006175B6">
        <w:rPr>
          <w:rFonts w:hint="cs"/>
          <w:rtl/>
          <w:lang w:bidi="ar-EG"/>
        </w:rPr>
        <w:t xml:space="preserve"> لدى لجنة المنظمات الراعية</w:t>
      </w:r>
      <w:r w:rsidR="007B7FB8">
        <w:rPr>
          <w:rFonts w:hint="cs"/>
          <w:rtl/>
          <w:lang w:bidi="ar-EG"/>
        </w:rPr>
        <w:t xml:space="preserve"> </w:t>
      </w:r>
      <w:r w:rsidR="007B7FB8">
        <w:rPr>
          <w:lang w:bidi="ar-EG"/>
        </w:rPr>
        <w:t>COSO</w:t>
      </w:r>
      <w:r w:rsidR="007B7FB8">
        <w:rPr>
          <w:rFonts w:hint="cs"/>
          <w:rtl/>
          <w:lang w:bidi="ar-SY"/>
        </w:rPr>
        <w:t xml:space="preserve"> </w:t>
      </w:r>
      <w:r w:rsidR="00D0105F" w:rsidRPr="00D0105F">
        <w:rPr>
          <w:rtl/>
          <w:lang w:bidi="ar-EG"/>
        </w:rPr>
        <w:t>كأساس لتقييم الضوابط الداخلية (</w:t>
      </w:r>
      <w:r w:rsidR="00085C4B">
        <w:rPr>
          <w:rFonts w:hint="cs"/>
          <w:rtl/>
          <w:lang w:bidi="ar-EG"/>
        </w:rPr>
        <w:t>الإدارة</w:t>
      </w:r>
      <w:r w:rsidR="00EE1F08">
        <w:rPr>
          <w:rtl/>
          <w:lang w:bidi="ar-EG"/>
        </w:rPr>
        <w:t>،</w:t>
      </w:r>
      <w:r w:rsidR="00D0105F" w:rsidRPr="00D0105F">
        <w:rPr>
          <w:rtl/>
          <w:lang w:bidi="ar-EG"/>
        </w:rPr>
        <w:t xml:space="preserve"> وتقييم المخاطر</w:t>
      </w:r>
      <w:r w:rsidR="00EE1F08">
        <w:rPr>
          <w:rtl/>
          <w:lang w:bidi="ar-EG"/>
        </w:rPr>
        <w:t>،</w:t>
      </w:r>
      <w:r w:rsidR="00D0105F" w:rsidRPr="00D0105F">
        <w:rPr>
          <w:rtl/>
          <w:lang w:bidi="ar-EG"/>
        </w:rPr>
        <w:t xml:space="preserve"> والمعلومات </w:t>
      </w:r>
      <w:r w:rsidR="006175B6">
        <w:rPr>
          <w:rFonts w:hint="cs"/>
          <w:rtl/>
          <w:lang w:bidi="ar-EG"/>
        </w:rPr>
        <w:t>والتواصل</w:t>
      </w:r>
      <w:r w:rsidR="00EE1F08">
        <w:rPr>
          <w:rtl/>
          <w:lang w:bidi="ar-EG"/>
        </w:rPr>
        <w:t>،</w:t>
      </w:r>
      <w:r w:rsidR="00D0105F" w:rsidRPr="00D0105F">
        <w:rPr>
          <w:rtl/>
          <w:lang w:bidi="ar-EG"/>
        </w:rPr>
        <w:t xml:space="preserve"> والضوابط الداخلية</w:t>
      </w:r>
      <w:r w:rsidR="00EE1F08">
        <w:rPr>
          <w:rtl/>
          <w:lang w:bidi="ar-EG"/>
        </w:rPr>
        <w:t>،</w:t>
      </w:r>
      <w:r w:rsidR="00D0105F" w:rsidRPr="00D0105F">
        <w:rPr>
          <w:rtl/>
          <w:lang w:bidi="ar-EG"/>
        </w:rPr>
        <w:t xml:space="preserve"> وأنشطة </w:t>
      </w:r>
      <w:r w:rsidR="006175B6">
        <w:rPr>
          <w:rFonts w:hint="cs"/>
          <w:rtl/>
          <w:lang w:bidi="ar-EG"/>
        </w:rPr>
        <w:t>الرصد</w:t>
      </w:r>
      <w:r w:rsidR="00D0105F" w:rsidRPr="00D0105F">
        <w:rPr>
          <w:rtl/>
          <w:lang w:bidi="ar-EG"/>
        </w:rPr>
        <w:t xml:space="preserve">). </w:t>
      </w:r>
      <w:r w:rsidR="006175B6">
        <w:rPr>
          <w:rFonts w:hint="cs"/>
          <w:rtl/>
          <w:lang w:bidi="ar-EG"/>
        </w:rPr>
        <w:t>وانتهت</w:t>
      </w:r>
      <w:r w:rsidR="00D0105F" w:rsidRPr="00D0105F">
        <w:rPr>
          <w:rtl/>
          <w:lang w:bidi="ar-EG"/>
        </w:rPr>
        <w:t xml:space="preserve"> أعمال </w:t>
      </w:r>
      <w:r w:rsidR="006175B6">
        <w:rPr>
          <w:rFonts w:hint="cs"/>
          <w:rtl/>
          <w:lang w:bidi="ar-EG"/>
        </w:rPr>
        <w:t xml:space="preserve">المراجعة </w:t>
      </w:r>
      <w:r w:rsidR="00D74C18">
        <w:rPr>
          <w:rFonts w:hint="cs"/>
          <w:rtl/>
          <w:lang w:bidi="ar-EG"/>
        </w:rPr>
        <w:t>وأطلع</w:t>
      </w:r>
      <w:r w:rsidR="00D0105F" w:rsidRPr="00D0105F">
        <w:rPr>
          <w:rtl/>
          <w:lang w:bidi="ar-EG"/>
        </w:rPr>
        <w:t xml:space="preserve"> المدير</w:t>
      </w:r>
      <w:r w:rsidR="006175B6">
        <w:rPr>
          <w:rFonts w:hint="cs"/>
          <w:rtl/>
          <w:lang w:bidi="ar-EG"/>
        </w:rPr>
        <w:t>و</w:t>
      </w:r>
      <w:r w:rsidR="00D0105F" w:rsidRPr="00D0105F">
        <w:rPr>
          <w:rtl/>
          <w:lang w:bidi="ar-EG"/>
        </w:rPr>
        <w:t>ن المعني</w:t>
      </w:r>
      <w:r w:rsidR="006175B6">
        <w:rPr>
          <w:rFonts w:hint="cs"/>
          <w:rtl/>
          <w:lang w:bidi="ar-EG"/>
        </w:rPr>
        <w:t>و</w:t>
      </w:r>
      <w:r w:rsidR="00D0105F" w:rsidRPr="00D0105F">
        <w:rPr>
          <w:rtl/>
          <w:lang w:bidi="ar-EG"/>
        </w:rPr>
        <w:t xml:space="preserve">ن على </w:t>
      </w:r>
      <w:r w:rsidR="009A60C2">
        <w:rPr>
          <w:rFonts w:hint="cs"/>
          <w:rtl/>
          <w:lang w:bidi="ar-EG"/>
        </w:rPr>
        <w:t>مشروع</w:t>
      </w:r>
      <w:r w:rsidR="00D0105F" w:rsidRPr="00D0105F">
        <w:rPr>
          <w:rtl/>
          <w:lang w:bidi="ar-EG"/>
        </w:rPr>
        <w:t xml:space="preserve"> تقرير المراجعة لإبداء ملاحظاتهم</w:t>
      </w:r>
      <w:r w:rsidR="004B1BBE">
        <w:rPr>
          <w:rFonts w:hint="cs"/>
          <w:rtl/>
          <w:lang w:bidi="ar-EG"/>
        </w:rPr>
        <w:t xml:space="preserve"> عليها</w:t>
      </w:r>
      <w:r w:rsidR="00D0105F" w:rsidRPr="00D0105F">
        <w:rPr>
          <w:rtl/>
          <w:lang w:bidi="ar-EG"/>
        </w:rPr>
        <w:t xml:space="preserve">. </w:t>
      </w:r>
      <w:r w:rsidR="00D74C18">
        <w:rPr>
          <w:rFonts w:hint="cs"/>
          <w:rtl/>
          <w:lang w:bidi="ar-EG"/>
        </w:rPr>
        <w:t>و</w:t>
      </w:r>
      <w:r w:rsidR="00D0105F" w:rsidRPr="00D0105F">
        <w:rPr>
          <w:rtl/>
          <w:lang w:bidi="ar-EG"/>
        </w:rPr>
        <w:t xml:space="preserve">من المتوقع إصدار تقرير </w:t>
      </w:r>
      <w:r w:rsidR="00D74C18">
        <w:rPr>
          <w:rFonts w:hint="cs"/>
          <w:rtl/>
          <w:lang w:bidi="ar-EG"/>
        </w:rPr>
        <w:t>المراجعة</w:t>
      </w:r>
      <w:r w:rsidR="00D0105F" w:rsidRPr="00D0105F">
        <w:rPr>
          <w:rtl/>
          <w:lang w:bidi="ar-EG"/>
        </w:rPr>
        <w:t xml:space="preserve"> النهائي</w:t>
      </w:r>
      <w:r w:rsidR="00EE1F08">
        <w:rPr>
          <w:rtl/>
          <w:lang w:bidi="ar-EG"/>
        </w:rPr>
        <w:t>،</w:t>
      </w:r>
      <w:r w:rsidR="00D0105F" w:rsidRPr="00D0105F">
        <w:rPr>
          <w:rtl/>
          <w:lang w:bidi="ar-EG"/>
        </w:rPr>
        <w:t xml:space="preserve"> بما في ذلك التوصيات وتعليقات الإدارة الرسمية</w:t>
      </w:r>
      <w:r w:rsidR="00EE1F08">
        <w:rPr>
          <w:rtl/>
          <w:lang w:bidi="ar-EG"/>
        </w:rPr>
        <w:t>،</w:t>
      </w:r>
      <w:r w:rsidR="00D0105F" w:rsidRPr="00D0105F">
        <w:rPr>
          <w:rtl/>
          <w:lang w:bidi="ar-EG"/>
        </w:rPr>
        <w:t xml:space="preserve"> قبل نهاية الربع الثاني من عام 2023.</w:t>
      </w:r>
    </w:p>
    <w:p w14:paraId="1447DD9E" w14:textId="337488DD" w:rsidR="00AE4530" w:rsidRDefault="00D0105F" w:rsidP="007B7FB8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التكليف بمهام خاصة</w:t>
      </w:r>
    </w:p>
    <w:p w14:paraId="30BA766F" w14:textId="5CC22A63" w:rsidR="00AE4530" w:rsidRDefault="00AE4530" w:rsidP="007B7FB8">
      <w:pPr>
        <w:rPr>
          <w:rtl/>
          <w:lang w:bidi="ar-EG"/>
        </w:rPr>
      </w:pPr>
      <w:r>
        <w:rPr>
          <w:rFonts w:hint="cs"/>
          <w:rtl/>
          <w:lang w:bidi="ar-EG"/>
        </w:rPr>
        <w:t>20</w:t>
      </w:r>
      <w:r>
        <w:rPr>
          <w:rtl/>
          <w:lang w:bidi="ar-EG"/>
        </w:rPr>
        <w:tab/>
      </w:r>
      <w:r w:rsidR="00D0105F" w:rsidRPr="00D0105F">
        <w:rPr>
          <w:rtl/>
          <w:lang w:bidi="ar-EG"/>
        </w:rPr>
        <w:t xml:space="preserve">بناءً على طلب مراجع الحسابات الخارجي </w:t>
      </w:r>
      <w:r w:rsidR="00D74C18">
        <w:rPr>
          <w:rFonts w:hint="cs"/>
          <w:rtl/>
          <w:lang w:bidi="ar-EG"/>
        </w:rPr>
        <w:t>الأسبق</w:t>
      </w:r>
      <w:r w:rsidR="00D0105F" w:rsidRPr="00D0105F">
        <w:rPr>
          <w:rtl/>
          <w:lang w:bidi="ar-EG"/>
        </w:rPr>
        <w:t xml:space="preserve"> للاتحاد</w:t>
      </w:r>
      <w:r w:rsidR="004B1BBE">
        <w:rPr>
          <w:rFonts w:hint="cs"/>
          <w:rtl/>
          <w:lang w:bidi="ar-EG"/>
        </w:rPr>
        <w:t>،</w:t>
      </w:r>
      <w:r w:rsidR="00D0105F" w:rsidRPr="00D0105F">
        <w:rPr>
          <w:rtl/>
          <w:lang w:bidi="ar-EG"/>
        </w:rPr>
        <w:t xml:space="preserve"> وبموافقة الأمين</w:t>
      </w:r>
      <w:r w:rsidR="00D74C18">
        <w:rPr>
          <w:rFonts w:hint="cs"/>
          <w:rtl/>
          <w:lang w:bidi="ar-EG"/>
        </w:rPr>
        <w:t>ة</w:t>
      </w:r>
      <w:r w:rsidR="00D0105F" w:rsidRPr="00D0105F">
        <w:rPr>
          <w:rtl/>
          <w:lang w:bidi="ar-EG"/>
        </w:rPr>
        <w:t xml:space="preserve"> العام</w:t>
      </w:r>
      <w:r w:rsidR="00D74C18">
        <w:rPr>
          <w:rFonts w:hint="cs"/>
          <w:rtl/>
          <w:lang w:bidi="ar-EG"/>
        </w:rPr>
        <w:t>ة</w:t>
      </w:r>
      <w:r w:rsidR="00EE1F08">
        <w:rPr>
          <w:rtl/>
          <w:lang w:bidi="ar-EG"/>
        </w:rPr>
        <w:t>،</w:t>
      </w:r>
      <w:r w:rsidR="00D0105F" w:rsidRPr="00D0105F">
        <w:rPr>
          <w:rtl/>
          <w:lang w:bidi="ar-EG"/>
        </w:rPr>
        <w:t xml:space="preserve"> أجرى </w:t>
      </w:r>
      <w:r w:rsidR="00D74C18">
        <w:rPr>
          <w:rFonts w:hint="cs"/>
          <w:rtl/>
          <w:lang w:bidi="ar-EG"/>
        </w:rPr>
        <w:t>ال</w:t>
      </w:r>
      <w:r w:rsidR="00D0105F" w:rsidRPr="00D0105F">
        <w:rPr>
          <w:rtl/>
          <w:lang w:bidi="ar-EG"/>
        </w:rPr>
        <w:t>مراجع</w:t>
      </w:r>
      <w:r w:rsidR="00D74C18">
        <w:rPr>
          <w:rFonts w:hint="cs"/>
          <w:rtl/>
          <w:lang w:bidi="ar-EG"/>
        </w:rPr>
        <w:t xml:space="preserve"> الأقدم</w:t>
      </w:r>
      <w:r w:rsidR="00D0105F" w:rsidRPr="00D0105F">
        <w:rPr>
          <w:rtl/>
          <w:lang w:bidi="ar-EG"/>
        </w:rPr>
        <w:t xml:space="preserve"> في </w:t>
      </w:r>
      <w:r w:rsidR="00D74C18">
        <w:rPr>
          <w:rFonts w:hint="cs"/>
          <w:rtl/>
          <w:lang w:bidi="ar-EG"/>
        </w:rPr>
        <w:t>الوحدة</w:t>
      </w:r>
      <w:r w:rsidR="00D0105F" w:rsidRPr="00D0105F">
        <w:rPr>
          <w:rtl/>
          <w:lang w:bidi="ar-EG"/>
        </w:rPr>
        <w:t xml:space="preserve"> تقدير</w:t>
      </w:r>
      <w:r w:rsidR="007B75C8">
        <w:rPr>
          <w:rtl/>
          <w:lang w:bidi="ar-EG"/>
        </w:rPr>
        <w:t>اً</w:t>
      </w:r>
      <w:r w:rsidR="00D0105F" w:rsidRPr="00D0105F">
        <w:rPr>
          <w:rtl/>
          <w:lang w:bidi="ar-EG"/>
        </w:rPr>
        <w:t xml:space="preserve"> كمي</w:t>
      </w:r>
      <w:r w:rsidR="007B75C8">
        <w:rPr>
          <w:rtl/>
          <w:lang w:bidi="ar-EG"/>
        </w:rPr>
        <w:t>اً</w:t>
      </w:r>
      <w:r w:rsidR="00D0105F" w:rsidRPr="00D0105F">
        <w:rPr>
          <w:rtl/>
          <w:lang w:bidi="ar-EG"/>
        </w:rPr>
        <w:t xml:space="preserve"> محدد</w:t>
      </w:r>
      <w:r w:rsidR="007B75C8">
        <w:rPr>
          <w:rtl/>
          <w:lang w:bidi="ar-EG"/>
        </w:rPr>
        <w:t>اً</w:t>
      </w:r>
      <w:r w:rsidR="00D0105F" w:rsidRPr="00D0105F">
        <w:rPr>
          <w:rtl/>
          <w:lang w:bidi="ar-EG"/>
        </w:rPr>
        <w:t xml:space="preserve"> ومفصلاً للخسارة المالية التي تكبدها الاتحاد </w:t>
      </w:r>
      <w:r w:rsidR="004B1BBE">
        <w:rPr>
          <w:rFonts w:hint="cs"/>
          <w:rtl/>
          <w:lang w:bidi="ar-EG"/>
        </w:rPr>
        <w:t>جراء</w:t>
      </w:r>
      <w:r w:rsidR="00D0105F" w:rsidRPr="00D0105F">
        <w:rPr>
          <w:rtl/>
          <w:lang w:bidi="ar-EG"/>
        </w:rPr>
        <w:t xml:space="preserve"> قضية </w:t>
      </w:r>
      <w:r w:rsidR="00D74C18">
        <w:rPr>
          <w:rFonts w:hint="cs"/>
          <w:rtl/>
          <w:lang w:bidi="ar-EG"/>
        </w:rPr>
        <w:t>الاحتيال</w:t>
      </w:r>
      <w:r w:rsidR="00D0105F" w:rsidRPr="00D0105F">
        <w:rPr>
          <w:rtl/>
          <w:lang w:bidi="ar-EG"/>
        </w:rPr>
        <w:t xml:space="preserve"> </w:t>
      </w:r>
      <w:r w:rsidR="00D74C18">
        <w:rPr>
          <w:rFonts w:hint="cs"/>
          <w:rtl/>
          <w:lang w:bidi="ar-EG"/>
        </w:rPr>
        <w:t>التي أبلغ</w:t>
      </w:r>
      <w:r w:rsidR="00D0105F" w:rsidRPr="00D0105F">
        <w:rPr>
          <w:rtl/>
          <w:lang w:bidi="ar-EG"/>
        </w:rPr>
        <w:t xml:space="preserve"> عنها و</w:t>
      </w:r>
      <w:r w:rsidR="00D74C18">
        <w:rPr>
          <w:rFonts w:hint="cs"/>
          <w:rtl/>
          <w:lang w:bidi="ar-EG"/>
        </w:rPr>
        <w:t xml:space="preserve">جرى </w:t>
      </w:r>
      <w:r w:rsidR="00D0105F" w:rsidRPr="00D0105F">
        <w:rPr>
          <w:rtl/>
          <w:lang w:bidi="ar-EG"/>
        </w:rPr>
        <w:t>التحقيق فيها في</w:t>
      </w:r>
      <w:r w:rsidR="00F6371D">
        <w:rPr>
          <w:rFonts w:hint="cs"/>
          <w:rtl/>
          <w:lang w:bidi="ar-EG"/>
        </w:rPr>
        <w:t> </w:t>
      </w:r>
      <w:r w:rsidR="00D0105F" w:rsidRPr="00D0105F">
        <w:rPr>
          <w:rtl/>
          <w:lang w:bidi="ar-EG"/>
        </w:rPr>
        <w:t>عام</w:t>
      </w:r>
      <w:r w:rsidR="00F6371D">
        <w:rPr>
          <w:rFonts w:hint="cs"/>
          <w:rtl/>
          <w:lang w:bidi="ar-EG"/>
        </w:rPr>
        <w:t> </w:t>
      </w:r>
      <w:r w:rsidR="00D0105F" w:rsidRPr="00D0105F">
        <w:rPr>
          <w:rtl/>
          <w:lang w:bidi="ar-EG"/>
        </w:rPr>
        <w:t xml:space="preserve">2018. </w:t>
      </w:r>
      <w:r w:rsidR="004B1BBE">
        <w:rPr>
          <w:rFonts w:hint="cs"/>
          <w:rtl/>
          <w:lang w:bidi="ar-EG"/>
        </w:rPr>
        <w:t>و</w:t>
      </w:r>
      <w:r w:rsidR="00D0105F" w:rsidRPr="00D0105F">
        <w:rPr>
          <w:rtl/>
          <w:lang w:bidi="ar-EG"/>
        </w:rPr>
        <w:t xml:space="preserve">فيما يتعلق </w:t>
      </w:r>
      <w:r w:rsidR="00D74C18">
        <w:rPr>
          <w:rFonts w:hint="cs"/>
          <w:rtl/>
          <w:lang w:bidi="ar-EG"/>
        </w:rPr>
        <w:t>ب</w:t>
      </w:r>
      <w:r w:rsidR="00D0105F" w:rsidRPr="00D0105F">
        <w:rPr>
          <w:rtl/>
          <w:lang w:bidi="ar-EG"/>
        </w:rPr>
        <w:t>نفس القضية وبناءً على طلب الأمين</w:t>
      </w:r>
      <w:r w:rsidR="00D74C18">
        <w:rPr>
          <w:rFonts w:hint="cs"/>
          <w:rtl/>
          <w:lang w:bidi="ar-EG"/>
        </w:rPr>
        <w:t>ة</w:t>
      </w:r>
      <w:r w:rsidR="00D0105F" w:rsidRPr="00D0105F">
        <w:rPr>
          <w:rtl/>
          <w:lang w:bidi="ar-EG"/>
        </w:rPr>
        <w:t xml:space="preserve"> العام</w:t>
      </w:r>
      <w:r w:rsidR="00D74C18">
        <w:rPr>
          <w:rFonts w:hint="cs"/>
          <w:rtl/>
          <w:lang w:bidi="ar-EG"/>
        </w:rPr>
        <w:t>ة</w:t>
      </w:r>
      <w:r w:rsidR="00EE1F08">
        <w:rPr>
          <w:rtl/>
          <w:lang w:bidi="ar-EG"/>
        </w:rPr>
        <w:t>،</w:t>
      </w:r>
      <w:r w:rsidR="00D0105F" w:rsidRPr="00D0105F">
        <w:rPr>
          <w:rtl/>
          <w:lang w:bidi="ar-EG"/>
        </w:rPr>
        <w:t xml:space="preserve"> قدم المراجع</w:t>
      </w:r>
      <w:r w:rsidR="00D74C18">
        <w:rPr>
          <w:rFonts w:hint="cs"/>
          <w:rtl/>
          <w:lang w:bidi="ar-EG"/>
        </w:rPr>
        <w:t xml:space="preserve"> </w:t>
      </w:r>
      <w:r w:rsidR="00F6371D">
        <w:rPr>
          <w:rFonts w:hint="cs"/>
          <w:rtl/>
          <w:lang w:bidi="ar-EG"/>
        </w:rPr>
        <w:t>الأقدم</w:t>
      </w:r>
      <w:r w:rsidR="00D0105F" w:rsidRPr="00D0105F">
        <w:rPr>
          <w:rtl/>
          <w:lang w:bidi="ar-EG"/>
        </w:rPr>
        <w:t xml:space="preserve"> جميع الأدلة المستندية المفصلة المطلوبة إلى سلطات الدولة العضو المسؤولة عن القضية على المستوى الوطني.</w:t>
      </w:r>
    </w:p>
    <w:p w14:paraId="2536696E" w14:textId="77777777" w:rsidR="00AE4530" w:rsidRDefault="00AE4530" w:rsidP="007B7FB8">
      <w:pPr>
        <w:pStyle w:val="Headingb"/>
        <w:rPr>
          <w:rtl/>
        </w:rPr>
      </w:pPr>
      <w:r w:rsidRPr="00AE4530">
        <w:rPr>
          <w:rtl/>
        </w:rPr>
        <w:t>متابعة تنفيذ توصيات وحدة المراجعة الداخلية</w:t>
      </w:r>
    </w:p>
    <w:p w14:paraId="4D205B45" w14:textId="58B34073" w:rsidR="00AE4530" w:rsidRPr="007B7FB8" w:rsidRDefault="00AE4530" w:rsidP="007B7FB8">
      <w:pPr>
        <w:spacing w:after="120"/>
        <w:rPr>
          <w:spacing w:val="-2"/>
          <w:rtl/>
        </w:rPr>
      </w:pPr>
      <w:r w:rsidRPr="007B7FB8">
        <w:rPr>
          <w:rFonts w:hint="cs"/>
          <w:spacing w:val="-2"/>
          <w:rtl/>
          <w:lang w:bidi="ar-EG"/>
        </w:rPr>
        <w:t>21</w:t>
      </w:r>
      <w:r w:rsidRPr="007B7FB8">
        <w:rPr>
          <w:spacing w:val="-2"/>
          <w:rtl/>
          <w:lang w:bidi="ar-EG"/>
        </w:rPr>
        <w:tab/>
      </w:r>
      <w:r w:rsidRPr="007B7FB8">
        <w:rPr>
          <w:spacing w:val="-2"/>
          <w:rtl/>
        </w:rPr>
        <w:t>واصلت وحدة المراجعة الداخلية</w:t>
      </w:r>
      <w:r w:rsidR="00D0105F" w:rsidRPr="007B7FB8">
        <w:rPr>
          <w:rFonts w:hint="cs"/>
          <w:spacing w:val="-2"/>
          <w:rtl/>
        </w:rPr>
        <w:t>،</w:t>
      </w:r>
      <w:r w:rsidRPr="007B7FB8">
        <w:rPr>
          <w:spacing w:val="-2"/>
          <w:rtl/>
        </w:rPr>
        <w:t xml:space="preserve"> طيلة الفترة </w:t>
      </w:r>
      <w:r w:rsidR="00D74C18" w:rsidRPr="007B7FB8">
        <w:rPr>
          <w:rFonts w:hint="cs"/>
          <w:spacing w:val="-2"/>
          <w:rtl/>
        </w:rPr>
        <w:t>التي يشملها</w:t>
      </w:r>
      <w:r w:rsidRPr="007B7FB8">
        <w:rPr>
          <w:spacing w:val="-2"/>
          <w:rtl/>
        </w:rPr>
        <w:t xml:space="preserve"> التقرير</w:t>
      </w:r>
      <w:r w:rsidR="00D0105F" w:rsidRPr="007B7FB8">
        <w:rPr>
          <w:rFonts w:hint="cs"/>
          <w:spacing w:val="-2"/>
          <w:rtl/>
        </w:rPr>
        <w:t>،</w:t>
      </w:r>
      <w:r w:rsidRPr="007B7FB8">
        <w:rPr>
          <w:spacing w:val="-2"/>
          <w:rtl/>
        </w:rPr>
        <w:t xml:space="preserve"> متابعة تنفيذ التوصيات التي قُدمت في تقارير المراجعة السابقة.</w:t>
      </w:r>
      <w:r w:rsidRPr="007B7FB8">
        <w:rPr>
          <w:rFonts w:hint="cs"/>
          <w:spacing w:val="-2"/>
          <w:rtl/>
        </w:rPr>
        <w:t xml:space="preserve"> </w:t>
      </w:r>
      <w:r w:rsidR="00D0105F" w:rsidRPr="007B7FB8">
        <w:rPr>
          <w:spacing w:val="-2"/>
          <w:rtl/>
        </w:rPr>
        <w:t xml:space="preserve">كما ناقشت </w:t>
      </w:r>
      <w:r w:rsidR="00D74C18" w:rsidRPr="007B7FB8">
        <w:rPr>
          <w:rFonts w:hint="cs"/>
          <w:spacing w:val="-2"/>
          <w:rtl/>
        </w:rPr>
        <w:t>الوحدة</w:t>
      </w:r>
      <w:r w:rsidR="00D0105F" w:rsidRPr="007B7FB8">
        <w:rPr>
          <w:spacing w:val="-2"/>
          <w:rtl/>
        </w:rPr>
        <w:t xml:space="preserve"> بانتظام نتائج المتابعة هذه في اجتماعها مع</w:t>
      </w:r>
      <w:r w:rsidR="00D74C18" w:rsidRPr="007B7FB8">
        <w:rPr>
          <w:rFonts w:hint="cs"/>
          <w:spacing w:val="-2"/>
          <w:rtl/>
        </w:rPr>
        <w:t xml:space="preserve"> </w:t>
      </w:r>
      <w:r w:rsidR="00D74C18" w:rsidRPr="007B7FB8">
        <w:rPr>
          <w:spacing w:val="-2"/>
          <w:rtl/>
        </w:rPr>
        <w:t xml:space="preserve">اللجنة الاستشارية المستقلة للإدارة </w:t>
      </w:r>
      <w:r w:rsidR="00D0105F" w:rsidRPr="007B7FB8">
        <w:rPr>
          <w:spacing w:val="-2"/>
        </w:rPr>
        <w:t>IMAC</w:t>
      </w:r>
      <w:r w:rsidR="00D0105F" w:rsidRPr="007B7FB8">
        <w:rPr>
          <w:spacing w:val="-2"/>
          <w:rtl/>
        </w:rPr>
        <w:t xml:space="preserve">. </w:t>
      </w:r>
      <w:r w:rsidR="00D74C18" w:rsidRPr="007B7FB8">
        <w:rPr>
          <w:rFonts w:hint="cs"/>
          <w:spacing w:val="-2"/>
          <w:rtl/>
        </w:rPr>
        <w:t>و</w:t>
      </w:r>
      <w:r w:rsidR="00D0105F" w:rsidRPr="007B7FB8">
        <w:rPr>
          <w:spacing w:val="-2"/>
          <w:rtl/>
        </w:rPr>
        <w:t>كما</w:t>
      </w:r>
      <w:r w:rsidR="001E0182">
        <w:rPr>
          <w:rFonts w:hint="cs"/>
          <w:spacing w:val="-2"/>
          <w:rtl/>
        </w:rPr>
        <w:t> </w:t>
      </w:r>
      <w:r w:rsidR="00D0105F" w:rsidRPr="007B7FB8">
        <w:rPr>
          <w:spacing w:val="-2"/>
          <w:rtl/>
        </w:rPr>
        <w:t>ذكر أعلاه</w:t>
      </w:r>
      <w:r w:rsidR="00EE1F08" w:rsidRPr="007B7FB8">
        <w:rPr>
          <w:spacing w:val="-2"/>
          <w:rtl/>
        </w:rPr>
        <w:t>،</w:t>
      </w:r>
      <w:r w:rsidR="00D0105F" w:rsidRPr="007B7FB8">
        <w:rPr>
          <w:spacing w:val="-2"/>
          <w:rtl/>
        </w:rPr>
        <w:t xml:space="preserve"> </w:t>
      </w:r>
      <w:r w:rsidR="00D74C18" w:rsidRPr="007B7FB8">
        <w:rPr>
          <w:rFonts w:hint="cs"/>
          <w:spacing w:val="-2"/>
          <w:rtl/>
        </w:rPr>
        <w:t>قدمت</w:t>
      </w:r>
      <w:r w:rsidR="00D0105F" w:rsidRPr="007B7FB8">
        <w:rPr>
          <w:spacing w:val="-2"/>
          <w:rtl/>
        </w:rPr>
        <w:t xml:space="preserve"> وثيقة إعلامية منفصلة إلى دورة المجلس لعام 2023 </w:t>
      </w:r>
      <w:r w:rsidR="00D74C18" w:rsidRPr="007B7FB8">
        <w:rPr>
          <w:rFonts w:hint="cs"/>
          <w:spacing w:val="-2"/>
          <w:rtl/>
        </w:rPr>
        <w:t>تضمنت</w:t>
      </w:r>
      <w:r w:rsidR="00D0105F" w:rsidRPr="007B7FB8">
        <w:rPr>
          <w:spacing w:val="-2"/>
          <w:rtl/>
        </w:rPr>
        <w:t xml:space="preserve"> متابعة توصيات المراجعة الداخلية وإجراءات </w:t>
      </w:r>
      <w:r w:rsidR="00D74C18" w:rsidRPr="007B7FB8">
        <w:rPr>
          <w:rFonts w:hint="cs"/>
          <w:spacing w:val="-2"/>
          <w:rtl/>
        </w:rPr>
        <w:t>المراجعة</w:t>
      </w:r>
      <w:r w:rsidR="00D0105F" w:rsidRPr="007B7FB8">
        <w:rPr>
          <w:spacing w:val="-2"/>
          <w:rtl/>
        </w:rPr>
        <w:t xml:space="preserve"> الجنائي</w:t>
      </w:r>
      <w:r w:rsidR="00D74C18" w:rsidRPr="007B7FB8">
        <w:rPr>
          <w:rFonts w:hint="cs"/>
          <w:spacing w:val="-2"/>
          <w:rtl/>
        </w:rPr>
        <w:t>ة</w:t>
      </w:r>
      <w:r w:rsidR="00D0105F" w:rsidRPr="007B7FB8">
        <w:rPr>
          <w:spacing w:val="-2"/>
          <w:rtl/>
        </w:rPr>
        <w:t xml:space="preserve">. ولوحظ مزيد من التقدم في تنفيذ توصيات </w:t>
      </w:r>
      <w:r w:rsidR="00D74C18" w:rsidRPr="007B7FB8">
        <w:rPr>
          <w:rFonts w:hint="cs"/>
          <w:spacing w:val="-2"/>
          <w:rtl/>
        </w:rPr>
        <w:t>المراجعة</w:t>
      </w:r>
      <w:r w:rsidR="00D0105F" w:rsidRPr="007B7FB8">
        <w:rPr>
          <w:spacing w:val="-2"/>
          <w:rtl/>
        </w:rPr>
        <w:t xml:space="preserve"> الداخلي</w:t>
      </w:r>
      <w:r w:rsidR="00D74C18" w:rsidRPr="007B7FB8">
        <w:rPr>
          <w:rFonts w:hint="cs"/>
          <w:spacing w:val="-2"/>
          <w:rtl/>
        </w:rPr>
        <w:t>ة</w:t>
      </w:r>
      <w:r w:rsidR="00D0105F" w:rsidRPr="007B7FB8">
        <w:rPr>
          <w:spacing w:val="-2"/>
          <w:rtl/>
        </w:rPr>
        <w:t xml:space="preserve"> حتى 31 مارس 2023</w:t>
      </w:r>
      <w:r w:rsidR="00EE1F08" w:rsidRPr="007B7FB8">
        <w:rPr>
          <w:spacing w:val="-2"/>
          <w:rtl/>
        </w:rPr>
        <w:t>،</w:t>
      </w:r>
      <w:r w:rsidR="00D0105F" w:rsidRPr="007B7FB8">
        <w:rPr>
          <w:spacing w:val="-2"/>
          <w:rtl/>
        </w:rPr>
        <w:t xml:space="preserve"> على النحو المبين أدناه:</w:t>
      </w:r>
    </w:p>
    <w:tbl>
      <w:tblPr>
        <w:bidiVisual/>
        <w:tblW w:w="4995" w:type="pct"/>
        <w:jc w:val="center"/>
        <w:tblLook w:val="04A0" w:firstRow="1" w:lastRow="0" w:firstColumn="1" w:lastColumn="0" w:noHBand="0" w:noVBand="1"/>
      </w:tblPr>
      <w:tblGrid>
        <w:gridCol w:w="1439"/>
        <w:gridCol w:w="654"/>
        <w:gridCol w:w="552"/>
        <w:gridCol w:w="655"/>
        <w:gridCol w:w="655"/>
        <w:gridCol w:w="655"/>
        <w:gridCol w:w="658"/>
        <w:gridCol w:w="564"/>
        <w:gridCol w:w="653"/>
        <w:gridCol w:w="655"/>
        <w:gridCol w:w="653"/>
        <w:gridCol w:w="564"/>
        <w:gridCol w:w="594"/>
        <w:gridCol w:w="668"/>
      </w:tblGrid>
      <w:tr w:rsidR="00AE4530" w:rsidRPr="00AE4530" w14:paraId="18DD2FC6" w14:textId="77777777" w:rsidTr="007B7FB8">
        <w:trPr>
          <w:trHeight w:val="242"/>
          <w:jc w:val="center"/>
        </w:trPr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52EBDB3" w14:textId="0255267D" w:rsidR="00AE4530" w:rsidRPr="00AE4530" w:rsidRDefault="00AE4530" w:rsidP="009C62A1">
            <w:pPr>
              <w:keepNext/>
              <w:spacing w:before="40" w:after="40" w:line="240" w:lineRule="exact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>
              <w:rPr>
                <w:rFonts w:hint="cs"/>
                <w:b/>
                <w:bCs/>
                <w:color w:val="FFFFFF"/>
                <w:sz w:val="14"/>
                <w:szCs w:val="14"/>
                <w:rtl/>
                <w:lang w:eastAsia="en-GB"/>
              </w:rPr>
              <w:t>السنة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D303533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>2011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D75AFB4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>2012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6E285DA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>2013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B35C09A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>2014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82ACDEE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>2015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D2AF236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>2016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39AD7C9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>2017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6550F82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>2018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840F818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>2019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2F7A92F3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>2020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0C645324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>2021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FD63DE7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FFFFFF"/>
                <w:sz w:val="14"/>
                <w:szCs w:val="14"/>
                <w:lang w:eastAsia="en-GB"/>
              </w:rPr>
              <w:t xml:space="preserve">2022 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5911BF1A" w14:textId="44286494" w:rsidR="00AE4530" w:rsidRPr="00AE4530" w:rsidRDefault="00AB6ACE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FFFFFF"/>
                <w:sz w:val="14"/>
                <w:szCs w:val="14"/>
                <w:rtl/>
                <w:lang w:eastAsia="en-GB" w:bidi="ar-SY"/>
              </w:rPr>
            </w:pPr>
            <w:r>
              <w:rPr>
                <w:rFonts w:hint="cs"/>
                <w:b/>
                <w:bCs/>
                <w:color w:val="FFFFFF"/>
                <w:sz w:val="14"/>
                <w:szCs w:val="14"/>
                <w:rtl/>
                <w:lang w:eastAsia="en-GB"/>
              </w:rPr>
              <w:t>المجموع</w:t>
            </w:r>
          </w:p>
        </w:tc>
      </w:tr>
      <w:tr w:rsidR="00AE4530" w:rsidRPr="00AE4530" w14:paraId="7FDF6078" w14:textId="77777777" w:rsidTr="007B7FB8">
        <w:trPr>
          <w:trHeight w:val="24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D183" w14:textId="36C499D5" w:rsidR="00AE4530" w:rsidRPr="00AE4530" w:rsidRDefault="00AE4530" w:rsidP="009C62A1">
            <w:pPr>
              <w:keepNext/>
              <w:spacing w:before="40" w:after="40" w:line="240" w:lineRule="exact"/>
              <w:jc w:val="left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rFonts w:hint="cs"/>
                <w:sz w:val="14"/>
                <w:szCs w:val="14"/>
                <w:rtl/>
              </w:rPr>
              <w:t>عدد تقارير/</w:t>
            </w:r>
            <w:r w:rsidR="00944855">
              <w:rPr>
                <w:sz w:val="14"/>
                <w:szCs w:val="14"/>
                <w:rtl/>
              </w:rPr>
              <w:br/>
            </w:r>
            <w:r w:rsidRPr="00AE4530">
              <w:rPr>
                <w:rFonts w:hint="cs"/>
                <w:sz w:val="14"/>
                <w:szCs w:val="14"/>
                <w:rtl/>
              </w:rPr>
              <w:t>مذكرات المراجعة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B539A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rtl/>
                <w:lang w:eastAsia="en-GB" w:bidi="ar-SY"/>
              </w:rPr>
            </w:pPr>
            <w:r w:rsidRPr="00AE453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F996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DC3A2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71D61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F212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8297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C3D5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8836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648D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1C09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628F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9C0E6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6759ECD4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  <w:lang w:eastAsia="en-GB"/>
              </w:rPr>
              <w:t>40</w:t>
            </w:r>
          </w:p>
        </w:tc>
      </w:tr>
      <w:tr w:rsidR="00AE4530" w:rsidRPr="00AE4530" w14:paraId="12BC20D0" w14:textId="77777777" w:rsidTr="007B7FB8">
        <w:trPr>
          <w:trHeight w:val="24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4EB88" w14:textId="0D6DC217" w:rsidR="00AE4530" w:rsidRPr="00AE4530" w:rsidRDefault="00AE4530" w:rsidP="009C62A1">
            <w:pPr>
              <w:keepNext/>
              <w:spacing w:before="40" w:after="40" w:line="240" w:lineRule="exact"/>
              <w:jc w:val="left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rFonts w:hint="cs"/>
                <w:spacing w:val="-2"/>
                <w:sz w:val="14"/>
                <w:szCs w:val="14"/>
                <w:rtl/>
              </w:rPr>
              <w:t>التوصيات</w:t>
            </w:r>
            <w:r w:rsidRPr="00AE4530">
              <w:rPr>
                <w:spacing w:val="-2"/>
                <w:sz w:val="14"/>
                <w:szCs w:val="14"/>
              </w:rPr>
              <w:t> </w:t>
            </w:r>
            <w:r w:rsidRPr="00AE4530">
              <w:rPr>
                <w:rFonts w:hint="cs"/>
                <w:spacing w:val="-2"/>
                <w:sz w:val="14"/>
                <w:szCs w:val="14"/>
                <w:rtl/>
              </w:rPr>
              <w:t>-</w:t>
            </w:r>
            <w:r w:rsidRPr="00AE4530">
              <w:rPr>
                <w:spacing w:val="-2"/>
                <w:sz w:val="14"/>
                <w:szCs w:val="14"/>
              </w:rPr>
              <w:t> </w:t>
            </w:r>
            <w:r w:rsidRPr="00AE4530">
              <w:rPr>
                <w:rFonts w:hint="cs"/>
                <w:spacing w:val="-2"/>
                <w:sz w:val="14"/>
                <w:szCs w:val="14"/>
                <w:rtl/>
              </w:rPr>
              <w:t>المجموع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97B4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78F4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1B0F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</w:rPr>
              <w:t>113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DB8D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E868A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C3F90" w14:textId="74454808" w:rsidR="00AE4530" w:rsidRPr="00AE4530" w:rsidRDefault="00930678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52A7" w14:textId="4BC1E60D" w:rsidR="00AE4530" w:rsidRPr="00AE4530" w:rsidRDefault="00930678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9441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E554F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B8D6A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13EA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1F43E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22E3A84C" w14:textId="0F53D0CB" w:rsidR="00AE4530" w:rsidRPr="00AE4530" w:rsidRDefault="00930678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>387</w:t>
            </w:r>
          </w:p>
        </w:tc>
      </w:tr>
      <w:tr w:rsidR="00AE4530" w:rsidRPr="00AE4530" w14:paraId="321EBA7A" w14:textId="77777777" w:rsidTr="007B7FB8">
        <w:trPr>
          <w:trHeight w:val="24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7DB0" w14:textId="7FE80019" w:rsidR="00AE4530" w:rsidRPr="00AE4530" w:rsidRDefault="00AE4530" w:rsidP="00944855">
            <w:pPr>
              <w:keepNext/>
              <w:spacing w:before="40" w:after="40" w:line="240" w:lineRule="exact"/>
              <w:ind w:left="384" w:hanging="271"/>
              <w:jc w:val="left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rFonts w:hint="cs"/>
                <w:sz w:val="14"/>
                <w:szCs w:val="14"/>
                <w:rtl/>
              </w:rPr>
              <w:t>الجاري تنفيذها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9B6A1" w14:textId="77777777" w:rsidR="00AE4530" w:rsidRPr="002A3AC6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03BB2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EE339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7FC718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059ED7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B5DA5" w14:textId="329E3B67" w:rsidR="00AE4530" w:rsidRPr="00AE4530" w:rsidRDefault="00930678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345DFB" w14:textId="60FDD3A4" w:rsidR="00AE4530" w:rsidRPr="00AE4530" w:rsidRDefault="00930678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063443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0FAC28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4EC0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FBE3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CE8BE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21897A1F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  <w:lang w:eastAsia="en-GB"/>
              </w:rPr>
              <w:t>40</w:t>
            </w:r>
          </w:p>
        </w:tc>
      </w:tr>
      <w:tr w:rsidR="00AE4530" w:rsidRPr="00AE4530" w14:paraId="658EE355" w14:textId="77777777" w:rsidTr="007B7FB8">
        <w:trPr>
          <w:trHeight w:val="24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4998F" w14:textId="0258AC68" w:rsidR="00AE4530" w:rsidRPr="00AE4530" w:rsidRDefault="00AE4530" w:rsidP="00944855">
            <w:pPr>
              <w:keepNext/>
              <w:spacing w:before="40" w:after="40" w:line="240" w:lineRule="exact"/>
              <w:ind w:left="384" w:hanging="271"/>
              <w:jc w:val="left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rFonts w:hint="cs"/>
                <w:sz w:val="14"/>
                <w:szCs w:val="14"/>
                <w:rtl/>
              </w:rPr>
              <w:t>المتأخَر تنفيذها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3E87A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A6EE1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C906B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1D3B2E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74132E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10796A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0ED011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1000F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7BF7CC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175E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24D9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97F69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5E39AC2B" w14:textId="77777777" w:rsidR="00AE4530" w:rsidRPr="00AE4530" w:rsidRDefault="00AE4530" w:rsidP="009C62A1">
            <w:pPr>
              <w:keepNext/>
              <w:spacing w:before="40" w:after="40" w:line="24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  <w:lang w:eastAsia="en-GB"/>
              </w:rPr>
              <w:t>8</w:t>
            </w:r>
          </w:p>
        </w:tc>
      </w:tr>
      <w:tr w:rsidR="00AE4530" w:rsidRPr="00AE4530" w14:paraId="47DD8C93" w14:textId="77777777" w:rsidTr="007B7FB8">
        <w:trPr>
          <w:trHeight w:val="24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1B6E" w14:textId="1EDAC5DC" w:rsidR="00AE4530" w:rsidRPr="00AE4530" w:rsidRDefault="00AE4530" w:rsidP="00944855">
            <w:pPr>
              <w:spacing w:before="40" w:after="40" w:line="240" w:lineRule="exact"/>
              <w:ind w:left="384" w:hanging="271"/>
              <w:jc w:val="left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rFonts w:hint="cs"/>
                <w:sz w:val="14"/>
                <w:szCs w:val="14"/>
                <w:rtl/>
              </w:rPr>
              <w:t>التي أُقفل</w:t>
            </w:r>
            <w:r w:rsidRPr="00AE4530">
              <w:rPr>
                <w:sz w:val="14"/>
                <w:szCs w:val="14"/>
              </w:rPr>
              <w:t> </w:t>
            </w:r>
            <w:r w:rsidRPr="00AE4530">
              <w:rPr>
                <w:rFonts w:hint="cs"/>
                <w:sz w:val="14"/>
                <w:szCs w:val="14"/>
                <w:rtl/>
              </w:rPr>
              <w:t>ملفها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D25D9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1DC56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E954D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D27E71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499C3B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FB3B8D" w14:textId="21CEFEF9" w:rsidR="00AE4530" w:rsidRPr="00AE4530" w:rsidRDefault="006E7D22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28924C" w14:textId="27AD94F3" w:rsidR="00AE4530" w:rsidRPr="00AE4530" w:rsidRDefault="00930678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81540A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81C2B9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80ACD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1AE9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C3E93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2CC976C1" w14:textId="30A087FE" w:rsidR="00AE4530" w:rsidRPr="00AE4530" w:rsidRDefault="00930678" w:rsidP="009C62A1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>339</w:t>
            </w:r>
          </w:p>
        </w:tc>
      </w:tr>
      <w:tr w:rsidR="00AE4530" w:rsidRPr="00AE4530" w14:paraId="7A25F7F0" w14:textId="77777777" w:rsidTr="007B7FB8">
        <w:trPr>
          <w:trHeight w:val="242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C1AA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205D91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501A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B7D9C6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2A6329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2AFAC1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E2964E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AD0029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EBE5DC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DDEEE7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3124A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814E37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269B3" w14:textId="77777777" w:rsidR="00AE4530" w:rsidRPr="00AE4530" w:rsidRDefault="00AE4530" w:rsidP="009C62A1">
            <w:pPr>
              <w:spacing w:before="0" w:line="200" w:lineRule="exact"/>
              <w:jc w:val="center"/>
              <w:rPr>
                <w:sz w:val="14"/>
                <w:szCs w:val="1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BDD875" w14:textId="77777777" w:rsidR="00AE4530" w:rsidRPr="00AE4530" w:rsidRDefault="00AE4530" w:rsidP="009C62A1">
            <w:pPr>
              <w:spacing w:before="0" w:line="200" w:lineRule="exact"/>
              <w:rPr>
                <w:color w:val="000000"/>
                <w:sz w:val="14"/>
                <w:szCs w:val="14"/>
                <w:lang w:eastAsia="en-GB"/>
              </w:rPr>
            </w:pPr>
          </w:p>
        </w:tc>
      </w:tr>
      <w:tr w:rsidR="00AE4530" w:rsidRPr="00AE4530" w14:paraId="211D4BD7" w14:textId="77777777" w:rsidTr="007B7FB8">
        <w:trPr>
          <w:trHeight w:val="242"/>
          <w:jc w:val="center"/>
        </w:trPr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5A08F" w14:textId="45BA8FA6" w:rsidR="00AE4530" w:rsidRPr="009C62A1" w:rsidRDefault="00AE4530" w:rsidP="009C62A1">
            <w:pPr>
              <w:spacing w:before="40" w:after="40" w:line="240" w:lineRule="exact"/>
              <w:jc w:val="left"/>
              <w:rPr>
                <w:color w:val="000000"/>
                <w:spacing w:val="-2"/>
                <w:sz w:val="14"/>
                <w:szCs w:val="14"/>
                <w:lang w:eastAsia="en-GB"/>
              </w:rPr>
            </w:pPr>
            <w:r w:rsidRPr="009C62A1">
              <w:rPr>
                <w:rFonts w:hint="cs"/>
                <w:spacing w:val="-2"/>
                <w:sz w:val="14"/>
                <w:szCs w:val="14"/>
                <w:rtl/>
              </w:rPr>
              <w:t>النسبة المئوية للتوصيات الجاري تنفيذها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D56DA" w14:textId="01A3D792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C9DF47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7B12F" w14:textId="58107BBF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544CC" w14:textId="6866EFA3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D0F2A" w14:textId="7E1C5B7F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B9BEB" w14:textId="03F2CBB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="00930678">
              <w:rPr>
                <w:color w:val="000000"/>
                <w:sz w:val="14"/>
                <w:szCs w:val="14"/>
              </w:rPr>
              <w:t>1</w:t>
            </w:r>
            <w:r w:rsidRPr="00AE453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96229" w14:textId="3B38762D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1</w:t>
            </w:r>
            <w:r w:rsidR="00930678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785EE" w14:textId="2EF2E3B1" w:rsidR="00AE4530" w:rsidRPr="00D0105F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9B66E" w14:textId="1F99BAD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871EE" w14:textId="7FBB7459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77461" w14:textId="6536B62B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87A90" w14:textId="16D0F727" w:rsidR="00AE4530" w:rsidRPr="00AE4530" w:rsidRDefault="00AE4530" w:rsidP="009C62A1">
            <w:pPr>
              <w:spacing w:before="40" w:after="40" w:line="240" w:lineRule="exact"/>
              <w:jc w:val="center"/>
              <w:rPr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02B2D18A" w14:textId="541B963B" w:rsidR="00AE4530" w:rsidRPr="00AE4530" w:rsidRDefault="00AE4530" w:rsidP="009C62A1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</w:rPr>
              <w:t>%</w:t>
            </w:r>
            <w:r w:rsidRPr="00AE4530">
              <w:rPr>
                <w:b/>
                <w:bCs/>
                <w:color w:val="000000"/>
                <w:sz w:val="14"/>
                <w:szCs w:val="14"/>
                <w:lang w:eastAsia="en-GB"/>
              </w:rPr>
              <w:t>10</w:t>
            </w:r>
          </w:p>
        </w:tc>
      </w:tr>
      <w:tr w:rsidR="00AE4530" w:rsidRPr="00AE4530" w14:paraId="28FA5AEA" w14:textId="77777777" w:rsidTr="007B7FB8">
        <w:trPr>
          <w:trHeight w:val="24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32D21" w14:textId="3EFFC423" w:rsidR="00AE4530" w:rsidRPr="009C62A1" w:rsidRDefault="00AE4530" w:rsidP="009C62A1">
            <w:pPr>
              <w:spacing w:before="40" w:after="40" w:line="240" w:lineRule="exact"/>
              <w:jc w:val="left"/>
              <w:rPr>
                <w:color w:val="000000"/>
                <w:spacing w:val="-4"/>
                <w:sz w:val="14"/>
                <w:szCs w:val="14"/>
                <w:lang w:eastAsia="en-GB"/>
              </w:rPr>
            </w:pPr>
            <w:r w:rsidRPr="009C62A1">
              <w:rPr>
                <w:rFonts w:hint="cs"/>
                <w:spacing w:val="-4"/>
                <w:sz w:val="14"/>
                <w:szCs w:val="14"/>
                <w:rtl/>
              </w:rPr>
              <w:t>النسبة المئوية للتوصيات المتأخَر تنفيذها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73A68" w14:textId="3BFC1F8C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288585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6FBB5" w14:textId="3D9F289A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33808" w14:textId="64008488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94654" w14:textId="75CC6152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BB990" w14:textId="0E8F1302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AC5BA" w14:textId="65007295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07532" w14:textId="664995ED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CC61E" w14:textId="5A1FCA9B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96DA0" w14:textId="398397E0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F6F5D" w14:textId="54545C89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00D44" w14:textId="6965A084" w:rsidR="00AE4530" w:rsidRPr="00AE4530" w:rsidRDefault="00AE4530" w:rsidP="009C62A1">
            <w:pPr>
              <w:spacing w:before="40" w:after="40" w:line="240" w:lineRule="exact"/>
              <w:jc w:val="center"/>
              <w:rPr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02B9B250" w14:textId="32628007" w:rsidR="00AE4530" w:rsidRPr="00AE4530" w:rsidRDefault="00AE4530" w:rsidP="009C62A1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AE4530">
              <w:rPr>
                <w:b/>
                <w:bCs/>
                <w:color w:val="000000"/>
                <w:sz w:val="14"/>
                <w:szCs w:val="14"/>
              </w:rPr>
              <w:t>%</w:t>
            </w:r>
            <w:r w:rsidRPr="00AE4530">
              <w:rPr>
                <w:b/>
                <w:bCs/>
                <w:color w:val="000000"/>
                <w:sz w:val="14"/>
                <w:szCs w:val="14"/>
                <w:lang w:eastAsia="en-GB"/>
              </w:rPr>
              <w:t>2</w:t>
            </w:r>
          </w:p>
        </w:tc>
      </w:tr>
      <w:tr w:rsidR="00AE4530" w:rsidRPr="00AE4530" w14:paraId="1F72BB92" w14:textId="77777777" w:rsidTr="007B7FB8">
        <w:trPr>
          <w:trHeight w:val="242"/>
          <w:jc w:val="center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912A" w14:textId="271D1182" w:rsidR="00AE4530" w:rsidRPr="009C62A1" w:rsidRDefault="00AE4530" w:rsidP="009C62A1">
            <w:pPr>
              <w:spacing w:before="40" w:after="40" w:line="240" w:lineRule="exact"/>
              <w:jc w:val="left"/>
              <w:rPr>
                <w:color w:val="000000"/>
                <w:spacing w:val="-2"/>
                <w:sz w:val="14"/>
                <w:szCs w:val="14"/>
                <w:lang w:eastAsia="en-GB"/>
              </w:rPr>
            </w:pPr>
            <w:r w:rsidRPr="009C62A1">
              <w:rPr>
                <w:rFonts w:hint="cs"/>
                <w:spacing w:val="-2"/>
                <w:sz w:val="14"/>
                <w:szCs w:val="14"/>
                <w:rtl/>
              </w:rPr>
              <w:t>النسبة المئوية للتوصيات التي أُقفل ملفها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3ADAF" w14:textId="5B66DBB4" w:rsidR="00AE4530" w:rsidRPr="00AE4530" w:rsidRDefault="00944855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="00AE4530" w:rsidRPr="00AE453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AD99B" w14:textId="7777777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AF0A4" w14:textId="467EB6A5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E9B8C" w14:textId="54A430C6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06C6" w14:textId="3A48A56C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ACD9F" w14:textId="1376D2A1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="00930678">
              <w:rPr>
                <w:color w:val="000000"/>
                <w:sz w:val="14"/>
                <w:szCs w:val="14"/>
              </w:rPr>
              <w:t>8</w:t>
            </w:r>
            <w:r w:rsidRPr="00AE453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F119F" w14:textId="1DFA2F9E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8</w:t>
            </w:r>
            <w:r w:rsidR="00930678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3D7D5" w14:textId="0F2CF0F7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BBC67" w14:textId="7F13BFFD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93D6" w14:textId="7C4347C9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391C" w14:textId="608B8872" w:rsidR="00AE4530" w:rsidRPr="00AE4530" w:rsidRDefault="00AE4530" w:rsidP="009C62A1">
            <w:pPr>
              <w:spacing w:before="40" w:after="40" w:line="240" w:lineRule="exact"/>
              <w:jc w:val="center"/>
              <w:rPr>
                <w:color w:val="000000"/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E9BC5" w14:textId="44E605D7" w:rsidR="00AE4530" w:rsidRPr="00AE4530" w:rsidRDefault="00AE4530" w:rsidP="009C62A1">
            <w:pPr>
              <w:spacing w:before="40" w:after="40" w:line="240" w:lineRule="exact"/>
              <w:jc w:val="center"/>
              <w:rPr>
                <w:sz w:val="14"/>
                <w:szCs w:val="14"/>
                <w:lang w:eastAsia="en-GB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  <w:r w:rsidRPr="00AE4530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2B7AC20A" w14:textId="5F98A2BD" w:rsidR="00AE4530" w:rsidRPr="00AE4530" w:rsidRDefault="00AE4530" w:rsidP="009C62A1">
            <w:pPr>
              <w:spacing w:before="40" w:after="40" w:line="240" w:lineRule="exact"/>
              <w:jc w:val="center"/>
              <w:rPr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en-GB"/>
              </w:rPr>
              <w:t>%</w:t>
            </w:r>
            <w:r w:rsidR="00930678">
              <w:rPr>
                <w:b/>
                <w:bCs/>
                <w:color w:val="000000"/>
                <w:sz w:val="14"/>
                <w:szCs w:val="14"/>
                <w:lang w:eastAsia="en-GB"/>
              </w:rPr>
              <w:t>88</w:t>
            </w:r>
          </w:p>
        </w:tc>
      </w:tr>
    </w:tbl>
    <w:p w14:paraId="39519236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8436" w14:textId="77777777" w:rsidR="005506B2" w:rsidRDefault="005506B2" w:rsidP="006C3242">
      <w:pPr>
        <w:spacing w:before="0" w:line="240" w:lineRule="auto"/>
      </w:pPr>
      <w:r>
        <w:separator/>
      </w:r>
    </w:p>
  </w:endnote>
  <w:endnote w:type="continuationSeparator" w:id="0">
    <w:p w14:paraId="2A370E01" w14:textId="77777777" w:rsidR="005506B2" w:rsidRDefault="005506B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7A6E294" w14:textId="77777777" w:rsidTr="00357086">
      <w:trPr>
        <w:jc w:val="center"/>
      </w:trPr>
      <w:tc>
        <w:tcPr>
          <w:tcW w:w="868" w:type="pct"/>
          <w:vAlign w:val="center"/>
        </w:tcPr>
        <w:p w14:paraId="693B349C" w14:textId="1483D61F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rtl/>
              <w:lang w:bidi="ar-EG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AE4530">
            <w:rPr>
              <w:rFonts w:ascii="Calibri" w:hAnsi="Calibri" w:cs="Arial"/>
              <w:sz w:val="18"/>
              <w:szCs w:val="14"/>
            </w:rPr>
            <w:t>521078</w:t>
          </w:r>
        </w:p>
      </w:tc>
      <w:tc>
        <w:tcPr>
          <w:tcW w:w="3912" w:type="pct"/>
        </w:tcPr>
        <w:p w14:paraId="1F5E2AF4" w14:textId="3C5451B4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AE4530">
            <w:rPr>
              <w:rFonts w:ascii="Calibri" w:hAnsi="Calibri" w:cs="Arial"/>
              <w:bCs/>
              <w:color w:val="7F7F7F"/>
              <w:sz w:val="18"/>
            </w:rPr>
            <w:t>44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AA283C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84F2DE4" w14:textId="1346921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1A108C">
      <w:rPr>
        <w:color w:val="F2F2F2" w:themeColor="background1" w:themeShade="F2"/>
        <w:sz w:val="16"/>
        <w:szCs w:val="16"/>
        <w:lang w:val="fr-FR"/>
      </w:rPr>
      <w:fldChar w:fldCharType="begin"/>
    </w:r>
    <w:r w:rsidRPr="001A108C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A108C">
      <w:rPr>
        <w:color w:val="F2F2F2" w:themeColor="background1" w:themeShade="F2"/>
        <w:sz w:val="16"/>
        <w:szCs w:val="16"/>
        <w:lang w:val="fr-FR"/>
      </w:rPr>
      <w:fldChar w:fldCharType="separate"/>
    </w:r>
    <w:r w:rsidR="00197D4A" w:rsidRPr="001A108C">
      <w:rPr>
        <w:noProof/>
        <w:color w:val="F2F2F2" w:themeColor="background1" w:themeShade="F2"/>
        <w:sz w:val="16"/>
        <w:szCs w:val="16"/>
        <w:lang w:val="fr-FR"/>
      </w:rPr>
      <w:t>P:\ARA\SG\CONSEIL\C23\000\044A.docx</w:t>
    </w:r>
    <w:r w:rsidRPr="001A108C">
      <w:rPr>
        <w:color w:val="F2F2F2" w:themeColor="background1" w:themeShade="F2"/>
        <w:sz w:val="16"/>
        <w:szCs w:val="16"/>
      </w:rPr>
      <w:fldChar w:fldCharType="end"/>
    </w:r>
    <w:proofErr w:type="gramStart"/>
    <w:r w:rsidRPr="001A108C">
      <w:rPr>
        <w:color w:val="F2F2F2" w:themeColor="background1" w:themeShade="F2"/>
        <w:sz w:val="16"/>
        <w:szCs w:val="16"/>
        <w:lang w:val="fr-CH"/>
      </w:rPr>
      <w:t xml:space="preserve">  </w:t>
    </w:r>
    <w:r w:rsidRPr="001A108C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2650DD" w:rsidRPr="001A108C">
      <w:rPr>
        <w:color w:val="F2F2F2" w:themeColor="background1" w:themeShade="F2"/>
        <w:sz w:val="16"/>
        <w:szCs w:val="16"/>
        <w:lang w:val="fr-FR"/>
      </w:rPr>
      <w:t>521078</w:t>
    </w:r>
    <w:r w:rsidRPr="001A108C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A578B83" w14:textId="77777777" w:rsidTr="00F50E3F">
      <w:trPr>
        <w:jc w:val="center"/>
      </w:trPr>
      <w:tc>
        <w:tcPr>
          <w:tcW w:w="868" w:type="pct"/>
          <w:vAlign w:val="center"/>
        </w:tcPr>
        <w:p w14:paraId="675E13C1" w14:textId="77777777" w:rsidR="007B0AA0" w:rsidRPr="007B0AA0" w:rsidRDefault="001A108C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F28C229" w14:textId="42893678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AE4530">
            <w:rPr>
              <w:rFonts w:ascii="Calibri" w:hAnsi="Calibri" w:cs="Arial"/>
              <w:bCs/>
              <w:color w:val="7F7F7F"/>
              <w:sz w:val="18"/>
            </w:rPr>
            <w:t>44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9AD59B6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B8FE5BF" w14:textId="5A3BCA02" w:rsidR="0006468A" w:rsidRPr="002650DD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1A108C">
      <w:rPr>
        <w:color w:val="F2F2F2" w:themeColor="background1" w:themeShade="F2"/>
        <w:sz w:val="16"/>
        <w:szCs w:val="16"/>
        <w:lang w:val="fr-FR"/>
      </w:rPr>
      <w:fldChar w:fldCharType="begin"/>
    </w:r>
    <w:r w:rsidRPr="001A108C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A108C">
      <w:rPr>
        <w:color w:val="F2F2F2" w:themeColor="background1" w:themeShade="F2"/>
        <w:sz w:val="16"/>
        <w:szCs w:val="16"/>
        <w:lang w:val="fr-FR"/>
      </w:rPr>
      <w:fldChar w:fldCharType="separate"/>
    </w:r>
    <w:r w:rsidR="00197D4A" w:rsidRPr="001A108C">
      <w:rPr>
        <w:noProof/>
        <w:color w:val="F2F2F2" w:themeColor="background1" w:themeShade="F2"/>
        <w:sz w:val="16"/>
        <w:szCs w:val="16"/>
        <w:lang w:val="fr-FR"/>
      </w:rPr>
      <w:t>P:\ARA\SG\CONSEIL\C23\000\044A.docx</w:t>
    </w:r>
    <w:r w:rsidRPr="001A108C">
      <w:rPr>
        <w:color w:val="F2F2F2" w:themeColor="background1" w:themeShade="F2"/>
        <w:sz w:val="16"/>
        <w:szCs w:val="16"/>
      </w:rPr>
      <w:fldChar w:fldCharType="end"/>
    </w:r>
    <w:r w:rsidRPr="001A108C">
      <w:rPr>
        <w:color w:val="F2F2F2" w:themeColor="background1" w:themeShade="F2"/>
        <w:sz w:val="16"/>
        <w:szCs w:val="16"/>
        <w:lang w:val="fr-CH"/>
      </w:rPr>
      <w:t xml:space="preserve">  </w:t>
    </w:r>
    <w:r w:rsidRPr="001A108C">
      <w:rPr>
        <w:color w:val="F2F2F2" w:themeColor="background1" w:themeShade="F2"/>
        <w:sz w:val="16"/>
        <w:szCs w:val="16"/>
        <w:lang w:val="fr-FR"/>
      </w:rPr>
      <w:t xml:space="preserve"> (</w:t>
    </w:r>
    <w:r w:rsidR="002650DD" w:rsidRPr="001A108C">
      <w:rPr>
        <w:color w:val="F2F2F2" w:themeColor="background1" w:themeShade="F2"/>
        <w:sz w:val="16"/>
        <w:szCs w:val="16"/>
        <w:lang w:val="fr-FR"/>
      </w:rPr>
      <w:t>521078</w:t>
    </w:r>
    <w:r w:rsidRPr="001A108C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66A7" w14:textId="77777777" w:rsidR="005506B2" w:rsidRDefault="005506B2" w:rsidP="006C3242">
      <w:pPr>
        <w:spacing w:before="0" w:line="240" w:lineRule="auto"/>
      </w:pPr>
      <w:r>
        <w:separator/>
      </w:r>
    </w:p>
  </w:footnote>
  <w:footnote w:type="continuationSeparator" w:id="0">
    <w:p w14:paraId="4DA30A49" w14:textId="77777777" w:rsidR="005506B2" w:rsidRDefault="005506B2" w:rsidP="006C3242">
      <w:pPr>
        <w:spacing w:before="0" w:line="240" w:lineRule="auto"/>
      </w:pPr>
      <w:r>
        <w:continuationSeparator/>
      </w:r>
    </w:p>
  </w:footnote>
  <w:footnote w:id="1">
    <w:p w14:paraId="2DE14589" w14:textId="77777777" w:rsidR="00AE4530" w:rsidRPr="00AE4530" w:rsidRDefault="00AE4530" w:rsidP="00AE4530">
      <w:pPr>
        <w:pStyle w:val="Footnotetexte"/>
        <w:rPr>
          <w:sz w:val="18"/>
          <w:szCs w:val="18"/>
          <w:rtl/>
        </w:rPr>
      </w:pPr>
      <w:r w:rsidRPr="00AE4530">
        <w:rPr>
          <w:rStyle w:val="FootnoteReference"/>
        </w:rPr>
        <w:footnoteRef/>
      </w:r>
      <w:r w:rsidRPr="00AE4530">
        <w:rPr>
          <w:rFonts w:hint="cs"/>
          <w:sz w:val="18"/>
          <w:szCs w:val="18"/>
          <w:rtl/>
        </w:rPr>
        <w:tab/>
        <w:t xml:space="preserve">الأمر الإداري رقم </w:t>
      </w:r>
      <w:r w:rsidRPr="00AE4530">
        <w:rPr>
          <w:sz w:val="18"/>
          <w:szCs w:val="18"/>
        </w:rPr>
        <w:t>13/09</w:t>
      </w:r>
      <w:r w:rsidRPr="00AE4530">
        <w:rPr>
          <w:rFonts w:hint="cs"/>
          <w:sz w:val="18"/>
          <w:szCs w:val="18"/>
          <w:rtl/>
        </w:rPr>
        <w:t>، الصادر عن الأمين العام في </w:t>
      </w:r>
      <w:r w:rsidRPr="00AE4530">
        <w:rPr>
          <w:sz w:val="18"/>
          <w:szCs w:val="18"/>
        </w:rPr>
        <w:t>27</w:t>
      </w:r>
      <w:r w:rsidRPr="00AE4530">
        <w:rPr>
          <w:rFonts w:hint="cs"/>
          <w:sz w:val="18"/>
          <w:szCs w:val="18"/>
          <w:rtl/>
        </w:rPr>
        <w:t> يونيو </w:t>
      </w:r>
      <w:r w:rsidRPr="00AE4530">
        <w:rPr>
          <w:sz w:val="18"/>
          <w:szCs w:val="18"/>
        </w:rPr>
        <w:t>2013</w:t>
      </w:r>
    </w:p>
  </w:footnote>
  <w:footnote w:id="2">
    <w:p w14:paraId="36356772" w14:textId="43049F0B" w:rsidR="00AE4530" w:rsidRPr="00AE4530" w:rsidRDefault="00AE4530" w:rsidP="00AE4530">
      <w:pPr>
        <w:pStyle w:val="Footnotetexte"/>
        <w:rPr>
          <w:sz w:val="18"/>
          <w:szCs w:val="18"/>
        </w:rPr>
      </w:pPr>
      <w:r w:rsidRPr="00AE4530">
        <w:rPr>
          <w:rStyle w:val="FootnoteReference"/>
        </w:rPr>
        <w:footnoteRef/>
      </w:r>
      <w:r w:rsidRPr="00AE4530">
        <w:rPr>
          <w:sz w:val="18"/>
          <w:szCs w:val="18"/>
        </w:rPr>
        <w:tab/>
      </w:r>
      <w:r w:rsidRPr="00AE4530">
        <w:rPr>
          <w:rFonts w:hint="cs"/>
          <w:sz w:val="18"/>
          <w:szCs w:val="18"/>
          <w:rtl/>
        </w:rPr>
        <w:t xml:space="preserve">معهد </w:t>
      </w:r>
      <w:r w:rsidR="00956B38">
        <w:rPr>
          <w:rFonts w:hint="cs"/>
          <w:sz w:val="18"/>
          <w:szCs w:val="18"/>
          <w:rtl/>
        </w:rPr>
        <w:t>ال</w:t>
      </w:r>
      <w:r w:rsidRPr="00AE4530">
        <w:rPr>
          <w:rFonts w:hint="cs"/>
          <w:sz w:val="18"/>
          <w:szCs w:val="18"/>
          <w:rtl/>
        </w:rPr>
        <w:t>مراجعي</w:t>
      </w:r>
      <w:r w:rsidR="00956B38">
        <w:rPr>
          <w:rFonts w:hint="cs"/>
          <w:sz w:val="18"/>
          <w:szCs w:val="18"/>
          <w:rtl/>
        </w:rPr>
        <w:t>ن</w:t>
      </w:r>
      <w:r w:rsidRPr="00AE4530">
        <w:rPr>
          <w:rFonts w:hint="cs"/>
          <w:sz w:val="18"/>
          <w:szCs w:val="18"/>
          <w:rtl/>
        </w:rPr>
        <w:t xml:space="preserve"> الداخليين، </w:t>
      </w:r>
      <w:hyperlink r:id="rId1" w:history="1">
        <w:r w:rsidRPr="00AE4530">
          <w:rPr>
            <w:rStyle w:val="Hyperlink"/>
            <w:sz w:val="18"/>
            <w:szCs w:val="18"/>
          </w:rPr>
          <w:t>www.theiia.org</w:t>
        </w:r>
      </w:hyperlink>
    </w:p>
  </w:footnote>
  <w:footnote w:id="3">
    <w:p w14:paraId="3AD113A6" w14:textId="06A291EA" w:rsidR="00AE4530" w:rsidRPr="00AE4530" w:rsidRDefault="00AE4530" w:rsidP="00AE4530">
      <w:pPr>
        <w:pStyle w:val="Footnotetexte"/>
        <w:rPr>
          <w:sz w:val="18"/>
          <w:szCs w:val="18"/>
          <w:lang w:bidi="ar-EG"/>
        </w:rPr>
      </w:pPr>
      <w:r w:rsidRPr="00A30E6A">
        <w:rPr>
          <w:rStyle w:val="FootnoteReference"/>
        </w:rPr>
        <w:footnoteRef/>
      </w:r>
      <w:r w:rsidRPr="00A30E6A">
        <w:rPr>
          <w:rFonts w:hint="cs"/>
          <w:sz w:val="18"/>
          <w:szCs w:val="18"/>
          <w:rtl/>
          <w:lang w:bidi="ar-EG"/>
        </w:rPr>
        <w:tab/>
      </w:r>
      <w:r w:rsidRPr="00A30E6A">
        <w:rPr>
          <w:sz w:val="18"/>
          <w:szCs w:val="18"/>
          <w:lang w:bidi="ar-EG"/>
        </w:rPr>
        <w:t>2500. A1</w:t>
      </w:r>
      <w:r w:rsidRPr="00A30E6A">
        <w:rPr>
          <w:rFonts w:hint="cs"/>
          <w:sz w:val="18"/>
          <w:szCs w:val="18"/>
          <w:rtl/>
          <w:lang w:bidi="ar-EG"/>
        </w:rPr>
        <w:t xml:space="preserve"> - </w:t>
      </w:r>
      <w:r w:rsidRPr="00A30E6A">
        <w:rPr>
          <w:rFonts w:hint="cs"/>
          <w:sz w:val="18"/>
          <w:szCs w:val="18"/>
          <w:rtl/>
        </w:rPr>
        <w:t>يتعين</w:t>
      </w:r>
      <w:r w:rsidRPr="00A30E6A">
        <w:rPr>
          <w:rFonts w:hint="cs"/>
          <w:sz w:val="18"/>
          <w:szCs w:val="18"/>
          <w:rtl/>
          <w:lang w:bidi="ar-EG"/>
        </w:rPr>
        <w:t xml:space="preserve"> على الرئيس التنفيذي ل</w:t>
      </w:r>
      <w:r w:rsidR="007A3918" w:rsidRPr="00A30E6A">
        <w:rPr>
          <w:rFonts w:hint="cs"/>
          <w:sz w:val="18"/>
          <w:szCs w:val="18"/>
          <w:rtl/>
          <w:lang w:bidi="ar-EG"/>
        </w:rPr>
        <w:t>ل</w:t>
      </w:r>
      <w:r w:rsidRPr="00A30E6A">
        <w:rPr>
          <w:rFonts w:hint="cs"/>
          <w:sz w:val="18"/>
          <w:szCs w:val="18"/>
          <w:rtl/>
          <w:lang w:bidi="ar-EG"/>
        </w:rPr>
        <w:t>مراجعة إنشاء عملية متابعة لرصد وضمان التنفيذ الفعلي للإجراءات التي اتخذها المديرون أو قبول الإدارة العليا مُخاطرة عدم اتخاذ إجراءات.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34A4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1E0697CA" wp14:editId="7DF9D2A8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AF"/>
    <w:rsid w:val="00043563"/>
    <w:rsid w:val="00052FBD"/>
    <w:rsid w:val="0006468A"/>
    <w:rsid w:val="00085C4B"/>
    <w:rsid w:val="00090574"/>
    <w:rsid w:val="000933EF"/>
    <w:rsid w:val="00097B48"/>
    <w:rsid w:val="000C1C0E"/>
    <w:rsid w:val="000C548A"/>
    <w:rsid w:val="0010664F"/>
    <w:rsid w:val="001878AF"/>
    <w:rsid w:val="00197D4A"/>
    <w:rsid w:val="001A108C"/>
    <w:rsid w:val="001C0169"/>
    <w:rsid w:val="001D1D50"/>
    <w:rsid w:val="001D6745"/>
    <w:rsid w:val="001E0182"/>
    <w:rsid w:val="001E446E"/>
    <w:rsid w:val="001F5823"/>
    <w:rsid w:val="002154EE"/>
    <w:rsid w:val="002276D2"/>
    <w:rsid w:val="0023283D"/>
    <w:rsid w:val="00251971"/>
    <w:rsid w:val="0026373E"/>
    <w:rsid w:val="002650DD"/>
    <w:rsid w:val="00271C43"/>
    <w:rsid w:val="00290728"/>
    <w:rsid w:val="002978F4"/>
    <w:rsid w:val="002A182F"/>
    <w:rsid w:val="002A3AC6"/>
    <w:rsid w:val="002B028D"/>
    <w:rsid w:val="002D6483"/>
    <w:rsid w:val="002E6541"/>
    <w:rsid w:val="00334924"/>
    <w:rsid w:val="003409BC"/>
    <w:rsid w:val="00357185"/>
    <w:rsid w:val="00383829"/>
    <w:rsid w:val="00383B2E"/>
    <w:rsid w:val="003B486A"/>
    <w:rsid w:val="003F4B29"/>
    <w:rsid w:val="0042686F"/>
    <w:rsid w:val="004317D8"/>
    <w:rsid w:val="00434183"/>
    <w:rsid w:val="00443869"/>
    <w:rsid w:val="00447F32"/>
    <w:rsid w:val="00456CA2"/>
    <w:rsid w:val="00496829"/>
    <w:rsid w:val="004A792E"/>
    <w:rsid w:val="004B1BBE"/>
    <w:rsid w:val="004B7334"/>
    <w:rsid w:val="004D2605"/>
    <w:rsid w:val="004E11DC"/>
    <w:rsid w:val="004F173F"/>
    <w:rsid w:val="00525DDD"/>
    <w:rsid w:val="005409AC"/>
    <w:rsid w:val="005506B2"/>
    <w:rsid w:val="0055516A"/>
    <w:rsid w:val="0058491B"/>
    <w:rsid w:val="00592EA5"/>
    <w:rsid w:val="00594D22"/>
    <w:rsid w:val="005A3170"/>
    <w:rsid w:val="006175B6"/>
    <w:rsid w:val="00677396"/>
    <w:rsid w:val="0069200F"/>
    <w:rsid w:val="006A65CB"/>
    <w:rsid w:val="006C3242"/>
    <w:rsid w:val="006C7CC0"/>
    <w:rsid w:val="006E7D22"/>
    <w:rsid w:val="006F63F7"/>
    <w:rsid w:val="007025C7"/>
    <w:rsid w:val="00706D7A"/>
    <w:rsid w:val="0070783E"/>
    <w:rsid w:val="00722F0D"/>
    <w:rsid w:val="0072750D"/>
    <w:rsid w:val="0074420E"/>
    <w:rsid w:val="00745E04"/>
    <w:rsid w:val="00750D58"/>
    <w:rsid w:val="00780FAF"/>
    <w:rsid w:val="00781D29"/>
    <w:rsid w:val="00783E26"/>
    <w:rsid w:val="007A3918"/>
    <w:rsid w:val="007B0AA0"/>
    <w:rsid w:val="007B75C8"/>
    <w:rsid w:val="007B7FB8"/>
    <w:rsid w:val="007C3BC7"/>
    <w:rsid w:val="007C3BCD"/>
    <w:rsid w:val="007D4ACF"/>
    <w:rsid w:val="007F0787"/>
    <w:rsid w:val="007F2D6B"/>
    <w:rsid w:val="00810B7B"/>
    <w:rsid w:val="00813FE0"/>
    <w:rsid w:val="008146C8"/>
    <w:rsid w:val="0082358A"/>
    <w:rsid w:val="008235CD"/>
    <w:rsid w:val="008247DE"/>
    <w:rsid w:val="008339C0"/>
    <w:rsid w:val="00840B10"/>
    <w:rsid w:val="008513CB"/>
    <w:rsid w:val="00854BE4"/>
    <w:rsid w:val="008826D4"/>
    <w:rsid w:val="008A7F84"/>
    <w:rsid w:val="008E503B"/>
    <w:rsid w:val="0091702E"/>
    <w:rsid w:val="00923B0C"/>
    <w:rsid w:val="00930678"/>
    <w:rsid w:val="0094021C"/>
    <w:rsid w:val="00944855"/>
    <w:rsid w:val="00952F86"/>
    <w:rsid w:val="0095369C"/>
    <w:rsid w:val="00956B38"/>
    <w:rsid w:val="00967824"/>
    <w:rsid w:val="00982B28"/>
    <w:rsid w:val="009A60C2"/>
    <w:rsid w:val="009C62A1"/>
    <w:rsid w:val="009D313F"/>
    <w:rsid w:val="009E51FC"/>
    <w:rsid w:val="00A30E6A"/>
    <w:rsid w:val="00A34D84"/>
    <w:rsid w:val="00A47A5A"/>
    <w:rsid w:val="00A6683B"/>
    <w:rsid w:val="00A7253E"/>
    <w:rsid w:val="00A85846"/>
    <w:rsid w:val="00A97F94"/>
    <w:rsid w:val="00AA1418"/>
    <w:rsid w:val="00AA7EA2"/>
    <w:rsid w:val="00AB6ACE"/>
    <w:rsid w:val="00AE4530"/>
    <w:rsid w:val="00B03099"/>
    <w:rsid w:val="00B05BC8"/>
    <w:rsid w:val="00B64B47"/>
    <w:rsid w:val="00B95654"/>
    <w:rsid w:val="00B95722"/>
    <w:rsid w:val="00BA696E"/>
    <w:rsid w:val="00BE02C9"/>
    <w:rsid w:val="00C002DE"/>
    <w:rsid w:val="00C2600E"/>
    <w:rsid w:val="00C41300"/>
    <w:rsid w:val="00C53BF8"/>
    <w:rsid w:val="00C66157"/>
    <w:rsid w:val="00C674FE"/>
    <w:rsid w:val="00C67501"/>
    <w:rsid w:val="00C75633"/>
    <w:rsid w:val="00CA45C8"/>
    <w:rsid w:val="00CE2EE1"/>
    <w:rsid w:val="00CE3349"/>
    <w:rsid w:val="00CE36E5"/>
    <w:rsid w:val="00CF27F5"/>
    <w:rsid w:val="00CF3FFD"/>
    <w:rsid w:val="00D0105F"/>
    <w:rsid w:val="00D10CCF"/>
    <w:rsid w:val="00D13941"/>
    <w:rsid w:val="00D27BBF"/>
    <w:rsid w:val="00D63735"/>
    <w:rsid w:val="00D74C18"/>
    <w:rsid w:val="00D752D2"/>
    <w:rsid w:val="00D77D0F"/>
    <w:rsid w:val="00DA1CF0"/>
    <w:rsid w:val="00DB62DD"/>
    <w:rsid w:val="00DC1E02"/>
    <w:rsid w:val="00DC24B4"/>
    <w:rsid w:val="00DC5FB0"/>
    <w:rsid w:val="00DE678D"/>
    <w:rsid w:val="00DE766E"/>
    <w:rsid w:val="00DF16DC"/>
    <w:rsid w:val="00E22642"/>
    <w:rsid w:val="00E41EAA"/>
    <w:rsid w:val="00E45211"/>
    <w:rsid w:val="00E473C5"/>
    <w:rsid w:val="00E61BE8"/>
    <w:rsid w:val="00E92863"/>
    <w:rsid w:val="00EB796D"/>
    <w:rsid w:val="00EB7B9A"/>
    <w:rsid w:val="00EE1F08"/>
    <w:rsid w:val="00F058DC"/>
    <w:rsid w:val="00F24FC4"/>
    <w:rsid w:val="00F2676C"/>
    <w:rsid w:val="00F363FE"/>
    <w:rsid w:val="00F50E3F"/>
    <w:rsid w:val="00F6371D"/>
    <w:rsid w:val="00F84366"/>
    <w:rsid w:val="00F85089"/>
    <w:rsid w:val="00F974C5"/>
    <w:rsid w:val="00FA6F46"/>
    <w:rsid w:val="00FC4592"/>
    <w:rsid w:val="00FC5D33"/>
    <w:rsid w:val="00FD527F"/>
    <w:rsid w:val="00FE5872"/>
    <w:rsid w:val="00FE7FCA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2B282"/>
  <w15:chartTrackingRefBased/>
  <w15:docId w15:val="{776FD500-907E-41EF-97AF-1EA9B2E6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Financial-Regulations/S-GEN-REG_RGTFIN-2018-PDF-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WGFHR15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INF-0005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halil\Desktop\Doc_TRAD\www.thei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1553</Words>
  <Characters>8858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Internal Auditor on internal audit activities</dc:title>
  <dc:subject>Council 2023</dc:subject>
  <dc:creator>Arabic_GE</dc:creator>
  <cp:keywords>C23, C2023, Council-23</cp:keywords>
  <dc:description/>
  <cp:lastModifiedBy>Xue, Kun</cp:lastModifiedBy>
  <cp:revision>2</cp:revision>
  <dcterms:created xsi:type="dcterms:W3CDTF">2023-06-30T10:48:00Z</dcterms:created>
  <dcterms:modified xsi:type="dcterms:W3CDTF">2023-06-30T10:48:00Z</dcterms:modified>
</cp:coreProperties>
</file>