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679E" w:rsidRPr="00E2679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1FED186F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5B7A46" w:rsidRPr="00E2679E">
              <w:rPr>
                <w:b/>
              </w:rPr>
              <w:t xml:space="preserve">ADM </w:t>
            </w:r>
            <w:r w:rsidR="005B7A46" w:rsidRPr="004A753D">
              <w:rPr>
                <w:b/>
              </w:rPr>
              <w:t>1</w:t>
            </w:r>
          </w:p>
        </w:tc>
        <w:tc>
          <w:tcPr>
            <w:tcW w:w="5245" w:type="dxa"/>
          </w:tcPr>
          <w:p w14:paraId="2F0CB53A" w14:textId="37B43EB8" w:rsidR="00AD3606" w:rsidRPr="00E2679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679E">
              <w:rPr>
                <w:b/>
              </w:rPr>
              <w:t>Document C23/</w:t>
            </w:r>
            <w:r w:rsidR="005B7A46" w:rsidRPr="00E2679E">
              <w:rPr>
                <w:b/>
              </w:rPr>
              <w:t>43</w:t>
            </w:r>
            <w:r w:rsidRPr="00E2679E">
              <w:rPr>
                <w:b/>
              </w:rPr>
              <w:t>-E</w:t>
            </w:r>
          </w:p>
        </w:tc>
      </w:tr>
      <w:tr w:rsidR="00E2679E" w:rsidRPr="00E2679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4B5169DC" w:rsidR="00AD3606" w:rsidRPr="00E2679E" w:rsidRDefault="00FB54D3" w:rsidP="00E2679E">
            <w:pPr>
              <w:tabs>
                <w:tab w:val="clear" w:pos="2835"/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6001A">
              <w:rPr>
                <w:b/>
              </w:rPr>
              <w:t>6</w:t>
            </w:r>
            <w:r>
              <w:rPr>
                <w:b/>
              </w:rPr>
              <w:t xml:space="preserve"> May</w:t>
            </w:r>
            <w:r w:rsidR="005B7A46" w:rsidRPr="00E2679E">
              <w:rPr>
                <w:b/>
              </w:rPr>
              <w:t xml:space="preserve"> </w:t>
            </w:r>
            <w:r w:rsidR="00AD3606" w:rsidRPr="00E2679E">
              <w:rPr>
                <w:b/>
              </w:rPr>
              <w:t>2023</w:t>
            </w:r>
          </w:p>
        </w:tc>
      </w:tr>
      <w:tr w:rsidR="00E2679E" w:rsidRPr="00E2679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1519F588" w:rsidR="00AD3606" w:rsidRPr="00E2679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679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336422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068C47F2" w:rsidR="00AD3606" w:rsidRPr="00813E5E" w:rsidRDefault="005B7A46" w:rsidP="00336422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E3228B">
              <w:t>CHOICE OF CLASS OF CONTRIBUTION FOR DEFRAYING THE UNION’S EXPENSES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5063E09F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2E6E766" w14:textId="6B2414D3" w:rsidR="006D582B" w:rsidRPr="00813E5E" w:rsidRDefault="006D582B" w:rsidP="006D582B">
            <w:pPr>
              <w:jc w:val="both"/>
            </w:pPr>
            <w:r>
              <w:t xml:space="preserve">This document </w:t>
            </w:r>
            <w:r w:rsidRPr="00E3228B">
              <w:t>inform</w:t>
            </w:r>
            <w:r>
              <w:t>s</w:t>
            </w:r>
            <w:r w:rsidRPr="00E3228B">
              <w:t xml:space="preserve"> the </w:t>
            </w:r>
            <w:r w:rsidR="00C458DB">
              <w:t xml:space="preserve">ITU </w:t>
            </w:r>
            <w:r w:rsidRPr="00E3228B">
              <w:t>Council of the choice of class of contribution of Member States</w:t>
            </w:r>
            <w:r w:rsidR="00E737AE">
              <w:t xml:space="preserve"> and </w:t>
            </w:r>
            <w:r w:rsidRPr="00E3228B">
              <w:t>Sector Members</w:t>
            </w:r>
            <w:r w:rsidR="00E737AE">
              <w:t xml:space="preserve"> </w:t>
            </w:r>
            <w:r w:rsidRPr="00E3228B">
              <w:t xml:space="preserve">for the period </w:t>
            </w:r>
            <w:r w:rsidR="00CC1888">
              <w:t xml:space="preserve">from </w:t>
            </w:r>
            <w:r w:rsidRPr="00E3228B">
              <w:t>1 January 202</w:t>
            </w:r>
            <w:r>
              <w:t>4</w:t>
            </w:r>
            <w:r w:rsidRPr="00E3228B">
              <w:t xml:space="preserve"> to 31 December 202</w:t>
            </w:r>
            <w:r>
              <w:t>7</w:t>
            </w:r>
            <w:r w:rsidRPr="00E3228B">
              <w:t>.</w:t>
            </w:r>
          </w:p>
          <w:p w14:paraId="45B1495A" w14:textId="4FBB7824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29E2273" w14:textId="77777777" w:rsidR="006D582B" w:rsidRPr="00813E5E" w:rsidRDefault="006D582B" w:rsidP="006D582B">
            <w:pPr>
              <w:jc w:val="both"/>
            </w:pPr>
            <w:r w:rsidRPr="001A7909">
              <w:rPr>
                <w:szCs w:val="24"/>
              </w:rPr>
              <w:t xml:space="preserve">The Council is invited to </w:t>
            </w:r>
            <w:r w:rsidRPr="001A7909">
              <w:rPr>
                <w:b/>
                <w:bCs/>
                <w:szCs w:val="24"/>
              </w:rPr>
              <w:t>take note</w:t>
            </w:r>
            <w:r w:rsidRPr="001A7909">
              <w:rPr>
                <w:szCs w:val="24"/>
              </w:rPr>
              <w:t xml:space="preserve"> of this document.</w:t>
            </w:r>
          </w:p>
          <w:p w14:paraId="37FFC8DD" w14:textId="77777777" w:rsidR="00D410D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21A50">
              <w:rPr>
                <w:b/>
                <w:bCs/>
                <w:sz w:val="26"/>
                <w:szCs w:val="26"/>
              </w:rPr>
              <w:t>Relevant link</w:t>
            </w:r>
            <w:r w:rsidR="00A54171" w:rsidRPr="00421A50">
              <w:rPr>
                <w:b/>
                <w:bCs/>
                <w:sz w:val="26"/>
                <w:szCs w:val="26"/>
              </w:rPr>
              <w:t>(s)</w:t>
            </w:r>
            <w:r w:rsidRPr="00421A50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71511FA1" w14:textId="024589AB" w:rsidR="00F16BAB" w:rsidRPr="008A78FA" w:rsidRDefault="00135CDC" w:rsidP="00F16BAB">
            <w:pPr>
              <w:spacing w:before="160"/>
              <w:rPr>
                <w:sz w:val="26"/>
                <w:szCs w:val="26"/>
              </w:rPr>
            </w:pPr>
            <w:r w:rsidRPr="008A78FA">
              <w:rPr>
                <w:szCs w:val="24"/>
              </w:rPr>
              <w:t xml:space="preserve">All </w:t>
            </w:r>
            <w:r w:rsidR="00C458DB">
              <w:rPr>
                <w:szCs w:val="24"/>
              </w:rPr>
              <w:t>t</w:t>
            </w:r>
            <w:r w:rsidRPr="008A78FA">
              <w:rPr>
                <w:szCs w:val="24"/>
              </w:rPr>
              <w:t xml:space="preserve">hematic </w:t>
            </w:r>
            <w:r w:rsidR="00C458DB">
              <w:rPr>
                <w:szCs w:val="24"/>
              </w:rPr>
              <w:t>p</w:t>
            </w:r>
            <w:r w:rsidRPr="008A78FA">
              <w:rPr>
                <w:szCs w:val="24"/>
              </w:rPr>
              <w:t>riorities</w:t>
            </w:r>
            <w:r w:rsidR="002F320C">
              <w:rPr>
                <w:szCs w:val="24"/>
              </w:rPr>
              <w:t>.</w:t>
            </w:r>
          </w:p>
          <w:p w14:paraId="634A5F49" w14:textId="7915EDF6" w:rsidR="00C458D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5710A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62765D96" w:rsidR="00F16BAB" w:rsidRPr="002428C0" w:rsidRDefault="00135CDC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F112C">
              <w:rPr>
                <w:szCs w:val="24"/>
              </w:rPr>
              <w:t xml:space="preserve">Revenue from </w:t>
            </w:r>
            <w:r w:rsidR="009638C9" w:rsidRPr="005F112C">
              <w:rPr>
                <w:szCs w:val="24"/>
              </w:rPr>
              <w:t>m</w:t>
            </w:r>
            <w:r w:rsidRPr="005F112C">
              <w:rPr>
                <w:szCs w:val="24"/>
              </w:rPr>
              <w:t>embership contributions</w:t>
            </w:r>
            <w:r w:rsidR="00C458DB">
              <w:rPr>
                <w:szCs w:val="24"/>
              </w:rPr>
              <w:t>:</w:t>
            </w:r>
            <w:r w:rsidR="00C458DB" w:rsidRPr="00477169">
              <w:rPr>
                <w:szCs w:val="24"/>
              </w:rPr>
              <w:t xml:space="preserve"> </w:t>
            </w:r>
            <w:r w:rsidR="00C458DB">
              <w:rPr>
                <w:szCs w:val="24"/>
              </w:rPr>
              <w:t>a</w:t>
            </w:r>
            <w:r w:rsidR="000C305A" w:rsidRPr="00477169">
              <w:rPr>
                <w:szCs w:val="24"/>
              </w:rPr>
              <w:t xml:space="preserve">ccording to </w:t>
            </w:r>
            <w:r w:rsidR="00502F47" w:rsidRPr="00477169">
              <w:rPr>
                <w:szCs w:val="24"/>
              </w:rPr>
              <w:t xml:space="preserve">the </w:t>
            </w:r>
            <w:r w:rsidR="00C458DB">
              <w:rPr>
                <w:szCs w:val="24"/>
              </w:rPr>
              <w:t>b</w:t>
            </w:r>
            <w:r w:rsidR="000C305A" w:rsidRPr="00477169">
              <w:rPr>
                <w:szCs w:val="24"/>
              </w:rPr>
              <w:t>udget</w:t>
            </w:r>
            <w:r w:rsidR="00C458DB">
              <w:rPr>
                <w:szCs w:val="24"/>
              </w:rPr>
              <w:t xml:space="preserve"> for 2024</w:t>
            </w:r>
            <w:r w:rsidR="00502F47" w:rsidRPr="00477169">
              <w:rPr>
                <w:szCs w:val="24"/>
              </w:rPr>
              <w:t>,</w:t>
            </w:r>
            <w:r w:rsidR="000C305A" w:rsidRPr="00477169">
              <w:rPr>
                <w:szCs w:val="24"/>
              </w:rPr>
              <w:t xml:space="preserve"> assessed contributions amount to </w:t>
            </w:r>
            <w:r w:rsidR="000C305A" w:rsidRPr="002428C0">
              <w:rPr>
                <w:szCs w:val="24"/>
              </w:rPr>
              <w:t>CHF</w:t>
            </w:r>
            <w:r w:rsidR="00502F47" w:rsidRPr="002428C0">
              <w:rPr>
                <w:szCs w:val="24"/>
              </w:rPr>
              <w:t> </w:t>
            </w:r>
            <w:r w:rsidR="000C305A" w:rsidRPr="002428C0">
              <w:rPr>
                <w:szCs w:val="24"/>
              </w:rPr>
              <w:t>129</w:t>
            </w:r>
            <w:r w:rsidR="00ED228D" w:rsidRPr="002428C0">
              <w:rPr>
                <w:szCs w:val="24"/>
              </w:rPr>
              <w:t xml:space="preserve">.6 </w:t>
            </w:r>
            <w:r w:rsidR="000C305A" w:rsidRPr="002428C0">
              <w:rPr>
                <w:szCs w:val="24"/>
              </w:rPr>
              <w:t>million.</w:t>
            </w:r>
          </w:p>
          <w:p w14:paraId="6F1B8B4E" w14:textId="6EE8F4C8" w:rsidR="00AD3606" w:rsidRPr="00336422" w:rsidRDefault="00AD3606" w:rsidP="00336422">
            <w:pPr>
              <w:rPr>
                <w:sz w:val="22"/>
                <w:lang w:val="en-US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95E2055" w:rsidR="00AD3606" w:rsidRDefault="0036001A" w:rsidP="00F16BAB">
            <w:pPr>
              <w:spacing w:after="160"/>
            </w:pPr>
            <w:hyperlink r:id="rId8" w:history="1">
              <w:r w:rsidR="006D582B" w:rsidRPr="002468D8">
                <w:rPr>
                  <w:rStyle w:val="Hyperlink"/>
                  <w:bCs/>
                  <w:i/>
                  <w:iCs/>
                  <w:szCs w:val="24"/>
                </w:rPr>
                <w:t xml:space="preserve">CS </w:t>
              </w:r>
              <w:r w:rsidR="00C458DB">
                <w:rPr>
                  <w:rStyle w:val="Hyperlink"/>
                  <w:bCs/>
                  <w:i/>
                  <w:iCs/>
                  <w:szCs w:val="24"/>
                </w:rPr>
                <w:t xml:space="preserve">Nos. </w:t>
              </w:r>
              <w:r w:rsidR="006D582B" w:rsidRPr="002468D8">
                <w:rPr>
                  <w:rStyle w:val="Hyperlink"/>
                  <w:bCs/>
                  <w:i/>
                  <w:iCs/>
                  <w:szCs w:val="24"/>
                </w:rPr>
                <w:t>161E,</w:t>
              </w:r>
              <w:r w:rsidR="006D582B" w:rsidRPr="002468D8">
                <w:rPr>
                  <w:rStyle w:val="Hyperlink"/>
                </w:rPr>
                <w:t xml:space="preserve"> </w:t>
              </w:r>
              <w:r w:rsidR="006D582B" w:rsidRPr="002468D8">
                <w:rPr>
                  <w:rStyle w:val="Hyperlink"/>
                  <w:bCs/>
                  <w:i/>
                  <w:iCs/>
                  <w:szCs w:val="24"/>
                </w:rPr>
                <w:t>161F, 161H and 161I (Article 28)</w:t>
              </w:r>
            </w:hyperlink>
            <w:r w:rsidR="006D582B" w:rsidRPr="00C31068">
              <w:rPr>
                <w:bCs/>
                <w:i/>
                <w:iCs/>
                <w:szCs w:val="24"/>
              </w:rPr>
              <w:t>.</w:t>
            </w:r>
            <w:r w:rsidR="006D582B" w:rsidRPr="008A78FA">
              <w:rPr>
                <w:bCs/>
                <w:i/>
                <w:iCs/>
                <w:szCs w:val="24"/>
              </w:rPr>
              <w:br/>
            </w:r>
            <w:r w:rsidR="006D582B" w:rsidRPr="008A78FA">
              <w:rPr>
                <w:i/>
                <w:iCs/>
                <w:szCs w:val="24"/>
              </w:rPr>
              <w:t xml:space="preserve">CV </w:t>
            </w:r>
            <w:r w:rsidR="00C458DB">
              <w:rPr>
                <w:i/>
                <w:iCs/>
                <w:szCs w:val="24"/>
              </w:rPr>
              <w:t xml:space="preserve">No. </w:t>
            </w:r>
            <w:hyperlink r:id="rId9" w:history="1">
              <w:r w:rsidR="006D582B" w:rsidRPr="002468D8">
                <w:rPr>
                  <w:rStyle w:val="Hyperlink"/>
                  <w:i/>
                  <w:iCs/>
                  <w:szCs w:val="24"/>
                </w:rPr>
                <w:t>468</w:t>
              </w:r>
            </w:hyperlink>
            <w:r w:rsidR="006D582B" w:rsidRPr="008A78FA">
              <w:rPr>
                <w:i/>
                <w:iCs/>
                <w:szCs w:val="24"/>
              </w:rPr>
              <w:t xml:space="preserve"> (Article 33); </w:t>
            </w:r>
            <w:hyperlink r:id="rId10" w:history="1">
              <w:r w:rsidR="006D582B" w:rsidRPr="002468D8">
                <w:rPr>
                  <w:rStyle w:val="Hyperlink"/>
                  <w:i/>
                  <w:iCs/>
                  <w:szCs w:val="24"/>
                </w:rPr>
                <w:t>Decision 5</w:t>
              </w:r>
            </w:hyperlink>
            <w:r w:rsidR="006D582B" w:rsidRPr="008A78FA">
              <w:rPr>
                <w:i/>
                <w:iCs/>
                <w:szCs w:val="24"/>
              </w:rPr>
              <w:t xml:space="preserve"> (Rev.</w:t>
            </w:r>
            <w:r w:rsidR="00E35BD9" w:rsidRPr="008A78FA">
              <w:t xml:space="preserve"> </w:t>
            </w:r>
            <w:r w:rsidR="00E35BD9" w:rsidRPr="008A78FA">
              <w:rPr>
                <w:i/>
                <w:iCs/>
              </w:rPr>
              <w:t>Bucharest, 2022</w:t>
            </w:r>
            <w:r w:rsidR="006D582B" w:rsidRPr="008A78FA">
              <w:rPr>
                <w:i/>
                <w:iCs/>
                <w:szCs w:val="24"/>
              </w:rPr>
              <w:t>)</w:t>
            </w:r>
            <w:r w:rsidR="00C458DB">
              <w:rPr>
                <w:i/>
                <w:iCs/>
                <w:szCs w:val="24"/>
              </w:rPr>
              <w:t xml:space="preserve"> of the Plenipotentiary Conference</w:t>
            </w:r>
          </w:p>
        </w:tc>
      </w:tr>
      <w:bookmarkEnd w:id="5"/>
    </w:tbl>
    <w:p w14:paraId="54CD7B81" w14:textId="404FDFE9" w:rsidR="00E4161A" w:rsidRPr="00872BE7" w:rsidRDefault="00E416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34DB4C0" w14:textId="77777777" w:rsidR="00E4161A" w:rsidRPr="00872BE7" w:rsidRDefault="00E416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72BE7">
        <w:br w:type="page"/>
      </w:r>
    </w:p>
    <w:p w14:paraId="27A77B6E" w14:textId="269FDB82" w:rsidR="006D582B" w:rsidRPr="0025466C" w:rsidRDefault="006D582B" w:rsidP="006D582B">
      <w:pPr>
        <w:spacing w:after="120"/>
        <w:jc w:val="both"/>
      </w:pPr>
      <w:r w:rsidRPr="0025466C">
        <w:lastRenderedPageBreak/>
        <w:t>1</w:t>
      </w:r>
      <w:r w:rsidRPr="0025466C">
        <w:tab/>
        <w:t xml:space="preserve">During its </w:t>
      </w:r>
      <w:r>
        <w:t xml:space="preserve">first </w:t>
      </w:r>
      <w:r w:rsidRPr="0025466C">
        <w:t>plenary meeting, the P</w:t>
      </w:r>
      <w:r>
        <w:t>lenipotentiary Conference (Bucharest, 2022), held from 26 September to 14</w:t>
      </w:r>
      <w:r w:rsidRPr="0025466C">
        <w:t xml:space="preserve"> </w:t>
      </w:r>
      <w:r>
        <w:t>Octo</w:t>
      </w:r>
      <w:r w:rsidRPr="0025466C">
        <w:t>ber</w:t>
      </w:r>
      <w:r>
        <w:t xml:space="preserve"> 2022</w:t>
      </w:r>
      <w:r w:rsidRPr="0025466C">
        <w:t>, set the amount of the contributory unit at</w:t>
      </w:r>
      <w:r>
        <w:t xml:space="preserve"> CHF</w:t>
      </w:r>
      <w:r w:rsidR="00FC4BA5">
        <w:t> </w:t>
      </w:r>
      <w:r>
        <w:t>318</w:t>
      </w:r>
      <w:r w:rsidR="00FC4BA5">
        <w:t> </w:t>
      </w:r>
      <w:r>
        <w:t>000 for the period 2024-2027</w:t>
      </w:r>
      <w:r w:rsidRPr="0025466C">
        <w:t>.</w:t>
      </w:r>
    </w:p>
    <w:p w14:paraId="5F36F31E" w14:textId="6BEB0E84" w:rsidR="006D582B" w:rsidRPr="0025466C" w:rsidRDefault="006D582B" w:rsidP="006D582B">
      <w:pPr>
        <w:spacing w:after="120"/>
        <w:jc w:val="both"/>
      </w:pPr>
      <w:r w:rsidRPr="0025466C">
        <w:t>2</w:t>
      </w:r>
      <w:r w:rsidRPr="0025466C">
        <w:tab/>
        <w:t>Pursuant to the decisions taken at the aforementioned plenary meeting, each Member State was invited to announce its choice of</w:t>
      </w:r>
      <w:r>
        <w:t xml:space="preserve"> class of contribution by Wednesday</w:t>
      </w:r>
      <w:r w:rsidR="0060595F">
        <w:t>,</w:t>
      </w:r>
      <w:r>
        <w:t xml:space="preserve"> </w:t>
      </w:r>
      <w:r w:rsidRPr="004F1C2A">
        <w:t>28</w:t>
      </w:r>
      <w:r w:rsidR="0060595F">
        <w:t> </w:t>
      </w:r>
      <w:r w:rsidRPr="004F1C2A">
        <w:t>September</w:t>
      </w:r>
      <w:r w:rsidR="0060595F">
        <w:t> </w:t>
      </w:r>
      <w:r w:rsidRPr="004F1C2A">
        <w:t xml:space="preserve">2022 at </w:t>
      </w:r>
      <w:r w:rsidRPr="0025466C">
        <w:t>2359 hours, Geneva time. Member States having failed to notify the Secretary-General of their decision by that date retained the class of contribution previously chosen.</w:t>
      </w:r>
    </w:p>
    <w:p w14:paraId="5A199CAA" w14:textId="77428F1D" w:rsidR="006D582B" w:rsidRPr="0025466C" w:rsidRDefault="006D582B" w:rsidP="006D582B">
      <w:pPr>
        <w:spacing w:after="120"/>
        <w:jc w:val="both"/>
      </w:pPr>
      <w:r>
        <w:t>3</w:t>
      </w:r>
      <w:r>
        <w:tab/>
      </w:r>
      <w:r w:rsidRPr="00CA1A0D">
        <w:t xml:space="preserve">In a communication </w:t>
      </w:r>
      <w:r w:rsidR="00260875">
        <w:t>dated</w:t>
      </w:r>
      <w:r w:rsidR="000478D2" w:rsidRPr="00CA1A0D">
        <w:t xml:space="preserve"> </w:t>
      </w:r>
      <w:r w:rsidR="00260875">
        <w:t xml:space="preserve">23 </w:t>
      </w:r>
      <w:r w:rsidRPr="00CA1A0D">
        <w:t xml:space="preserve">March 2023, the </w:t>
      </w:r>
      <w:r w:rsidR="00260875">
        <w:t xml:space="preserve">Chief of the Financial Resources Management Department informed </w:t>
      </w:r>
      <w:r w:rsidRPr="00CA1A0D">
        <w:t>Sector Members of</w:t>
      </w:r>
      <w:r w:rsidR="00260875">
        <w:t xml:space="preserve"> </w:t>
      </w:r>
      <w:r w:rsidRPr="00CA1A0D">
        <w:t xml:space="preserve">the definitive upper limit of the amount of the contributory unit and </w:t>
      </w:r>
      <w:r w:rsidR="00260875">
        <w:t>invited them to notify, by 31 May 20</w:t>
      </w:r>
      <w:r w:rsidR="0089281A">
        <w:t>23,</w:t>
      </w:r>
      <w:r w:rsidR="00983F83">
        <w:t xml:space="preserve"> </w:t>
      </w:r>
      <w:r w:rsidRPr="00CA1A0D">
        <w:t xml:space="preserve">their choice of class of contribution </w:t>
      </w:r>
      <w:r>
        <w:t>for the period 1</w:t>
      </w:r>
      <w:r w:rsidR="0060595F">
        <w:t> </w:t>
      </w:r>
      <w:r>
        <w:t>January</w:t>
      </w:r>
      <w:r w:rsidR="0060595F">
        <w:t> </w:t>
      </w:r>
      <w:r>
        <w:t>2024 to 31 December 2027</w:t>
      </w:r>
      <w:r w:rsidRPr="0025466C">
        <w:t xml:space="preserve">. Sector Members </w:t>
      </w:r>
      <w:r w:rsidR="005F5ECB">
        <w:t xml:space="preserve">having </w:t>
      </w:r>
      <w:r w:rsidRPr="0025466C">
        <w:t>fail</w:t>
      </w:r>
      <w:r w:rsidR="005F5ECB">
        <w:t>ed</w:t>
      </w:r>
      <w:r w:rsidRPr="0025466C">
        <w:t xml:space="preserve"> to notify the Secretary-General of their decision by that date</w:t>
      </w:r>
      <w:r w:rsidR="000478D2">
        <w:t xml:space="preserve"> will </w:t>
      </w:r>
      <w:r w:rsidRPr="0025466C">
        <w:t>retain the class of contribution previously chosen.</w:t>
      </w:r>
    </w:p>
    <w:p w14:paraId="239C0CA3" w14:textId="0D247E0E" w:rsidR="006D582B" w:rsidRDefault="006D582B" w:rsidP="006D582B">
      <w:pPr>
        <w:spacing w:after="120"/>
        <w:jc w:val="both"/>
      </w:pPr>
      <w:r w:rsidRPr="0025466C">
        <w:t>4</w:t>
      </w:r>
      <w:r w:rsidRPr="0025466C">
        <w:tab/>
      </w:r>
      <w:hyperlink w:anchor="Annex_1" w:history="1">
        <w:r w:rsidRPr="00E4161A">
          <w:rPr>
            <w:rStyle w:val="Hyperlink"/>
          </w:rPr>
          <w:t>Annex 1</w:t>
        </w:r>
      </w:hyperlink>
      <w:r w:rsidRPr="0025466C">
        <w:t xml:space="preserve"> contains a comparative table of the classes of contribution chosen by Member States between the Plenipo</w:t>
      </w:r>
      <w:r>
        <w:t>tentiary Conference (Dubai, 2018</w:t>
      </w:r>
      <w:r w:rsidRPr="0025466C">
        <w:t>)</w:t>
      </w:r>
      <w:r w:rsidR="00C458DB">
        <w:t xml:space="preserve"> (PP-18)</w:t>
      </w:r>
      <w:r w:rsidRPr="0025466C">
        <w:t xml:space="preserve"> and the Plenipotentiary C</w:t>
      </w:r>
      <w:r>
        <w:t>onference (Bucharest, 2022)</w:t>
      </w:r>
      <w:r w:rsidR="00C458DB">
        <w:t xml:space="preserve"> (PP-22)</w:t>
      </w:r>
      <w:r>
        <w:t>.</w:t>
      </w:r>
    </w:p>
    <w:p w14:paraId="070B192C" w14:textId="21AA4802" w:rsidR="006D582B" w:rsidRPr="0025466C" w:rsidRDefault="006D582B" w:rsidP="006D582B">
      <w:pPr>
        <w:spacing w:after="120"/>
        <w:jc w:val="both"/>
      </w:pPr>
      <w:r w:rsidRPr="0025466C">
        <w:t>5</w:t>
      </w:r>
      <w:r w:rsidRPr="0025466C">
        <w:tab/>
      </w:r>
      <w:hyperlink w:anchor="Annex_2" w:history="1">
        <w:r w:rsidRPr="00E4161A">
          <w:rPr>
            <w:rStyle w:val="Hyperlink"/>
          </w:rPr>
          <w:t>Annex 2</w:t>
        </w:r>
      </w:hyperlink>
      <w:r w:rsidRPr="0025466C">
        <w:t xml:space="preserve"> shows the evolution in the contributory units chosen by Sector Members and the evolution i</w:t>
      </w:r>
      <w:r>
        <w:t>n the number of Associates and Academi</w:t>
      </w:r>
      <w:r w:rsidR="00C458DB">
        <w:t>a</w:t>
      </w:r>
      <w:r w:rsidRPr="0025466C">
        <w:t xml:space="preserve"> between </w:t>
      </w:r>
      <w:r w:rsidR="00C458DB">
        <w:t>PP-</w:t>
      </w:r>
      <w:r>
        <w:t>18</w:t>
      </w:r>
      <w:r w:rsidRPr="0025466C">
        <w:t xml:space="preserve"> and </w:t>
      </w:r>
      <w:r w:rsidR="00C458DB">
        <w:t>PP-</w:t>
      </w:r>
      <w:r>
        <w:t>22.</w:t>
      </w:r>
    </w:p>
    <w:p w14:paraId="4FD16E65" w14:textId="60A8FD6F" w:rsidR="006D582B" w:rsidRPr="0025466C" w:rsidRDefault="006D582B" w:rsidP="00B53C0A">
      <w:pPr>
        <w:spacing w:after="120"/>
        <w:jc w:val="both"/>
      </w:pPr>
      <w:r w:rsidRPr="0025466C">
        <w:t>6</w:t>
      </w:r>
      <w:r w:rsidRPr="0025466C">
        <w:tab/>
        <w:t>The number of Member State</w:t>
      </w:r>
      <w:r>
        <w:t>s’</w:t>
      </w:r>
      <w:r w:rsidRPr="0025466C">
        <w:t xml:space="preserve"> contributory units has changed as follows: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720"/>
        <w:gridCol w:w="2520"/>
        <w:gridCol w:w="1403"/>
      </w:tblGrid>
      <w:tr w:rsidR="006D582B" w:rsidRPr="0025466C" w14:paraId="258F4697" w14:textId="77777777" w:rsidTr="00872BE7">
        <w:trPr>
          <w:trHeight w:val="1065"/>
        </w:trPr>
        <w:tc>
          <w:tcPr>
            <w:tcW w:w="2405" w:type="dxa"/>
            <w:shd w:val="clear" w:color="auto" w:fill="auto"/>
            <w:hideMark/>
          </w:tcPr>
          <w:p w14:paraId="3085087C" w14:textId="10DDAE50" w:rsidR="006D582B" w:rsidRPr="009F536F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Member States</w:t>
            </w:r>
          </w:p>
        </w:tc>
        <w:tc>
          <w:tcPr>
            <w:tcW w:w="2720" w:type="dxa"/>
            <w:shd w:val="clear" w:color="auto" w:fill="auto"/>
            <w:hideMark/>
          </w:tcPr>
          <w:p w14:paraId="0E2C2428" w14:textId="1A6487C7" w:rsidR="000B56F5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No. of </w:t>
            </w:r>
            <w:r w:rsidR="005F5ECB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contributory 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units</w:t>
            </w:r>
          </w:p>
          <w:p w14:paraId="7AA3572F" w14:textId="3212B538" w:rsidR="006D582B" w:rsidRPr="0025466C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PP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-18</w:t>
            </w:r>
          </w:p>
        </w:tc>
        <w:tc>
          <w:tcPr>
            <w:tcW w:w="2520" w:type="dxa"/>
            <w:shd w:val="clear" w:color="auto" w:fill="auto"/>
            <w:hideMark/>
          </w:tcPr>
          <w:p w14:paraId="681B1110" w14:textId="5F1C2C31" w:rsidR="000B56F5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No. of </w:t>
            </w:r>
            <w:r w:rsidR="005F5ECB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contributory 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units</w:t>
            </w:r>
          </w:p>
          <w:p w14:paraId="6754939E" w14:textId="7A814821" w:rsidR="006D582B" w:rsidRPr="0025466C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PP-22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br/>
              <w:t>(2024-2027</w:t>
            </w: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03" w:type="dxa"/>
            <w:shd w:val="clear" w:color="auto" w:fill="auto"/>
            <w:hideMark/>
          </w:tcPr>
          <w:p w14:paraId="32B003D1" w14:textId="77777777" w:rsidR="006D582B" w:rsidRPr="0025466C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Difference</w:t>
            </w:r>
          </w:p>
        </w:tc>
      </w:tr>
      <w:tr w:rsidR="006D582B" w:rsidRPr="00E957B7" w14:paraId="699C08AF" w14:textId="77777777" w:rsidTr="00872BE7">
        <w:trPr>
          <w:trHeight w:val="390"/>
        </w:trPr>
        <w:tc>
          <w:tcPr>
            <w:tcW w:w="2405" w:type="dxa"/>
            <w:shd w:val="clear" w:color="auto" w:fill="auto"/>
            <w:vAlign w:val="center"/>
            <w:hideMark/>
          </w:tcPr>
          <w:p w14:paraId="0493C449" w14:textId="4C78BB7C" w:rsidR="006D582B" w:rsidRPr="0025466C" w:rsidRDefault="004A56C1" w:rsidP="004A56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DDC530" w14:textId="03C83ACF" w:rsidR="006D582B" w:rsidRPr="00A8146B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4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A8146B">
              <w:rPr>
                <w:rFonts w:cs="Arial"/>
                <w:sz w:val="22"/>
                <w:szCs w:val="22"/>
                <w:lang w:eastAsia="zh-CN"/>
              </w:rPr>
              <w:t>343 11/16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DE2A3C5" w14:textId="0551FB4E" w:rsidR="006D582B" w:rsidRPr="00A8146B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A8146B">
              <w:rPr>
                <w:rFonts w:cs="Arial"/>
                <w:sz w:val="22"/>
                <w:szCs w:val="22"/>
                <w:lang w:eastAsia="zh-CN"/>
              </w:rPr>
              <w:t>355 15/16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B19488" w14:textId="016CA814" w:rsidR="006D582B" w:rsidRPr="00A8146B" w:rsidRDefault="006D582B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A8146B">
              <w:rPr>
                <w:rFonts w:cs="Arial"/>
                <w:b/>
                <w:bCs/>
                <w:sz w:val="22"/>
                <w:szCs w:val="22"/>
                <w:lang w:eastAsia="zh-CN"/>
              </w:rPr>
              <w:t>12 1/4</w:t>
            </w:r>
          </w:p>
        </w:tc>
      </w:tr>
    </w:tbl>
    <w:p w14:paraId="22061544" w14:textId="4B00AB27" w:rsidR="006D582B" w:rsidRPr="00A8146B" w:rsidRDefault="006D582B" w:rsidP="00E4161A">
      <w:pPr>
        <w:spacing w:before="240"/>
        <w:rPr>
          <w:lang w:eastAsia="zh-CN"/>
        </w:rPr>
      </w:pPr>
      <w:r w:rsidRPr="0025466C">
        <w:rPr>
          <w:lang w:eastAsia="zh-CN"/>
        </w:rPr>
        <w:t>7</w:t>
      </w:r>
      <w:r w:rsidRPr="0025466C">
        <w:rPr>
          <w:lang w:eastAsia="zh-CN"/>
        </w:rPr>
        <w:tab/>
      </w:r>
      <w:r>
        <w:rPr>
          <w:lang w:eastAsia="zh-CN"/>
        </w:rPr>
        <w:t>The above figures reveal</w:t>
      </w:r>
      <w:r w:rsidRPr="000E0BCB">
        <w:rPr>
          <w:lang w:eastAsia="zh-CN"/>
        </w:rPr>
        <w:t xml:space="preserve"> that the number of Member State</w:t>
      </w:r>
      <w:r>
        <w:rPr>
          <w:lang w:eastAsia="zh-CN"/>
        </w:rPr>
        <w:t>s’</w:t>
      </w:r>
      <w:r w:rsidRPr="000E0BCB">
        <w:rPr>
          <w:lang w:eastAsia="zh-CN"/>
        </w:rPr>
        <w:t xml:space="preserve"> contributory units rose from </w:t>
      </w:r>
      <w:r w:rsidRPr="00A8146B">
        <w:rPr>
          <w:lang w:eastAsia="zh-CN"/>
        </w:rPr>
        <w:t>343 11/16 to 355 15/16, an increase of 12 1/4 units (4</w:t>
      </w:r>
      <w:r w:rsidR="000B56F5">
        <w:rPr>
          <w:lang w:eastAsia="zh-CN"/>
        </w:rPr>
        <w:t xml:space="preserve"> per cent</w:t>
      </w:r>
      <w:r w:rsidRPr="00A8146B">
        <w:rPr>
          <w:lang w:eastAsia="zh-CN"/>
        </w:rPr>
        <w:t>).</w:t>
      </w:r>
      <w:r w:rsidR="002F4438">
        <w:rPr>
          <w:lang w:eastAsia="zh-CN"/>
        </w:rPr>
        <w:t xml:space="preserve"> </w:t>
      </w:r>
      <w:r w:rsidR="00E02C5E">
        <w:rPr>
          <w:lang w:eastAsia="zh-CN"/>
        </w:rPr>
        <w:t>The annual value of the contributory unit for Member States amounts to CHF 318</w:t>
      </w:r>
      <w:r w:rsidR="00C458DB">
        <w:rPr>
          <w:lang w:eastAsia="zh-CN"/>
        </w:rPr>
        <w:t> </w:t>
      </w:r>
      <w:r w:rsidR="00E02C5E">
        <w:rPr>
          <w:lang w:eastAsia="zh-CN"/>
        </w:rPr>
        <w:t xml:space="preserve">000. </w:t>
      </w:r>
    </w:p>
    <w:p w14:paraId="5E6A9690" w14:textId="7EF01B17" w:rsidR="006D582B" w:rsidRDefault="006D582B" w:rsidP="00B53C0A">
      <w:pPr>
        <w:spacing w:after="120"/>
        <w:rPr>
          <w:lang w:eastAsia="zh-CN"/>
        </w:rPr>
      </w:pPr>
      <w:r w:rsidRPr="0025466C">
        <w:rPr>
          <w:lang w:eastAsia="zh-CN"/>
        </w:rPr>
        <w:t>8</w:t>
      </w:r>
      <w:r w:rsidRPr="0025466C">
        <w:rPr>
          <w:lang w:eastAsia="zh-CN"/>
        </w:rPr>
        <w:tab/>
        <w:t>The number of Sector Member</w:t>
      </w:r>
      <w:r>
        <w:rPr>
          <w:lang w:eastAsia="zh-CN"/>
        </w:rPr>
        <w:t>s’</w:t>
      </w:r>
      <w:r w:rsidRPr="0025466C">
        <w:rPr>
          <w:lang w:eastAsia="zh-CN"/>
        </w:rPr>
        <w:t xml:space="preserve"> contributory units has changed as follows: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95"/>
        <w:gridCol w:w="1313"/>
        <w:gridCol w:w="19"/>
      </w:tblGrid>
      <w:tr w:rsidR="00464B87" w:rsidRPr="0025466C" w14:paraId="27769D0C" w14:textId="77777777" w:rsidTr="00872BE7">
        <w:trPr>
          <w:gridAfter w:val="1"/>
          <w:wAfter w:w="19" w:type="dxa"/>
          <w:trHeight w:val="1065"/>
        </w:trPr>
        <w:tc>
          <w:tcPr>
            <w:tcW w:w="2405" w:type="dxa"/>
            <w:shd w:val="clear" w:color="auto" w:fill="auto"/>
            <w:hideMark/>
          </w:tcPr>
          <w:p w14:paraId="1BD16409" w14:textId="69664FF4" w:rsidR="00464B87" w:rsidRPr="009F536F" w:rsidRDefault="00464B87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Sector Members</w:t>
            </w:r>
          </w:p>
        </w:tc>
        <w:tc>
          <w:tcPr>
            <w:tcW w:w="2835" w:type="dxa"/>
            <w:shd w:val="clear" w:color="auto" w:fill="auto"/>
            <w:hideMark/>
          </w:tcPr>
          <w:p w14:paraId="47D28617" w14:textId="77777777" w:rsidR="00464B87" w:rsidRDefault="00464B87" w:rsidP="00464B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</w:p>
          <w:p w14:paraId="4F031BDF" w14:textId="198AF7D9" w:rsidR="00464B87" w:rsidRDefault="00464B87" w:rsidP="00464B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No. of </w:t>
            </w:r>
            <w:r w:rsidR="005F5ECB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contributory 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units</w:t>
            </w:r>
          </w:p>
          <w:p w14:paraId="4AF76EAE" w14:textId="3872A6E5" w:rsidR="00464B87" w:rsidRPr="0025466C" w:rsidRDefault="00464B87" w:rsidP="00464B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P</w:t>
            </w: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P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-18</w:t>
            </w:r>
          </w:p>
        </w:tc>
        <w:tc>
          <w:tcPr>
            <w:tcW w:w="2495" w:type="dxa"/>
            <w:shd w:val="clear" w:color="auto" w:fill="auto"/>
            <w:hideMark/>
          </w:tcPr>
          <w:p w14:paraId="4865FA41" w14:textId="77777777" w:rsidR="000B56F5" w:rsidRDefault="000B56F5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</w:p>
          <w:p w14:paraId="0DA86F8E" w14:textId="7D6243FB" w:rsidR="000B56F5" w:rsidRDefault="00464B87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No. of </w:t>
            </w:r>
            <w:r w:rsidR="005F5ECB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contributory 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units</w:t>
            </w:r>
          </w:p>
          <w:p w14:paraId="1C4B5131" w14:textId="77777777" w:rsidR="00464B87" w:rsidRDefault="000B56F5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P</w:t>
            </w:r>
            <w:r w:rsidR="00464B87">
              <w:rPr>
                <w:rFonts w:cs="Arial"/>
                <w:b/>
                <w:bCs/>
                <w:sz w:val="22"/>
                <w:szCs w:val="22"/>
                <w:lang w:eastAsia="zh-CN"/>
              </w:rPr>
              <w:t>P-22</w:t>
            </w:r>
          </w:p>
          <w:p w14:paraId="115DF902" w14:textId="1076810C" w:rsidR="00201A69" w:rsidRPr="0025466C" w:rsidRDefault="00201A69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(2024-2027</w:t>
            </w: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13" w:type="dxa"/>
            <w:shd w:val="clear" w:color="auto" w:fill="auto"/>
            <w:hideMark/>
          </w:tcPr>
          <w:p w14:paraId="5D267580" w14:textId="77777777" w:rsidR="00464B87" w:rsidRPr="0025466C" w:rsidRDefault="00464B87" w:rsidP="000B5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Difference</w:t>
            </w:r>
          </w:p>
        </w:tc>
      </w:tr>
      <w:tr w:rsidR="003E4E5D" w:rsidRPr="00210EED" w14:paraId="22959774" w14:textId="77777777" w:rsidTr="00872BE7">
        <w:trPr>
          <w:trHeight w:val="288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060748A" w14:textId="77777777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ITU-R Sector Members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1F63B8DD" w14:textId="5697C757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98</w:t>
            </w:r>
          </w:p>
        </w:tc>
        <w:tc>
          <w:tcPr>
            <w:tcW w:w="2495" w:type="dxa"/>
            <w:shd w:val="clear" w:color="000000" w:fill="FFFFFF"/>
            <w:noWrap/>
            <w:vAlign w:val="center"/>
            <w:hideMark/>
          </w:tcPr>
          <w:p w14:paraId="54238D92" w14:textId="6E5266AD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100</w:t>
            </w:r>
            <w:r w:rsidR="006046CB">
              <w:t> </w:t>
            </w: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1/4 </w:t>
            </w:r>
          </w:p>
        </w:tc>
        <w:tc>
          <w:tcPr>
            <w:tcW w:w="1332" w:type="dxa"/>
            <w:gridSpan w:val="2"/>
            <w:shd w:val="clear" w:color="000000" w:fill="FFFFFF"/>
            <w:noWrap/>
            <w:vAlign w:val="center"/>
            <w:hideMark/>
          </w:tcPr>
          <w:p w14:paraId="72FB0256" w14:textId="77777777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2 1/4 </w:t>
            </w:r>
          </w:p>
        </w:tc>
      </w:tr>
      <w:tr w:rsidR="003E4E5D" w:rsidRPr="00210EED" w14:paraId="12803EEE" w14:textId="77777777" w:rsidTr="00872BE7">
        <w:trPr>
          <w:trHeight w:val="288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FDFFA81" w14:textId="77777777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ITU-T Sector Members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2E9A1E00" w14:textId="409379B0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98 </w:t>
            </w:r>
            <w:r w:rsidR="00C458DB">
              <w:rPr>
                <w:rFonts w:cs="Calibri"/>
                <w:color w:val="000000"/>
                <w:sz w:val="22"/>
                <w:szCs w:val="22"/>
                <w:lang w:eastAsia="en-GB"/>
              </w:rPr>
              <w:t>1/2</w:t>
            </w:r>
          </w:p>
        </w:tc>
        <w:tc>
          <w:tcPr>
            <w:tcW w:w="2495" w:type="dxa"/>
            <w:shd w:val="clear" w:color="000000" w:fill="FFFFFF"/>
            <w:noWrap/>
            <w:vAlign w:val="center"/>
            <w:hideMark/>
          </w:tcPr>
          <w:p w14:paraId="171BB974" w14:textId="77777777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93 13/16</w:t>
            </w:r>
          </w:p>
        </w:tc>
        <w:tc>
          <w:tcPr>
            <w:tcW w:w="1332" w:type="dxa"/>
            <w:gridSpan w:val="2"/>
            <w:shd w:val="clear" w:color="000000" w:fill="FFFFFF"/>
            <w:noWrap/>
            <w:vAlign w:val="center"/>
            <w:hideMark/>
          </w:tcPr>
          <w:p w14:paraId="1DA65E66" w14:textId="77777777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-4 11/16</w:t>
            </w:r>
          </w:p>
        </w:tc>
      </w:tr>
      <w:tr w:rsidR="003E4E5D" w:rsidRPr="00210EED" w14:paraId="1EC56225" w14:textId="77777777" w:rsidTr="00872BE7">
        <w:trPr>
          <w:trHeight w:val="288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CFAFC10" w14:textId="77777777" w:rsidR="003E4E5D" w:rsidRPr="00210EED" w:rsidRDefault="003E4E5D" w:rsidP="003E4E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>ITU-D Sector Members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23A4D638" w14:textId="22BB276E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22 </w:t>
            </w:r>
            <w:r w:rsidR="00C458DB">
              <w:rPr>
                <w:rFonts w:cs="Calibri"/>
                <w:color w:val="000000"/>
                <w:sz w:val="22"/>
                <w:szCs w:val="22"/>
                <w:lang w:eastAsia="en-GB"/>
              </w:rPr>
              <w:t>1/2</w:t>
            </w:r>
          </w:p>
        </w:tc>
        <w:tc>
          <w:tcPr>
            <w:tcW w:w="2495" w:type="dxa"/>
            <w:shd w:val="clear" w:color="000000" w:fill="FFFFFF"/>
            <w:noWrap/>
            <w:vAlign w:val="center"/>
            <w:hideMark/>
          </w:tcPr>
          <w:p w14:paraId="6DF41093" w14:textId="77777777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22 1/4 </w:t>
            </w:r>
          </w:p>
        </w:tc>
        <w:tc>
          <w:tcPr>
            <w:tcW w:w="1332" w:type="dxa"/>
            <w:gridSpan w:val="2"/>
            <w:shd w:val="clear" w:color="000000" w:fill="FFFFFF"/>
            <w:noWrap/>
            <w:vAlign w:val="center"/>
            <w:hideMark/>
          </w:tcPr>
          <w:p w14:paraId="472CDA74" w14:textId="13AAAD68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-1/4 </w:t>
            </w:r>
          </w:p>
        </w:tc>
      </w:tr>
      <w:tr w:rsidR="003E4E5D" w:rsidRPr="00210EED" w14:paraId="470F1D5A" w14:textId="77777777" w:rsidTr="00872BE7">
        <w:trPr>
          <w:trHeight w:val="288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552DC4B" w14:textId="77777777" w:rsidR="003E4E5D" w:rsidRPr="00210EED" w:rsidRDefault="003E4E5D" w:rsidP="00872B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26D9DB3A" w14:textId="4A82C720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b/>
                <w:bCs/>
                <w:sz w:val="22"/>
                <w:szCs w:val="22"/>
                <w:lang w:eastAsia="en-GB"/>
              </w:rPr>
              <w:t>219</w:t>
            </w:r>
          </w:p>
        </w:tc>
        <w:tc>
          <w:tcPr>
            <w:tcW w:w="2495" w:type="dxa"/>
            <w:shd w:val="clear" w:color="000000" w:fill="FFFFFF"/>
            <w:noWrap/>
            <w:vAlign w:val="center"/>
            <w:hideMark/>
          </w:tcPr>
          <w:p w14:paraId="5C5E2950" w14:textId="77777777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b/>
                <w:bCs/>
                <w:sz w:val="22"/>
                <w:szCs w:val="22"/>
                <w:lang w:eastAsia="en-GB"/>
              </w:rPr>
              <w:t>216 5/16</w:t>
            </w:r>
          </w:p>
        </w:tc>
        <w:tc>
          <w:tcPr>
            <w:tcW w:w="1332" w:type="dxa"/>
            <w:gridSpan w:val="2"/>
            <w:shd w:val="clear" w:color="000000" w:fill="FFFFFF"/>
            <w:noWrap/>
            <w:vAlign w:val="center"/>
            <w:hideMark/>
          </w:tcPr>
          <w:p w14:paraId="2363CF29" w14:textId="77777777" w:rsidR="003E4E5D" w:rsidRPr="00210EED" w:rsidRDefault="003E4E5D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210EED">
              <w:rPr>
                <w:rFonts w:cs="Calibri"/>
                <w:b/>
                <w:bCs/>
                <w:sz w:val="22"/>
                <w:szCs w:val="22"/>
                <w:lang w:eastAsia="en-GB"/>
              </w:rPr>
              <w:t>-2 11/16</w:t>
            </w:r>
          </w:p>
        </w:tc>
      </w:tr>
    </w:tbl>
    <w:p w14:paraId="74EDE338" w14:textId="1BB43117" w:rsidR="006D582B" w:rsidRPr="004F2C5D" w:rsidRDefault="006D582B" w:rsidP="000B56F5">
      <w:pPr>
        <w:spacing w:before="240"/>
        <w:jc w:val="both"/>
        <w:rPr>
          <w:lang w:eastAsia="zh-CN"/>
        </w:rPr>
      </w:pPr>
      <w:r w:rsidRPr="004F2C5D">
        <w:rPr>
          <w:lang w:eastAsia="zh-CN"/>
        </w:rPr>
        <w:t>9</w:t>
      </w:r>
      <w:r w:rsidRPr="004F2C5D">
        <w:rPr>
          <w:lang w:eastAsia="zh-CN"/>
        </w:rPr>
        <w:tab/>
      </w:r>
      <w:r w:rsidRPr="00E4161A">
        <w:rPr>
          <w:spacing w:val="2"/>
          <w:lang w:eastAsia="zh-CN"/>
        </w:rPr>
        <w:t>The number of Sector Members’ units fell from 219 to 216 5/16 between PP-18 and</w:t>
      </w:r>
      <w:r w:rsidR="00E4161A" w:rsidRPr="00E4161A">
        <w:rPr>
          <w:spacing w:val="2"/>
          <w:lang w:eastAsia="zh-CN"/>
        </w:rPr>
        <w:t xml:space="preserve"> </w:t>
      </w:r>
      <w:r w:rsidRPr="004F2C5D">
        <w:rPr>
          <w:lang w:eastAsia="zh-CN"/>
        </w:rPr>
        <w:t>PP-22, a decrease of 2 11/16 units (1</w:t>
      </w:r>
      <w:r w:rsidR="000B56F5">
        <w:rPr>
          <w:lang w:eastAsia="zh-CN"/>
        </w:rPr>
        <w:t xml:space="preserve"> per cent</w:t>
      </w:r>
      <w:r w:rsidRPr="004F2C5D">
        <w:rPr>
          <w:lang w:eastAsia="zh-CN"/>
        </w:rPr>
        <w:t>).</w:t>
      </w:r>
      <w:r w:rsidR="00E02C5E">
        <w:rPr>
          <w:lang w:eastAsia="zh-CN"/>
        </w:rPr>
        <w:t xml:space="preserve"> The annual value of the contributory unit for Sector Members</w:t>
      </w:r>
      <w:r w:rsidR="00A75935">
        <w:rPr>
          <w:lang w:eastAsia="zh-CN"/>
        </w:rPr>
        <w:t xml:space="preserve"> amounts to CHF 63</w:t>
      </w:r>
      <w:r w:rsidR="00C458DB">
        <w:rPr>
          <w:lang w:eastAsia="zh-CN"/>
        </w:rPr>
        <w:t> </w:t>
      </w:r>
      <w:r w:rsidR="00A75935">
        <w:rPr>
          <w:lang w:eastAsia="zh-CN"/>
        </w:rPr>
        <w:t>600.</w:t>
      </w:r>
      <w:r w:rsidR="00E02C5E">
        <w:rPr>
          <w:lang w:eastAsia="zh-CN"/>
        </w:rPr>
        <w:t xml:space="preserve"> </w:t>
      </w:r>
    </w:p>
    <w:p w14:paraId="6532DD1E" w14:textId="72D82089" w:rsidR="006D582B" w:rsidRPr="004F2C5D" w:rsidRDefault="006D582B" w:rsidP="006D582B">
      <w:pPr>
        <w:jc w:val="both"/>
        <w:rPr>
          <w:lang w:eastAsia="zh-CN"/>
        </w:rPr>
      </w:pPr>
      <w:r w:rsidRPr="004F2C5D">
        <w:rPr>
          <w:lang w:eastAsia="zh-CN"/>
        </w:rPr>
        <w:t>10</w:t>
      </w:r>
      <w:r w:rsidRPr="004F2C5D">
        <w:rPr>
          <w:lang w:eastAsia="zh-CN"/>
        </w:rPr>
        <w:tab/>
      </w:r>
      <w:r w:rsidR="008952AE" w:rsidRPr="008952AE">
        <w:rPr>
          <w:lang w:eastAsia="zh-CN"/>
        </w:rPr>
        <w:t xml:space="preserve">The overall number of Associates rose from 190 to 193 between PP-18 and PP-22, an increase of 2 per cent </w:t>
      </w:r>
      <w:r w:rsidRPr="004F2C5D">
        <w:rPr>
          <w:lang w:eastAsia="zh-CN"/>
        </w:rPr>
        <w:t xml:space="preserve">(see </w:t>
      </w:r>
      <w:hyperlink w:anchor="Annex_2" w:history="1">
        <w:r w:rsidRPr="00E4161A">
          <w:rPr>
            <w:rStyle w:val="Hyperlink"/>
            <w:lang w:eastAsia="zh-CN"/>
          </w:rPr>
          <w:t>Annex 2</w:t>
        </w:r>
      </w:hyperlink>
      <w:r w:rsidRPr="004F2C5D">
        <w:rPr>
          <w:lang w:eastAsia="zh-CN"/>
        </w:rPr>
        <w:t xml:space="preserve">). </w:t>
      </w:r>
      <w:r w:rsidR="008952AE" w:rsidRPr="008952AE">
        <w:rPr>
          <w:lang w:eastAsia="zh-CN"/>
        </w:rPr>
        <w:t xml:space="preserve">The </w:t>
      </w:r>
      <w:r w:rsidR="00BC6794">
        <w:rPr>
          <w:lang w:eastAsia="zh-CN"/>
        </w:rPr>
        <w:t xml:space="preserve">annual </w:t>
      </w:r>
      <w:r w:rsidR="00B24A3B">
        <w:rPr>
          <w:lang w:eastAsia="zh-CN"/>
        </w:rPr>
        <w:t xml:space="preserve">fee for </w:t>
      </w:r>
      <w:r w:rsidR="008952AE" w:rsidRPr="008952AE">
        <w:rPr>
          <w:lang w:eastAsia="zh-CN"/>
        </w:rPr>
        <w:t>Associates amounts to CHF 10</w:t>
      </w:r>
      <w:r w:rsidR="00B24A3B">
        <w:rPr>
          <w:lang w:eastAsia="zh-CN"/>
        </w:rPr>
        <w:t> </w:t>
      </w:r>
      <w:r w:rsidR="008952AE" w:rsidRPr="008952AE">
        <w:rPr>
          <w:lang w:eastAsia="zh-CN"/>
        </w:rPr>
        <w:t xml:space="preserve">600. </w:t>
      </w:r>
      <w:r w:rsidR="008952AE" w:rsidRPr="008952AE">
        <w:rPr>
          <w:lang w:eastAsia="zh-CN"/>
        </w:rPr>
        <w:lastRenderedPageBreak/>
        <w:t xml:space="preserve">These figures do not include the participation of </w:t>
      </w:r>
      <w:r w:rsidR="00B24A3B">
        <w:rPr>
          <w:lang w:eastAsia="zh-CN"/>
        </w:rPr>
        <w:t>s</w:t>
      </w:r>
      <w:r w:rsidR="008952AE" w:rsidRPr="008952AE">
        <w:rPr>
          <w:lang w:eastAsia="zh-CN"/>
        </w:rPr>
        <w:t xml:space="preserve">mall and </w:t>
      </w:r>
      <w:r w:rsidR="00B24A3B">
        <w:rPr>
          <w:lang w:eastAsia="zh-CN"/>
        </w:rPr>
        <w:t>m</w:t>
      </w:r>
      <w:r w:rsidR="008952AE" w:rsidRPr="008952AE">
        <w:rPr>
          <w:lang w:eastAsia="zh-CN"/>
        </w:rPr>
        <w:t xml:space="preserve">edium </w:t>
      </w:r>
      <w:r w:rsidR="00B24A3B">
        <w:rPr>
          <w:lang w:eastAsia="zh-CN"/>
        </w:rPr>
        <w:t>e</w:t>
      </w:r>
      <w:r w:rsidR="008952AE" w:rsidRPr="008952AE">
        <w:rPr>
          <w:lang w:eastAsia="zh-CN"/>
        </w:rPr>
        <w:t xml:space="preserve">nterprises (SMEs) as Associates in the Sectors of the Union. This new participation of SMEs was created </w:t>
      </w:r>
      <w:r w:rsidR="00B24A3B">
        <w:rPr>
          <w:lang w:eastAsia="zh-CN"/>
        </w:rPr>
        <w:t>pursuant to</w:t>
      </w:r>
      <w:r w:rsidR="00B24A3B" w:rsidRPr="008952AE">
        <w:rPr>
          <w:lang w:eastAsia="zh-CN"/>
        </w:rPr>
        <w:t xml:space="preserve"> </w:t>
      </w:r>
      <w:r w:rsidR="008952AE" w:rsidRPr="008952AE">
        <w:rPr>
          <w:lang w:eastAsia="zh-CN"/>
        </w:rPr>
        <w:t>Resolution 209 (Dubai, 2018)</w:t>
      </w:r>
      <w:r w:rsidR="00B24A3B">
        <w:rPr>
          <w:lang w:eastAsia="zh-CN"/>
        </w:rPr>
        <w:t xml:space="preserve"> of the Plenipotentiary Conference</w:t>
      </w:r>
      <w:r w:rsidR="008952AE" w:rsidRPr="008952AE">
        <w:rPr>
          <w:lang w:eastAsia="zh-CN"/>
        </w:rPr>
        <w:t>.</w:t>
      </w:r>
    </w:p>
    <w:p w14:paraId="6B59B8D0" w14:textId="0D6B722E" w:rsidR="006D582B" w:rsidRPr="000A7E1E" w:rsidRDefault="006D582B" w:rsidP="00B24A3B">
      <w:pPr>
        <w:jc w:val="both"/>
        <w:rPr>
          <w:lang w:eastAsia="zh-CN"/>
        </w:rPr>
      </w:pPr>
      <w:r w:rsidRPr="000A7E1E">
        <w:rPr>
          <w:lang w:eastAsia="zh-CN"/>
        </w:rPr>
        <w:t>11</w:t>
      </w:r>
      <w:r w:rsidRPr="000A7E1E">
        <w:rPr>
          <w:lang w:eastAsia="zh-CN"/>
        </w:rPr>
        <w:tab/>
        <w:t xml:space="preserve">SMEs participate as Associates in the Sectors of the Union </w:t>
      </w:r>
      <w:r w:rsidR="00B24A3B">
        <w:rPr>
          <w:lang w:eastAsia="zh-CN"/>
        </w:rPr>
        <w:t>at a</w:t>
      </w:r>
      <w:r w:rsidR="00B24A3B" w:rsidRPr="000A7E1E">
        <w:rPr>
          <w:lang w:eastAsia="zh-CN"/>
        </w:rPr>
        <w:t xml:space="preserve"> </w:t>
      </w:r>
      <w:r w:rsidRPr="000A7E1E">
        <w:rPr>
          <w:lang w:eastAsia="zh-CN"/>
        </w:rPr>
        <w:t xml:space="preserve">reduced </w:t>
      </w:r>
      <w:r w:rsidR="00BC6794">
        <w:rPr>
          <w:lang w:eastAsia="zh-CN"/>
        </w:rPr>
        <w:t xml:space="preserve">annual </w:t>
      </w:r>
      <w:r w:rsidRPr="000A7E1E">
        <w:rPr>
          <w:lang w:eastAsia="zh-CN"/>
        </w:rPr>
        <w:t>f</w:t>
      </w:r>
      <w:r w:rsidRPr="00477169">
        <w:rPr>
          <w:lang w:eastAsia="zh-CN"/>
        </w:rPr>
        <w:t>ee</w:t>
      </w:r>
      <w:r w:rsidR="00BC6794">
        <w:rPr>
          <w:lang w:eastAsia="zh-CN"/>
        </w:rPr>
        <w:t xml:space="preserve"> of</w:t>
      </w:r>
      <w:r w:rsidR="007E01A4" w:rsidRPr="00477169">
        <w:rPr>
          <w:lang w:eastAsia="zh-CN"/>
        </w:rPr>
        <w:t xml:space="preserve"> </w:t>
      </w:r>
      <w:r w:rsidR="007E01A4" w:rsidRPr="00477169">
        <w:t>CHF</w:t>
      </w:r>
      <w:r w:rsidR="00B24A3B">
        <w:t> </w:t>
      </w:r>
      <w:r w:rsidR="007E01A4" w:rsidRPr="00477169">
        <w:t>3</w:t>
      </w:r>
      <w:r w:rsidR="00B24A3B">
        <w:t> </w:t>
      </w:r>
      <w:r w:rsidR="007E01A4" w:rsidRPr="00477169">
        <w:t xml:space="preserve">975 for SMEs from developed countries </w:t>
      </w:r>
      <w:r w:rsidR="00BC6794">
        <w:t>or</w:t>
      </w:r>
      <w:r w:rsidR="00BC6794" w:rsidRPr="00477169">
        <w:t xml:space="preserve"> </w:t>
      </w:r>
      <w:r w:rsidR="007E01A4" w:rsidRPr="00477169">
        <w:t>CHF</w:t>
      </w:r>
      <w:r w:rsidR="00B24A3B">
        <w:t> </w:t>
      </w:r>
      <w:r w:rsidR="007E01A4" w:rsidRPr="00477169">
        <w:t>1</w:t>
      </w:r>
      <w:r w:rsidR="00B24A3B">
        <w:t> </w:t>
      </w:r>
      <w:r w:rsidR="007E01A4" w:rsidRPr="00477169">
        <w:t xml:space="preserve">987.50 for SMEs from developing countries. </w:t>
      </w:r>
      <w:r w:rsidRPr="000A7E1E">
        <w:rPr>
          <w:lang w:eastAsia="zh-CN"/>
        </w:rPr>
        <w:t xml:space="preserve">The Member States to which these entities belong attest that the applicant is an SME in accordance with national criteria. </w:t>
      </w:r>
      <w:r>
        <w:rPr>
          <w:lang w:eastAsia="zh-CN"/>
        </w:rPr>
        <w:t>Currently</w:t>
      </w:r>
      <w:r w:rsidR="00BD118C">
        <w:rPr>
          <w:lang w:eastAsia="zh-CN"/>
        </w:rPr>
        <w:t>, as of</w:t>
      </w:r>
      <w:r>
        <w:rPr>
          <w:lang w:eastAsia="zh-CN"/>
        </w:rPr>
        <w:t xml:space="preserve"> PP-22, there are 70 SMEs</w:t>
      </w:r>
      <w:r w:rsidR="00B24A3B">
        <w:rPr>
          <w:lang w:eastAsia="zh-CN"/>
        </w:rPr>
        <w:t xml:space="preserve"> participating in the Union, with </w:t>
      </w:r>
      <w:r w:rsidRPr="000A7E1E">
        <w:rPr>
          <w:lang w:eastAsia="zh-CN"/>
        </w:rPr>
        <w:t>18 SMEs in ITU-R and 52 in ITU-T (</w:t>
      </w:r>
      <w:r w:rsidR="00C6283E">
        <w:rPr>
          <w:lang w:eastAsia="zh-CN"/>
        </w:rPr>
        <w:t>s</w:t>
      </w:r>
      <w:r w:rsidRPr="000A7E1E">
        <w:rPr>
          <w:lang w:eastAsia="zh-CN"/>
        </w:rPr>
        <w:t xml:space="preserve">ee Annex 2). </w:t>
      </w:r>
    </w:p>
    <w:p w14:paraId="5E62CB0E" w14:textId="64ACC27B" w:rsidR="00A75935" w:rsidRPr="00337D6C" w:rsidRDefault="006D582B" w:rsidP="00B53C0A">
      <w:pPr>
        <w:keepLines/>
        <w:jc w:val="both"/>
        <w:rPr>
          <w:lang w:eastAsia="zh-CN"/>
        </w:rPr>
      </w:pPr>
      <w:r w:rsidRPr="0025466C">
        <w:rPr>
          <w:lang w:eastAsia="zh-CN"/>
        </w:rPr>
        <w:t>1</w:t>
      </w:r>
      <w:r>
        <w:rPr>
          <w:lang w:eastAsia="zh-CN"/>
        </w:rPr>
        <w:t xml:space="preserve">2 </w:t>
      </w:r>
      <w:r w:rsidRPr="0025466C">
        <w:rPr>
          <w:lang w:eastAsia="zh-CN"/>
        </w:rPr>
        <w:tab/>
      </w:r>
      <w:r w:rsidRPr="004F2C5D">
        <w:rPr>
          <w:lang w:eastAsia="zh-CN"/>
        </w:rPr>
        <w:t>The number of Academi</w:t>
      </w:r>
      <w:r w:rsidR="00BC6794">
        <w:rPr>
          <w:lang w:eastAsia="zh-CN"/>
        </w:rPr>
        <w:t>a</w:t>
      </w:r>
      <w:r w:rsidRPr="004F2C5D">
        <w:rPr>
          <w:lang w:eastAsia="zh-CN"/>
        </w:rPr>
        <w:t xml:space="preserve"> rose from 145 to 154 between PP-18 and PP-22, an increase of 6</w:t>
      </w:r>
      <w:r w:rsidR="007641C5">
        <w:rPr>
          <w:lang w:eastAsia="zh-CN"/>
        </w:rPr>
        <w:t xml:space="preserve"> per cent</w:t>
      </w:r>
      <w:r w:rsidRPr="004F2C5D">
        <w:rPr>
          <w:lang w:eastAsia="zh-CN"/>
        </w:rPr>
        <w:t xml:space="preserve"> (see Annex 2).</w:t>
      </w:r>
      <w:r w:rsidR="00E02E46">
        <w:rPr>
          <w:lang w:eastAsia="zh-CN"/>
        </w:rPr>
        <w:t xml:space="preserve"> The annual fee for Academi</w:t>
      </w:r>
      <w:r w:rsidR="00BC6794">
        <w:rPr>
          <w:lang w:eastAsia="zh-CN"/>
        </w:rPr>
        <w:t>a</w:t>
      </w:r>
      <w:r w:rsidR="00E02E46">
        <w:rPr>
          <w:lang w:eastAsia="zh-CN"/>
        </w:rPr>
        <w:t xml:space="preserve"> is CHF </w:t>
      </w:r>
      <w:r w:rsidR="00A75935">
        <w:rPr>
          <w:lang w:eastAsia="zh-CN"/>
        </w:rPr>
        <w:t>3</w:t>
      </w:r>
      <w:r w:rsidR="00BC6794">
        <w:rPr>
          <w:lang w:eastAsia="zh-CN"/>
        </w:rPr>
        <w:t> </w:t>
      </w:r>
      <w:r w:rsidR="00A75935">
        <w:rPr>
          <w:lang w:eastAsia="zh-CN"/>
        </w:rPr>
        <w:t>975 for organizations from developed countries and CHF 1</w:t>
      </w:r>
      <w:r w:rsidR="00BC6794">
        <w:rPr>
          <w:lang w:eastAsia="zh-CN"/>
        </w:rPr>
        <w:t> </w:t>
      </w:r>
      <w:r w:rsidR="00A75935">
        <w:rPr>
          <w:lang w:eastAsia="zh-CN"/>
        </w:rPr>
        <w:t xml:space="preserve">987.50 for organizations from developing countries. </w:t>
      </w:r>
    </w:p>
    <w:p w14:paraId="4EC9AFDA" w14:textId="42517724" w:rsidR="00D410DB" w:rsidRDefault="00D410DB" w:rsidP="001B57F0">
      <w:pPr>
        <w:keepLines/>
        <w:jc w:val="both"/>
        <w:rPr>
          <w:caps/>
          <w:sz w:val="28"/>
          <w:lang w:eastAsia="zh-CN"/>
        </w:rPr>
      </w:pPr>
      <w:r>
        <w:rPr>
          <w:caps/>
          <w:sz w:val="28"/>
          <w:lang w:eastAsia="zh-CN"/>
        </w:rPr>
        <w:br w:type="page"/>
      </w:r>
    </w:p>
    <w:p w14:paraId="3F2E63F8" w14:textId="77777777" w:rsidR="00472E64" w:rsidRPr="002428C0" w:rsidRDefault="001203D9" w:rsidP="001203D9">
      <w:pPr>
        <w:spacing w:before="760" w:after="600"/>
        <w:jc w:val="center"/>
        <w:rPr>
          <w:caps/>
          <w:sz w:val="28"/>
          <w:lang w:eastAsia="zh-CN"/>
        </w:rPr>
      </w:pPr>
      <w:bookmarkStart w:id="6" w:name="Annex_1"/>
      <w:r w:rsidRPr="002428C0">
        <w:rPr>
          <w:caps/>
          <w:sz w:val="28"/>
          <w:lang w:eastAsia="zh-CN"/>
        </w:rPr>
        <w:lastRenderedPageBreak/>
        <w:t>ANNEX 1</w:t>
      </w:r>
      <w:bookmarkEnd w:id="6"/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4100"/>
        <w:gridCol w:w="1660"/>
        <w:gridCol w:w="1660"/>
        <w:gridCol w:w="1660"/>
      </w:tblGrid>
      <w:tr w:rsidR="00472E64" w:rsidRPr="00472E64" w14:paraId="3C786DBE" w14:textId="77777777" w:rsidTr="00472E64">
        <w:trPr>
          <w:trHeight w:val="153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545" w14:textId="2ED78F77" w:rsidR="00472E64" w:rsidRPr="00472E64" w:rsidRDefault="005F5ECB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bookmarkStart w:id="7" w:name="_Hlk134709684"/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Member State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2A7" w14:textId="344E5CDC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o. 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of 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>c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ontributory 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>u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nits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br/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PP-18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A70" w14:textId="7956CDE0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>o.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>c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ontributory 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t>u</w:t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nits</w:t>
            </w:r>
            <w:r w:rsidR="005F5ECB">
              <w:rPr>
                <w:rFonts w:cs="Calibri"/>
                <w:b/>
                <w:bCs/>
                <w:sz w:val="22"/>
                <w:szCs w:val="22"/>
                <w:lang w:val="en-US"/>
              </w:rPr>
              <w:br/>
            </w: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PP-22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64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</w:t>
            </w:r>
          </w:p>
        </w:tc>
      </w:tr>
      <w:tr w:rsidR="00472E64" w:rsidRPr="00472E64" w14:paraId="7A2766D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95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Afghanistan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EE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B7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FCB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B9CDAD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EEA" w14:textId="4A3F760F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Albania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20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247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9AA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4680C1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A88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Algeria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8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E9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248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7EDA7F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AFA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4D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EE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43E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7788B53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06F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Andorra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A6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2F9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1FC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58ED08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E94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Angola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2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8E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3B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BFC351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E39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Antigua and Barbuda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16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E6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8F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1D1182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B182" w14:textId="6244872B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Saudi Arabia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40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8BB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B1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725492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56D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B4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4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34D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F796F8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80C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Armenia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A0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5C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768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647F18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9C7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Australia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00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66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2B3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D8B1C7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8C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68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15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73E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C49DEC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0B7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Azerbaijan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FA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D6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F5F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F9AF79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D23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Bahamas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0C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03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9C2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F29B69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E39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Bahrain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D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77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9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E71D38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F1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Bangladesh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D5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F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E6F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E4628B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384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Barbados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81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8DD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879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49D25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B5F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Belarus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19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B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C5E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32ECA8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A0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Belgium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A9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42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BD3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8539A6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930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Belize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D2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C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628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971432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6F4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Benin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4A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34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2BF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4C8253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E1D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Bhutan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D2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90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A37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53A98B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361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Bolivia (Plurinational State of)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0B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C7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17E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285E0F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988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Bosnia and Herzegovina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43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AF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6A2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0C6675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57E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Botswana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83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35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15C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07EA34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CFA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7E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6F6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BCD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8      </w:t>
            </w:r>
          </w:p>
        </w:tc>
      </w:tr>
      <w:tr w:rsidR="00472E64" w:rsidRPr="00472E64" w14:paraId="1DB29E1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80B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Brunei Darussalam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C3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83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BB1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C1A76C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42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Bulgaria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0C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F3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3F9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DF4B72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C2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Burkina Faso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8D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7A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4A1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9C4D5B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737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Burundi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79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42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F69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1033F6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FB8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Cabo Verde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8F0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F0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F2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ACAE68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1BA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Cambodia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47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975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A0B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 1/16</w:t>
            </w:r>
          </w:p>
        </w:tc>
      </w:tr>
      <w:tr w:rsidR="00472E64" w:rsidRPr="00472E64" w14:paraId="0F1613D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6C2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Cameroon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82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62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45F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7ACB9B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EE8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F8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E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9C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9D7BBC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A4F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Central African Rep.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28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57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E4F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58FFF5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A7F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Chile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90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46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AA8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  <w:t xml:space="preserve">-  1/2 </w:t>
            </w:r>
          </w:p>
        </w:tc>
      </w:tr>
      <w:tr w:rsidR="00472E64" w:rsidRPr="00472E64" w14:paraId="2CA4FDB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A7F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China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B4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B8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F67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21AB2D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F7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Cyprus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4E6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36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1C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44F770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0F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Vatican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54A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8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90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59EC99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6EC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Colombia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8A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5E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41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2D8EB7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30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Comoros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AA8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70A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9E2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24E083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98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Congo (Rep. of the)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7C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9B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1D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C0443B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8E3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Korea (Rep. of)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10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08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574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D100D9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CC4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Costa Rica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99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03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01F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9945EB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588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Côte d'Ivoire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F9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B7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ECF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5FDF80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137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Croatia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0D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0E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D8B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8FB744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DF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Cuba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4F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93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C7F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85BB3A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781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Denmark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7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1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833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1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E9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06EACE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BA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Djibouti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BB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80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8C2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EEFA14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B8F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Dominican Rep.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6C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A6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241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2B3CDB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9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Dominica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C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7E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5D5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4DAFCD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83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Egypt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F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9C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EA7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651A3A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A83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El Salvador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2F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94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D1F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1C4F19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37D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United Arab Emirates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64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7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CD7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E26248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4A3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Ecuador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67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08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A63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C7CCCE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4B9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Eritrea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1F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81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2AB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6A666F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D34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Spain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D7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D7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5A5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925FD8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D84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Estonia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92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91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5F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9F4BF4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E0C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Eswatini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912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A6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26B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48B657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F8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5C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FE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B3B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5      </w:t>
            </w:r>
          </w:p>
        </w:tc>
      </w:tr>
      <w:tr w:rsidR="00472E64" w:rsidRPr="00472E64" w14:paraId="47D7216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649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Ethiopia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28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7AD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7CF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7B0FE57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75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Russian Federation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30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28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7ED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FB1737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147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Fiji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04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6FF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620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D1CFC5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DB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Finland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94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F0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1A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6F0751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A96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C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92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945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A25051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C2E7" w14:textId="5B781953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Gabon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47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3B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DCF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C82CE5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CAC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Gambia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D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7D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35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FC99F9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C7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Georgia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97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1D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04D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1B66B8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07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Ghana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CF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36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D5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60BC4F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18D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Greece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D1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3D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87D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83BEB2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B06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Grenada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D8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AB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D15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FE0E8D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2D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Guatemala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6F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15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04A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8EFD2E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AB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Guinea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7C2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EB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F75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 7/8 </w:t>
            </w:r>
          </w:p>
        </w:tc>
      </w:tr>
      <w:tr w:rsidR="00472E64" w:rsidRPr="00472E64" w14:paraId="2D4C064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72A2" w14:textId="3EE81EA0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Guinea-Bissau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9B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BA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BE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B596A8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A4B" w14:textId="7481845C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Equatorial Guinea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1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8E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A7D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 1/8 </w:t>
            </w:r>
          </w:p>
        </w:tc>
      </w:tr>
      <w:tr w:rsidR="00472E64" w:rsidRPr="00472E64" w14:paraId="0F6E032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6F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Guyana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12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D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92C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F692AF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CF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Haiti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AC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5D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D9E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E91807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40A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Honduras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2C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EB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7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13BF11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B4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Hungary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16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3B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EF4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B82A97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2D6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38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C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17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8BD9E1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5A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Indonesia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EA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A3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2EA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67C608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79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Iran (Islamic Republic of)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F6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BF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A09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C2087F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AF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Iraq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BD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26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61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C637A1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3EB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Ireland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FE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B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9AE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552AAC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D30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Iceland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0D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D5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04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1B6355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24E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C49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AF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F0A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D8D13C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A37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Italy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9A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68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D4D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49C157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806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Jamaica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79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80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B13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271914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6E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Japan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58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7D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F0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BE2235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3D9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Jordan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9C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66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E41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2156A0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44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Kazakhstan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92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03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5F2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218899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83D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Kenya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00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43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049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D25673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42C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Kiribati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623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36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512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1E913D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EA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Kuwait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9A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54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C1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7CD8BF3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0E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Lao P.D.R.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B3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98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76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0D02CC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A2F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Lesotho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F0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26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41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979987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D11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Latvia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B4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73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3F7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E5D9EB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33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Lebanon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FB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7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FC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1E3D7B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B92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Liberia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15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E8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3BE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4C0BE03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65E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Libya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6A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FF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D36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  <w:t xml:space="preserve">-  3/4 </w:t>
            </w:r>
          </w:p>
        </w:tc>
      </w:tr>
      <w:tr w:rsidR="00472E64" w:rsidRPr="00472E64" w14:paraId="4F43873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4285" w14:textId="0640494A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Liechtenstein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27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9A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2DD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EF10A8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46D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Lithuania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FA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EE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E6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C410B0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B483" w14:textId="6DFE180F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Luxembourg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80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6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DC8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B9069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BE50" w14:textId="5566C103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North Macedonia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F8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B6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80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7671D5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32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Madagascar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E9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14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C73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A66731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3B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Malaysia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D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D9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052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F1F426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2A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Malawi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E3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AC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0B3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D5F08B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2F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Maldives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18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B24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339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217CFF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F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Mali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D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C72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63B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F0DF1A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12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Malta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DD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63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572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034C92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B4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Morocco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F3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A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491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720614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AAA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Marshall Islands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4D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BE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320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6195AB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C59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Mauritius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7DB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8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B33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129678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8A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Mauritania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86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7B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60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43CB0E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00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86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665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840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DF559C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612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Micronesia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A9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7B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AA6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C51DA4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533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Moldova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F9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D1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CE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EB5597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DE7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Monaco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0C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72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8D5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F3377A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E9E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Mongolia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F4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8C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846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4D1BB3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19E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Montenegro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988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BD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3C0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8E09FE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5C1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Mozambique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4C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95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F48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C40E6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52D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Myanmar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2B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47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075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621F88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D9E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Namibia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ED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C7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EB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4ED7B0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08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Nauru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15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06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5D5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0400BE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F23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Nepal (Republic of)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20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F5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E1B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C5B16B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09D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Nicaragua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982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69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5FC835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C7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Niger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44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D6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55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20873C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62B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Nigeria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21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B0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5F8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F29BA3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F3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Norway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C6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62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683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0CD8D8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2A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New Zealand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EA4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22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F5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46EBE0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773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Oman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A79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B9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356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95EB33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1E7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Uganda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66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EC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0F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7B77E1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593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Uzbekistan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4F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81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BF0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B091FC4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52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Pakistan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38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244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A78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E440E2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472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Panama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EF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9B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10A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554866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5B3F" w14:textId="13204461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Papua New Guinea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84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B9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521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 1/4 </w:t>
            </w:r>
          </w:p>
        </w:tc>
      </w:tr>
      <w:tr w:rsidR="00472E64" w:rsidRPr="00472E64" w14:paraId="10A3AA8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260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Paraguay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E5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CC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492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C74C5A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91F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A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7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283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D6B5CA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58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Peru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12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C5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49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059090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C1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Philippines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F2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E7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8F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16CDAB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36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Poland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F8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B6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E3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872D85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BA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Portugal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F3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AF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4B7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501D41D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85D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Qatar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31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C0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9C3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E0EFAA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B1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Syrian Arab Republic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D4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097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65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C59F6EC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5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Türkiye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E8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D1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629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05408A2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F96" w14:textId="2E73D04D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Dem. Rep. of the Congo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BA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CDB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28A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353B06B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E087" w14:textId="6D868D7B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Kyrgyzstan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5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77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C25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6BD9693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E70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Dem. People's Rep. of Korea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EE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3F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3C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63D5BD5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215" w14:textId="2ED3C9D4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Slovakia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17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8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1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BA93BFC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B7B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Czech Republic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B2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68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D36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2297341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DCC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Romania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5C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5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C0A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982451C" w14:textId="77777777" w:rsidTr="00472E64">
        <w:trPr>
          <w:trHeight w:val="289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3B04" w14:textId="4A1CB96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6F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AA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03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F6D16E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3FA9" w14:textId="0BC4EC1D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Rwanda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3F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90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468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525E34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C42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Saint Kitts and Nevis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DF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5B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36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AF75F80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216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San Marino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91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4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75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074D80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79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Saint Vincent and the Grenadines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90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D3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5C0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ECA72E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48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Saint Lucia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2C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13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D8F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4F6A0E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A73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Solomon Islands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62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FB9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60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1EFD0F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4FA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Samoa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7B8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3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5F6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A62FD3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981" w14:textId="39B7D0AF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Sao Tome and Principe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5C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5A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9ED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1B39F4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E46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Senegal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AF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73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92D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BDFAF7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E1E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Serbia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23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1C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BB6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C4EEC3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5F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Seychelles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8AD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77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907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1677F8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EDE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Sierra Leone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3F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8B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754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84267A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9D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Singapore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D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CE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8D2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100D6D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80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Slovenia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11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F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37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CF3272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CCA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Somalia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45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89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535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2887D06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9DA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Sudan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AE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2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95F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CF6A7A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87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South Sudan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A4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9A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ED4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1B4976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3F5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Sri Lanka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58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98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BC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  <w:t xml:space="preserve">-  1/4 </w:t>
            </w:r>
          </w:p>
        </w:tc>
      </w:tr>
      <w:tr w:rsidR="00472E64" w:rsidRPr="00472E64" w14:paraId="72ED6F81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D3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South Africa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A8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4E6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DC2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14B13A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AC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Sweden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CE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85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BD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E68C84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750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EC6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6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46D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C668C5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59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Suriname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9D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A5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3D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2F6E510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6C4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Tajikistan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FB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92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CC9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C0A0E5E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DAB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Tanzania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A3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A17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48F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0BEB445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FAA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Chad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0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40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B31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394EC57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A94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lastRenderedPageBreak/>
              <w:t>Thailand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6C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1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14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1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9B5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524CB6C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03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Timor-Leste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D1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EE3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964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33BB8D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D497" w14:textId="7BF2DD1C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Togo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87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AC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7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A70086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7F6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Tonga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89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9C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E1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7B6B84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865" w14:textId="0E92C399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Trinidad and Tobago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50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1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E44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4BCF7B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945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D4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9A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915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0E37F5AA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44DF" w14:textId="092BE29C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Turkmenistan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DB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55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441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3B080CC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282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Tuvalu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FF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A4D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25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746A8433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A74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F5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95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62F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6061269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91D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Uruguay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9B9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8A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E67D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CA65A0B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7A1B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Vanuatu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73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4F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B18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93D8F42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407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Venezuela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3732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4A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5C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  <w:t xml:space="preserve">-  1/2 </w:t>
            </w:r>
          </w:p>
        </w:tc>
      </w:tr>
      <w:tr w:rsidR="00472E64" w:rsidRPr="00472E64" w14:paraId="7E91FF29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8727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Viet Nam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B8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2C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C6F1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5031D1F8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D296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Yemen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A6B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61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F25E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color w:val="FF0000"/>
                <w:sz w:val="22"/>
                <w:szCs w:val="22"/>
                <w:lang w:val="en-US"/>
              </w:rPr>
              <w:t>-  1/16</w:t>
            </w:r>
          </w:p>
        </w:tc>
      </w:tr>
      <w:tr w:rsidR="00472E64" w:rsidRPr="00472E64" w14:paraId="5BD0993D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FE6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Zambia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B38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FD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0CC4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1E650DDF" w14:textId="77777777" w:rsidTr="00472E64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9F0F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Zimbabwe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3D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059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  1/2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6B30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472E64" w:rsidRPr="00472E64" w14:paraId="4319AFE7" w14:textId="77777777" w:rsidTr="00472E64">
        <w:trPr>
          <w:trHeight w:val="39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A30" w14:textId="10FBFBDA" w:rsidR="00472E64" w:rsidRPr="00472E64" w:rsidRDefault="004A56C1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236C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343 11/16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B15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>355 15/16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606A" w14:textId="77777777" w:rsidR="00472E64" w:rsidRPr="00472E64" w:rsidRDefault="00472E64" w:rsidP="00472E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72E6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12  1/4 </w:t>
            </w:r>
          </w:p>
        </w:tc>
      </w:tr>
      <w:bookmarkEnd w:id="7"/>
    </w:tbl>
    <w:p w14:paraId="4CFF4368" w14:textId="77777777" w:rsidR="00472E64" w:rsidRDefault="00472E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</w:p>
    <w:p w14:paraId="6B4CE9A6" w14:textId="45B507F6" w:rsidR="00F20AD4" w:rsidRDefault="00337D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3E44F60F" w14:textId="2ADB5BA9" w:rsidR="001203D9" w:rsidRDefault="001203D9" w:rsidP="001203D9">
      <w:pPr>
        <w:spacing w:before="720" w:after="600"/>
        <w:jc w:val="center"/>
        <w:rPr>
          <w:caps/>
          <w:sz w:val="28"/>
        </w:rPr>
      </w:pPr>
      <w:bookmarkStart w:id="8" w:name="Annex_2"/>
      <w:r w:rsidRPr="000A7E1E">
        <w:rPr>
          <w:caps/>
          <w:sz w:val="28"/>
        </w:rPr>
        <w:lastRenderedPageBreak/>
        <w:t>aNNEX 2</w:t>
      </w:r>
      <w:bookmarkEnd w:id="8"/>
    </w:p>
    <w:tbl>
      <w:tblPr>
        <w:tblW w:w="9440" w:type="dxa"/>
        <w:tblLook w:val="04A0" w:firstRow="1" w:lastRow="0" w:firstColumn="1" w:lastColumn="0" w:noHBand="0" w:noVBand="1"/>
      </w:tblPr>
      <w:tblGrid>
        <w:gridCol w:w="4228"/>
        <w:gridCol w:w="1366"/>
        <w:gridCol w:w="1366"/>
        <w:gridCol w:w="1240"/>
        <w:gridCol w:w="1240"/>
      </w:tblGrid>
      <w:tr w:rsidR="001203D9" w:rsidRPr="000A7E1E" w14:paraId="4BBEDC80" w14:textId="77777777" w:rsidTr="00512800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55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Sector Members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175" w14:textId="73550621" w:rsidR="001203D9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No. of </w:t>
            </w:r>
            <w:r w:rsidR="00D84B5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contributory 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units</w:t>
            </w:r>
          </w:p>
          <w:p w14:paraId="7BE39078" w14:textId="4787909A" w:rsidR="001203D9" w:rsidRPr="000A7E1E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9EC" w14:textId="0B760EFB" w:rsidR="001203D9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No. of </w:t>
            </w:r>
            <w:r w:rsidR="00D84B54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contributory 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units</w:t>
            </w:r>
          </w:p>
          <w:p w14:paraId="4562C62A" w14:textId="358C8273" w:rsidR="001203D9" w:rsidRPr="000A7E1E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FDE" w14:textId="3222B3F5" w:rsidR="00703460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</w:t>
            </w:r>
          </w:p>
          <w:p w14:paraId="785E906C" w14:textId="77777777" w:rsidR="00703460" w:rsidRDefault="00703460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  <w:p w14:paraId="79591484" w14:textId="22638AD9" w:rsidR="00703460" w:rsidRPr="000A7E1E" w:rsidRDefault="00703460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718" w14:textId="77777777" w:rsidR="00703460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</w:t>
            </w:r>
          </w:p>
          <w:p w14:paraId="43370E0C" w14:textId="77777777" w:rsidR="00703460" w:rsidRDefault="001203D9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in %</w:t>
            </w:r>
          </w:p>
          <w:p w14:paraId="6975154B" w14:textId="4DE0C6CA" w:rsidR="00703460" w:rsidRPr="000A7E1E" w:rsidRDefault="00703460" w:rsidP="00703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203D9" w:rsidRPr="000A7E1E" w14:paraId="5F23FDA9" w14:textId="77777777" w:rsidTr="0051280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DF6CF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ITU-R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5B03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98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46A6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100 1/4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2FDC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2 1/4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7CB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2%</w:t>
            </w:r>
          </w:p>
        </w:tc>
      </w:tr>
      <w:tr w:rsidR="001203D9" w:rsidRPr="000A7E1E" w14:paraId="0B06AD4F" w14:textId="77777777" w:rsidTr="0051280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73136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ITU-T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9EEA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98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36A0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93 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6AC6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-4 11/16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ED1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-5%</w:t>
            </w:r>
          </w:p>
        </w:tc>
      </w:tr>
      <w:tr w:rsidR="001203D9" w:rsidRPr="000A7E1E" w14:paraId="6837AC2C" w14:textId="77777777" w:rsidTr="0051280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59F6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ITU-D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F6E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22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C3A8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22 1/4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CA8A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-  1/4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70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-1%</w:t>
            </w:r>
          </w:p>
        </w:tc>
      </w:tr>
      <w:tr w:rsidR="001203D9" w:rsidRPr="000A7E1E" w14:paraId="27E9BDC7" w14:textId="77777777" w:rsidTr="0051280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4F4A4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1D8F" w14:textId="3D17EFF6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B297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216 5/16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3B2C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-2 11/16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EB9E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-1%</w:t>
            </w:r>
          </w:p>
        </w:tc>
      </w:tr>
    </w:tbl>
    <w:p w14:paraId="2ED32FF8" w14:textId="77777777" w:rsidR="00C167E0" w:rsidRDefault="00C167E0"/>
    <w:tbl>
      <w:tblPr>
        <w:tblW w:w="9440" w:type="dxa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1203D9" w:rsidRPr="000A7E1E" w14:paraId="3FD22E2F" w14:textId="77777777" w:rsidTr="00C167E0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A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Associates*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02C" w14:textId="77777777" w:rsidR="00703460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493521BE" w14:textId="6A75340A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3C9" w14:textId="77777777" w:rsidR="00703460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165C4826" w14:textId="7F98E3A9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680" w14:textId="77777777" w:rsidR="001203D9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</w:t>
            </w:r>
          </w:p>
          <w:p w14:paraId="6D489046" w14:textId="4C47747E" w:rsidR="00703460" w:rsidRPr="000A7E1E" w:rsidRDefault="00703460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FA8" w14:textId="00A9B1AF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 in %</w:t>
            </w:r>
          </w:p>
        </w:tc>
      </w:tr>
      <w:tr w:rsidR="001203D9" w:rsidRPr="000A7E1E" w14:paraId="6C2B60E4" w14:textId="77777777" w:rsidTr="00C167E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285DB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ITU-R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1904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21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B565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21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E923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0E3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0%</w:t>
            </w:r>
          </w:p>
        </w:tc>
      </w:tr>
      <w:tr w:rsidR="001203D9" w:rsidRPr="000A7E1E" w14:paraId="7354A995" w14:textId="77777777" w:rsidTr="00C167E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0EF28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ITU-T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B3C4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157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1EB3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160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9137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3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32B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2%</w:t>
            </w:r>
          </w:p>
        </w:tc>
      </w:tr>
      <w:tr w:rsidR="001203D9" w:rsidRPr="000A7E1E" w14:paraId="4AC0613A" w14:textId="77777777" w:rsidTr="00C167E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A57A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ITU-D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05F9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F454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104F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7FB7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0%</w:t>
            </w:r>
          </w:p>
        </w:tc>
      </w:tr>
      <w:tr w:rsidR="001203D9" w:rsidRPr="000A7E1E" w14:paraId="7108E092" w14:textId="77777777" w:rsidTr="00C167E0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CE6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1C11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190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844D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193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6CCB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3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406" w14:textId="77777777" w:rsidR="001203D9" w:rsidRPr="000A7E1E" w:rsidRDefault="001203D9" w:rsidP="0051280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2%</w:t>
            </w:r>
          </w:p>
        </w:tc>
      </w:tr>
    </w:tbl>
    <w:p w14:paraId="1CEC649B" w14:textId="33DC56B1" w:rsidR="00C167E0" w:rsidRDefault="00C167E0" w:rsidP="00C167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textAlignment w:val="auto"/>
        <w:rPr>
          <w:lang w:val="en-US"/>
        </w:rPr>
      </w:pPr>
      <w:r w:rsidRPr="000A7E1E">
        <w:rPr>
          <w:rFonts w:cs="Calibri"/>
          <w:i/>
          <w:iCs/>
          <w:sz w:val="22"/>
          <w:szCs w:val="22"/>
          <w:lang w:val="en-US"/>
        </w:rPr>
        <w:t>* These figures do not include Associates which are SMEs. Please see below</w:t>
      </w:r>
      <w:r>
        <w:rPr>
          <w:rFonts w:cs="Calibri"/>
          <w:i/>
          <w:iCs/>
          <w:sz w:val="22"/>
          <w:szCs w:val="22"/>
          <w:lang w:val="en-US"/>
        </w:rPr>
        <w:t>.</w:t>
      </w:r>
    </w:p>
    <w:p w14:paraId="7DDBACD6" w14:textId="6F828D31" w:rsidR="00295746" w:rsidRDefault="002957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7B612429" w14:textId="58B538CC" w:rsidR="007F7A7A" w:rsidRDefault="007F7A7A" w:rsidP="002957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531"/>
        <w:gridCol w:w="3227"/>
        <w:gridCol w:w="1682"/>
      </w:tblGrid>
      <w:tr w:rsidR="007F7A7A" w:rsidRPr="000A7E1E" w14:paraId="69C29FEB" w14:textId="77777777" w:rsidTr="00C167E0">
        <w:trPr>
          <w:trHeight w:val="5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ED0" w14:textId="0E1A88B1" w:rsidR="007F7A7A" w:rsidRPr="000A7E1E" w:rsidRDefault="007A5584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SME** </w:t>
            </w:r>
            <w:r w:rsidR="007F7A7A"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Associates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A2B" w14:textId="77777777" w:rsidR="007F7A7A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66A9EDD5" w14:textId="5F7AFB7B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8E5" w14:textId="77777777" w:rsidR="007F7A7A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05FA2DFB" w14:textId="402A7E16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F7A7A" w:rsidRPr="000A7E1E" w14:paraId="4E7672DA" w14:textId="77777777" w:rsidTr="00C167E0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DAE0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ITU-R Associates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C1C7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D98B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18      </w:t>
            </w:r>
          </w:p>
        </w:tc>
      </w:tr>
      <w:tr w:rsidR="007F7A7A" w:rsidRPr="000A7E1E" w14:paraId="51740CBB" w14:textId="77777777" w:rsidTr="00C167E0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0E85E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ITU-T Associates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2973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0FAB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52      </w:t>
            </w:r>
          </w:p>
        </w:tc>
      </w:tr>
      <w:tr w:rsidR="007F7A7A" w:rsidRPr="000A7E1E" w14:paraId="687751DB" w14:textId="77777777" w:rsidTr="00C167E0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3434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ITU-D Associates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99AA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E274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0      </w:t>
            </w:r>
          </w:p>
        </w:tc>
      </w:tr>
      <w:tr w:rsidR="007F7A7A" w:rsidRPr="000A7E1E" w14:paraId="45AB3852" w14:textId="77777777" w:rsidTr="00C167E0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36F8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9DF6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C65B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70      </w:t>
            </w:r>
          </w:p>
        </w:tc>
      </w:tr>
    </w:tbl>
    <w:p w14:paraId="3B50C659" w14:textId="7F701D60" w:rsidR="007F7A7A" w:rsidRDefault="007F7A7A" w:rsidP="007F7A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textAlignment w:val="auto"/>
        <w:rPr>
          <w:rFonts w:cs="Calibri"/>
          <w:i/>
          <w:iCs/>
          <w:sz w:val="22"/>
          <w:szCs w:val="22"/>
          <w:lang w:val="en-US"/>
        </w:rPr>
      </w:pPr>
      <w:r w:rsidRPr="000A7E1E">
        <w:rPr>
          <w:rFonts w:cs="Calibri"/>
          <w:i/>
          <w:iCs/>
          <w:sz w:val="22"/>
          <w:szCs w:val="22"/>
          <w:lang w:val="en-US"/>
        </w:rPr>
        <w:t>** Resolution 209 (</w:t>
      </w:r>
      <w:r w:rsidR="007A5584">
        <w:rPr>
          <w:rFonts w:cs="Calibri"/>
          <w:i/>
          <w:iCs/>
          <w:sz w:val="22"/>
          <w:szCs w:val="22"/>
          <w:lang w:val="en-US"/>
        </w:rPr>
        <w:t>Rev. Bucharest</w:t>
      </w:r>
      <w:r w:rsidRPr="000A7E1E">
        <w:rPr>
          <w:rFonts w:cs="Calibri"/>
          <w:i/>
          <w:iCs/>
          <w:sz w:val="22"/>
          <w:szCs w:val="22"/>
          <w:lang w:val="en-US"/>
        </w:rPr>
        <w:t>, 20</w:t>
      </w:r>
      <w:r w:rsidR="007A5584">
        <w:rPr>
          <w:rFonts w:cs="Calibri"/>
          <w:i/>
          <w:iCs/>
          <w:sz w:val="22"/>
          <w:szCs w:val="22"/>
          <w:lang w:val="en-US"/>
        </w:rPr>
        <w:t>22</w:t>
      </w:r>
      <w:r w:rsidRPr="000A7E1E">
        <w:rPr>
          <w:rFonts w:cs="Calibri"/>
          <w:i/>
          <w:iCs/>
          <w:sz w:val="22"/>
          <w:szCs w:val="22"/>
          <w:lang w:val="en-US"/>
        </w:rPr>
        <w:t>)</w:t>
      </w:r>
      <w:r w:rsidR="007A5584">
        <w:rPr>
          <w:rFonts w:cs="Calibri"/>
          <w:i/>
          <w:iCs/>
          <w:sz w:val="22"/>
          <w:szCs w:val="22"/>
          <w:lang w:val="en-US"/>
        </w:rPr>
        <w:t xml:space="preserve"> of the Plenipotentiary Conference</w:t>
      </w:r>
    </w:p>
    <w:p w14:paraId="0EEA2EC7" w14:textId="49114522" w:rsidR="007F7A7A" w:rsidRDefault="007F7A7A" w:rsidP="007F7A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textAlignment w:val="auto"/>
        <w:rPr>
          <w:rFonts w:cs="Calibri"/>
          <w:i/>
          <w:iCs/>
          <w:sz w:val="22"/>
          <w:szCs w:val="22"/>
          <w:lang w:val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7F7A7A" w:rsidRPr="000A7E1E" w14:paraId="1AA0BEFE" w14:textId="77777777" w:rsidTr="007A788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666" w14:textId="314E864A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Academi</w:t>
            </w:r>
            <w:r w:rsidR="007A5584">
              <w:rPr>
                <w:rFonts w:cs="Calibri"/>
                <w:b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ADE" w14:textId="77777777" w:rsidR="007F7A7A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2B0C1C5F" w14:textId="2C8291E9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/>
              </w:rPr>
              <w:t>P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C03" w14:textId="77777777" w:rsidR="007F7A7A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Number</w:t>
            </w:r>
          </w:p>
          <w:p w14:paraId="0AA92D86" w14:textId="29A9C7E2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PP</w:t>
            </w:r>
            <w:r w:rsidR="00082627">
              <w:rPr>
                <w:rFonts w:cs="Calibri"/>
                <w:b/>
                <w:bCs/>
                <w:sz w:val="22"/>
                <w:szCs w:val="22"/>
                <w:lang w:val="en-US"/>
              </w:rPr>
              <w:t>-</w:t>
            </w: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C73" w14:textId="77777777" w:rsidR="007F7A7A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</w:t>
            </w:r>
          </w:p>
          <w:p w14:paraId="17442C53" w14:textId="38EE1AD8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9EF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Difference in %</w:t>
            </w:r>
          </w:p>
        </w:tc>
      </w:tr>
      <w:tr w:rsidR="007F7A7A" w:rsidRPr="000A7E1E" w14:paraId="18D71E76" w14:textId="77777777" w:rsidTr="007A788E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CF98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D255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145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F818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154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9C2B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 xml:space="preserve">9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33A" w14:textId="77777777" w:rsidR="007F7A7A" w:rsidRPr="000A7E1E" w:rsidRDefault="007F7A7A" w:rsidP="007A78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0A7E1E">
              <w:rPr>
                <w:rFonts w:cs="Calibri"/>
                <w:sz w:val="22"/>
                <w:szCs w:val="22"/>
                <w:lang w:val="en-US"/>
              </w:rPr>
              <w:t>6%</w:t>
            </w:r>
          </w:p>
        </w:tc>
      </w:tr>
    </w:tbl>
    <w:p w14:paraId="36961613" w14:textId="5787F8C5" w:rsidR="007F7A7A" w:rsidRPr="006D582B" w:rsidRDefault="00C167E0" w:rsidP="00E416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n-US"/>
        </w:rPr>
      </w:pPr>
      <w:r>
        <w:rPr>
          <w:lang w:val="en-US"/>
        </w:rPr>
        <w:t>______________</w:t>
      </w:r>
    </w:p>
    <w:sectPr w:rsidR="007F7A7A" w:rsidRPr="006D582B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A317" w14:textId="77777777" w:rsidR="003F5785" w:rsidRDefault="003F5785">
      <w:r>
        <w:separator/>
      </w:r>
    </w:p>
  </w:endnote>
  <w:endnote w:type="continuationSeparator" w:id="0">
    <w:p w14:paraId="6565F055" w14:textId="77777777" w:rsidR="003F5785" w:rsidRDefault="003F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32EC135" w:rsidR="00EE49E8" w:rsidRDefault="005F112C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521077</w:t>
          </w:r>
        </w:p>
      </w:tc>
      <w:tc>
        <w:tcPr>
          <w:tcW w:w="8261" w:type="dxa"/>
        </w:tcPr>
        <w:p w14:paraId="35709C74" w14:textId="1C1F7494" w:rsidR="00EE49E8" w:rsidRPr="00E06FD5" w:rsidRDefault="00EE49E8" w:rsidP="00295746">
          <w:pPr>
            <w:pStyle w:val="Header"/>
            <w:tabs>
              <w:tab w:val="left" w:pos="5215"/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295746"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9574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77AF7">
            <w:rPr>
              <w:bCs/>
            </w:rPr>
            <w:t>43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36001A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F4AC35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4BA5">
            <w:rPr>
              <w:bCs/>
            </w:rPr>
            <w:t>3</w:t>
          </w:r>
          <w:r w:rsidRPr="00623AE3">
            <w:rPr>
              <w:bCs/>
            </w:rPr>
            <w:t>/</w:t>
          </w:r>
          <w:r w:rsidR="00FC4BA5">
            <w:rPr>
              <w:bCs/>
            </w:rPr>
            <w:t>43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39E5" w14:textId="77777777" w:rsidR="003F5785" w:rsidRDefault="003F5785">
      <w:r>
        <w:t>____________________</w:t>
      </w:r>
    </w:p>
  </w:footnote>
  <w:footnote w:type="continuationSeparator" w:id="0">
    <w:p w14:paraId="11B30B7E" w14:textId="77777777" w:rsidR="003F5785" w:rsidRDefault="003F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0081"/>
    <w:rsid w:val="00000789"/>
    <w:rsid w:val="000210D4"/>
    <w:rsid w:val="000478D2"/>
    <w:rsid w:val="00063016"/>
    <w:rsid w:val="00066795"/>
    <w:rsid w:val="00075036"/>
    <w:rsid w:val="00076AF6"/>
    <w:rsid w:val="00077C9C"/>
    <w:rsid w:val="00080F11"/>
    <w:rsid w:val="00082627"/>
    <w:rsid w:val="00085CF2"/>
    <w:rsid w:val="000A270E"/>
    <w:rsid w:val="000B1705"/>
    <w:rsid w:val="000B56F5"/>
    <w:rsid w:val="000C305A"/>
    <w:rsid w:val="000D75B2"/>
    <w:rsid w:val="001121F5"/>
    <w:rsid w:val="001203D9"/>
    <w:rsid w:val="00135CDC"/>
    <w:rsid w:val="001400DC"/>
    <w:rsid w:val="00140CE1"/>
    <w:rsid w:val="0017539C"/>
    <w:rsid w:val="00175AC2"/>
    <w:rsid w:val="0017609F"/>
    <w:rsid w:val="001920BA"/>
    <w:rsid w:val="001A7D1D"/>
    <w:rsid w:val="001B2E7A"/>
    <w:rsid w:val="001B51DD"/>
    <w:rsid w:val="001B57F0"/>
    <w:rsid w:val="001C25DD"/>
    <w:rsid w:val="001C628E"/>
    <w:rsid w:val="001E0F7B"/>
    <w:rsid w:val="00201A69"/>
    <w:rsid w:val="002119FD"/>
    <w:rsid w:val="002130E0"/>
    <w:rsid w:val="00226832"/>
    <w:rsid w:val="002428C0"/>
    <w:rsid w:val="00243D9D"/>
    <w:rsid w:val="002468D8"/>
    <w:rsid w:val="00260875"/>
    <w:rsid w:val="0026271E"/>
    <w:rsid w:val="00263CA3"/>
    <w:rsid w:val="00264425"/>
    <w:rsid w:val="00265875"/>
    <w:rsid w:val="0027303B"/>
    <w:rsid w:val="0028109B"/>
    <w:rsid w:val="00295746"/>
    <w:rsid w:val="002A2188"/>
    <w:rsid w:val="002B1F58"/>
    <w:rsid w:val="002B6C20"/>
    <w:rsid w:val="002C1C7A"/>
    <w:rsid w:val="002C54E2"/>
    <w:rsid w:val="002C7CAC"/>
    <w:rsid w:val="002F2471"/>
    <w:rsid w:val="002F320C"/>
    <w:rsid w:val="002F4438"/>
    <w:rsid w:val="0030160F"/>
    <w:rsid w:val="00320223"/>
    <w:rsid w:val="00322D0D"/>
    <w:rsid w:val="00336422"/>
    <w:rsid w:val="00337D6C"/>
    <w:rsid w:val="0036001A"/>
    <w:rsid w:val="00361465"/>
    <w:rsid w:val="00362D03"/>
    <w:rsid w:val="003877F5"/>
    <w:rsid w:val="003942D4"/>
    <w:rsid w:val="003958A8"/>
    <w:rsid w:val="003C2533"/>
    <w:rsid w:val="003D5A7F"/>
    <w:rsid w:val="003E4E5D"/>
    <w:rsid w:val="003F5785"/>
    <w:rsid w:val="0040435A"/>
    <w:rsid w:val="00416A24"/>
    <w:rsid w:val="00421A50"/>
    <w:rsid w:val="00431D9E"/>
    <w:rsid w:val="00433CE8"/>
    <w:rsid w:val="00434A5C"/>
    <w:rsid w:val="004544D9"/>
    <w:rsid w:val="00464B87"/>
    <w:rsid w:val="00472BAD"/>
    <w:rsid w:val="00472E64"/>
    <w:rsid w:val="00477169"/>
    <w:rsid w:val="00484009"/>
    <w:rsid w:val="00490E72"/>
    <w:rsid w:val="00491157"/>
    <w:rsid w:val="00491CFB"/>
    <w:rsid w:val="004921C8"/>
    <w:rsid w:val="00495B0B"/>
    <w:rsid w:val="004A1B8B"/>
    <w:rsid w:val="004A56C1"/>
    <w:rsid w:val="004A61EA"/>
    <w:rsid w:val="004A753D"/>
    <w:rsid w:val="004D1851"/>
    <w:rsid w:val="004D599D"/>
    <w:rsid w:val="004E2EA5"/>
    <w:rsid w:val="004E3AEB"/>
    <w:rsid w:val="0050223C"/>
    <w:rsid w:val="00502F47"/>
    <w:rsid w:val="00514821"/>
    <w:rsid w:val="00521474"/>
    <w:rsid w:val="005243FF"/>
    <w:rsid w:val="00530085"/>
    <w:rsid w:val="00542F19"/>
    <w:rsid w:val="005459DC"/>
    <w:rsid w:val="00564FBC"/>
    <w:rsid w:val="005800BC"/>
    <w:rsid w:val="00582442"/>
    <w:rsid w:val="005849B1"/>
    <w:rsid w:val="005B7A46"/>
    <w:rsid w:val="005F112C"/>
    <w:rsid w:val="005F3269"/>
    <w:rsid w:val="005F5ECB"/>
    <w:rsid w:val="006046CB"/>
    <w:rsid w:val="0060595F"/>
    <w:rsid w:val="00616731"/>
    <w:rsid w:val="00623AE3"/>
    <w:rsid w:val="00631499"/>
    <w:rsid w:val="0064737F"/>
    <w:rsid w:val="006535F1"/>
    <w:rsid w:val="0065557D"/>
    <w:rsid w:val="00660D50"/>
    <w:rsid w:val="00662984"/>
    <w:rsid w:val="006716BB"/>
    <w:rsid w:val="00677AF7"/>
    <w:rsid w:val="006B01CF"/>
    <w:rsid w:val="006B1859"/>
    <w:rsid w:val="006B6680"/>
    <w:rsid w:val="006B6DCC"/>
    <w:rsid w:val="006C733A"/>
    <w:rsid w:val="006D582B"/>
    <w:rsid w:val="006F44EB"/>
    <w:rsid w:val="00702DEF"/>
    <w:rsid w:val="00703460"/>
    <w:rsid w:val="00706861"/>
    <w:rsid w:val="00721A7C"/>
    <w:rsid w:val="0075051B"/>
    <w:rsid w:val="00752B56"/>
    <w:rsid w:val="007641C5"/>
    <w:rsid w:val="00775A13"/>
    <w:rsid w:val="00793188"/>
    <w:rsid w:val="00794D34"/>
    <w:rsid w:val="007A5584"/>
    <w:rsid w:val="007E01A4"/>
    <w:rsid w:val="007F76AE"/>
    <w:rsid w:val="007F7A7A"/>
    <w:rsid w:val="00813E5E"/>
    <w:rsid w:val="0083581B"/>
    <w:rsid w:val="00863874"/>
    <w:rsid w:val="00864AFF"/>
    <w:rsid w:val="00865925"/>
    <w:rsid w:val="00872BE7"/>
    <w:rsid w:val="0088064D"/>
    <w:rsid w:val="0089281A"/>
    <w:rsid w:val="008952AE"/>
    <w:rsid w:val="008A2B68"/>
    <w:rsid w:val="008A78FA"/>
    <w:rsid w:val="008B4A6A"/>
    <w:rsid w:val="008C7E27"/>
    <w:rsid w:val="008E742C"/>
    <w:rsid w:val="008F7448"/>
    <w:rsid w:val="0090147A"/>
    <w:rsid w:val="009173EF"/>
    <w:rsid w:val="00932906"/>
    <w:rsid w:val="00961B0B"/>
    <w:rsid w:val="009638C9"/>
    <w:rsid w:val="00983F83"/>
    <w:rsid w:val="009B38C3"/>
    <w:rsid w:val="009E17BD"/>
    <w:rsid w:val="009E485A"/>
    <w:rsid w:val="00A04CEC"/>
    <w:rsid w:val="00A27F92"/>
    <w:rsid w:val="00A32257"/>
    <w:rsid w:val="00A36D20"/>
    <w:rsid w:val="00A43354"/>
    <w:rsid w:val="00A514A4"/>
    <w:rsid w:val="00A54171"/>
    <w:rsid w:val="00A55622"/>
    <w:rsid w:val="00A75935"/>
    <w:rsid w:val="00A80F55"/>
    <w:rsid w:val="00A83502"/>
    <w:rsid w:val="00AD15B3"/>
    <w:rsid w:val="00AD3606"/>
    <w:rsid w:val="00AD4A3D"/>
    <w:rsid w:val="00AF6E49"/>
    <w:rsid w:val="00B04A67"/>
    <w:rsid w:val="00B0583C"/>
    <w:rsid w:val="00B13E24"/>
    <w:rsid w:val="00B24A3B"/>
    <w:rsid w:val="00B2659B"/>
    <w:rsid w:val="00B40A81"/>
    <w:rsid w:val="00B44910"/>
    <w:rsid w:val="00B53C0A"/>
    <w:rsid w:val="00B5710A"/>
    <w:rsid w:val="00B644B0"/>
    <w:rsid w:val="00B7012E"/>
    <w:rsid w:val="00B72267"/>
    <w:rsid w:val="00B76EB6"/>
    <w:rsid w:val="00B7737B"/>
    <w:rsid w:val="00B824C8"/>
    <w:rsid w:val="00B84B9D"/>
    <w:rsid w:val="00BC251A"/>
    <w:rsid w:val="00BC6794"/>
    <w:rsid w:val="00BD032B"/>
    <w:rsid w:val="00BD118C"/>
    <w:rsid w:val="00BE2640"/>
    <w:rsid w:val="00C01189"/>
    <w:rsid w:val="00C167E0"/>
    <w:rsid w:val="00C31068"/>
    <w:rsid w:val="00C374DE"/>
    <w:rsid w:val="00C44279"/>
    <w:rsid w:val="00C458DB"/>
    <w:rsid w:val="00C47AD4"/>
    <w:rsid w:val="00C5153F"/>
    <w:rsid w:val="00C52D81"/>
    <w:rsid w:val="00C55198"/>
    <w:rsid w:val="00C6283E"/>
    <w:rsid w:val="00CA1A0D"/>
    <w:rsid w:val="00CA6393"/>
    <w:rsid w:val="00CB18FF"/>
    <w:rsid w:val="00CC1888"/>
    <w:rsid w:val="00CD0C08"/>
    <w:rsid w:val="00CE03FB"/>
    <w:rsid w:val="00CE413D"/>
    <w:rsid w:val="00CE433C"/>
    <w:rsid w:val="00CF0161"/>
    <w:rsid w:val="00CF33F3"/>
    <w:rsid w:val="00D06183"/>
    <w:rsid w:val="00D22C42"/>
    <w:rsid w:val="00D410DB"/>
    <w:rsid w:val="00D472FB"/>
    <w:rsid w:val="00D65041"/>
    <w:rsid w:val="00D84B54"/>
    <w:rsid w:val="00DA1753"/>
    <w:rsid w:val="00DB1936"/>
    <w:rsid w:val="00DB384B"/>
    <w:rsid w:val="00DE0B70"/>
    <w:rsid w:val="00DF0189"/>
    <w:rsid w:val="00E02C5E"/>
    <w:rsid w:val="00E02E46"/>
    <w:rsid w:val="00E06FD5"/>
    <w:rsid w:val="00E10E80"/>
    <w:rsid w:val="00E124F0"/>
    <w:rsid w:val="00E2679E"/>
    <w:rsid w:val="00E35BD9"/>
    <w:rsid w:val="00E4161A"/>
    <w:rsid w:val="00E556CF"/>
    <w:rsid w:val="00E55E29"/>
    <w:rsid w:val="00E60F04"/>
    <w:rsid w:val="00E65B24"/>
    <w:rsid w:val="00E737AE"/>
    <w:rsid w:val="00E854E4"/>
    <w:rsid w:val="00E86DBF"/>
    <w:rsid w:val="00EA1DE6"/>
    <w:rsid w:val="00EB0D6F"/>
    <w:rsid w:val="00EB2232"/>
    <w:rsid w:val="00EC5337"/>
    <w:rsid w:val="00ED228D"/>
    <w:rsid w:val="00EE49E8"/>
    <w:rsid w:val="00F005CA"/>
    <w:rsid w:val="00F16BAB"/>
    <w:rsid w:val="00F20AD4"/>
    <w:rsid w:val="00F2150A"/>
    <w:rsid w:val="00F22857"/>
    <w:rsid w:val="00F231D8"/>
    <w:rsid w:val="00F44C00"/>
    <w:rsid w:val="00F46C5F"/>
    <w:rsid w:val="00F632C0"/>
    <w:rsid w:val="00F94A63"/>
    <w:rsid w:val="00FA1C28"/>
    <w:rsid w:val="00FB1279"/>
    <w:rsid w:val="00FB54D3"/>
    <w:rsid w:val="00FB6B76"/>
    <w:rsid w:val="00FB7596"/>
    <w:rsid w:val="00FC4BA5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36422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uiPriority w:val="99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msonormal0">
    <w:name w:val="msonormal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5">
    <w:name w:val="xl65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6">
    <w:name w:val="xl66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7">
    <w:name w:val="xl67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68">
    <w:name w:val="xl68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val="en-US"/>
    </w:rPr>
  </w:style>
  <w:style w:type="paragraph" w:customStyle="1" w:styleId="xl69">
    <w:name w:val="xl69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/>
    </w:rPr>
  </w:style>
  <w:style w:type="paragraph" w:customStyle="1" w:styleId="xl70">
    <w:name w:val="xl70"/>
    <w:basedOn w:val="Normal"/>
    <w:rsid w:val="001203D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val="en-US"/>
    </w:rPr>
  </w:style>
  <w:style w:type="paragraph" w:customStyle="1" w:styleId="xl71">
    <w:name w:val="xl71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val="en-US"/>
    </w:rPr>
  </w:style>
  <w:style w:type="paragraph" w:customStyle="1" w:styleId="xl72">
    <w:name w:val="xl72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en-US"/>
    </w:rPr>
  </w:style>
  <w:style w:type="paragraph" w:customStyle="1" w:styleId="xl73">
    <w:name w:val="xl73"/>
    <w:basedOn w:val="Normal"/>
    <w:rsid w:val="001203D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74">
    <w:name w:val="xl74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75">
    <w:name w:val="xl75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76">
    <w:name w:val="xl76"/>
    <w:basedOn w:val="Normal"/>
    <w:rsid w:val="001203D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77">
    <w:name w:val="xl77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78">
    <w:name w:val="xl78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Cs w:val="24"/>
      <w:lang w:val="en-US"/>
    </w:rPr>
  </w:style>
  <w:style w:type="paragraph" w:customStyle="1" w:styleId="xl79">
    <w:name w:val="xl79"/>
    <w:basedOn w:val="Normal"/>
    <w:rsid w:val="001203D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80">
    <w:name w:val="xl80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81">
    <w:name w:val="xl81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82">
    <w:name w:val="xl82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xl83">
    <w:name w:val="xl83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/>
    </w:rPr>
  </w:style>
  <w:style w:type="paragraph" w:customStyle="1" w:styleId="xl84">
    <w:name w:val="xl84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val="en-US"/>
    </w:rPr>
  </w:style>
  <w:style w:type="paragraph" w:customStyle="1" w:styleId="xl85">
    <w:name w:val="xl85"/>
    <w:basedOn w:val="Normal"/>
    <w:rsid w:val="001203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Cs w:val="24"/>
      <w:lang w:val="en-US"/>
    </w:rPr>
  </w:style>
  <w:style w:type="paragraph" w:customStyle="1" w:styleId="xl86">
    <w:name w:val="xl86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paragraph" w:customStyle="1" w:styleId="xl87">
    <w:name w:val="xl87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Cs w:val="24"/>
      <w:lang w:val="en-US"/>
    </w:rPr>
  </w:style>
  <w:style w:type="paragraph" w:customStyle="1" w:styleId="xl88">
    <w:name w:val="xl88"/>
    <w:basedOn w:val="Normal"/>
    <w:rsid w:val="001203D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Cs w:val="24"/>
      <w:lang w:val="en-US"/>
    </w:rPr>
  </w:style>
  <w:style w:type="paragraph" w:customStyle="1" w:styleId="xl89">
    <w:name w:val="xl89"/>
    <w:basedOn w:val="Normal"/>
    <w:rsid w:val="0012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  <w:lang w:val="en-US"/>
    </w:rPr>
  </w:style>
  <w:style w:type="paragraph" w:styleId="Revision">
    <w:name w:val="Revision"/>
    <w:hidden/>
    <w:uiPriority w:val="99"/>
    <w:semiHidden/>
    <w:rsid w:val="00E35BD9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A1D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D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DE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DE6"/>
    <w:rPr>
      <w:rFonts w:ascii="Calibri" w:hAnsi="Calibri"/>
      <w:b/>
      <w:bCs/>
      <w:lang w:val="en-GB" w:eastAsia="en-US"/>
    </w:rPr>
  </w:style>
  <w:style w:type="paragraph" w:customStyle="1" w:styleId="xl90">
    <w:name w:val="xl90"/>
    <w:basedOn w:val="Normal"/>
    <w:rsid w:val="00F20AD4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Cs w:val="24"/>
      <w:lang w:eastAsia="en-GB"/>
    </w:rPr>
  </w:style>
  <w:style w:type="paragraph" w:customStyle="1" w:styleId="xl91">
    <w:name w:val="xl91"/>
    <w:basedOn w:val="Normal"/>
    <w:rsid w:val="00F20AD4"/>
    <w:pPr>
      <w:pBdr>
        <w:lef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xl92">
    <w:name w:val="xl92"/>
    <w:basedOn w:val="Normal"/>
    <w:rsid w:val="00F20AD4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xl93">
    <w:name w:val="xl93"/>
    <w:basedOn w:val="Normal"/>
    <w:rsid w:val="00F20AD4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xl94">
    <w:name w:val="xl94"/>
    <w:basedOn w:val="Normal"/>
    <w:rsid w:val="00F20AD4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DEC-005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uard\AppData\Local\Microsoft\Windows\INetCache\Content.Outlook\63DZQJ75\Template_Council_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Template_Council_23.dotx</Template>
  <TotalTime>4</TotalTime>
  <Pages>9</Pages>
  <Words>1738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 OF CLASS OF CONTRIBUTION FOR DEFRAYING THE UNION’S EXPENSES</vt:lpstr>
    </vt:vector>
  </TitlesOfParts>
  <Manager>General Secretariat - Pool</Manager>
  <Company>International Telecommunication Union (ITU)</Company>
  <LinksUpToDate>false</LinksUpToDate>
  <CharactersWithSpaces>11719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OF CLASS OF CONTRIBUTION FOR DEFRAYING THE UNION’S EXPENSES</dc:title>
  <dc:subject>Council 2023</dc:subject>
  <dc:creator>Lamanauskas, Tomas</dc:creator>
  <cp:keywords>C2023, C23, Council-23</cp:keywords>
  <dc:description/>
  <cp:lastModifiedBy>Xue, Kun</cp:lastModifiedBy>
  <cp:revision>3</cp:revision>
  <cp:lastPrinted>2000-07-18T13:30:00Z</cp:lastPrinted>
  <dcterms:created xsi:type="dcterms:W3CDTF">2023-05-12T07:31:00Z</dcterms:created>
  <dcterms:modified xsi:type="dcterms:W3CDTF">2023-05-16T09:47:00Z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