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765AFB" w14:paraId="509A9639" w14:textId="77777777" w:rsidTr="00C538FC">
        <w:trPr>
          <w:cantSplit/>
          <w:trHeight w:val="23"/>
        </w:trPr>
        <w:tc>
          <w:tcPr>
            <w:tcW w:w="3969" w:type="dxa"/>
            <w:vMerge w:val="restart"/>
            <w:tcMar>
              <w:left w:w="0" w:type="dxa"/>
            </w:tcMar>
          </w:tcPr>
          <w:p w14:paraId="296C9696" w14:textId="19EF8DEE" w:rsidR="00FE57F6" w:rsidRPr="00765AFB" w:rsidRDefault="00BF0C54" w:rsidP="00C538FC">
            <w:pPr>
              <w:tabs>
                <w:tab w:val="left" w:pos="851"/>
              </w:tabs>
              <w:spacing w:before="0" w:line="240" w:lineRule="atLeast"/>
              <w:rPr>
                <w:b/>
              </w:rPr>
            </w:pPr>
            <w:bookmarkStart w:id="0" w:name="_Hlk133421839"/>
            <w:r w:rsidRPr="00765AFB">
              <w:rPr>
                <w:b/>
              </w:rPr>
              <w:t>Punto del orden del día: ADM 1</w:t>
            </w:r>
          </w:p>
        </w:tc>
        <w:tc>
          <w:tcPr>
            <w:tcW w:w="5245" w:type="dxa"/>
          </w:tcPr>
          <w:p w14:paraId="45D9D3AE" w14:textId="0261DFB7" w:rsidR="00FE57F6" w:rsidRPr="00765AFB" w:rsidRDefault="00FE57F6" w:rsidP="00C538FC">
            <w:pPr>
              <w:tabs>
                <w:tab w:val="left" w:pos="851"/>
              </w:tabs>
              <w:spacing w:before="0" w:line="240" w:lineRule="atLeast"/>
              <w:jc w:val="right"/>
              <w:rPr>
                <w:b/>
              </w:rPr>
            </w:pPr>
            <w:r w:rsidRPr="00765AFB">
              <w:rPr>
                <w:b/>
              </w:rPr>
              <w:t>Document</w:t>
            </w:r>
            <w:r w:rsidR="00F24B71" w:rsidRPr="00765AFB">
              <w:rPr>
                <w:b/>
              </w:rPr>
              <w:t>o</w:t>
            </w:r>
            <w:r w:rsidRPr="00765AFB">
              <w:rPr>
                <w:b/>
              </w:rPr>
              <w:t xml:space="preserve"> C23/</w:t>
            </w:r>
            <w:r w:rsidR="00BF0C54" w:rsidRPr="00765AFB">
              <w:rPr>
                <w:b/>
              </w:rPr>
              <w:t>39</w:t>
            </w:r>
            <w:r w:rsidRPr="00765AFB">
              <w:rPr>
                <w:b/>
              </w:rPr>
              <w:t>-</w:t>
            </w:r>
            <w:r w:rsidR="00F24B71" w:rsidRPr="00765AFB">
              <w:rPr>
                <w:b/>
              </w:rPr>
              <w:t>S</w:t>
            </w:r>
          </w:p>
        </w:tc>
      </w:tr>
      <w:tr w:rsidR="00FE57F6" w:rsidRPr="00765AFB" w14:paraId="2F385DBC" w14:textId="77777777" w:rsidTr="00C538FC">
        <w:trPr>
          <w:cantSplit/>
        </w:trPr>
        <w:tc>
          <w:tcPr>
            <w:tcW w:w="3969" w:type="dxa"/>
            <w:vMerge/>
          </w:tcPr>
          <w:p w14:paraId="5581E4A5" w14:textId="77777777" w:rsidR="00FE57F6" w:rsidRPr="00765AFB" w:rsidRDefault="00FE57F6" w:rsidP="00C538FC">
            <w:pPr>
              <w:tabs>
                <w:tab w:val="left" w:pos="851"/>
              </w:tabs>
              <w:spacing w:line="240" w:lineRule="atLeast"/>
              <w:rPr>
                <w:b/>
              </w:rPr>
            </w:pPr>
          </w:p>
        </w:tc>
        <w:tc>
          <w:tcPr>
            <w:tcW w:w="5245" w:type="dxa"/>
          </w:tcPr>
          <w:p w14:paraId="732D62E8" w14:textId="47E63526" w:rsidR="00FE57F6" w:rsidRPr="00765AFB" w:rsidRDefault="00BF0C54" w:rsidP="00C538FC">
            <w:pPr>
              <w:tabs>
                <w:tab w:val="left" w:pos="851"/>
              </w:tabs>
              <w:spacing w:before="0"/>
              <w:jc w:val="right"/>
              <w:rPr>
                <w:b/>
              </w:rPr>
            </w:pPr>
            <w:r w:rsidRPr="00765AFB">
              <w:rPr>
                <w:b/>
              </w:rPr>
              <w:t xml:space="preserve">9 de junio de </w:t>
            </w:r>
            <w:r w:rsidR="00FE57F6" w:rsidRPr="00765AFB">
              <w:rPr>
                <w:b/>
              </w:rPr>
              <w:t>2023</w:t>
            </w:r>
          </w:p>
        </w:tc>
      </w:tr>
      <w:tr w:rsidR="00FE57F6" w:rsidRPr="00765AFB" w14:paraId="49973BE2" w14:textId="77777777" w:rsidTr="00C538FC">
        <w:trPr>
          <w:cantSplit/>
          <w:trHeight w:val="23"/>
        </w:trPr>
        <w:tc>
          <w:tcPr>
            <w:tcW w:w="3969" w:type="dxa"/>
            <w:vMerge/>
          </w:tcPr>
          <w:p w14:paraId="2070CE17" w14:textId="77777777" w:rsidR="00FE57F6" w:rsidRPr="00765AFB" w:rsidRDefault="00FE57F6" w:rsidP="00C538FC">
            <w:pPr>
              <w:tabs>
                <w:tab w:val="left" w:pos="851"/>
              </w:tabs>
              <w:spacing w:line="240" w:lineRule="atLeast"/>
              <w:rPr>
                <w:b/>
              </w:rPr>
            </w:pPr>
          </w:p>
        </w:tc>
        <w:tc>
          <w:tcPr>
            <w:tcW w:w="5245" w:type="dxa"/>
          </w:tcPr>
          <w:p w14:paraId="229F0533" w14:textId="77777777" w:rsidR="00FE57F6" w:rsidRPr="00765AFB" w:rsidRDefault="00F24B71" w:rsidP="00C538FC">
            <w:pPr>
              <w:tabs>
                <w:tab w:val="left" w:pos="851"/>
              </w:tabs>
              <w:spacing w:before="0" w:line="240" w:lineRule="atLeast"/>
              <w:jc w:val="right"/>
              <w:rPr>
                <w:b/>
                <w:bCs/>
              </w:rPr>
            </w:pPr>
            <w:r w:rsidRPr="00765AFB">
              <w:rPr>
                <w:rFonts w:cstheme="minorHAnsi"/>
                <w:b/>
                <w:bCs/>
              </w:rPr>
              <w:t>Original: inglés</w:t>
            </w:r>
          </w:p>
        </w:tc>
      </w:tr>
      <w:tr w:rsidR="00FE57F6" w:rsidRPr="00765AFB" w14:paraId="751BC3B7" w14:textId="77777777" w:rsidTr="00C538FC">
        <w:trPr>
          <w:cantSplit/>
          <w:trHeight w:val="23"/>
        </w:trPr>
        <w:tc>
          <w:tcPr>
            <w:tcW w:w="3969" w:type="dxa"/>
          </w:tcPr>
          <w:p w14:paraId="49E13C72" w14:textId="77777777" w:rsidR="00FE57F6" w:rsidRPr="00765AFB" w:rsidRDefault="00FE57F6" w:rsidP="00C538FC">
            <w:pPr>
              <w:tabs>
                <w:tab w:val="left" w:pos="851"/>
              </w:tabs>
              <w:spacing w:line="240" w:lineRule="atLeast"/>
              <w:rPr>
                <w:b/>
              </w:rPr>
            </w:pPr>
          </w:p>
        </w:tc>
        <w:tc>
          <w:tcPr>
            <w:tcW w:w="5245" w:type="dxa"/>
          </w:tcPr>
          <w:p w14:paraId="60D8B81B" w14:textId="77777777" w:rsidR="00FE57F6" w:rsidRPr="00765AFB" w:rsidRDefault="00FE57F6" w:rsidP="00C538FC">
            <w:pPr>
              <w:tabs>
                <w:tab w:val="left" w:pos="851"/>
              </w:tabs>
              <w:spacing w:before="0" w:line="240" w:lineRule="atLeast"/>
              <w:jc w:val="right"/>
              <w:rPr>
                <w:b/>
              </w:rPr>
            </w:pPr>
          </w:p>
        </w:tc>
      </w:tr>
      <w:tr w:rsidR="00FE57F6" w:rsidRPr="00765AFB" w14:paraId="64C1836D" w14:textId="77777777" w:rsidTr="00C538FC">
        <w:trPr>
          <w:cantSplit/>
        </w:trPr>
        <w:tc>
          <w:tcPr>
            <w:tcW w:w="9214" w:type="dxa"/>
            <w:gridSpan w:val="2"/>
            <w:tcMar>
              <w:left w:w="0" w:type="dxa"/>
            </w:tcMar>
          </w:tcPr>
          <w:p w14:paraId="45303080" w14:textId="77777777" w:rsidR="00FE57F6" w:rsidRPr="00765AFB" w:rsidRDefault="00F24B71" w:rsidP="00C538FC">
            <w:pPr>
              <w:pStyle w:val="Source"/>
              <w:jc w:val="left"/>
              <w:rPr>
                <w:sz w:val="34"/>
                <w:szCs w:val="34"/>
              </w:rPr>
            </w:pPr>
            <w:r w:rsidRPr="00765AFB">
              <w:rPr>
                <w:rFonts w:cstheme="minorHAnsi"/>
                <w:sz w:val="34"/>
                <w:szCs w:val="34"/>
              </w:rPr>
              <w:t>Informe de</w:t>
            </w:r>
            <w:r w:rsidR="004B5D49" w:rsidRPr="00765AFB">
              <w:rPr>
                <w:rFonts w:cstheme="minorHAnsi"/>
                <w:sz w:val="34"/>
                <w:szCs w:val="34"/>
              </w:rPr>
              <w:t xml:space="preserve"> </w:t>
            </w:r>
            <w:r w:rsidRPr="00765AFB">
              <w:rPr>
                <w:rFonts w:cstheme="minorHAnsi"/>
                <w:sz w:val="34"/>
                <w:szCs w:val="34"/>
              </w:rPr>
              <w:t>l</w:t>
            </w:r>
            <w:r w:rsidR="004B5D49" w:rsidRPr="00765AFB">
              <w:rPr>
                <w:rFonts w:cstheme="minorHAnsi"/>
                <w:sz w:val="34"/>
                <w:szCs w:val="34"/>
              </w:rPr>
              <w:t>a</w:t>
            </w:r>
            <w:r w:rsidRPr="00765AFB">
              <w:rPr>
                <w:rFonts w:cstheme="minorHAnsi"/>
                <w:sz w:val="34"/>
                <w:szCs w:val="34"/>
              </w:rPr>
              <w:t xml:space="preserve"> Secretari</w:t>
            </w:r>
            <w:r w:rsidR="004B5D49" w:rsidRPr="00765AFB">
              <w:rPr>
                <w:rFonts w:cstheme="minorHAnsi"/>
                <w:sz w:val="34"/>
                <w:szCs w:val="34"/>
              </w:rPr>
              <w:t>a</w:t>
            </w:r>
            <w:r w:rsidRPr="00765AFB">
              <w:rPr>
                <w:rFonts w:cstheme="minorHAnsi"/>
                <w:sz w:val="34"/>
                <w:szCs w:val="34"/>
              </w:rPr>
              <w:t xml:space="preserve"> General</w:t>
            </w:r>
          </w:p>
        </w:tc>
      </w:tr>
      <w:tr w:rsidR="00FE57F6" w:rsidRPr="00765AFB" w14:paraId="04327C01" w14:textId="77777777" w:rsidTr="00C538FC">
        <w:trPr>
          <w:cantSplit/>
        </w:trPr>
        <w:tc>
          <w:tcPr>
            <w:tcW w:w="9214" w:type="dxa"/>
            <w:gridSpan w:val="2"/>
            <w:tcMar>
              <w:left w:w="0" w:type="dxa"/>
            </w:tcMar>
          </w:tcPr>
          <w:p w14:paraId="6EDBE022" w14:textId="539A4928" w:rsidR="00FE57F6" w:rsidRPr="00765AFB" w:rsidRDefault="00BF0C54" w:rsidP="00C538FC">
            <w:pPr>
              <w:pStyle w:val="Subtitle"/>
              <w:framePr w:hSpace="0" w:wrap="auto" w:hAnchor="text" w:xAlign="left" w:yAlign="inline"/>
              <w:rPr>
                <w:lang w:val="es-ES_tradnl"/>
              </w:rPr>
            </w:pPr>
            <w:r w:rsidRPr="00765AFB">
              <w:rPr>
                <w:rFonts w:cstheme="minorHAnsi"/>
                <w:lang w:val="es-ES_tradnl"/>
              </w:rPr>
              <w:t>NUEVAS SOLICITUDES DE EXONERACIÓN DE PAGO DE LA CUOTA DE AFILIACIÓN PARA LAS ORGANIZACIONES DE CARÁCTER INTERNACIONAL</w:t>
            </w:r>
          </w:p>
        </w:tc>
      </w:tr>
      <w:tr w:rsidR="00BF0C54" w:rsidRPr="00765AFB" w14:paraId="3B04CC24" w14:textId="77777777" w:rsidTr="00C538FC">
        <w:trPr>
          <w:cantSplit/>
        </w:trPr>
        <w:tc>
          <w:tcPr>
            <w:tcW w:w="9214" w:type="dxa"/>
            <w:gridSpan w:val="2"/>
            <w:tcBorders>
              <w:top w:val="single" w:sz="4" w:space="0" w:color="auto"/>
              <w:bottom w:val="single" w:sz="4" w:space="0" w:color="auto"/>
            </w:tcBorders>
            <w:tcMar>
              <w:left w:w="0" w:type="dxa"/>
            </w:tcMar>
          </w:tcPr>
          <w:p w14:paraId="70316C15" w14:textId="77777777" w:rsidR="00BF0C54" w:rsidRPr="00765AFB" w:rsidRDefault="00BF0C54" w:rsidP="00BF0C54">
            <w:pPr>
              <w:spacing w:before="160"/>
              <w:rPr>
                <w:b/>
                <w:bCs/>
                <w:sz w:val="26"/>
                <w:szCs w:val="26"/>
              </w:rPr>
            </w:pPr>
            <w:r w:rsidRPr="00765AFB">
              <w:rPr>
                <w:b/>
                <w:bCs/>
                <w:sz w:val="26"/>
                <w:szCs w:val="26"/>
              </w:rPr>
              <w:t>Finalidad</w:t>
            </w:r>
          </w:p>
          <w:p w14:paraId="330C6461" w14:textId="77777777" w:rsidR="00BF0C54" w:rsidRPr="00765AFB" w:rsidRDefault="00BF0C54" w:rsidP="00BF0C54">
            <w:pPr>
              <w:spacing w:before="160"/>
              <w:rPr>
                <w:szCs w:val="24"/>
              </w:rPr>
            </w:pPr>
            <w:r w:rsidRPr="00765AFB">
              <w:rPr>
                <w:szCs w:val="24"/>
              </w:rPr>
              <w:t>Cada año, la UIT recibe solicitudes de organizaciones de carácter internacional relativas a la exoneración de pago de las cuotas de afiliación y de otras contribuciones financieras a la Unión en régimen de reciprocidad. La Secretaría examina estas nuevas solicitudes en base de los criterios establecidos por el Consejo de la UIT.</w:t>
            </w:r>
          </w:p>
          <w:p w14:paraId="7D73B5BA" w14:textId="77777777" w:rsidR="00BF0C54" w:rsidRPr="00765AFB" w:rsidRDefault="00BF0C54" w:rsidP="00BF0C54">
            <w:pPr>
              <w:spacing w:before="160"/>
              <w:rPr>
                <w:b/>
                <w:bCs/>
                <w:sz w:val="26"/>
                <w:szCs w:val="26"/>
              </w:rPr>
            </w:pPr>
            <w:r w:rsidRPr="00765AFB">
              <w:rPr>
                <w:b/>
                <w:bCs/>
                <w:sz w:val="26"/>
                <w:szCs w:val="26"/>
              </w:rPr>
              <w:t>Acción solicitada al Consejo</w:t>
            </w:r>
          </w:p>
          <w:p w14:paraId="5B0F8E44" w14:textId="77777777" w:rsidR="00BF0C54" w:rsidRPr="00765AFB" w:rsidRDefault="00BF0C54" w:rsidP="00BF0C54">
            <w:pPr>
              <w:tabs>
                <w:tab w:val="left" w:pos="0"/>
              </w:tabs>
              <w:spacing w:after="120"/>
              <w:jc w:val="both"/>
              <w:rPr>
                <w:rFonts w:asciiTheme="minorHAnsi" w:eastAsiaTheme="minorEastAsia" w:hAnsiTheme="minorHAnsi" w:cstheme="minorBidi"/>
                <w:szCs w:val="24"/>
                <w:lang w:eastAsia="zh-CN"/>
              </w:rPr>
            </w:pPr>
            <w:bookmarkStart w:id="1" w:name="lt_pId019"/>
            <w:r w:rsidRPr="00765AFB">
              <w:rPr>
                <w:rFonts w:asciiTheme="minorHAnsi" w:eastAsiaTheme="minorEastAsia" w:hAnsiTheme="minorHAnsi" w:cstheme="minorBidi"/>
                <w:szCs w:val="24"/>
                <w:lang w:eastAsia="zh-CN"/>
              </w:rPr>
              <w:t xml:space="preserve">Se invita al Consejo a </w:t>
            </w:r>
            <w:r w:rsidRPr="00765AFB">
              <w:rPr>
                <w:rFonts w:asciiTheme="minorHAnsi" w:eastAsiaTheme="minorEastAsia" w:hAnsiTheme="minorHAnsi" w:cstheme="minorBidi"/>
                <w:b/>
                <w:szCs w:val="24"/>
                <w:lang w:eastAsia="zh-CN"/>
              </w:rPr>
              <w:t>examinar</w:t>
            </w:r>
            <w:r w:rsidRPr="00765AFB">
              <w:rPr>
                <w:rFonts w:asciiTheme="minorHAnsi" w:eastAsiaTheme="minorEastAsia" w:hAnsiTheme="minorHAnsi" w:cstheme="minorBidi"/>
                <w:szCs w:val="24"/>
                <w:lang w:eastAsia="zh-CN"/>
              </w:rPr>
              <w:t xml:space="preserve"> las recomendaciones de la Secretaria General en relación con las nuevas solicitudes de exoneración</w:t>
            </w:r>
            <w:bookmarkEnd w:id="1"/>
            <w:r w:rsidRPr="00765AFB">
              <w:rPr>
                <w:rFonts w:asciiTheme="minorHAnsi" w:eastAsiaTheme="minorEastAsia" w:hAnsiTheme="minorHAnsi" w:cstheme="minorBidi"/>
                <w:szCs w:val="24"/>
                <w:lang w:eastAsia="zh-CN"/>
              </w:rPr>
              <w:t xml:space="preserve">. </w:t>
            </w:r>
          </w:p>
          <w:p w14:paraId="7ED19D8B" w14:textId="77777777" w:rsidR="00BF0C54" w:rsidRPr="00765AFB" w:rsidRDefault="00BF0C54" w:rsidP="00BF0C54">
            <w:pPr>
              <w:spacing w:before="160"/>
              <w:rPr>
                <w:b/>
                <w:bCs/>
                <w:sz w:val="26"/>
                <w:szCs w:val="26"/>
              </w:rPr>
            </w:pPr>
            <w:r w:rsidRPr="00765AFB">
              <w:rPr>
                <w:b/>
                <w:bCs/>
                <w:sz w:val="26"/>
                <w:szCs w:val="26"/>
              </w:rPr>
              <w:t>Vínculos pertinentes con el Plan Estratégico</w:t>
            </w:r>
          </w:p>
          <w:p w14:paraId="4A95CB57" w14:textId="77777777" w:rsidR="00BF0C54" w:rsidRPr="00765AFB" w:rsidRDefault="00BF0C54" w:rsidP="00BF0C54">
            <w:pPr>
              <w:spacing w:before="160"/>
              <w:rPr>
                <w:sz w:val="26"/>
                <w:szCs w:val="26"/>
              </w:rPr>
            </w:pPr>
            <w:r w:rsidRPr="00765AFB">
              <w:rPr>
                <w:sz w:val="26"/>
                <w:szCs w:val="26"/>
              </w:rPr>
              <w:t>Impulso de los Miembros.</w:t>
            </w:r>
          </w:p>
          <w:p w14:paraId="6FA6AD88" w14:textId="77777777" w:rsidR="00BF0C54" w:rsidRPr="00765AFB" w:rsidRDefault="00BF0C54" w:rsidP="00BF0C54">
            <w:pPr>
              <w:spacing w:before="160"/>
              <w:rPr>
                <w:b/>
                <w:bCs/>
                <w:sz w:val="26"/>
                <w:szCs w:val="26"/>
              </w:rPr>
            </w:pPr>
            <w:r w:rsidRPr="00765AFB">
              <w:rPr>
                <w:b/>
                <w:bCs/>
                <w:sz w:val="26"/>
                <w:szCs w:val="26"/>
              </w:rPr>
              <w:t>Repercusiones financieras</w:t>
            </w:r>
          </w:p>
          <w:p w14:paraId="685C2DF2" w14:textId="77777777" w:rsidR="00BF0C54" w:rsidRPr="00765AFB" w:rsidRDefault="00BF0C54" w:rsidP="00BF0C54">
            <w:pPr>
              <w:spacing w:before="160"/>
              <w:rPr>
                <w:b/>
                <w:bCs/>
                <w:sz w:val="26"/>
                <w:szCs w:val="26"/>
              </w:rPr>
            </w:pPr>
            <w:r w:rsidRPr="00765AFB">
              <w:rPr>
                <w:szCs w:val="24"/>
              </w:rPr>
              <w:t>El valor total de las cuotas de afiliación de las entidades recomendadas por la Secretaría para su aprobación asciende a 174 900 CHF.</w:t>
            </w:r>
          </w:p>
          <w:p w14:paraId="335B7A5A" w14:textId="77777777" w:rsidR="00BF0C54" w:rsidRPr="00765AFB" w:rsidRDefault="00BF0C54" w:rsidP="00BF0C54">
            <w:pPr>
              <w:spacing w:before="160"/>
              <w:rPr>
                <w:caps/>
                <w:sz w:val="22"/>
              </w:rPr>
            </w:pPr>
            <w:r w:rsidRPr="00765AFB">
              <w:rPr>
                <w:sz w:val="22"/>
              </w:rPr>
              <w:t>__________________</w:t>
            </w:r>
          </w:p>
          <w:p w14:paraId="57719594" w14:textId="77777777" w:rsidR="00BF0C54" w:rsidRPr="00765AFB" w:rsidRDefault="00BF0C54" w:rsidP="00BF0C54">
            <w:pPr>
              <w:spacing w:before="160"/>
              <w:rPr>
                <w:b/>
                <w:bCs/>
                <w:sz w:val="26"/>
                <w:szCs w:val="26"/>
              </w:rPr>
            </w:pPr>
            <w:r w:rsidRPr="00765AFB">
              <w:rPr>
                <w:b/>
                <w:bCs/>
                <w:sz w:val="26"/>
                <w:szCs w:val="26"/>
              </w:rPr>
              <w:t>Referencias</w:t>
            </w:r>
          </w:p>
          <w:bookmarkStart w:id="2" w:name="lt_pId021"/>
          <w:p w14:paraId="3E401224" w14:textId="3B842229" w:rsidR="00BF0C54" w:rsidRPr="00765AFB" w:rsidRDefault="00BF0C54" w:rsidP="00BF0C54">
            <w:pPr>
              <w:spacing w:after="160"/>
            </w:pPr>
            <w:r w:rsidRPr="00765AFB">
              <w:rPr>
                <w:i/>
                <w:iCs/>
              </w:rPr>
              <w:fldChar w:fldCharType="begin"/>
            </w:r>
            <w:r w:rsidRPr="00765AFB">
              <w:rPr>
                <w:i/>
                <w:iCs/>
              </w:rPr>
              <w:instrText>HYPERLINK "https://www.itu.int/itudoc/gs/council/c00/docs/28rev1-es.html"</w:instrText>
            </w:r>
            <w:r w:rsidRPr="00765AFB">
              <w:rPr>
                <w:i/>
                <w:iCs/>
              </w:rPr>
            </w:r>
            <w:r w:rsidRPr="00765AFB">
              <w:rPr>
                <w:i/>
                <w:iCs/>
              </w:rPr>
              <w:fldChar w:fldCharType="separate"/>
            </w:r>
            <w:r w:rsidRPr="00765AFB">
              <w:rPr>
                <w:i/>
                <w:iCs/>
                <w:color w:val="0000FF"/>
                <w:u w:val="single"/>
              </w:rPr>
              <w:t>C2000/28(Rev.1)</w:t>
            </w:r>
            <w:r w:rsidRPr="00765AFB">
              <w:rPr>
                <w:i/>
                <w:iCs/>
              </w:rPr>
              <w:fldChar w:fldCharType="end"/>
            </w:r>
            <w:r w:rsidRPr="00765AFB">
              <w:rPr>
                <w:i/>
                <w:iCs/>
              </w:rPr>
              <w:t>,</w:t>
            </w:r>
            <w:r w:rsidRPr="00765AFB">
              <w:rPr>
                <w:i/>
                <w:iCs/>
                <w:u w:val="single"/>
              </w:rPr>
              <w:t xml:space="preserve"> </w:t>
            </w:r>
            <w:hyperlink r:id="rId6" w:history="1">
              <w:r w:rsidRPr="00765AFB">
                <w:rPr>
                  <w:i/>
                  <w:iCs/>
                  <w:color w:val="0000FF"/>
                  <w:u w:val="single"/>
                </w:rPr>
                <w:t>Resolución 925</w:t>
              </w:r>
            </w:hyperlink>
            <w:r w:rsidRPr="00765AFB">
              <w:rPr>
                <w:i/>
                <w:iCs/>
              </w:rPr>
              <w:t xml:space="preserve"> del Consejo, </w:t>
            </w:r>
            <w:hyperlink r:id="rId7" w:history="1">
              <w:r w:rsidRPr="00765AFB">
                <w:rPr>
                  <w:i/>
                  <w:iCs/>
                  <w:color w:val="0000FF"/>
                  <w:u w:val="single"/>
                </w:rPr>
                <w:t>Criterios de exoneración del Consejo (Rev. 2017)</w:t>
              </w:r>
            </w:hyperlink>
            <w:bookmarkEnd w:id="2"/>
          </w:p>
        </w:tc>
      </w:tr>
    </w:tbl>
    <w:p w14:paraId="40E07DCC" w14:textId="404D1368" w:rsidR="00EE575A" w:rsidRPr="00EE575A" w:rsidRDefault="00EE575A" w:rsidP="00EE575A">
      <w:pPr>
        <w:rPr>
          <w:rFonts w:eastAsia="Calibri"/>
        </w:rPr>
      </w:pPr>
      <w:bookmarkStart w:id="3" w:name="lt_pId023"/>
      <w:bookmarkEnd w:id="0"/>
    </w:p>
    <w:p w14:paraId="67EE471C" w14:textId="3B2ADE34" w:rsidR="00EE575A" w:rsidRPr="00EE575A" w:rsidRDefault="00EE575A" w:rsidP="00EE575A">
      <w:pPr>
        <w:rPr>
          <w:rFonts w:eastAsia="Calibri"/>
        </w:rPr>
      </w:pPr>
    </w:p>
    <w:p w14:paraId="3D8C0949" w14:textId="769B5358" w:rsidR="00EE575A" w:rsidRPr="00EE575A" w:rsidRDefault="00EE575A" w:rsidP="00EE575A">
      <w:pPr>
        <w:rPr>
          <w:rFonts w:eastAsia="Calibri"/>
        </w:rPr>
      </w:pPr>
      <w:r w:rsidRPr="00EE575A">
        <w:rPr>
          <w:rFonts w:eastAsia="Calibri"/>
        </w:rPr>
        <w:br w:type="page"/>
      </w:r>
    </w:p>
    <w:p w14:paraId="4FD95F31" w14:textId="7F46D326" w:rsidR="00BF0C54" w:rsidRPr="00765AFB" w:rsidRDefault="00BF0C54" w:rsidP="00C35981">
      <w:pPr>
        <w:pStyle w:val="Heading1"/>
        <w:rPr>
          <w:rFonts w:eastAsia="Calibri"/>
        </w:rPr>
      </w:pPr>
      <w:r w:rsidRPr="00765AFB">
        <w:rPr>
          <w:rFonts w:eastAsia="Calibri"/>
        </w:rPr>
        <w:lastRenderedPageBreak/>
        <w:t>1</w:t>
      </w:r>
      <w:r w:rsidRPr="00765AFB">
        <w:rPr>
          <w:rFonts w:eastAsia="Calibri"/>
        </w:rPr>
        <w:tab/>
        <w:t>Antecedentes</w:t>
      </w:r>
      <w:bookmarkEnd w:id="3"/>
    </w:p>
    <w:p w14:paraId="6125BB9B" w14:textId="15CF6DA4" w:rsidR="00BF0C54" w:rsidRPr="00765AFB" w:rsidRDefault="00BF0C54" w:rsidP="00C35981">
      <w:pPr>
        <w:rPr>
          <w:rFonts w:eastAsia="Calibri" w:cs="Calibri"/>
        </w:rPr>
      </w:pPr>
      <w:r w:rsidRPr="00765AFB">
        <w:rPr>
          <w:rFonts w:eastAsia="Calibri" w:cs="Calibri"/>
        </w:rPr>
        <w:t>1.1</w:t>
      </w:r>
      <w:r w:rsidRPr="00765AFB">
        <w:tab/>
      </w:r>
      <w:bookmarkStart w:id="4" w:name="lt_pId025"/>
      <w:r w:rsidRPr="00765AFB">
        <w:t>Cada año, la UIT recibe solicitudes de organizaciones de carácter internacional relativas a la exoneración de pago de las cuotas de afiliación y de otras contribuciones financieras a la Unión. Estas solicitudes se examinan con arreglo al procedimiento establecido por el Consejo de la UIT en su reunión de 2000 (</w:t>
      </w:r>
      <w:hyperlink r:id="rId8" w:history="1">
        <w:r w:rsidRPr="00765AFB">
          <w:rPr>
            <w:rStyle w:val="Hyperlink"/>
          </w:rPr>
          <w:t>C2000/28(Rev.1)</w:t>
        </w:r>
      </w:hyperlink>
      <w:r w:rsidRPr="00765AFB">
        <w:t xml:space="preserve">)y de conformidad con el número 476 del Convenio de la UIT y la </w:t>
      </w:r>
      <w:hyperlink r:id="rId9" w:history="1">
        <w:r w:rsidRPr="00765AFB">
          <w:rPr>
            <w:rStyle w:val="Hyperlink"/>
          </w:rPr>
          <w:t>Resolución 925 del Consejo (C-1985, modificada por última vez C19)</w:t>
        </w:r>
        <w:bookmarkEnd w:id="4"/>
      </w:hyperlink>
      <w:r w:rsidRPr="00765AFB">
        <w:t>,</w:t>
      </w:r>
      <w:r w:rsidR="00765AFB">
        <w:t xml:space="preserve"> </w:t>
      </w:r>
      <w:r w:rsidRPr="00765AFB">
        <w:t>así como los criterios establecidos por el Consejo, revisados en 2017 (véase el punto 1.5 a continuación</w:t>
      </w:r>
      <w:r w:rsidR="00EE575A">
        <w:t>)</w:t>
      </w:r>
      <w:r w:rsidRPr="00765AFB">
        <w:t>.</w:t>
      </w:r>
    </w:p>
    <w:p w14:paraId="7F9B1D38" w14:textId="77777777" w:rsidR="00BF0C54" w:rsidRPr="00765AFB" w:rsidRDefault="00BF0C54" w:rsidP="00BF0C54">
      <w:r w:rsidRPr="00765AFB">
        <w:t>1.2</w:t>
      </w:r>
      <w:r w:rsidRPr="00765AFB">
        <w:tab/>
        <w:t>El Consejo concede la exoneración de pago de contribuciones después de proceder a un análisis de los Sectores pertinentes y de la recomendación de la Secretaria General. Si son aprobadas, esas organizaciones pasan a ser Miembros de Sector o Asociados en virtud del número 231 del Convenio.</w:t>
      </w:r>
    </w:p>
    <w:p w14:paraId="7CBCED78" w14:textId="77777777" w:rsidR="00BF0C54" w:rsidRPr="00765AFB" w:rsidRDefault="00BF0C54" w:rsidP="00BF0C54">
      <w:pPr>
        <w:rPr>
          <w:rFonts w:asciiTheme="minorHAnsi" w:eastAsiaTheme="minorEastAsia" w:hAnsiTheme="minorHAnsi" w:cstheme="minorBidi"/>
        </w:rPr>
      </w:pPr>
      <w:r w:rsidRPr="00765AFB">
        <w:t>1.3</w:t>
      </w:r>
      <w:r w:rsidRPr="00765AFB">
        <w:tab/>
      </w:r>
      <w:bookmarkStart w:id="5" w:name="lt_pId031"/>
      <w:r w:rsidRPr="00765AFB">
        <w:t xml:space="preserve">Actualmente hay 132 organizaciones de carácter internacional que gozan de exoneración. Se puede consultar la lista completa </w:t>
      </w:r>
      <w:hyperlink r:id="rId10" w:history="1">
        <w:r w:rsidRPr="00765AFB">
          <w:rPr>
            <w:color w:val="0000FF"/>
            <w:u w:val="single"/>
          </w:rPr>
          <w:t>aquí</w:t>
        </w:r>
        <w:bookmarkStart w:id="6" w:name="lt_pId032"/>
        <w:bookmarkEnd w:id="5"/>
      </w:hyperlink>
      <w:r w:rsidRPr="00765AFB">
        <w:rPr>
          <w:rFonts w:asciiTheme="minorHAnsi" w:eastAsiaTheme="minorEastAsia" w:hAnsiTheme="minorHAnsi" w:cstheme="minorBidi"/>
        </w:rPr>
        <w:t>.</w:t>
      </w:r>
      <w:bookmarkEnd w:id="6"/>
    </w:p>
    <w:p w14:paraId="76EF05CF" w14:textId="77777777" w:rsidR="00BF0C54" w:rsidRPr="00765AFB" w:rsidRDefault="00BF0C54" w:rsidP="00BF0C54">
      <w:r w:rsidRPr="00765AFB">
        <w:rPr>
          <w:rFonts w:asciiTheme="minorHAnsi" w:eastAsiaTheme="minorEastAsia" w:hAnsiTheme="minorHAnsi" w:cstheme="minorBidi"/>
        </w:rPr>
        <w:t>1.4</w:t>
      </w:r>
      <w:r w:rsidRPr="00765AFB">
        <w:rPr>
          <w:rFonts w:asciiTheme="minorHAnsi" w:eastAsiaTheme="minorEastAsia" w:hAnsiTheme="minorHAnsi" w:cstheme="minorBidi"/>
        </w:rPr>
        <w:tab/>
      </w:r>
      <w:r w:rsidRPr="00765AFB">
        <w:t>En su Resolución 187 (Busán, 2014), la Conferencia de Plenipotenciarios (Busán, 2014) encarga al Consejo que examine la práctica y los criterios para exonerar a las entidades de pago de contribuciones y, de ser necesario, realice los cambios para hacer más estrictos los criterios de admisibilidad a fin de aportar mayor claridad, coherencia y equidad entre los Miembros que pagan y que no pagan, y reducir el número total de entidades exoneradas.</w:t>
      </w:r>
    </w:p>
    <w:p w14:paraId="4ABEC1B9" w14:textId="77777777" w:rsidR="00BF0C54" w:rsidRPr="00765AFB" w:rsidRDefault="00BF0C54" w:rsidP="00BF0C54">
      <w:pPr>
        <w:rPr>
          <w:rFonts w:eastAsia="Calibri"/>
        </w:rPr>
      </w:pPr>
      <w:r w:rsidRPr="00765AFB">
        <w:t>1.5</w:t>
      </w:r>
      <w:r w:rsidRPr="00765AFB">
        <w:tab/>
      </w:r>
      <w:bookmarkStart w:id="7" w:name="lt_pId036"/>
      <w:r w:rsidRPr="00765AFB">
        <w:rPr>
          <w:rFonts w:eastAsia="Calibri"/>
        </w:rPr>
        <w:t xml:space="preserve">En su reunión de 2017, el Consejo aprobó los criterios revisados, que se pueden consultar </w:t>
      </w:r>
      <w:hyperlink r:id="rId11" w:history="1">
        <w:r w:rsidRPr="00765AFB">
          <w:rPr>
            <w:rFonts w:eastAsia="Calibri"/>
            <w:color w:val="0000FF"/>
            <w:u w:val="single"/>
          </w:rPr>
          <w:t>aquí</w:t>
        </w:r>
      </w:hyperlink>
      <w:r w:rsidRPr="00765AFB">
        <w:rPr>
          <w:rFonts w:eastAsia="Calibri"/>
        </w:rPr>
        <w:t xml:space="preserve">. </w:t>
      </w:r>
      <w:r w:rsidRPr="00765AFB">
        <w:t>Desde</w:t>
      </w:r>
      <w:r w:rsidRPr="00765AFB">
        <w:rPr>
          <w:rFonts w:eastAsia="Calibri"/>
        </w:rPr>
        <w:t xml:space="preserve"> entonces, en cada reunión del Consejo se examinan las nuevas solicitudes con arreglo a estos criterios</w:t>
      </w:r>
      <w:bookmarkEnd w:id="7"/>
      <w:r w:rsidRPr="00765AFB">
        <w:rPr>
          <w:rFonts w:eastAsia="Calibri"/>
        </w:rPr>
        <w:t>.</w:t>
      </w:r>
    </w:p>
    <w:p w14:paraId="131AA2DD" w14:textId="3C19C225" w:rsidR="00BF0C54" w:rsidRPr="00765AFB" w:rsidRDefault="00BF0C54" w:rsidP="00BF0C54">
      <w:pPr>
        <w:rPr>
          <w:rFonts w:asciiTheme="minorHAnsi" w:eastAsiaTheme="minorEastAsia" w:hAnsiTheme="minorHAnsi" w:cstheme="minorBidi"/>
          <w:lang w:eastAsia="zh-CN"/>
        </w:rPr>
      </w:pPr>
      <w:r w:rsidRPr="00765AFB">
        <w:rPr>
          <w:rFonts w:eastAsia="Calibri" w:cs="Calibri"/>
        </w:rPr>
        <w:t>1.6</w:t>
      </w:r>
      <w:r w:rsidRPr="00765AFB">
        <w:rPr>
          <w:rFonts w:eastAsia="Calibri"/>
        </w:rPr>
        <w:tab/>
        <w:t xml:space="preserve">En este documento sólo se abordan las nuevas solicitudes de exoneración de pago de la cuota presentadas desde la última reunión del Consejo. La Secretaría revisó la lista completa de entidades que se benefician actualmente de la exoneración de pago de la cuota y presentó una recomendación para que el Consejo la examinara en su reunión de 2022. El Consejo remitió la revisión de la lista existente, tal y como se recoge en el documento </w:t>
      </w:r>
      <w:hyperlink r:id="rId12" w:history="1">
        <w:r w:rsidRPr="00765AFB">
          <w:rPr>
            <w:rStyle w:val="Hyperlink"/>
            <w:rFonts w:eastAsia="Calibri"/>
          </w:rPr>
          <w:t>C22/100</w:t>
        </w:r>
      </w:hyperlink>
      <w:r w:rsidRPr="00765AFB">
        <w:rPr>
          <w:rFonts w:eastAsia="Calibri"/>
        </w:rPr>
        <w:t>, al Grupo de Trabajo del Consejo sobre recursos financieros y humanos (GTC-RHF).</w:t>
      </w:r>
    </w:p>
    <w:p w14:paraId="7FE6A4CA" w14:textId="77777777" w:rsidR="00BF0C54" w:rsidRPr="00765AFB" w:rsidRDefault="00BF0C54" w:rsidP="00C35981">
      <w:pPr>
        <w:pStyle w:val="Heading1"/>
        <w:rPr>
          <w:rFonts w:eastAsia="Calibri"/>
        </w:rPr>
      </w:pPr>
      <w:r w:rsidRPr="00765AFB">
        <w:rPr>
          <w:rFonts w:eastAsia="Calibri"/>
        </w:rPr>
        <w:t>2</w:t>
      </w:r>
      <w:r w:rsidRPr="00765AFB">
        <w:rPr>
          <w:rFonts w:eastAsia="Calibri"/>
        </w:rPr>
        <w:tab/>
      </w:r>
      <w:bookmarkStart w:id="8" w:name="lt_pId043"/>
      <w:r w:rsidRPr="00765AFB">
        <w:rPr>
          <w:rFonts w:eastAsia="Calibri"/>
        </w:rPr>
        <w:t>Nuevas solicitudes y recomendaciones</w:t>
      </w:r>
      <w:bookmarkEnd w:id="8"/>
    </w:p>
    <w:p w14:paraId="4E4CD58A" w14:textId="77777777" w:rsidR="00BF0C54" w:rsidRPr="00765AFB" w:rsidRDefault="00BF0C54" w:rsidP="00EE575A">
      <w:pPr>
        <w:spacing w:after="120"/>
      </w:pPr>
      <w:r w:rsidRPr="00765AFB">
        <w:t>2.1</w:t>
      </w:r>
    </w:p>
    <w:tbl>
      <w:tblPr>
        <w:tblW w:w="89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30"/>
        <w:gridCol w:w="1710"/>
        <w:gridCol w:w="3052"/>
      </w:tblGrid>
      <w:tr w:rsidR="00BF0C54" w:rsidRPr="00765AFB" w14:paraId="23BC2E70" w14:textId="77777777" w:rsidTr="00762505">
        <w:trPr>
          <w:cantSplit/>
          <w:trHeight w:val="155"/>
          <w:jc w:val="center"/>
        </w:trPr>
        <w:tc>
          <w:tcPr>
            <w:tcW w:w="4230" w:type="dxa"/>
          </w:tcPr>
          <w:p w14:paraId="74A8E838" w14:textId="77777777" w:rsidR="00BF0C54" w:rsidRPr="00765AFB" w:rsidRDefault="00BF0C54" w:rsidP="00C35981">
            <w:pPr>
              <w:pStyle w:val="Tablehead"/>
              <w:rPr>
                <w:rFonts w:eastAsia="Calibri"/>
              </w:rPr>
            </w:pPr>
            <w:bookmarkStart w:id="9" w:name="lt_pId045"/>
            <w:r w:rsidRPr="00765AFB">
              <w:rPr>
                <w:rFonts w:eastAsia="Calibri"/>
              </w:rPr>
              <w:t>Organización</w:t>
            </w:r>
            <w:bookmarkEnd w:id="9"/>
          </w:p>
        </w:tc>
        <w:tc>
          <w:tcPr>
            <w:tcW w:w="1710" w:type="dxa"/>
          </w:tcPr>
          <w:p w14:paraId="0EE1AB6D" w14:textId="77777777" w:rsidR="00BF0C54" w:rsidRPr="00765AFB" w:rsidRDefault="00BF0C54" w:rsidP="00C35981">
            <w:pPr>
              <w:pStyle w:val="Tablehead"/>
              <w:rPr>
                <w:rFonts w:eastAsia="Calibri"/>
              </w:rPr>
            </w:pPr>
            <w:bookmarkStart w:id="10" w:name="lt_pId046"/>
            <w:r w:rsidRPr="00765AFB">
              <w:rPr>
                <w:rFonts w:eastAsia="Calibri"/>
              </w:rPr>
              <w:t>Sector</w:t>
            </w:r>
            <w:bookmarkEnd w:id="10"/>
          </w:p>
        </w:tc>
        <w:tc>
          <w:tcPr>
            <w:tcW w:w="3052" w:type="dxa"/>
          </w:tcPr>
          <w:p w14:paraId="027A2A7A" w14:textId="77777777" w:rsidR="00BF0C54" w:rsidRPr="00765AFB" w:rsidRDefault="00BF0C54" w:rsidP="00C35981">
            <w:pPr>
              <w:pStyle w:val="Tablehead"/>
              <w:rPr>
                <w:rFonts w:eastAsia="Calibri"/>
              </w:rPr>
            </w:pPr>
            <w:bookmarkStart w:id="11" w:name="lt_pId047"/>
            <w:r w:rsidRPr="00765AFB">
              <w:rPr>
                <w:rFonts w:eastAsia="Calibri"/>
              </w:rPr>
              <w:t>Recomendación</w:t>
            </w:r>
            <w:bookmarkEnd w:id="11"/>
          </w:p>
        </w:tc>
      </w:tr>
      <w:tr w:rsidR="00BF0C54" w:rsidRPr="00765AFB" w14:paraId="06487CCB" w14:textId="77777777" w:rsidTr="00762505">
        <w:trPr>
          <w:cantSplit/>
          <w:trHeight w:val="45"/>
          <w:jc w:val="center"/>
        </w:trPr>
        <w:tc>
          <w:tcPr>
            <w:tcW w:w="4230" w:type="dxa"/>
            <w:vAlign w:val="center"/>
          </w:tcPr>
          <w:p w14:paraId="054E474D" w14:textId="77777777" w:rsidR="00BF0C54" w:rsidRPr="00806036" w:rsidRDefault="00BF0C54" w:rsidP="00C35981">
            <w:pPr>
              <w:pStyle w:val="Tabletext"/>
              <w:rPr>
                <w:rFonts w:eastAsia="Calibri"/>
                <w:b/>
                <w:bCs/>
                <w:lang w:val="en-GB"/>
              </w:rPr>
            </w:pPr>
            <w:r w:rsidRPr="00806036">
              <w:rPr>
                <w:rFonts w:eastAsia="Calibri"/>
                <w:b/>
                <w:bCs/>
                <w:lang w:val="en-GB"/>
              </w:rPr>
              <w:t>Communications Regulators’ Association of Southern Africa (CRASA)</w:t>
            </w:r>
          </w:p>
        </w:tc>
        <w:tc>
          <w:tcPr>
            <w:tcW w:w="1710" w:type="dxa"/>
            <w:vAlign w:val="center"/>
          </w:tcPr>
          <w:p w14:paraId="2711F977" w14:textId="77777777" w:rsidR="00BF0C54" w:rsidRPr="00806036" w:rsidRDefault="00BF0C54" w:rsidP="00C35981">
            <w:pPr>
              <w:pStyle w:val="Tabletext"/>
              <w:jc w:val="center"/>
              <w:rPr>
                <w:rFonts w:eastAsia="Calibri"/>
                <w:lang w:val="fr-FR"/>
              </w:rPr>
            </w:pPr>
            <w:bookmarkStart w:id="12" w:name="lt_pId049"/>
            <w:r w:rsidRPr="00806036">
              <w:rPr>
                <w:rFonts w:eastAsia="Calibri"/>
                <w:lang w:val="fr-FR"/>
              </w:rPr>
              <w:t>UIT-R</w:t>
            </w:r>
          </w:p>
          <w:p w14:paraId="779C0F50" w14:textId="77777777" w:rsidR="00BF0C54" w:rsidRPr="00806036" w:rsidRDefault="00BF0C54" w:rsidP="00C35981">
            <w:pPr>
              <w:pStyle w:val="Tabletext"/>
              <w:jc w:val="center"/>
              <w:rPr>
                <w:rFonts w:eastAsia="Calibri"/>
                <w:lang w:val="fr-FR"/>
              </w:rPr>
            </w:pPr>
            <w:r w:rsidRPr="00806036">
              <w:rPr>
                <w:rFonts w:eastAsia="Calibri"/>
                <w:lang w:val="fr-FR"/>
              </w:rPr>
              <w:t>UIT-T</w:t>
            </w:r>
          </w:p>
          <w:p w14:paraId="39045C09" w14:textId="77777777" w:rsidR="00BF0C54" w:rsidRPr="00806036" w:rsidRDefault="00BF0C54" w:rsidP="00C35981">
            <w:pPr>
              <w:pStyle w:val="Tabletext"/>
              <w:jc w:val="center"/>
              <w:rPr>
                <w:rFonts w:eastAsia="Calibri"/>
                <w:lang w:val="fr-FR"/>
              </w:rPr>
            </w:pPr>
            <w:r w:rsidRPr="00806036">
              <w:rPr>
                <w:rFonts w:eastAsia="Calibri"/>
                <w:lang w:val="fr-FR"/>
              </w:rPr>
              <w:t>UIT-D</w:t>
            </w:r>
            <w:bookmarkEnd w:id="12"/>
          </w:p>
        </w:tc>
        <w:tc>
          <w:tcPr>
            <w:tcW w:w="3052" w:type="dxa"/>
            <w:vAlign w:val="center"/>
          </w:tcPr>
          <w:p w14:paraId="774B955D" w14:textId="77777777" w:rsidR="00BF0C54" w:rsidRPr="00765AFB" w:rsidRDefault="00BF0C54" w:rsidP="00C35981">
            <w:pPr>
              <w:pStyle w:val="Tabletext"/>
              <w:jc w:val="center"/>
              <w:rPr>
                <w:rFonts w:eastAsia="Calibri"/>
              </w:rPr>
            </w:pPr>
            <w:bookmarkStart w:id="13" w:name="lt_pId050"/>
            <w:r w:rsidRPr="00765AFB">
              <w:rPr>
                <w:rFonts w:eastAsia="Calibri"/>
              </w:rPr>
              <w:t>SÍ</w:t>
            </w:r>
            <w:bookmarkEnd w:id="13"/>
          </w:p>
          <w:p w14:paraId="29AE17A8" w14:textId="77777777" w:rsidR="00BF0C54" w:rsidRPr="00765AFB" w:rsidRDefault="00BF0C54" w:rsidP="00C35981">
            <w:pPr>
              <w:pStyle w:val="Tabletext"/>
              <w:jc w:val="center"/>
              <w:rPr>
                <w:rFonts w:eastAsia="Calibri"/>
              </w:rPr>
            </w:pPr>
            <w:r w:rsidRPr="00765AFB">
              <w:rPr>
                <w:rFonts w:eastAsia="Calibri"/>
              </w:rPr>
              <w:t>SÍ</w:t>
            </w:r>
          </w:p>
          <w:p w14:paraId="16CE6013" w14:textId="77777777" w:rsidR="00BF0C54" w:rsidRPr="00765AFB" w:rsidRDefault="00BF0C54" w:rsidP="00C35981">
            <w:pPr>
              <w:pStyle w:val="Tabletext"/>
              <w:jc w:val="center"/>
              <w:rPr>
                <w:rFonts w:eastAsia="Calibri"/>
              </w:rPr>
            </w:pPr>
            <w:r w:rsidRPr="00765AFB">
              <w:rPr>
                <w:rFonts w:eastAsia="Calibri"/>
              </w:rPr>
              <w:t>SÍ</w:t>
            </w:r>
          </w:p>
        </w:tc>
      </w:tr>
    </w:tbl>
    <w:p w14:paraId="25E81A97" w14:textId="77777777" w:rsidR="00BF0C54" w:rsidRPr="00765AFB" w:rsidRDefault="00BF0C54" w:rsidP="00BF0C54">
      <w:pPr>
        <w:rPr>
          <w:rFonts w:eastAsia="Calibri"/>
        </w:rPr>
      </w:pPr>
      <w:r w:rsidRPr="00765AFB">
        <w:rPr>
          <w:rFonts w:eastAsia="Calibri"/>
        </w:rPr>
        <w:t>Con sede en Botswana, la Asociación de Organismos Reguladores de las Comunicaciones de África Meridional (CRASA) es un foro de reguladores postales y de las TIC de trece Estados Miembros. La CRASA es un organismo especializado de la Comunidad para el Desarrollo de África Meridional (SADC)</w:t>
      </w:r>
      <w:r w:rsidRPr="00765AFB">
        <w:t xml:space="preserve"> </w:t>
      </w:r>
      <w:r w:rsidRPr="00765AFB">
        <w:rPr>
          <w:rFonts w:eastAsia="Calibri"/>
        </w:rPr>
        <w:t xml:space="preserve">y se creó en 1997 en el marco del Protocolo sobre Transporte, Comunicaciones y Meteorología de la SADC (1995). La CRASA se dedica a la armonización de los marcos reglamentarios de los mercados de las telecomunicaciones, la radiodifusión y los </w:t>
      </w:r>
      <w:r w:rsidRPr="00765AFB">
        <w:rPr>
          <w:rFonts w:eastAsia="Calibri"/>
        </w:rPr>
        <w:lastRenderedPageBreak/>
        <w:t>servicios postales. Como organización regional de Estados Miembros, la Secretaría considera que esta entidad cumple los criterios establecidos por el Consejo para la exoneración de pago de la cuota de afiliación.</w:t>
      </w:r>
    </w:p>
    <w:p w14:paraId="5450D817" w14:textId="77777777" w:rsidR="00BF0C54" w:rsidRPr="00765AFB" w:rsidRDefault="00BF0C54" w:rsidP="00EE575A">
      <w:pPr>
        <w:spacing w:after="120"/>
      </w:pPr>
      <w:r w:rsidRPr="00765AFB">
        <w:t>2.2</w:t>
      </w: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20"/>
        <w:gridCol w:w="1620"/>
        <w:gridCol w:w="3150"/>
      </w:tblGrid>
      <w:tr w:rsidR="00BF0C54" w:rsidRPr="00765AFB" w14:paraId="0619CF8C" w14:textId="77777777" w:rsidTr="00762505">
        <w:trPr>
          <w:cantSplit/>
          <w:jc w:val="center"/>
        </w:trPr>
        <w:tc>
          <w:tcPr>
            <w:tcW w:w="4320" w:type="dxa"/>
          </w:tcPr>
          <w:p w14:paraId="3C7EBDE7" w14:textId="77777777" w:rsidR="00BF0C54" w:rsidRPr="00765AFB" w:rsidRDefault="00BF0C54" w:rsidP="00C35981">
            <w:pPr>
              <w:pStyle w:val="Tablehead"/>
              <w:rPr>
                <w:rFonts w:eastAsia="Calibri"/>
              </w:rPr>
            </w:pPr>
            <w:bookmarkStart w:id="14" w:name="lt_pId055"/>
            <w:r w:rsidRPr="00765AFB">
              <w:rPr>
                <w:rFonts w:eastAsia="Calibri"/>
              </w:rPr>
              <w:t>Organización</w:t>
            </w:r>
            <w:bookmarkEnd w:id="14"/>
          </w:p>
        </w:tc>
        <w:tc>
          <w:tcPr>
            <w:tcW w:w="1620" w:type="dxa"/>
          </w:tcPr>
          <w:p w14:paraId="65480EB3" w14:textId="77777777" w:rsidR="00BF0C54" w:rsidRPr="00765AFB" w:rsidRDefault="00BF0C54" w:rsidP="00C35981">
            <w:pPr>
              <w:pStyle w:val="Tablehead"/>
              <w:rPr>
                <w:rFonts w:eastAsia="Calibri"/>
              </w:rPr>
            </w:pPr>
            <w:bookmarkStart w:id="15" w:name="lt_pId056"/>
            <w:r w:rsidRPr="00765AFB">
              <w:rPr>
                <w:rFonts w:eastAsia="Calibri"/>
              </w:rPr>
              <w:t>Sector</w:t>
            </w:r>
            <w:bookmarkEnd w:id="15"/>
          </w:p>
        </w:tc>
        <w:tc>
          <w:tcPr>
            <w:tcW w:w="3150" w:type="dxa"/>
          </w:tcPr>
          <w:p w14:paraId="1868C352" w14:textId="77777777" w:rsidR="00BF0C54" w:rsidRPr="00765AFB" w:rsidRDefault="00BF0C54" w:rsidP="00C35981">
            <w:pPr>
              <w:pStyle w:val="Tablehead"/>
              <w:rPr>
                <w:rFonts w:eastAsia="Calibri"/>
              </w:rPr>
            </w:pPr>
            <w:bookmarkStart w:id="16" w:name="lt_pId057"/>
            <w:r w:rsidRPr="00765AFB">
              <w:rPr>
                <w:rFonts w:eastAsia="Calibri"/>
              </w:rPr>
              <w:t>Recomendación</w:t>
            </w:r>
            <w:bookmarkEnd w:id="16"/>
          </w:p>
        </w:tc>
      </w:tr>
      <w:tr w:rsidR="00BF0C54" w:rsidRPr="00765AFB" w14:paraId="3434F0DA" w14:textId="77777777" w:rsidTr="00762505">
        <w:trPr>
          <w:cantSplit/>
          <w:jc w:val="center"/>
        </w:trPr>
        <w:tc>
          <w:tcPr>
            <w:tcW w:w="4320" w:type="dxa"/>
            <w:vAlign w:val="center"/>
          </w:tcPr>
          <w:p w14:paraId="273BEE86" w14:textId="77777777" w:rsidR="00BF0C54" w:rsidRPr="00806036" w:rsidRDefault="00BF0C54" w:rsidP="00C35981">
            <w:pPr>
              <w:pStyle w:val="Tabletext"/>
              <w:rPr>
                <w:rFonts w:eastAsia="Calibri"/>
                <w:b/>
                <w:bCs/>
                <w:lang w:val="en-GB"/>
              </w:rPr>
            </w:pPr>
            <w:bookmarkStart w:id="17" w:name="lt_pId058"/>
            <w:r w:rsidRPr="00806036">
              <w:rPr>
                <w:rFonts w:eastAsia="Calibri"/>
                <w:b/>
                <w:bCs/>
                <w:lang w:val="en-GB"/>
              </w:rPr>
              <w:t xml:space="preserve">Telecommunications </w:t>
            </w:r>
            <w:r w:rsidRPr="00806036">
              <w:rPr>
                <w:b/>
                <w:bCs/>
                <w:lang w:val="en-GB"/>
              </w:rPr>
              <w:t>Standards</w:t>
            </w:r>
            <w:r w:rsidRPr="00806036">
              <w:rPr>
                <w:rFonts w:eastAsia="Calibri"/>
                <w:b/>
                <w:bCs/>
                <w:lang w:val="en-GB"/>
              </w:rPr>
              <w:t xml:space="preserve"> Development Society, India (TSDSI)</w:t>
            </w:r>
            <w:bookmarkEnd w:id="17"/>
          </w:p>
        </w:tc>
        <w:tc>
          <w:tcPr>
            <w:tcW w:w="1620" w:type="dxa"/>
            <w:vAlign w:val="center"/>
          </w:tcPr>
          <w:p w14:paraId="413A5B27" w14:textId="77777777" w:rsidR="00BF0C54" w:rsidRPr="00765AFB" w:rsidRDefault="00BF0C54" w:rsidP="00C35981">
            <w:pPr>
              <w:pStyle w:val="Tabletext"/>
              <w:jc w:val="center"/>
              <w:rPr>
                <w:rFonts w:eastAsia="Calibri"/>
              </w:rPr>
            </w:pPr>
            <w:r w:rsidRPr="00765AFB">
              <w:rPr>
                <w:rFonts w:eastAsia="Calibri"/>
              </w:rPr>
              <w:t>UIT-R</w:t>
            </w:r>
            <w:r w:rsidRPr="00765AFB">
              <w:rPr>
                <w:rFonts w:eastAsia="Calibri"/>
              </w:rPr>
              <w:br/>
              <w:t>UIT-T</w:t>
            </w:r>
          </w:p>
        </w:tc>
        <w:tc>
          <w:tcPr>
            <w:tcW w:w="3150" w:type="dxa"/>
            <w:vAlign w:val="center"/>
          </w:tcPr>
          <w:p w14:paraId="76C7C427" w14:textId="77777777" w:rsidR="00BF0C54" w:rsidRPr="00765AFB" w:rsidRDefault="00BF0C54" w:rsidP="00C35981">
            <w:pPr>
              <w:pStyle w:val="Tabletext"/>
              <w:jc w:val="center"/>
              <w:rPr>
                <w:rFonts w:eastAsia="Calibri"/>
              </w:rPr>
            </w:pPr>
            <w:r w:rsidRPr="00765AFB">
              <w:rPr>
                <w:rFonts w:eastAsia="Calibri"/>
              </w:rPr>
              <w:t>NO</w:t>
            </w:r>
          </w:p>
          <w:p w14:paraId="68BCF5F7" w14:textId="77777777" w:rsidR="00BF0C54" w:rsidRPr="00765AFB" w:rsidRDefault="00BF0C54" w:rsidP="00C35981">
            <w:pPr>
              <w:pStyle w:val="Tabletext"/>
              <w:jc w:val="center"/>
              <w:rPr>
                <w:rFonts w:eastAsia="Calibri"/>
              </w:rPr>
            </w:pPr>
            <w:r w:rsidRPr="00765AFB">
              <w:rPr>
                <w:rFonts w:eastAsia="Calibri"/>
              </w:rPr>
              <w:t>NO</w:t>
            </w:r>
          </w:p>
        </w:tc>
      </w:tr>
    </w:tbl>
    <w:p w14:paraId="6E08B927" w14:textId="77777777" w:rsidR="00BF0C54" w:rsidRPr="00765AFB" w:rsidRDefault="00BF0C54" w:rsidP="00BF0C54">
      <w:bookmarkStart w:id="18" w:name="lt_pId062"/>
      <w:r w:rsidRPr="00765AFB">
        <w:t>El Consejo aplazó esta solicitud en su reunión de 2022, a la espera de la revisión completa de todas las entidades exoneradas, como se indica en el apartado 1.6 anterior. Entretanto, la TSDSI se ha incorporado como Miembro de los Sectores del UIT-R y del UIT-T pagando la cuota de afiliación.</w:t>
      </w:r>
    </w:p>
    <w:p w14:paraId="5FB404D4" w14:textId="77777777" w:rsidR="00BF0C54" w:rsidRPr="00765AFB" w:rsidRDefault="00BF0C54" w:rsidP="00BF0C54">
      <w:r w:rsidRPr="00765AFB">
        <w:t>Representantes del sector industria y de instituciones académicas y de investigación de la India, junto con el Gobierno de la India crearon la TSDSI como un organismo autónomo y como una entidad sin ánimo de lucro, con el fin de impulsar las actividades de normalización de las telecomunicaciones en la India y promover los intereses de la India en los foros internacionales. Entre los miembros de la TSDSI figuran empresas internacionales e instituciones académicas y de investigación de numerosos países. Si bien la TSDSI realiza actividades a nivel internacional, incluso en la UIT, y cuenta con miembros internacionales (principalmente filiales locales), sus integrantes son en su mayoría empresas con fines de lucro. Además, la TSDSI está establecida como una entidad nacional y no como una organización internacional o regional. Por estas razones, la opinión de la Secretaría es que esta entidad no cumple los criterios establecidos por el Consejo para la exoneración de pago de la cuota de afiliación.</w:t>
      </w:r>
    </w:p>
    <w:bookmarkEnd w:id="18"/>
    <w:p w14:paraId="182A1601" w14:textId="77777777" w:rsidR="00BF0C54" w:rsidRPr="00765AFB" w:rsidRDefault="00BF0C54" w:rsidP="00EE575A">
      <w:pPr>
        <w:spacing w:after="120"/>
      </w:pPr>
      <w:r w:rsidRPr="00765AFB">
        <w:t>2.3</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2F8725FD" w14:textId="77777777" w:rsidTr="00762505">
        <w:trPr>
          <w:cantSplit/>
          <w:jc w:val="center"/>
        </w:trPr>
        <w:tc>
          <w:tcPr>
            <w:tcW w:w="4331" w:type="dxa"/>
          </w:tcPr>
          <w:p w14:paraId="219AE7CD" w14:textId="77777777" w:rsidR="00BF0C54" w:rsidRPr="00765AFB" w:rsidRDefault="00BF0C54" w:rsidP="00C35981">
            <w:pPr>
              <w:pStyle w:val="Tablehead"/>
              <w:rPr>
                <w:rFonts w:eastAsia="Calibri"/>
              </w:rPr>
            </w:pPr>
            <w:bookmarkStart w:id="19" w:name="lt_pId070"/>
            <w:r w:rsidRPr="00765AFB">
              <w:rPr>
                <w:rFonts w:eastAsia="Calibri"/>
              </w:rPr>
              <w:t>Organización</w:t>
            </w:r>
            <w:bookmarkEnd w:id="19"/>
          </w:p>
        </w:tc>
        <w:tc>
          <w:tcPr>
            <w:tcW w:w="1559" w:type="dxa"/>
          </w:tcPr>
          <w:p w14:paraId="4EBB693B" w14:textId="77777777" w:rsidR="00BF0C54" w:rsidRPr="00765AFB" w:rsidRDefault="00BF0C54" w:rsidP="00C35981">
            <w:pPr>
              <w:pStyle w:val="Tablehead"/>
              <w:rPr>
                <w:rFonts w:eastAsia="Calibri"/>
              </w:rPr>
            </w:pPr>
            <w:bookmarkStart w:id="20" w:name="lt_pId071"/>
            <w:r w:rsidRPr="00765AFB">
              <w:rPr>
                <w:rFonts w:eastAsia="Calibri"/>
              </w:rPr>
              <w:t>Sector</w:t>
            </w:r>
            <w:bookmarkEnd w:id="20"/>
          </w:p>
        </w:tc>
        <w:tc>
          <w:tcPr>
            <w:tcW w:w="3325" w:type="dxa"/>
          </w:tcPr>
          <w:p w14:paraId="06C0DA66" w14:textId="77777777" w:rsidR="00BF0C54" w:rsidRPr="00765AFB" w:rsidRDefault="00BF0C54" w:rsidP="00C35981">
            <w:pPr>
              <w:pStyle w:val="Tablehead"/>
              <w:rPr>
                <w:rFonts w:eastAsia="Calibri"/>
              </w:rPr>
            </w:pPr>
            <w:bookmarkStart w:id="21" w:name="lt_pId072"/>
            <w:r w:rsidRPr="00765AFB">
              <w:rPr>
                <w:rFonts w:eastAsia="Calibri"/>
              </w:rPr>
              <w:t>Recomendación</w:t>
            </w:r>
            <w:bookmarkEnd w:id="21"/>
          </w:p>
        </w:tc>
      </w:tr>
      <w:tr w:rsidR="00BF0C54" w:rsidRPr="00765AFB" w14:paraId="32CCFB89" w14:textId="77777777" w:rsidTr="00762505">
        <w:trPr>
          <w:cantSplit/>
          <w:jc w:val="center"/>
        </w:trPr>
        <w:tc>
          <w:tcPr>
            <w:tcW w:w="4331" w:type="dxa"/>
            <w:vAlign w:val="center"/>
          </w:tcPr>
          <w:p w14:paraId="6EC937D2" w14:textId="77777777" w:rsidR="00BF0C54" w:rsidRPr="00765AFB" w:rsidRDefault="00BF0C54" w:rsidP="00C35981">
            <w:pPr>
              <w:pStyle w:val="Tabletext"/>
              <w:rPr>
                <w:b/>
                <w:bCs/>
              </w:rPr>
            </w:pPr>
            <w:bookmarkStart w:id="22" w:name="lt_pId073"/>
            <w:r w:rsidRPr="00765AFB">
              <w:rPr>
                <w:b/>
                <w:bCs/>
              </w:rPr>
              <w:t>IoT Lab</w:t>
            </w:r>
            <w:bookmarkEnd w:id="22"/>
          </w:p>
        </w:tc>
        <w:tc>
          <w:tcPr>
            <w:tcW w:w="1559" w:type="dxa"/>
            <w:vAlign w:val="center"/>
          </w:tcPr>
          <w:p w14:paraId="386F561F" w14:textId="77777777" w:rsidR="00BF0C54" w:rsidRPr="00765AFB" w:rsidRDefault="00BF0C54" w:rsidP="00C35981">
            <w:pPr>
              <w:pStyle w:val="Tabletext"/>
              <w:jc w:val="center"/>
            </w:pPr>
            <w:bookmarkStart w:id="23" w:name="lt_pId074"/>
            <w:r w:rsidRPr="00765AFB">
              <w:t>UIT-T</w:t>
            </w:r>
            <w:bookmarkEnd w:id="23"/>
          </w:p>
        </w:tc>
        <w:tc>
          <w:tcPr>
            <w:tcW w:w="3325" w:type="dxa"/>
            <w:vAlign w:val="center"/>
          </w:tcPr>
          <w:p w14:paraId="2247AD38" w14:textId="77777777" w:rsidR="00BF0C54" w:rsidRPr="00765AFB" w:rsidRDefault="00BF0C54" w:rsidP="00C35981">
            <w:pPr>
              <w:pStyle w:val="Tabletext"/>
              <w:jc w:val="center"/>
            </w:pPr>
            <w:r w:rsidRPr="00765AFB">
              <w:t>NO</w:t>
            </w:r>
          </w:p>
        </w:tc>
      </w:tr>
    </w:tbl>
    <w:p w14:paraId="7CDA8777" w14:textId="77777777" w:rsidR="00BF0C54" w:rsidRPr="00765AFB" w:rsidRDefault="00BF0C54" w:rsidP="00BF0C54">
      <w:bookmarkStart w:id="24" w:name="lt_pId076"/>
      <w:r w:rsidRPr="00765AFB">
        <w:t xml:space="preserve">El Consejo aplazó esta solicitud en sus reuniones de 2021 y de 2022, a la espera de nuevas consultas y análisis, y de la revisión completa de todas las entidades exoneradas, como se indica en el apartado 1.6 anterior. Ubicada en Suiza, IoT Lab es una plataforma internacional de servicios y recursos para la Internet de las cosas (IoT), que reúne aspectos como: servicios IoT, privacidad y seguridad, laboratorio de pruebas, transferencia de tecnología, ODS y redes y comunidades. La opinión de la Secretaría es que esta entidad, aunque tiene socios internacionales, no cumple los criterios establecidos por el Consejo para la exoneración de pago de la cuota de afiliación al no ser una organización integrada por miembros. </w:t>
      </w:r>
    </w:p>
    <w:bookmarkEnd w:id="24"/>
    <w:p w14:paraId="1D08CCB3" w14:textId="77777777" w:rsidR="00BF0C54" w:rsidRPr="00765AFB" w:rsidRDefault="00BF0C54" w:rsidP="00EE575A">
      <w:pPr>
        <w:spacing w:after="120"/>
      </w:pPr>
      <w:r w:rsidRPr="00765AFB">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3BD53482" w14:textId="77777777" w:rsidTr="00762505">
        <w:trPr>
          <w:cantSplit/>
          <w:jc w:val="center"/>
        </w:trPr>
        <w:tc>
          <w:tcPr>
            <w:tcW w:w="4331" w:type="dxa"/>
          </w:tcPr>
          <w:p w14:paraId="75A1B5E8" w14:textId="77777777" w:rsidR="00BF0C54" w:rsidRPr="00765AFB" w:rsidRDefault="00BF0C54" w:rsidP="00C35981">
            <w:pPr>
              <w:pStyle w:val="Tablehead"/>
              <w:rPr>
                <w:rFonts w:asciiTheme="minorHAnsi" w:hAnsiTheme="minorHAnsi" w:cstheme="minorHAnsi"/>
                <w:szCs w:val="24"/>
              </w:rPr>
            </w:pPr>
            <w:r w:rsidRPr="00765AFB">
              <w:rPr>
                <w:rFonts w:eastAsia="Calibri"/>
              </w:rPr>
              <w:t>Organización</w:t>
            </w:r>
          </w:p>
        </w:tc>
        <w:tc>
          <w:tcPr>
            <w:tcW w:w="1559" w:type="dxa"/>
          </w:tcPr>
          <w:p w14:paraId="57CC7F0A" w14:textId="77777777" w:rsidR="00BF0C54" w:rsidRPr="00765AFB" w:rsidRDefault="00BF0C54" w:rsidP="00C35981">
            <w:pPr>
              <w:pStyle w:val="Tablehead"/>
              <w:rPr>
                <w:rFonts w:asciiTheme="minorHAnsi" w:hAnsiTheme="minorHAnsi" w:cstheme="minorHAnsi"/>
                <w:szCs w:val="24"/>
              </w:rPr>
            </w:pPr>
            <w:r w:rsidRPr="00765AFB">
              <w:rPr>
                <w:rFonts w:eastAsia="Calibri"/>
              </w:rPr>
              <w:t>Sector</w:t>
            </w:r>
          </w:p>
        </w:tc>
        <w:tc>
          <w:tcPr>
            <w:tcW w:w="3325" w:type="dxa"/>
          </w:tcPr>
          <w:p w14:paraId="5B3282EA" w14:textId="77777777" w:rsidR="00BF0C54" w:rsidRPr="00765AFB" w:rsidRDefault="00BF0C54" w:rsidP="00C35981">
            <w:pPr>
              <w:pStyle w:val="Tablehead"/>
              <w:rPr>
                <w:rFonts w:asciiTheme="minorHAnsi" w:hAnsiTheme="minorHAnsi" w:cstheme="minorHAnsi"/>
                <w:szCs w:val="24"/>
              </w:rPr>
            </w:pPr>
            <w:r w:rsidRPr="00765AFB">
              <w:rPr>
                <w:rFonts w:eastAsia="Calibri"/>
              </w:rPr>
              <w:t>Recomendación</w:t>
            </w:r>
          </w:p>
        </w:tc>
      </w:tr>
      <w:tr w:rsidR="00BF0C54" w:rsidRPr="00765AFB" w14:paraId="042046CC" w14:textId="77777777" w:rsidTr="00762505">
        <w:trPr>
          <w:cantSplit/>
          <w:jc w:val="center"/>
        </w:trPr>
        <w:tc>
          <w:tcPr>
            <w:tcW w:w="4331" w:type="dxa"/>
            <w:vAlign w:val="center"/>
          </w:tcPr>
          <w:p w14:paraId="7D4C2F79" w14:textId="77777777" w:rsidR="00BF0C54" w:rsidRPr="00765AFB" w:rsidRDefault="00BF0C54" w:rsidP="00C35981">
            <w:pPr>
              <w:pStyle w:val="Tabletext"/>
              <w:rPr>
                <w:b/>
                <w:bCs/>
              </w:rPr>
            </w:pPr>
            <w:r w:rsidRPr="00765AFB">
              <w:rPr>
                <w:b/>
                <w:bCs/>
              </w:rPr>
              <w:t>Feynman Foundation</w:t>
            </w:r>
          </w:p>
        </w:tc>
        <w:tc>
          <w:tcPr>
            <w:tcW w:w="1559" w:type="dxa"/>
            <w:vAlign w:val="center"/>
          </w:tcPr>
          <w:p w14:paraId="6EC62366" w14:textId="77777777" w:rsidR="00BF0C54" w:rsidRPr="00765AFB" w:rsidRDefault="00BF0C54" w:rsidP="00C35981">
            <w:pPr>
              <w:pStyle w:val="Tabletext"/>
              <w:jc w:val="center"/>
            </w:pPr>
            <w:r w:rsidRPr="00765AFB">
              <w:t>UIT-T</w:t>
            </w:r>
          </w:p>
        </w:tc>
        <w:tc>
          <w:tcPr>
            <w:tcW w:w="3325" w:type="dxa"/>
            <w:vAlign w:val="center"/>
          </w:tcPr>
          <w:p w14:paraId="4248F65E" w14:textId="77777777" w:rsidR="00BF0C54" w:rsidRPr="00765AFB" w:rsidRDefault="00BF0C54" w:rsidP="00C35981">
            <w:pPr>
              <w:pStyle w:val="Tabletext"/>
              <w:jc w:val="center"/>
              <w:rPr>
                <w:rFonts w:cstheme="minorBidi"/>
                <w:color w:val="000000" w:themeColor="text1"/>
              </w:rPr>
            </w:pPr>
            <w:r w:rsidRPr="00765AFB">
              <w:rPr>
                <w:rFonts w:cstheme="minorBidi"/>
                <w:color w:val="000000" w:themeColor="text1"/>
              </w:rPr>
              <w:t>NO</w:t>
            </w:r>
          </w:p>
        </w:tc>
      </w:tr>
    </w:tbl>
    <w:p w14:paraId="6548C0FF" w14:textId="77777777" w:rsidR="00BF0C54" w:rsidRPr="00765AFB" w:rsidRDefault="00BF0C54" w:rsidP="00C35981">
      <w:bookmarkStart w:id="25" w:name="_Hlk129002000"/>
      <w:r w:rsidRPr="00765AFB">
        <w:t xml:space="preserve">La Fundación Feynman, con sede en Bélgica, tiene como objetivo promover en Bélgica y en el extranjero los beneficios de la ciencia y las tecnologías cuánticas (incluidos los </w:t>
      </w:r>
      <w:r w:rsidRPr="00765AFB">
        <w:lastRenderedPageBreak/>
        <w:t xml:space="preserve">ordenadores, las telecomunicaciones y los sensores cuánticos) a nivel individual, institucional, nacional, regional e internacional. La Fundación Feynman proporciona soporte mediante la concesión de ayudas financieras, la ciencia abierta, el software libre, el código de fuente abierta, así como el hardware abierto apoyándose en los siguientes pilares: acceso libre al conocimiento científico y/o tecnológico; infraestructuras científicas y/o tecnológicas abiertas; comunicaciones científicas y/o tecnológicas abiertas; participación abierta de las partes interesadas de la sociedad y diálogo abierto con otros sistemas de conocimiento. En opinión de la Secretaría, esta entidad no cumple los criterios establecidos por el Consejo para la exoneración de pago de la cuota de afiliación, ya que no es una organización integrada por miembros. </w:t>
      </w:r>
    </w:p>
    <w:p w14:paraId="3320DC04" w14:textId="77777777" w:rsidR="00BF0C54" w:rsidRPr="00765AFB" w:rsidRDefault="00BF0C54" w:rsidP="00EE575A">
      <w:pPr>
        <w:spacing w:after="120"/>
      </w:pPr>
      <w:r w:rsidRPr="00765AFB">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4B012746" w14:textId="77777777" w:rsidTr="00762505">
        <w:trPr>
          <w:cantSplit/>
          <w:jc w:val="center"/>
        </w:trPr>
        <w:tc>
          <w:tcPr>
            <w:tcW w:w="4331" w:type="dxa"/>
          </w:tcPr>
          <w:p w14:paraId="0EA55614" w14:textId="77777777" w:rsidR="00BF0C54" w:rsidRPr="00765AFB" w:rsidRDefault="00BF0C54" w:rsidP="00C35981">
            <w:pPr>
              <w:pStyle w:val="Tablehead"/>
              <w:rPr>
                <w:rFonts w:asciiTheme="minorHAnsi" w:hAnsiTheme="minorHAnsi" w:cstheme="minorHAnsi"/>
                <w:szCs w:val="24"/>
              </w:rPr>
            </w:pPr>
            <w:r w:rsidRPr="00765AFB">
              <w:rPr>
                <w:rFonts w:eastAsia="Calibri"/>
              </w:rPr>
              <w:t>Organización</w:t>
            </w:r>
          </w:p>
        </w:tc>
        <w:tc>
          <w:tcPr>
            <w:tcW w:w="1559" w:type="dxa"/>
          </w:tcPr>
          <w:p w14:paraId="77E401D2" w14:textId="77777777" w:rsidR="00BF0C54" w:rsidRPr="00765AFB" w:rsidRDefault="00BF0C54" w:rsidP="00C35981">
            <w:pPr>
              <w:pStyle w:val="Tablehead"/>
              <w:rPr>
                <w:rFonts w:asciiTheme="minorHAnsi" w:hAnsiTheme="minorHAnsi" w:cstheme="minorHAnsi"/>
                <w:szCs w:val="24"/>
              </w:rPr>
            </w:pPr>
            <w:r w:rsidRPr="00765AFB">
              <w:rPr>
                <w:rFonts w:eastAsia="Calibri"/>
              </w:rPr>
              <w:t>Sector</w:t>
            </w:r>
          </w:p>
        </w:tc>
        <w:tc>
          <w:tcPr>
            <w:tcW w:w="3325" w:type="dxa"/>
          </w:tcPr>
          <w:p w14:paraId="0126DD37" w14:textId="77777777" w:rsidR="00BF0C54" w:rsidRPr="00765AFB" w:rsidRDefault="00BF0C54" w:rsidP="00C35981">
            <w:pPr>
              <w:pStyle w:val="Tablehead"/>
              <w:rPr>
                <w:rFonts w:asciiTheme="minorHAnsi" w:hAnsiTheme="minorHAnsi" w:cstheme="minorHAnsi"/>
                <w:szCs w:val="24"/>
              </w:rPr>
            </w:pPr>
            <w:r w:rsidRPr="00765AFB">
              <w:rPr>
                <w:rFonts w:eastAsia="Calibri"/>
              </w:rPr>
              <w:t>Recomendación</w:t>
            </w:r>
          </w:p>
        </w:tc>
      </w:tr>
      <w:tr w:rsidR="00BF0C54" w:rsidRPr="00765AFB" w14:paraId="23380607" w14:textId="77777777" w:rsidTr="00762505">
        <w:trPr>
          <w:cantSplit/>
          <w:jc w:val="center"/>
        </w:trPr>
        <w:tc>
          <w:tcPr>
            <w:tcW w:w="4331" w:type="dxa"/>
            <w:vAlign w:val="center"/>
          </w:tcPr>
          <w:p w14:paraId="064C8D4A" w14:textId="77777777" w:rsidR="00BF0C54" w:rsidRPr="00806036" w:rsidRDefault="00BF0C54" w:rsidP="00C35981">
            <w:pPr>
              <w:pStyle w:val="Tabletext"/>
              <w:rPr>
                <w:b/>
                <w:bCs/>
                <w:lang w:val="en-GB"/>
              </w:rPr>
            </w:pPr>
            <w:r w:rsidRPr="00806036">
              <w:rPr>
                <w:b/>
                <w:bCs/>
                <w:lang w:val="en-GB"/>
              </w:rPr>
              <w:t>Libyan Organization for Information Technology and Telecommunications</w:t>
            </w:r>
          </w:p>
        </w:tc>
        <w:tc>
          <w:tcPr>
            <w:tcW w:w="1559" w:type="dxa"/>
            <w:vAlign w:val="center"/>
          </w:tcPr>
          <w:p w14:paraId="41D4FB31" w14:textId="77777777" w:rsidR="00BF0C54" w:rsidRPr="00765AFB" w:rsidRDefault="00BF0C54" w:rsidP="00C35981">
            <w:pPr>
              <w:pStyle w:val="Tabletext"/>
              <w:jc w:val="center"/>
            </w:pPr>
            <w:r w:rsidRPr="00765AFB">
              <w:t>UIT-D</w:t>
            </w:r>
          </w:p>
        </w:tc>
        <w:tc>
          <w:tcPr>
            <w:tcW w:w="3325" w:type="dxa"/>
            <w:vAlign w:val="center"/>
          </w:tcPr>
          <w:p w14:paraId="22B56031" w14:textId="77777777" w:rsidR="00BF0C54" w:rsidRPr="00765AFB" w:rsidRDefault="00BF0C54" w:rsidP="00C35981">
            <w:pPr>
              <w:pStyle w:val="Tabletext"/>
              <w:jc w:val="center"/>
              <w:rPr>
                <w:rFonts w:cstheme="minorBidi"/>
                <w:color w:val="000000" w:themeColor="text1"/>
              </w:rPr>
            </w:pPr>
            <w:r w:rsidRPr="00765AFB">
              <w:rPr>
                <w:rFonts w:cstheme="minorBidi"/>
                <w:color w:val="000000" w:themeColor="text1"/>
              </w:rPr>
              <w:t>NO</w:t>
            </w:r>
          </w:p>
        </w:tc>
      </w:tr>
    </w:tbl>
    <w:bookmarkEnd w:id="25"/>
    <w:p w14:paraId="374C064C" w14:textId="350F4E1F" w:rsidR="00BF0C54" w:rsidRPr="00765AFB" w:rsidRDefault="00BF0C54" w:rsidP="00C35981">
      <w:r w:rsidRPr="00765AFB">
        <w:rPr>
          <w:rFonts w:eastAsia="Calibri"/>
        </w:rPr>
        <w:t>La Organización para las Tecnologías de la Información y las Telecomunicaciones de Libia es una organización de la sociedad civil sin ánimo de lucro con sede en Libia, que relaciona a todas las partes interesadas de la comunidad, incluyendo el público, las empresas, los gobiernos y los ministerios. En opinión de la Secretaría, esta entidad no cumple los criterios establecidos por el Consejo para la exoneración de pago de la cuota de afiliación, pues se trata de una entidad nacional</w:t>
      </w:r>
      <w:r w:rsidRPr="00765AFB">
        <w:t>.</w:t>
      </w:r>
    </w:p>
    <w:p w14:paraId="7A9A5D95" w14:textId="77777777" w:rsidR="00BF0C54" w:rsidRPr="00765AFB" w:rsidRDefault="00BF0C54" w:rsidP="00EE575A">
      <w:pPr>
        <w:spacing w:after="120"/>
      </w:pPr>
      <w:r w:rsidRPr="00765AFB">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6D8C1335" w14:textId="77777777" w:rsidTr="00762505">
        <w:trPr>
          <w:cantSplit/>
          <w:jc w:val="center"/>
        </w:trPr>
        <w:tc>
          <w:tcPr>
            <w:tcW w:w="4331" w:type="dxa"/>
          </w:tcPr>
          <w:p w14:paraId="0F052461" w14:textId="77777777" w:rsidR="00BF0C54" w:rsidRPr="00765AFB" w:rsidRDefault="00BF0C54" w:rsidP="00C35981">
            <w:pPr>
              <w:pStyle w:val="Tablehead"/>
              <w:rPr>
                <w:rFonts w:asciiTheme="minorHAnsi" w:hAnsiTheme="minorHAnsi" w:cstheme="minorHAnsi"/>
                <w:szCs w:val="24"/>
              </w:rPr>
            </w:pPr>
            <w:r w:rsidRPr="00765AFB">
              <w:rPr>
                <w:rFonts w:eastAsia="Calibri"/>
              </w:rPr>
              <w:t>Organización</w:t>
            </w:r>
          </w:p>
        </w:tc>
        <w:tc>
          <w:tcPr>
            <w:tcW w:w="1559" w:type="dxa"/>
          </w:tcPr>
          <w:p w14:paraId="53514B78" w14:textId="77777777" w:rsidR="00BF0C54" w:rsidRPr="00765AFB" w:rsidRDefault="00BF0C54" w:rsidP="00C35981">
            <w:pPr>
              <w:pStyle w:val="Tablehead"/>
              <w:rPr>
                <w:rFonts w:asciiTheme="minorHAnsi" w:hAnsiTheme="minorHAnsi" w:cstheme="minorHAnsi"/>
                <w:szCs w:val="24"/>
              </w:rPr>
            </w:pPr>
            <w:r w:rsidRPr="00765AFB">
              <w:rPr>
                <w:rFonts w:eastAsia="Calibri"/>
              </w:rPr>
              <w:t>Sector</w:t>
            </w:r>
          </w:p>
        </w:tc>
        <w:tc>
          <w:tcPr>
            <w:tcW w:w="3325" w:type="dxa"/>
          </w:tcPr>
          <w:p w14:paraId="70C91734" w14:textId="77777777" w:rsidR="00BF0C54" w:rsidRPr="00765AFB" w:rsidRDefault="00BF0C54" w:rsidP="00C35981">
            <w:pPr>
              <w:pStyle w:val="Tablehead"/>
              <w:rPr>
                <w:rFonts w:asciiTheme="minorHAnsi" w:hAnsiTheme="minorHAnsi" w:cstheme="minorHAnsi"/>
                <w:szCs w:val="24"/>
              </w:rPr>
            </w:pPr>
            <w:r w:rsidRPr="00765AFB">
              <w:rPr>
                <w:rFonts w:eastAsia="Calibri"/>
              </w:rPr>
              <w:t>Recomendación</w:t>
            </w:r>
          </w:p>
        </w:tc>
      </w:tr>
      <w:tr w:rsidR="00BF0C54" w:rsidRPr="00765AFB" w14:paraId="0460116B" w14:textId="77777777" w:rsidTr="00762505">
        <w:trPr>
          <w:cantSplit/>
          <w:jc w:val="center"/>
        </w:trPr>
        <w:tc>
          <w:tcPr>
            <w:tcW w:w="4331" w:type="dxa"/>
            <w:vAlign w:val="center"/>
          </w:tcPr>
          <w:p w14:paraId="31C9D90F" w14:textId="77777777" w:rsidR="00BF0C54" w:rsidRPr="00806036" w:rsidRDefault="00BF0C54" w:rsidP="00C35981">
            <w:pPr>
              <w:pStyle w:val="Tabletext"/>
              <w:rPr>
                <w:b/>
                <w:bCs/>
                <w:lang w:val="en-GB"/>
              </w:rPr>
            </w:pPr>
            <w:r w:rsidRPr="00806036">
              <w:rPr>
                <w:b/>
                <w:bCs/>
                <w:lang w:val="en-GB"/>
              </w:rPr>
              <w:t>World Federation of Engineering Organizations (WFEO)</w:t>
            </w:r>
          </w:p>
        </w:tc>
        <w:tc>
          <w:tcPr>
            <w:tcW w:w="1559" w:type="dxa"/>
            <w:vAlign w:val="center"/>
          </w:tcPr>
          <w:p w14:paraId="2798D138" w14:textId="77777777" w:rsidR="00BF0C54" w:rsidRPr="00806036" w:rsidRDefault="00BF0C54" w:rsidP="00C35981">
            <w:pPr>
              <w:pStyle w:val="Tabletext"/>
              <w:jc w:val="center"/>
              <w:rPr>
                <w:lang w:val="fr-FR"/>
              </w:rPr>
            </w:pPr>
            <w:r w:rsidRPr="00806036">
              <w:rPr>
                <w:lang w:val="fr-FR"/>
              </w:rPr>
              <w:t>UIT-R</w:t>
            </w:r>
          </w:p>
          <w:p w14:paraId="2C9F10BC" w14:textId="77777777" w:rsidR="00BF0C54" w:rsidRPr="00806036" w:rsidRDefault="00BF0C54" w:rsidP="00C35981">
            <w:pPr>
              <w:pStyle w:val="Tabletext"/>
              <w:jc w:val="center"/>
              <w:rPr>
                <w:lang w:val="fr-FR"/>
              </w:rPr>
            </w:pPr>
            <w:r w:rsidRPr="00806036">
              <w:rPr>
                <w:lang w:val="fr-FR"/>
              </w:rPr>
              <w:t>UIT-T</w:t>
            </w:r>
          </w:p>
          <w:p w14:paraId="6D51C965" w14:textId="77777777" w:rsidR="00BF0C54" w:rsidRPr="00806036" w:rsidRDefault="00BF0C54" w:rsidP="00C35981">
            <w:pPr>
              <w:pStyle w:val="Tabletext"/>
              <w:jc w:val="center"/>
              <w:rPr>
                <w:lang w:val="fr-FR"/>
              </w:rPr>
            </w:pPr>
            <w:r w:rsidRPr="00806036">
              <w:rPr>
                <w:lang w:val="fr-FR"/>
              </w:rPr>
              <w:t>UIT-D</w:t>
            </w:r>
          </w:p>
        </w:tc>
        <w:tc>
          <w:tcPr>
            <w:tcW w:w="3325" w:type="dxa"/>
            <w:vAlign w:val="center"/>
          </w:tcPr>
          <w:p w14:paraId="75A8245E" w14:textId="77777777" w:rsidR="00BF0C54" w:rsidRPr="00765AFB" w:rsidRDefault="00BF0C54" w:rsidP="00C35981">
            <w:pPr>
              <w:pStyle w:val="Tabletext"/>
              <w:jc w:val="center"/>
              <w:rPr>
                <w:rFonts w:cstheme="minorBidi"/>
                <w:color w:val="000000" w:themeColor="text1"/>
              </w:rPr>
            </w:pPr>
            <w:r w:rsidRPr="00765AFB">
              <w:rPr>
                <w:rFonts w:cstheme="minorBidi"/>
                <w:color w:val="000000" w:themeColor="text1"/>
              </w:rPr>
              <w:t>NO</w:t>
            </w:r>
          </w:p>
          <w:p w14:paraId="4E8833F1" w14:textId="77777777" w:rsidR="00BF0C54" w:rsidRPr="00765AFB" w:rsidRDefault="00BF0C54" w:rsidP="00C35981">
            <w:pPr>
              <w:pStyle w:val="Tabletext"/>
              <w:jc w:val="center"/>
              <w:rPr>
                <w:rFonts w:cstheme="minorBidi"/>
                <w:color w:val="000000" w:themeColor="text1"/>
              </w:rPr>
            </w:pPr>
            <w:r w:rsidRPr="00765AFB">
              <w:rPr>
                <w:rFonts w:cstheme="minorBidi"/>
                <w:color w:val="000000" w:themeColor="text1"/>
              </w:rPr>
              <w:t>SÍ</w:t>
            </w:r>
          </w:p>
          <w:p w14:paraId="5A3D7FE3" w14:textId="77777777" w:rsidR="00BF0C54" w:rsidRPr="00765AFB" w:rsidRDefault="00BF0C54" w:rsidP="00C35981">
            <w:pPr>
              <w:pStyle w:val="Tabletext"/>
              <w:jc w:val="center"/>
              <w:rPr>
                <w:rFonts w:cstheme="minorBidi"/>
                <w:color w:val="000000" w:themeColor="text1"/>
              </w:rPr>
            </w:pPr>
            <w:r w:rsidRPr="00765AFB">
              <w:rPr>
                <w:rFonts w:cstheme="minorBidi"/>
                <w:color w:val="000000" w:themeColor="text1"/>
              </w:rPr>
              <w:t>Sí</w:t>
            </w:r>
          </w:p>
        </w:tc>
      </w:tr>
    </w:tbl>
    <w:p w14:paraId="7488E333" w14:textId="77777777" w:rsidR="00BF0C54" w:rsidRPr="00765AFB" w:rsidRDefault="00BF0C54" w:rsidP="00C35981">
      <w:r w:rsidRPr="00765AFB">
        <w:t>La Federación Mundial de Organizaciones de Ingenieros (FMOI), una organización internacional no gubernamental, se creó para unir a las asociaciones de ingenieros de diferentes disciplinas de todo el mundo. La FMOI reúne a instituciones nacionales de ingeniería de unos 100 países y representa a más de 30 millones de ingenieros. Como organización internacional con una amplia afiliación de asociaciones científicas y técnicas de todo el mundo, en opinión de la Secretaría, esta entidad cumple los criterios organizativos establecidos por el Consejo para la exoneración de pago de la cuota de afiliación, así como la reciprocidad para el UIT-T y el UIT-D. Sin embargo, no está claro cómo la organización ofrecerá valor al UIT-R como Miembro de Sector, ya que no detalla si tiene experiencia en la gestión del espectro de radiofrecuencias.</w:t>
      </w:r>
    </w:p>
    <w:p w14:paraId="4281179C" w14:textId="77777777" w:rsidR="00BF0C54" w:rsidRPr="00765AFB" w:rsidRDefault="00BF0C54" w:rsidP="00EE575A">
      <w:pPr>
        <w:spacing w:after="120"/>
      </w:pPr>
      <w:r w:rsidRPr="00765AFB">
        <w:t>2.7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4E3BA9D0" w14:textId="77777777" w:rsidTr="00762505">
        <w:trPr>
          <w:cantSplit/>
          <w:jc w:val="center"/>
        </w:trPr>
        <w:tc>
          <w:tcPr>
            <w:tcW w:w="4331" w:type="dxa"/>
          </w:tcPr>
          <w:p w14:paraId="6D738DB7" w14:textId="77777777" w:rsidR="00BF0C54" w:rsidRPr="00765AFB" w:rsidRDefault="00BF0C54" w:rsidP="00C35981">
            <w:pPr>
              <w:pStyle w:val="Tablehead"/>
              <w:rPr>
                <w:rFonts w:asciiTheme="minorHAnsi" w:hAnsiTheme="minorHAnsi" w:cstheme="minorHAnsi"/>
                <w:szCs w:val="24"/>
              </w:rPr>
            </w:pPr>
            <w:r w:rsidRPr="00765AFB">
              <w:rPr>
                <w:rFonts w:eastAsia="Calibri"/>
              </w:rPr>
              <w:t>Organización</w:t>
            </w:r>
          </w:p>
        </w:tc>
        <w:tc>
          <w:tcPr>
            <w:tcW w:w="1559" w:type="dxa"/>
          </w:tcPr>
          <w:p w14:paraId="0510A1B7" w14:textId="77777777" w:rsidR="00BF0C54" w:rsidRPr="00765AFB" w:rsidRDefault="00BF0C54" w:rsidP="00C35981">
            <w:pPr>
              <w:pStyle w:val="Tablehead"/>
              <w:rPr>
                <w:rFonts w:asciiTheme="minorHAnsi" w:hAnsiTheme="minorHAnsi" w:cstheme="minorHAnsi"/>
                <w:szCs w:val="24"/>
              </w:rPr>
            </w:pPr>
            <w:r w:rsidRPr="00765AFB">
              <w:rPr>
                <w:rFonts w:eastAsia="Calibri"/>
              </w:rPr>
              <w:t>Sector</w:t>
            </w:r>
          </w:p>
        </w:tc>
        <w:tc>
          <w:tcPr>
            <w:tcW w:w="3325" w:type="dxa"/>
          </w:tcPr>
          <w:p w14:paraId="6A18A33F" w14:textId="77777777" w:rsidR="00BF0C54" w:rsidRPr="00765AFB" w:rsidRDefault="00BF0C54" w:rsidP="00C35981">
            <w:pPr>
              <w:pStyle w:val="Tablehead"/>
              <w:rPr>
                <w:rFonts w:asciiTheme="minorHAnsi" w:hAnsiTheme="minorHAnsi" w:cstheme="minorHAnsi"/>
                <w:szCs w:val="24"/>
              </w:rPr>
            </w:pPr>
            <w:r w:rsidRPr="00765AFB">
              <w:rPr>
                <w:rFonts w:eastAsia="Calibri"/>
              </w:rPr>
              <w:t>Recomendación</w:t>
            </w:r>
          </w:p>
        </w:tc>
      </w:tr>
      <w:tr w:rsidR="00BF0C54" w:rsidRPr="00765AFB" w14:paraId="4E7D23F6" w14:textId="77777777" w:rsidTr="00762505">
        <w:trPr>
          <w:cantSplit/>
          <w:jc w:val="center"/>
        </w:trPr>
        <w:tc>
          <w:tcPr>
            <w:tcW w:w="4331" w:type="dxa"/>
            <w:vAlign w:val="center"/>
          </w:tcPr>
          <w:p w14:paraId="61EE690D" w14:textId="77777777" w:rsidR="00BF0C54" w:rsidRPr="00765AFB" w:rsidRDefault="00BF0C54" w:rsidP="00C35981">
            <w:pPr>
              <w:pStyle w:val="Tabletext"/>
              <w:rPr>
                <w:b/>
                <w:bCs/>
              </w:rPr>
            </w:pPr>
            <w:r w:rsidRPr="00765AFB">
              <w:rPr>
                <w:b/>
                <w:bCs/>
              </w:rPr>
              <w:t>Environmental Coalition on Standards (ECOS)</w:t>
            </w:r>
          </w:p>
        </w:tc>
        <w:tc>
          <w:tcPr>
            <w:tcW w:w="1559" w:type="dxa"/>
            <w:vAlign w:val="center"/>
          </w:tcPr>
          <w:p w14:paraId="1241056C" w14:textId="77777777" w:rsidR="00BF0C54" w:rsidRPr="00765AFB" w:rsidRDefault="00BF0C54" w:rsidP="00C35981">
            <w:pPr>
              <w:pStyle w:val="Tabletext"/>
              <w:jc w:val="center"/>
            </w:pPr>
            <w:r w:rsidRPr="00765AFB">
              <w:t>UIT-T</w:t>
            </w:r>
          </w:p>
        </w:tc>
        <w:tc>
          <w:tcPr>
            <w:tcW w:w="3325" w:type="dxa"/>
            <w:vAlign w:val="center"/>
          </w:tcPr>
          <w:p w14:paraId="6379B0B6" w14:textId="77777777" w:rsidR="00BF0C54" w:rsidRPr="00765AFB" w:rsidRDefault="00BF0C54" w:rsidP="00C35981">
            <w:pPr>
              <w:pStyle w:val="Tabletext"/>
              <w:jc w:val="center"/>
              <w:rPr>
                <w:color w:val="000000" w:themeColor="text1"/>
              </w:rPr>
            </w:pPr>
            <w:r w:rsidRPr="00765AFB">
              <w:t>SÍ</w:t>
            </w:r>
          </w:p>
        </w:tc>
      </w:tr>
    </w:tbl>
    <w:p w14:paraId="31D97926" w14:textId="77777777" w:rsidR="00BF0C54" w:rsidRPr="00765AFB" w:rsidRDefault="00BF0C54" w:rsidP="00C35981">
      <w:bookmarkStart w:id="26" w:name="_Hlk133403443"/>
      <w:r w:rsidRPr="00765AFB">
        <w:rPr>
          <w:rFonts w:eastAsia="Calibri"/>
        </w:rPr>
        <w:t xml:space="preserve">Fundada en 2001, la Coalición Medioambiental para las Normas (ECOS) es una ONG internacional con una red de miembros y expertos que abogan por unas normas técnicas, </w:t>
      </w:r>
      <w:r w:rsidRPr="00765AFB">
        <w:rPr>
          <w:rFonts w:eastAsia="Calibri"/>
        </w:rPr>
        <w:lastRenderedPageBreak/>
        <w:t>unas políticas y unas leyes respetuosas con el medio ambiente. ECOS afirma ser la única organización medioambiental mundial especializada en normalización. Trabaja por un sistema de normalización más inclusivo, abierto y transparente a nivel internacional, europeo y nacional, al tiempo que asegura una utilización adecuada de las normas como soporte de las legislaciones y las políticas medioambientales. Como organización internacional con miembros ONG, en opinión de la Secretaría, esta entidad cumple los criterios establecidos por el Consejo para la exoneración de pago de la cuota de afiliación.</w:t>
      </w:r>
    </w:p>
    <w:bookmarkEnd w:id="26"/>
    <w:p w14:paraId="7F09660A" w14:textId="77777777" w:rsidR="00BF0C54" w:rsidRPr="00765AFB" w:rsidRDefault="00BF0C54" w:rsidP="00EE575A">
      <w:pPr>
        <w:spacing w:after="120"/>
      </w:pPr>
      <w:r w:rsidRPr="00765AFB">
        <w:t>2.8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46347A4D" w14:textId="77777777" w:rsidTr="00762505">
        <w:trPr>
          <w:cantSplit/>
          <w:jc w:val="center"/>
        </w:trPr>
        <w:tc>
          <w:tcPr>
            <w:tcW w:w="4331" w:type="dxa"/>
          </w:tcPr>
          <w:p w14:paraId="269C9987" w14:textId="77777777" w:rsidR="00BF0C54" w:rsidRPr="00765AFB" w:rsidRDefault="00BF0C54" w:rsidP="00C35981">
            <w:pPr>
              <w:pStyle w:val="Tablehead"/>
              <w:rPr>
                <w:rFonts w:asciiTheme="minorHAnsi" w:hAnsiTheme="minorHAnsi" w:cstheme="minorHAnsi"/>
                <w:szCs w:val="24"/>
              </w:rPr>
            </w:pPr>
            <w:r w:rsidRPr="00765AFB">
              <w:rPr>
                <w:rFonts w:eastAsia="Calibri"/>
              </w:rPr>
              <w:t>Organización</w:t>
            </w:r>
          </w:p>
        </w:tc>
        <w:tc>
          <w:tcPr>
            <w:tcW w:w="1559" w:type="dxa"/>
          </w:tcPr>
          <w:p w14:paraId="60BA8850" w14:textId="77777777" w:rsidR="00BF0C54" w:rsidRPr="00765AFB" w:rsidRDefault="00BF0C54" w:rsidP="00C35981">
            <w:pPr>
              <w:pStyle w:val="Tablehead"/>
              <w:rPr>
                <w:rFonts w:asciiTheme="minorHAnsi" w:hAnsiTheme="minorHAnsi" w:cstheme="minorHAnsi"/>
                <w:szCs w:val="24"/>
              </w:rPr>
            </w:pPr>
            <w:r w:rsidRPr="00765AFB">
              <w:rPr>
                <w:rFonts w:eastAsia="Calibri"/>
              </w:rPr>
              <w:t>Sector</w:t>
            </w:r>
          </w:p>
        </w:tc>
        <w:tc>
          <w:tcPr>
            <w:tcW w:w="3325" w:type="dxa"/>
          </w:tcPr>
          <w:p w14:paraId="6F0C4EB5" w14:textId="77777777" w:rsidR="00BF0C54" w:rsidRPr="00765AFB" w:rsidRDefault="00BF0C54" w:rsidP="00C35981">
            <w:pPr>
              <w:pStyle w:val="Tablehead"/>
              <w:rPr>
                <w:rFonts w:asciiTheme="minorHAnsi" w:hAnsiTheme="minorHAnsi" w:cstheme="minorHAnsi"/>
                <w:szCs w:val="24"/>
              </w:rPr>
            </w:pPr>
            <w:r w:rsidRPr="00765AFB">
              <w:rPr>
                <w:rFonts w:eastAsia="Calibri"/>
              </w:rPr>
              <w:t>Recomendación</w:t>
            </w:r>
          </w:p>
        </w:tc>
      </w:tr>
      <w:tr w:rsidR="00BF0C54" w:rsidRPr="00765AFB" w14:paraId="4472D2ED" w14:textId="77777777" w:rsidTr="00762505">
        <w:trPr>
          <w:cantSplit/>
          <w:jc w:val="center"/>
        </w:trPr>
        <w:tc>
          <w:tcPr>
            <w:tcW w:w="4331" w:type="dxa"/>
            <w:vAlign w:val="center"/>
          </w:tcPr>
          <w:p w14:paraId="6644C23F" w14:textId="77777777" w:rsidR="00BF0C54" w:rsidRPr="00765AFB" w:rsidRDefault="00BF0C54" w:rsidP="00C35981">
            <w:pPr>
              <w:pStyle w:val="Tabletext"/>
              <w:rPr>
                <w:b/>
                <w:bCs/>
              </w:rPr>
            </w:pPr>
            <w:r w:rsidRPr="00765AFB">
              <w:rPr>
                <w:b/>
                <w:bCs/>
              </w:rPr>
              <w:t>MTU XRP Ledger Trust</w:t>
            </w:r>
          </w:p>
        </w:tc>
        <w:tc>
          <w:tcPr>
            <w:tcW w:w="1559" w:type="dxa"/>
            <w:vAlign w:val="center"/>
          </w:tcPr>
          <w:p w14:paraId="76DCE8C3" w14:textId="77777777" w:rsidR="00BF0C54" w:rsidRPr="00765AFB" w:rsidRDefault="00BF0C54" w:rsidP="00C35981">
            <w:pPr>
              <w:pStyle w:val="Tabletext"/>
              <w:jc w:val="center"/>
            </w:pPr>
            <w:r w:rsidRPr="00765AFB">
              <w:t>UIT-T</w:t>
            </w:r>
          </w:p>
          <w:p w14:paraId="13DA870A" w14:textId="77777777" w:rsidR="00BF0C54" w:rsidRPr="00765AFB" w:rsidRDefault="00BF0C54" w:rsidP="00C35981">
            <w:pPr>
              <w:pStyle w:val="Tabletext"/>
              <w:jc w:val="center"/>
            </w:pPr>
            <w:r w:rsidRPr="00765AFB">
              <w:t>UIT-D</w:t>
            </w:r>
          </w:p>
        </w:tc>
        <w:tc>
          <w:tcPr>
            <w:tcW w:w="3325" w:type="dxa"/>
            <w:vAlign w:val="center"/>
          </w:tcPr>
          <w:p w14:paraId="417B4A66" w14:textId="77777777" w:rsidR="00BF0C54" w:rsidRPr="00765AFB" w:rsidRDefault="00BF0C54" w:rsidP="00C35981">
            <w:pPr>
              <w:pStyle w:val="Tabletext"/>
              <w:jc w:val="center"/>
              <w:rPr>
                <w:rFonts w:cstheme="minorBidi"/>
              </w:rPr>
            </w:pPr>
            <w:r w:rsidRPr="00765AFB">
              <w:rPr>
                <w:rFonts w:cstheme="minorBidi"/>
              </w:rPr>
              <w:t>NO</w:t>
            </w:r>
          </w:p>
          <w:p w14:paraId="31E1F4A3" w14:textId="77777777" w:rsidR="00BF0C54" w:rsidRPr="00765AFB" w:rsidRDefault="00BF0C54" w:rsidP="00C35981">
            <w:pPr>
              <w:pStyle w:val="Tabletext"/>
              <w:jc w:val="center"/>
              <w:rPr>
                <w:rFonts w:cstheme="minorBidi"/>
                <w:color w:val="000000" w:themeColor="text1"/>
              </w:rPr>
            </w:pPr>
            <w:r w:rsidRPr="00765AFB">
              <w:rPr>
                <w:rFonts w:cstheme="minorBidi"/>
              </w:rPr>
              <w:t>NO</w:t>
            </w:r>
          </w:p>
        </w:tc>
      </w:tr>
    </w:tbl>
    <w:p w14:paraId="0412B368" w14:textId="77777777" w:rsidR="00BF0C54" w:rsidRPr="00765AFB" w:rsidRDefault="00BF0C54" w:rsidP="00C35981">
      <w:pPr>
        <w:rPr>
          <w:highlight w:val="yellow"/>
        </w:rPr>
      </w:pPr>
      <w:r w:rsidRPr="00765AFB">
        <w:t>El MTU XRP Ledger Trust es una entidad independiente sin ánimo de lucro que trabaja para apoyar el desarrollo y la utilización del libro mayor XRP Ledger. Su objetivo es crear un activo digital sostenible y construido específicamente para los pagos. Como esta organización no tiene miembros, la Secretaría considera que esta entidad no cumple los criterios establecidos por el Consejo para la exoneración de pago de la cuota de afiliación.</w:t>
      </w:r>
    </w:p>
    <w:p w14:paraId="5C794012" w14:textId="77777777" w:rsidR="00BF0C54" w:rsidRPr="00765AFB" w:rsidRDefault="00BF0C54" w:rsidP="00EE575A">
      <w:pPr>
        <w:spacing w:after="120"/>
      </w:pPr>
      <w:r w:rsidRPr="00765AFB">
        <w:t>2.9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3033AAE1" w14:textId="77777777" w:rsidTr="00762505">
        <w:trPr>
          <w:cantSplit/>
          <w:jc w:val="center"/>
        </w:trPr>
        <w:tc>
          <w:tcPr>
            <w:tcW w:w="4331" w:type="dxa"/>
          </w:tcPr>
          <w:p w14:paraId="329BE195" w14:textId="77777777" w:rsidR="00BF0C54" w:rsidRPr="00765AFB" w:rsidRDefault="00BF0C54" w:rsidP="00B42A4E">
            <w:pPr>
              <w:pStyle w:val="Tablehead"/>
              <w:rPr>
                <w:rFonts w:asciiTheme="minorHAnsi" w:hAnsiTheme="minorHAnsi" w:cstheme="minorHAnsi"/>
                <w:szCs w:val="24"/>
              </w:rPr>
            </w:pPr>
            <w:r w:rsidRPr="00765AFB">
              <w:rPr>
                <w:rFonts w:eastAsia="Calibri"/>
              </w:rPr>
              <w:t>Organización</w:t>
            </w:r>
          </w:p>
        </w:tc>
        <w:tc>
          <w:tcPr>
            <w:tcW w:w="1559" w:type="dxa"/>
          </w:tcPr>
          <w:p w14:paraId="2129F250" w14:textId="77777777" w:rsidR="00BF0C54" w:rsidRPr="00765AFB" w:rsidRDefault="00BF0C54" w:rsidP="00B42A4E">
            <w:pPr>
              <w:pStyle w:val="Tablehead"/>
              <w:rPr>
                <w:rFonts w:asciiTheme="minorHAnsi" w:hAnsiTheme="minorHAnsi" w:cstheme="minorHAnsi"/>
                <w:szCs w:val="24"/>
              </w:rPr>
            </w:pPr>
            <w:r w:rsidRPr="00765AFB">
              <w:rPr>
                <w:rFonts w:eastAsia="Calibri"/>
              </w:rPr>
              <w:t>Sector</w:t>
            </w:r>
          </w:p>
        </w:tc>
        <w:tc>
          <w:tcPr>
            <w:tcW w:w="3325" w:type="dxa"/>
          </w:tcPr>
          <w:p w14:paraId="6141B117" w14:textId="77777777" w:rsidR="00BF0C54" w:rsidRPr="00765AFB" w:rsidRDefault="00BF0C54" w:rsidP="00B42A4E">
            <w:pPr>
              <w:pStyle w:val="Tablehead"/>
              <w:rPr>
                <w:rFonts w:asciiTheme="minorHAnsi" w:hAnsiTheme="minorHAnsi" w:cstheme="minorBidi"/>
              </w:rPr>
            </w:pPr>
            <w:r w:rsidRPr="00765AFB">
              <w:rPr>
                <w:rFonts w:eastAsia="Calibri"/>
              </w:rPr>
              <w:t>Recomendación</w:t>
            </w:r>
          </w:p>
        </w:tc>
      </w:tr>
      <w:tr w:rsidR="00BF0C54" w:rsidRPr="00765AFB" w14:paraId="489E099A" w14:textId="77777777" w:rsidTr="00762505">
        <w:trPr>
          <w:cantSplit/>
          <w:jc w:val="center"/>
        </w:trPr>
        <w:tc>
          <w:tcPr>
            <w:tcW w:w="4331" w:type="dxa"/>
            <w:vAlign w:val="center"/>
          </w:tcPr>
          <w:p w14:paraId="492F4651" w14:textId="77777777" w:rsidR="00BF0C54" w:rsidRPr="00765AFB" w:rsidRDefault="00BF0C54" w:rsidP="00B42A4E">
            <w:pPr>
              <w:pStyle w:val="Tabletext"/>
              <w:rPr>
                <w:b/>
                <w:bCs/>
              </w:rPr>
            </w:pPr>
            <w:r w:rsidRPr="00765AFB">
              <w:rPr>
                <w:b/>
                <w:bCs/>
              </w:rPr>
              <w:t>Global Impact (Global Digital Inclusion Partnership)</w:t>
            </w:r>
          </w:p>
        </w:tc>
        <w:tc>
          <w:tcPr>
            <w:tcW w:w="1559" w:type="dxa"/>
            <w:vAlign w:val="center"/>
          </w:tcPr>
          <w:p w14:paraId="35A95D54" w14:textId="77777777" w:rsidR="00BF0C54" w:rsidRPr="00765AFB" w:rsidRDefault="00BF0C54" w:rsidP="00B42A4E">
            <w:pPr>
              <w:pStyle w:val="Tabletext"/>
              <w:jc w:val="center"/>
            </w:pPr>
            <w:r w:rsidRPr="00765AFB">
              <w:t>UIT-D</w:t>
            </w:r>
          </w:p>
        </w:tc>
        <w:tc>
          <w:tcPr>
            <w:tcW w:w="3325" w:type="dxa"/>
            <w:vAlign w:val="center"/>
          </w:tcPr>
          <w:p w14:paraId="3D6E396E" w14:textId="204B2BD6" w:rsidR="00BF0C54" w:rsidRPr="00765AFB" w:rsidRDefault="00BF0C54" w:rsidP="00B42A4E">
            <w:pPr>
              <w:pStyle w:val="Tabletext"/>
              <w:jc w:val="center"/>
              <w:rPr>
                <w:rFonts w:cstheme="minorBidi"/>
              </w:rPr>
            </w:pPr>
            <w:r w:rsidRPr="00765AFB">
              <w:rPr>
                <w:rFonts w:cstheme="minorBidi"/>
              </w:rPr>
              <w:t>SÍ</w:t>
            </w:r>
          </w:p>
        </w:tc>
      </w:tr>
    </w:tbl>
    <w:p w14:paraId="71E32E36" w14:textId="405EA698" w:rsidR="00BF0C54" w:rsidRPr="00765AFB" w:rsidRDefault="00BF0C54" w:rsidP="00B42A4E">
      <w:r w:rsidRPr="00765AFB">
        <w:t>Con sede en los Estados Unidos, Global Impact se fundó en 1956 cuando cuatro organizaciones benéficas internacionales se unieron para formar una federación. En la década de 1980, el número de organizaciones benéficas que eran miembros había aumentado hasta aproximadamente 50. Global Impact lanzó la asociación Global Digital Inclusion Partnership (GDIP), una coalición de organizaciones públicas, privadas y de la sociedad civil que trabajan para llevar la conectividad a Internet a la mayor parte de la población mundial y asegurar que todo el mundo esté conectado de forma efectiva en 2030. La GDIP promueve las soluciones digitales para capacitar y dar soporte a la vida de las personas, para ir a sociedades digitales inclusivas. En opinión de la Secretaría, esta entidad cumple los criterios establecidos por el Consejo para la exoneración de pago de la cuota de</w:t>
      </w:r>
      <w:r w:rsidR="00770C0F">
        <w:t> </w:t>
      </w:r>
      <w:r w:rsidRPr="00765AFB">
        <w:t>afiliación.</w:t>
      </w:r>
    </w:p>
    <w:p w14:paraId="3370C295" w14:textId="77777777" w:rsidR="00BF0C54" w:rsidRPr="00765AFB" w:rsidRDefault="00BF0C54" w:rsidP="00EE575A">
      <w:pPr>
        <w:spacing w:after="120"/>
      </w:pPr>
      <w:r w:rsidRPr="00765AFB">
        <w:t>2.10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7689F3FE" w14:textId="77777777" w:rsidTr="00762505">
        <w:trPr>
          <w:cantSplit/>
          <w:jc w:val="center"/>
        </w:trPr>
        <w:tc>
          <w:tcPr>
            <w:tcW w:w="4331" w:type="dxa"/>
          </w:tcPr>
          <w:p w14:paraId="07E59670" w14:textId="77777777" w:rsidR="00BF0C54" w:rsidRPr="00765AFB" w:rsidRDefault="00BF0C54" w:rsidP="00B42A4E">
            <w:pPr>
              <w:pStyle w:val="Tablehead"/>
              <w:rPr>
                <w:rFonts w:asciiTheme="minorHAnsi" w:hAnsiTheme="minorHAnsi" w:cstheme="minorHAnsi"/>
                <w:szCs w:val="24"/>
              </w:rPr>
            </w:pPr>
            <w:r w:rsidRPr="00765AFB">
              <w:rPr>
                <w:rFonts w:eastAsia="Calibri"/>
              </w:rPr>
              <w:t>Organización</w:t>
            </w:r>
          </w:p>
        </w:tc>
        <w:tc>
          <w:tcPr>
            <w:tcW w:w="1559" w:type="dxa"/>
          </w:tcPr>
          <w:p w14:paraId="0DC90508" w14:textId="77777777" w:rsidR="00BF0C54" w:rsidRPr="00765AFB" w:rsidRDefault="00BF0C54" w:rsidP="00B42A4E">
            <w:pPr>
              <w:pStyle w:val="Tablehead"/>
              <w:rPr>
                <w:rFonts w:asciiTheme="minorHAnsi" w:hAnsiTheme="minorHAnsi" w:cstheme="minorHAnsi"/>
                <w:szCs w:val="24"/>
              </w:rPr>
            </w:pPr>
            <w:r w:rsidRPr="00765AFB">
              <w:rPr>
                <w:rFonts w:eastAsia="Calibri"/>
              </w:rPr>
              <w:t>Sector</w:t>
            </w:r>
          </w:p>
        </w:tc>
        <w:tc>
          <w:tcPr>
            <w:tcW w:w="3325" w:type="dxa"/>
          </w:tcPr>
          <w:p w14:paraId="73D2BC2D" w14:textId="77777777" w:rsidR="00BF0C54" w:rsidRPr="00765AFB" w:rsidRDefault="00BF0C54" w:rsidP="00B42A4E">
            <w:pPr>
              <w:pStyle w:val="Tablehead"/>
              <w:rPr>
                <w:rFonts w:asciiTheme="minorHAnsi" w:hAnsiTheme="minorHAnsi" w:cstheme="minorHAnsi"/>
                <w:szCs w:val="24"/>
              </w:rPr>
            </w:pPr>
            <w:r w:rsidRPr="00765AFB">
              <w:rPr>
                <w:rFonts w:eastAsia="Calibri"/>
              </w:rPr>
              <w:t>Recomendación</w:t>
            </w:r>
          </w:p>
        </w:tc>
      </w:tr>
      <w:tr w:rsidR="00BF0C54" w:rsidRPr="00765AFB" w14:paraId="1F290EB5" w14:textId="77777777" w:rsidTr="00762505">
        <w:trPr>
          <w:cantSplit/>
          <w:jc w:val="center"/>
        </w:trPr>
        <w:tc>
          <w:tcPr>
            <w:tcW w:w="4331" w:type="dxa"/>
            <w:vAlign w:val="center"/>
          </w:tcPr>
          <w:p w14:paraId="25625BF9" w14:textId="77777777" w:rsidR="00BF0C54" w:rsidRPr="00806036" w:rsidRDefault="00BF0C54" w:rsidP="00B42A4E">
            <w:pPr>
              <w:pStyle w:val="Tabletext"/>
              <w:rPr>
                <w:b/>
                <w:bCs/>
                <w:lang w:val="en-GB"/>
              </w:rPr>
            </w:pPr>
            <w:r w:rsidRPr="00806036">
              <w:rPr>
                <w:b/>
                <w:bCs/>
                <w:lang w:val="en-GB"/>
              </w:rPr>
              <w:t>Arab League Educational, Cultural and Scientific Organization (ALECSO)</w:t>
            </w:r>
          </w:p>
        </w:tc>
        <w:tc>
          <w:tcPr>
            <w:tcW w:w="1559" w:type="dxa"/>
            <w:vAlign w:val="center"/>
          </w:tcPr>
          <w:p w14:paraId="496F2D4F" w14:textId="77777777" w:rsidR="00BF0C54" w:rsidRPr="00765AFB" w:rsidRDefault="00BF0C54" w:rsidP="00B42A4E">
            <w:pPr>
              <w:pStyle w:val="Tabletext"/>
              <w:jc w:val="center"/>
            </w:pPr>
            <w:r w:rsidRPr="00765AFB">
              <w:t>UIT-T</w:t>
            </w:r>
          </w:p>
          <w:p w14:paraId="4929FEF9" w14:textId="77777777" w:rsidR="00BF0C54" w:rsidRPr="00765AFB" w:rsidRDefault="00BF0C54" w:rsidP="00B42A4E">
            <w:pPr>
              <w:pStyle w:val="Tabletext"/>
              <w:jc w:val="center"/>
            </w:pPr>
            <w:r w:rsidRPr="00765AFB">
              <w:t>UIT-D</w:t>
            </w:r>
          </w:p>
        </w:tc>
        <w:tc>
          <w:tcPr>
            <w:tcW w:w="3325" w:type="dxa"/>
            <w:vAlign w:val="center"/>
          </w:tcPr>
          <w:p w14:paraId="6B27770A" w14:textId="77777777" w:rsidR="00BF0C54" w:rsidRPr="00765AFB" w:rsidRDefault="00BF0C54" w:rsidP="00B42A4E">
            <w:pPr>
              <w:pStyle w:val="Tabletext"/>
              <w:jc w:val="center"/>
              <w:rPr>
                <w:color w:val="000000" w:themeColor="text1"/>
              </w:rPr>
            </w:pPr>
            <w:r w:rsidRPr="00765AFB">
              <w:rPr>
                <w:color w:val="000000" w:themeColor="text1"/>
              </w:rPr>
              <w:t>SÍ</w:t>
            </w:r>
          </w:p>
          <w:p w14:paraId="640E99A4" w14:textId="77777777" w:rsidR="00BF0C54" w:rsidRPr="00765AFB" w:rsidRDefault="00BF0C54" w:rsidP="00B42A4E">
            <w:pPr>
              <w:pStyle w:val="Tabletext"/>
              <w:jc w:val="center"/>
              <w:rPr>
                <w:color w:val="000000" w:themeColor="text1"/>
              </w:rPr>
            </w:pPr>
            <w:r w:rsidRPr="00765AFB">
              <w:rPr>
                <w:color w:val="000000" w:themeColor="text1"/>
              </w:rPr>
              <w:t>Sí</w:t>
            </w:r>
          </w:p>
        </w:tc>
      </w:tr>
    </w:tbl>
    <w:p w14:paraId="0525FF56" w14:textId="77777777" w:rsidR="00BF0C54" w:rsidRPr="00765AFB" w:rsidRDefault="00BF0C54" w:rsidP="00B42A4E">
      <w:r w:rsidRPr="00765AFB">
        <w:t xml:space="preserve">La Organización de la Liga Árabe para la Educación, la Cultura y la Ciencia (ALECSO) es una institución de la Liga Árabe con sede en Túnez, creada en 1970 y que cuenta con 22 Estados miembros. La ALECSO trabaja para coordinar las actividades culturales y educativas en el mundo árabe. Entre sus diversas actividades realizadas, se han creado instituciones subsidiarias de la ALECSO en todo el mundo árabe. Como organización internacional con </w:t>
      </w:r>
      <w:r w:rsidRPr="00765AFB">
        <w:lastRenderedPageBreak/>
        <w:t>Estados miembros, la Secretaría opina que esta entidad cumple los criterios establecidos por el Consejo para la exoneración de pago de la cuota de afiliación.</w:t>
      </w:r>
    </w:p>
    <w:p w14:paraId="1DC147F5" w14:textId="77777777" w:rsidR="00BF0C54" w:rsidRPr="00765AFB" w:rsidRDefault="00BF0C54" w:rsidP="00EE575A">
      <w:pPr>
        <w:spacing w:after="120"/>
      </w:pPr>
      <w:r w:rsidRPr="00765AFB">
        <w:t>2.11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BF0C54" w:rsidRPr="00765AFB" w14:paraId="67AD4E06" w14:textId="77777777" w:rsidTr="00762505">
        <w:trPr>
          <w:cantSplit/>
          <w:jc w:val="center"/>
        </w:trPr>
        <w:tc>
          <w:tcPr>
            <w:tcW w:w="4331" w:type="dxa"/>
          </w:tcPr>
          <w:p w14:paraId="1AF240F2" w14:textId="77777777" w:rsidR="00BF0C54" w:rsidRPr="00765AFB" w:rsidRDefault="00BF0C54" w:rsidP="00B42A4E">
            <w:pPr>
              <w:pStyle w:val="Tablehead"/>
              <w:keepNext/>
              <w:keepLines/>
              <w:rPr>
                <w:rFonts w:asciiTheme="minorHAnsi" w:hAnsiTheme="minorHAnsi" w:cstheme="minorHAnsi"/>
                <w:szCs w:val="24"/>
              </w:rPr>
            </w:pPr>
            <w:r w:rsidRPr="00765AFB">
              <w:rPr>
                <w:rFonts w:eastAsia="Calibri"/>
              </w:rPr>
              <w:t>Organización</w:t>
            </w:r>
          </w:p>
        </w:tc>
        <w:tc>
          <w:tcPr>
            <w:tcW w:w="1559" w:type="dxa"/>
          </w:tcPr>
          <w:p w14:paraId="5AB24D91" w14:textId="77777777" w:rsidR="00BF0C54" w:rsidRPr="00765AFB" w:rsidRDefault="00BF0C54" w:rsidP="00B42A4E">
            <w:pPr>
              <w:pStyle w:val="Tablehead"/>
              <w:keepNext/>
              <w:keepLines/>
              <w:rPr>
                <w:rFonts w:asciiTheme="minorHAnsi" w:hAnsiTheme="minorHAnsi" w:cstheme="minorHAnsi"/>
                <w:szCs w:val="24"/>
              </w:rPr>
            </w:pPr>
            <w:r w:rsidRPr="00765AFB">
              <w:rPr>
                <w:rFonts w:eastAsia="Calibri"/>
              </w:rPr>
              <w:t>Sector</w:t>
            </w:r>
          </w:p>
        </w:tc>
        <w:tc>
          <w:tcPr>
            <w:tcW w:w="3325" w:type="dxa"/>
          </w:tcPr>
          <w:p w14:paraId="0556A2B9" w14:textId="77777777" w:rsidR="00BF0C54" w:rsidRPr="00765AFB" w:rsidRDefault="00BF0C54" w:rsidP="00B42A4E">
            <w:pPr>
              <w:pStyle w:val="Tablehead"/>
              <w:keepNext/>
              <w:keepLines/>
              <w:rPr>
                <w:rFonts w:asciiTheme="minorHAnsi" w:hAnsiTheme="minorHAnsi" w:cstheme="minorHAnsi"/>
                <w:szCs w:val="24"/>
              </w:rPr>
            </w:pPr>
            <w:r w:rsidRPr="00765AFB">
              <w:rPr>
                <w:rFonts w:eastAsia="Calibri"/>
              </w:rPr>
              <w:t>Recomendación</w:t>
            </w:r>
          </w:p>
        </w:tc>
      </w:tr>
      <w:tr w:rsidR="00BF0C54" w:rsidRPr="00765AFB" w14:paraId="1B30BE9B" w14:textId="77777777" w:rsidTr="00762505">
        <w:trPr>
          <w:cantSplit/>
          <w:jc w:val="center"/>
        </w:trPr>
        <w:tc>
          <w:tcPr>
            <w:tcW w:w="4331" w:type="dxa"/>
            <w:vAlign w:val="center"/>
          </w:tcPr>
          <w:p w14:paraId="7E972C92" w14:textId="77777777" w:rsidR="00BF0C54" w:rsidRPr="00806036" w:rsidRDefault="00BF0C54" w:rsidP="00B42A4E">
            <w:pPr>
              <w:pStyle w:val="Tabletext"/>
              <w:keepNext/>
              <w:keepLines/>
              <w:rPr>
                <w:b/>
                <w:bCs/>
                <w:lang w:val="en-GB"/>
              </w:rPr>
            </w:pPr>
            <w:r w:rsidRPr="00806036">
              <w:rPr>
                <w:b/>
                <w:bCs/>
                <w:lang w:val="en-GB"/>
              </w:rPr>
              <w:t>Open &amp; Agile Smart Cities (OASC)</w:t>
            </w:r>
          </w:p>
        </w:tc>
        <w:tc>
          <w:tcPr>
            <w:tcW w:w="1559" w:type="dxa"/>
            <w:vAlign w:val="center"/>
          </w:tcPr>
          <w:p w14:paraId="0895C891" w14:textId="77777777" w:rsidR="00BF0C54" w:rsidRPr="00765AFB" w:rsidRDefault="00BF0C54" w:rsidP="00B42A4E">
            <w:pPr>
              <w:pStyle w:val="Tabletext"/>
              <w:keepNext/>
              <w:keepLines/>
              <w:jc w:val="center"/>
            </w:pPr>
            <w:r w:rsidRPr="00765AFB">
              <w:t>UIT-T</w:t>
            </w:r>
          </w:p>
        </w:tc>
        <w:tc>
          <w:tcPr>
            <w:tcW w:w="3325" w:type="dxa"/>
            <w:vAlign w:val="center"/>
          </w:tcPr>
          <w:p w14:paraId="753C08F6" w14:textId="77777777" w:rsidR="00BF0C54" w:rsidRPr="00765AFB" w:rsidRDefault="00BF0C54" w:rsidP="00B42A4E">
            <w:pPr>
              <w:pStyle w:val="Tabletext"/>
              <w:keepNext/>
              <w:keepLines/>
              <w:jc w:val="center"/>
              <w:rPr>
                <w:rFonts w:cstheme="minorBidi"/>
                <w:color w:val="000000" w:themeColor="text1"/>
              </w:rPr>
            </w:pPr>
            <w:r w:rsidRPr="00765AFB">
              <w:rPr>
                <w:rFonts w:cstheme="minorBidi"/>
                <w:color w:val="000000" w:themeColor="text1"/>
              </w:rPr>
              <w:t>SÍ</w:t>
            </w:r>
          </w:p>
        </w:tc>
      </w:tr>
    </w:tbl>
    <w:p w14:paraId="380CEFE4" w14:textId="033B415A" w:rsidR="00BF0C54" w:rsidRPr="00765AFB" w:rsidRDefault="00BF0C54" w:rsidP="00B42A4E">
      <w:r w:rsidRPr="00765AFB">
        <w:t>Open &amp; Agile Smart Cities (OASC) es una asociación sin ánimo de lucro y una red mundial de ciudades y comunidades cuyo propósito común es mejorar la calidad de vida de sus ciudadanos a través de la innovación y la tecnología. La misión del OASC es la de reunir a ciudades y comunidades de todo el mundo para construir un mercado mundial de datos y servicios para las ciudades inteligentes desde el lado de la demanda, basado en las necesidades de las ciudades y las comunidades. Como asociación internacional sin ánimo de lucro con miembros de gobiernos locales, en opinión de la Secretaría, esta entidad cumple los criterios establecidos por el Consejo para la exoneración de pago de la cuota de</w:t>
      </w:r>
      <w:r w:rsidR="00770C0F">
        <w:t> </w:t>
      </w:r>
      <w:r w:rsidRPr="00765AFB">
        <w:t>afiliación.</w:t>
      </w:r>
    </w:p>
    <w:p w14:paraId="6AC470F1" w14:textId="77777777" w:rsidR="00B42A4E" w:rsidRPr="00765AFB" w:rsidRDefault="00B42A4E" w:rsidP="00B42A4E">
      <w:pPr>
        <w:pStyle w:val="Reasons"/>
      </w:pPr>
    </w:p>
    <w:p w14:paraId="65BF38E8" w14:textId="08FF13DA" w:rsidR="00927F93" w:rsidRPr="00765AFB" w:rsidRDefault="00BF0C54" w:rsidP="00B42A4E">
      <w:pPr>
        <w:jc w:val="center"/>
      </w:pPr>
      <w:r w:rsidRPr="00765AFB">
        <w:t>________________</w:t>
      </w:r>
    </w:p>
    <w:sectPr w:rsidR="00927F93" w:rsidRPr="00765AFB" w:rsidSect="00C538FC">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780B" w14:textId="77777777" w:rsidR="00316C03" w:rsidRDefault="00316C03">
      <w:r>
        <w:separator/>
      </w:r>
    </w:p>
  </w:endnote>
  <w:endnote w:type="continuationSeparator" w:id="0">
    <w:p w14:paraId="4402E881" w14:textId="77777777" w:rsidR="00316C03" w:rsidRDefault="0031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D7165CA" w14:textId="77777777" w:rsidTr="00E31DCE">
      <w:trPr>
        <w:jc w:val="center"/>
      </w:trPr>
      <w:tc>
        <w:tcPr>
          <w:tcW w:w="1803" w:type="dxa"/>
          <w:vAlign w:val="center"/>
        </w:tcPr>
        <w:p w14:paraId="7040891C" w14:textId="22D6EB50" w:rsidR="003273A4" w:rsidRDefault="003273A4" w:rsidP="003273A4">
          <w:pPr>
            <w:pStyle w:val="Header"/>
            <w:jc w:val="left"/>
            <w:rPr>
              <w:noProof/>
            </w:rPr>
          </w:pPr>
          <w:r>
            <w:rPr>
              <w:noProof/>
            </w:rPr>
            <w:t xml:space="preserve">DPS </w:t>
          </w:r>
          <w:r w:rsidR="00B42A4E">
            <w:rPr>
              <w:noProof/>
            </w:rPr>
            <w:t>521073</w:t>
          </w:r>
        </w:p>
      </w:tc>
      <w:tc>
        <w:tcPr>
          <w:tcW w:w="8261" w:type="dxa"/>
        </w:tcPr>
        <w:p w14:paraId="76D8FD11" w14:textId="3E3E2DA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42A4E">
            <w:rPr>
              <w:bCs/>
            </w:rPr>
            <w:t>39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25AF6E4" w14:textId="77777777" w:rsidR="00760F1C" w:rsidRPr="00617A4F" w:rsidRDefault="00760F1C" w:rsidP="003273A4">
    <w:pPr>
      <w:pStyle w:val="Footer"/>
      <w:rPr>
        <w:b/>
        <w:bCs/>
        <w:color w:val="F2F2F2" w:themeColor="background1" w:themeShade="F2"/>
      </w:rPr>
    </w:pPr>
  </w:p>
  <w:p w14:paraId="786F451C" w14:textId="29519964" w:rsidR="00B42A4E" w:rsidRPr="00B42A4E" w:rsidRDefault="00B42A4E" w:rsidP="003273A4">
    <w:pPr>
      <w:pStyle w:val="Footer"/>
      <w:rPr>
        <w:szCs w:val="16"/>
        <w:lang w:val="fr-FR"/>
      </w:rPr>
    </w:pPr>
    <w:r w:rsidRPr="00617A4F">
      <w:rPr>
        <w:color w:val="F2F2F2" w:themeColor="background1" w:themeShade="F2"/>
        <w:szCs w:val="16"/>
      </w:rPr>
      <w:fldChar w:fldCharType="begin"/>
    </w:r>
    <w:r w:rsidRPr="00617A4F">
      <w:rPr>
        <w:color w:val="F2F2F2" w:themeColor="background1" w:themeShade="F2"/>
        <w:szCs w:val="16"/>
        <w:lang w:val="fr-FR"/>
      </w:rPr>
      <w:instrText xml:space="preserve"> FILENAME \p  \* MERGEFORMAT </w:instrText>
    </w:r>
    <w:r w:rsidRPr="00617A4F">
      <w:rPr>
        <w:color w:val="F2F2F2" w:themeColor="background1" w:themeShade="F2"/>
        <w:szCs w:val="16"/>
      </w:rPr>
      <w:fldChar w:fldCharType="separate"/>
    </w:r>
    <w:r w:rsidR="00806036" w:rsidRPr="00617A4F">
      <w:rPr>
        <w:color w:val="F2F2F2" w:themeColor="background1" w:themeShade="F2"/>
        <w:szCs w:val="16"/>
        <w:lang w:val="fr-FR"/>
      </w:rPr>
      <w:t>P:\ESP\SG\CONSEIL\C23\000\039S.docx</w:t>
    </w:r>
    <w:r w:rsidRPr="00617A4F">
      <w:rPr>
        <w:color w:val="F2F2F2" w:themeColor="background1" w:themeShade="F2"/>
        <w:szCs w:val="16"/>
      </w:rPr>
      <w:fldChar w:fldCharType="end"/>
    </w:r>
    <w:r w:rsidRPr="00617A4F">
      <w:rPr>
        <w:color w:val="F2F2F2" w:themeColor="background1" w:themeShade="F2"/>
        <w:szCs w:val="16"/>
        <w:lang w:val="fr-FR"/>
      </w:rPr>
      <w:t xml:space="preserve"> (521073)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54DFDF5" w14:textId="77777777" w:rsidTr="00E31DCE">
      <w:trPr>
        <w:jc w:val="center"/>
      </w:trPr>
      <w:tc>
        <w:tcPr>
          <w:tcW w:w="1803" w:type="dxa"/>
          <w:vAlign w:val="center"/>
        </w:tcPr>
        <w:p w14:paraId="4B0D5619" w14:textId="77777777" w:rsidR="00F24B71" w:rsidRDefault="000470C9" w:rsidP="00F24B71">
          <w:pPr>
            <w:pStyle w:val="Header"/>
            <w:jc w:val="left"/>
            <w:rPr>
              <w:noProof/>
            </w:rPr>
          </w:pPr>
          <w:hyperlink r:id="rId1" w:history="1">
            <w:r w:rsidR="00F24B71" w:rsidRPr="00A514A4">
              <w:rPr>
                <w:rStyle w:val="Hyperlink"/>
                <w:szCs w:val="14"/>
              </w:rPr>
              <w:t>www.itu.int/council</w:t>
            </w:r>
          </w:hyperlink>
        </w:p>
      </w:tc>
      <w:tc>
        <w:tcPr>
          <w:tcW w:w="8261" w:type="dxa"/>
        </w:tcPr>
        <w:p w14:paraId="59ACCD54" w14:textId="5AE5680E"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35981">
            <w:rPr>
              <w:bCs/>
            </w:rPr>
            <w:t>39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ABFFF20" w14:textId="77777777" w:rsidR="00B42A4E" w:rsidRDefault="00B42A4E" w:rsidP="00B42A4E">
    <w:pPr>
      <w:pStyle w:val="Footer"/>
      <w:rPr>
        <w:szCs w:val="16"/>
      </w:rPr>
    </w:pPr>
  </w:p>
  <w:p w14:paraId="2C14962B" w14:textId="117BFCB0" w:rsidR="00760F1C" w:rsidRPr="00B42A4E" w:rsidRDefault="00B42A4E" w:rsidP="00B42A4E">
    <w:pPr>
      <w:pStyle w:val="Footer"/>
      <w:rPr>
        <w:szCs w:val="16"/>
        <w:lang w:val="fr-FR"/>
      </w:rPr>
    </w:pPr>
    <w:r w:rsidRPr="00617A4F">
      <w:rPr>
        <w:color w:val="F2F2F2" w:themeColor="background1" w:themeShade="F2"/>
        <w:szCs w:val="16"/>
      </w:rPr>
      <w:fldChar w:fldCharType="begin"/>
    </w:r>
    <w:r w:rsidRPr="00617A4F">
      <w:rPr>
        <w:color w:val="F2F2F2" w:themeColor="background1" w:themeShade="F2"/>
        <w:szCs w:val="16"/>
        <w:lang w:val="fr-FR"/>
      </w:rPr>
      <w:instrText xml:space="preserve"> FILENAME \p  \* MERGEFORMAT </w:instrText>
    </w:r>
    <w:r w:rsidRPr="00617A4F">
      <w:rPr>
        <w:color w:val="F2F2F2" w:themeColor="background1" w:themeShade="F2"/>
        <w:szCs w:val="16"/>
      </w:rPr>
      <w:fldChar w:fldCharType="separate"/>
    </w:r>
    <w:r w:rsidR="00806036" w:rsidRPr="00617A4F">
      <w:rPr>
        <w:color w:val="F2F2F2" w:themeColor="background1" w:themeShade="F2"/>
        <w:szCs w:val="16"/>
        <w:lang w:val="fr-FR"/>
      </w:rPr>
      <w:t>P:\ESP\SG\CONSEIL\C23\000\039S.docx</w:t>
    </w:r>
    <w:r w:rsidRPr="00617A4F">
      <w:rPr>
        <w:color w:val="F2F2F2" w:themeColor="background1" w:themeShade="F2"/>
        <w:szCs w:val="16"/>
      </w:rPr>
      <w:fldChar w:fldCharType="end"/>
    </w:r>
    <w:r w:rsidRPr="00617A4F">
      <w:rPr>
        <w:color w:val="F2F2F2" w:themeColor="background1" w:themeShade="F2"/>
        <w:szCs w:val="16"/>
        <w:lang w:val="fr-FR"/>
      </w:rPr>
      <w:t xml:space="preserve"> (521073)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73B8" w14:textId="77777777" w:rsidR="00316C03" w:rsidRDefault="00316C03">
      <w:r>
        <w:t>____________________</w:t>
      </w:r>
    </w:p>
  </w:footnote>
  <w:footnote w:type="continuationSeparator" w:id="0">
    <w:p w14:paraId="2DD7626E" w14:textId="77777777" w:rsidR="00316C03" w:rsidRDefault="0031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0DCD28C4" w14:textId="77777777" w:rsidTr="00E31DCE">
      <w:trPr>
        <w:trHeight w:val="1104"/>
        <w:jc w:val="center"/>
      </w:trPr>
      <w:tc>
        <w:tcPr>
          <w:tcW w:w="4390" w:type="dxa"/>
          <w:vAlign w:val="center"/>
        </w:tcPr>
        <w:p w14:paraId="78536E14" w14:textId="77777777" w:rsidR="001559F5" w:rsidRPr="009621F8" w:rsidRDefault="001559F5" w:rsidP="001559F5">
          <w:pPr>
            <w:pStyle w:val="Header"/>
            <w:jc w:val="left"/>
            <w:rPr>
              <w:rFonts w:ascii="Arial" w:hAnsi="Arial" w:cs="Arial"/>
              <w:b/>
              <w:bCs/>
              <w:color w:val="009CD6"/>
              <w:sz w:val="36"/>
              <w:szCs w:val="36"/>
            </w:rPr>
          </w:pPr>
          <w:bookmarkStart w:id="27" w:name="_Hlk133422111"/>
          <w:r>
            <w:rPr>
              <w:noProof/>
            </w:rPr>
            <w:drawing>
              <wp:inline distT="0" distB="0" distL="0" distR="0" wp14:anchorId="1D7AC978" wp14:editId="0A8FB187">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3B2FE50" w14:textId="77777777" w:rsidR="001559F5" w:rsidRDefault="001559F5" w:rsidP="001559F5">
          <w:pPr>
            <w:pStyle w:val="Header"/>
            <w:jc w:val="right"/>
            <w:rPr>
              <w:rFonts w:ascii="Arial" w:hAnsi="Arial" w:cs="Arial"/>
              <w:b/>
              <w:bCs/>
              <w:color w:val="009CD6"/>
              <w:szCs w:val="18"/>
            </w:rPr>
          </w:pPr>
        </w:p>
        <w:p w14:paraId="74D2FF14" w14:textId="77777777" w:rsidR="001559F5" w:rsidRDefault="001559F5" w:rsidP="001559F5">
          <w:pPr>
            <w:pStyle w:val="Header"/>
            <w:jc w:val="right"/>
            <w:rPr>
              <w:rFonts w:ascii="Arial" w:hAnsi="Arial" w:cs="Arial"/>
              <w:b/>
              <w:bCs/>
              <w:color w:val="009CD6"/>
              <w:szCs w:val="18"/>
            </w:rPr>
          </w:pPr>
        </w:p>
        <w:p w14:paraId="5D908F0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7"/>
  <w:p w14:paraId="12A1936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59A2C9C" wp14:editId="46AE28B9">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AC98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54"/>
    <w:rsid w:val="000007D1"/>
    <w:rsid w:val="000470C9"/>
    <w:rsid w:val="00093EEB"/>
    <w:rsid w:val="000B0D00"/>
    <w:rsid w:val="000B7C15"/>
    <w:rsid w:val="000D1D0F"/>
    <w:rsid w:val="000F5290"/>
    <w:rsid w:val="0010165C"/>
    <w:rsid w:val="00146BFB"/>
    <w:rsid w:val="001559F5"/>
    <w:rsid w:val="001F14A2"/>
    <w:rsid w:val="002801AA"/>
    <w:rsid w:val="002C4676"/>
    <w:rsid w:val="002C70B0"/>
    <w:rsid w:val="002F3CC4"/>
    <w:rsid w:val="00316C03"/>
    <w:rsid w:val="003273A4"/>
    <w:rsid w:val="00473962"/>
    <w:rsid w:val="004B5D49"/>
    <w:rsid w:val="00513630"/>
    <w:rsid w:val="00560125"/>
    <w:rsid w:val="00585553"/>
    <w:rsid w:val="005B34D9"/>
    <w:rsid w:val="005D0CCF"/>
    <w:rsid w:val="005F3BCB"/>
    <w:rsid w:val="005F410F"/>
    <w:rsid w:val="0060149A"/>
    <w:rsid w:val="00601924"/>
    <w:rsid w:val="00617A4F"/>
    <w:rsid w:val="006447EA"/>
    <w:rsid w:val="0064731F"/>
    <w:rsid w:val="00664572"/>
    <w:rsid w:val="006710F6"/>
    <w:rsid w:val="00677A97"/>
    <w:rsid w:val="006C1B56"/>
    <w:rsid w:val="006D4761"/>
    <w:rsid w:val="00726872"/>
    <w:rsid w:val="00760F1C"/>
    <w:rsid w:val="007657F0"/>
    <w:rsid w:val="00765AFB"/>
    <w:rsid w:val="00770C0F"/>
    <w:rsid w:val="0077252D"/>
    <w:rsid w:val="007955DA"/>
    <w:rsid w:val="007E5DD3"/>
    <w:rsid w:val="007F350B"/>
    <w:rsid w:val="00806036"/>
    <w:rsid w:val="00820BE4"/>
    <w:rsid w:val="008451E8"/>
    <w:rsid w:val="00913B9C"/>
    <w:rsid w:val="00927F93"/>
    <w:rsid w:val="00956E77"/>
    <w:rsid w:val="009F4811"/>
    <w:rsid w:val="00AA390C"/>
    <w:rsid w:val="00B0200A"/>
    <w:rsid w:val="00B42A4E"/>
    <w:rsid w:val="00B574DB"/>
    <w:rsid w:val="00B826C2"/>
    <w:rsid w:val="00B8298E"/>
    <w:rsid w:val="00BD0723"/>
    <w:rsid w:val="00BD2518"/>
    <w:rsid w:val="00BF0C54"/>
    <w:rsid w:val="00BF1D1C"/>
    <w:rsid w:val="00BF6B82"/>
    <w:rsid w:val="00C20C59"/>
    <w:rsid w:val="00C2727F"/>
    <w:rsid w:val="00C35981"/>
    <w:rsid w:val="00C538FC"/>
    <w:rsid w:val="00C55B1F"/>
    <w:rsid w:val="00CF1A67"/>
    <w:rsid w:val="00D2750E"/>
    <w:rsid w:val="00D50A36"/>
    <w:rsid w:val="00D62446"/>
    <w:rsid w:val="00DA4EA2"/>
    <w:rsid w:val="00DC3D3E"/>
    <w:rsid w:val="00DC6667"/>
    <w:rsid w:val="00DE2C90"/>
    <w:rsid w:val="00DE3B24"/>
    <w:rsid w:val="00E06947"/>
    <w:rsid w:val="00E34072"/>
    <w:rsid w:val="00E3592D"/>
    <w:rsid w:val="00E50D76"/>
    <w:rsid w:val="00E92DE8"/>
    <w:rsid w:val="00EB1212"/>
    <w:rsid w:val="00ED65AB"/>
    <w:rsid w:val="00EE575A"/>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CF4D8"/>
  <w15:docId w15:val="{6A13C713-9B95-4DDC-9A6D-5B464690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42A4E"/>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00/docs/28rev1-es.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hub/membership/our-members/exempted-entities/" TargetMode="External"/><Relationship Id="rId12" Type="http://schemas.openxmlformats.org/officeDocument/2006/relationships/hyperlink" Target="https://www.itu.int/md/S22-CL-C-0100/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19-CL-C-0141/es" TargetMode="External"/><Relationship Id="rId11" Type="http://schemas.openxmlformats.org/officeDocument/2006/relationships/hyperlink" Target="https://www.itu.int/hub/membership/itu-family/organizations/exempted-entities/exemption-criteri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hub/membership/our-members/exempted-entities/" TargetMode="External"/><Relationship Id="rId4" Type="http://schemas.openxmlformats.org/officeDocument/2006/relationships/footnotes" Target="footnotes.xml"/><Relationship Id="rId9" Type="http://schemas.openxmlformats.org/officeDocument/2006/relationships/hyperlink" Target="https://www.itu.int/md/S19-CL-C-0141/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6</Pages>
  <Words>2007</Words>
  <Characters>11578</Characters>
  <Application>Microsoft Office Word</Application>
  <DocSecurity>0</DocSecurity>
  <Lines>96</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13558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Nuevas solicitudes de exoneración de pago de la cuota de afiliación para las organizaciones de carácter internacional</dc:title>
  <dc:subject>Council 2023</dc:subject>
  <dc:creator>Spanish</dc:creator>
  <cp:keywords>C2023, C23, Council-23</cp:keywords>
  <dc:description/>
  <cp:lastModifiedBy>Xue, Kun</cp:lastModifiedBy>
  <cp:revision>4</cp:revision>
  <cp:lastPrinted>2023-06-28T12:24:00Z</cp:lastPrinted>
  <dcterms:created xsi:type="dcterms:W3CDTF">2023-07-02T20:44:00Z</dcterms:created>
  <dcterms:modified xsi:type="dcterms:W3CDTF">2023-07-02T20:46:00Z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